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2A" w:rsidRPr="00DE56DC" w:rsidRDefault="004D132A" w:rsidP="004D132A">
      <w:pPr>
        <w:pStyle w:val="Zkladntext"/>
        <w:rPr>
          <w:rFonts w:ascii="Times New Roman" w:hAnsi="Times New Roman"/>
          <w:sz w:val="28"/>
          <w:szCs w:val="28"/>
        </w:rPr>
      </w:pPr>
      <w:r w:rsidRPr="00DE56DC">
        <w:rPr>
          <w:rFonts w:ascii="Times New Roman" w:hAnsi="Times New Roman"/>
          <w:sz w:val="28"/>
          <w:szCs w:val="28"/>
        </w:rPr>
        <w:t xml:space="preserve">Zkušební okruhy pro </w:t>
      </w:r>
      <w:r>
        <w:rPr>
          <w:rFonts w:ascii="Times New Roman" w:hAnsi="Times New Roman"/>
          <w:sz w:val="28"/>
          <w:szCs w:val="28"/>
        </w:rPr>
        <w:t>zkoušku</w:t>
      </w:r>
    </w:p>
    <w:p w:rsidR="004D132A" w:rsidRDefault="004D132A" w:rsidP="004D132A">
      <w:pPr>
        <w:pStyle w:val="Nadpis1"/>
        <w:jc w:val="center"/>
        <w:rPr>
          <w:caps/>
          <w:color w:val="993366"/>
        </w:rPr>
      </w:pPr>
      <w:r>
        <w:rPr>
          <w:caps/>
          <w:color w:val="993366"/>
        </w:rPr>
        <w:t>finanční právo III</w:t>
      </w:r>
    </w:p>
    <w:p w:rsidR="004D132A" w:rsidRPr="00AF16A3" w:rsidRDefault="004D132A" w:rsidP="004D132A">
      <w:pPr>
        <w:jc w:val="center"/>
      </w:pPr>
      <w:r>
        <w:t>(Verze 201</w:t>
      </w:r>
      <w:r>
        <w:t>7</w:t>
      </w:r>
      <w:r>
        <w:t>)</w:t>
      </w:r>
    </w:p>
    <w:p w:rsidR="004D132A" w:rsidRDefault="004D132A" w:rsidP="004D132A">
      <w:r>
        <w:t xml:space="preserve">      </w:t>
      </w:r>
    </w:p>
    <w:p w:rsidR="004D132A" w:rsidRPr="004E6541" w:rsidRDefault="004D132A" w:rsidP="004D132A">
      <w:pPr>
        <w:ind w:firstLine="360"/>
        <w:rPr>
          <w:b/>
        </w:rPr>
      </w:pPr>
      <w:r>
        <w:t xml:space="preserve"> </w:t>
      </w:r>
      <w:r>
        <w:rPr>
          <w:b/>
        </w:rPr>
        <w:t>ČÁST A – Obecně teoretická část a nefiskální část</w:t>
      </w:r>
    </w:p>
    <w:p w:rsidR="004D132A" w:rsidRDefault="004D132A" w:rsidP="004D132A">
      <w:pPr>
        <w:numPr>
          <w:ilvl w:val="0"/>
          <w:numId w:val="1"/>
        </w:numPr>
      </w:pPr>
      <w:r>
        <w:t>Veřejné statky</w:t>
      </w:r>
    </w:p>
    <w:p w:rsidR="004D132A" w:rsidRDefault="004D132A" w:rsidP="004D132A">
      <w:pPr>
        <w:numPr>
          <w:ilvl w:val="0"/>
          <w:numId w:val="1"/>
        </w:numPr>
      </w:pPr>
      <w:r>
        <w:t>Veřejné finance</w:t>
      </w:r>
    </w:p>
    <w:p w:rsidR="004D132A" w:rsidRDefault="004D132A" w:rsidP="004D132A">
      <w:pPr>
        <w:numPr>
          <w:ilvl w:val="0"/>
          <w:numId w:val="1"/>
        </w:numPr>
      </w:pPr>
      <w:r>
        <w:t>Veřejná finanční politika</w:t>
      </w:r>
    </w:p>
    <w:p w:rsidR="004D132A" w:rsidRDefault="004D132A" w:rsidP="004D132A">
      <w:pPr>
        <w:numPr>
          <w:ilvl w:val="0"/>
          <w:numId w:val="1"/>
        </w:numPr>
      </w:pPr>
      <w:r>
        <w:t xml:space="preserve">Veřejná finanční činnost </w:t>
      </w:r>
    </w:p>
    <w:p w:rsidR="004D132A" w:rsidRDefault="004D132A" w:rsidP="004D132A">
      <w:pPr>
        <w:numPr>
          <w:ilvl w:val="0"/>
          <w:numId w:val="1"/>
        </w:numPr>
      </w:pPr>
      <w:r>
        <w:t>Finanční právo jako samostatné odvětví práva</w:t>
      </w:r>
    </w:p>
    <w:p w:rsidR="004D132A" w:rsidRDefault="004D132A" w:rsidP="004D132A">
      <w:pPr>
        <w:numPr>
          <w:ilvl w:val="0"/>
          <w:numId w:val="1"/>
        </w:numPr>
      </w:pPr>
      <w:r>
        <w:t>Metoda finančního práva</w:t>
      </w:r>
    </w:p>
    <w:p w:rsidR="004D132A" w:rsidRDefault="004D132A" w:rsidP="004D132A">
      <w:pPr>
        <w:numPr>
          <w:ilvl w:val="0"/>
          <w:numId w:val="1"/>
        </w:numPr>
      </w:pPr>
      <w:r>
        <w:t xml:space="preserve">Zásady finančního práva </w:t>
      </w:r>
    </w:p>
    <w:p w:rsidR="004D132A" w:rsidRDefault="004D132A" w:rsidP="004D132A">
      <w:pPr>
        <w:numPr>
          <w:ilvl w:val="0"/>
          <w:numId w:val="1"/>
        </w:numPr>
      </w:pPr>
      <w:r>
        <w:t xml:space="preserve">Systém finančního práva </w:t>
      </w:r>
    </w:p>
    <w:p w:rsidR="004D132A" w:rsidRDefault="004D132A" w:rsidP="004D132A">
      <w:pPr>
        <w:numPr>
          <w:ilvl w:val="0"/>
          <w:numId w:val="1"/>
        </w:numPr>
      </w:pPr>
      <w:r>
        <w:t xml:space="preserve">Prameny finančního práva </w:t>
      </w:r>
    </w:p>
    <w:p w:rsidR="004D132A" w:rsidRDefault="004D132A" w:rsidP="004D132A">
      <w:pPr>
        <w:numPr>
          <w:ilvl w:val="0"/>
          <w:numId w:val="1"/>
        </w:numPr>
      </w:pPr>
      <w:r>
        <w:t>Specifické subjekty finančního práva a právní osobnost ve finančním právu</w:t>
      </w:r>
    </w:p>
    <w:p w:rsidR="004D132A" w:rsidRDefault="004D132A" w:rsidP="004D132A">
      <w:pPr>
        <w:numPr>
          <w:ilvl w:val="0"/>
          <w:numId w:val="1"/>
        </w:numPr>
      </w:pPr>
      <w:r>
        <w:t>Finančně právní vztahy</w:t>
      </w:r>
    </w:p>
    <w:p w:rsidR="004D132A" w:rsidRDefault="004D132A" w:rsidP="004D132A">
      <w:pPr>
        <w:numPr>
          <w:ilvl w:val="0"/>
          <w:numId w:val="1"/>
        </w:numPr>
      </w:pPr>
      <w:r>
        <w:t>Finanční správa</w:t>
      </w:r>
    </w:p>
    <w:p w:rsidR="004D132A" w:rsidRDefault="004D132A" w:rsidP="004D132A">
      <w:pPr>
        <w:numPr>
          <w:ilvl w:val="0"/>
          <w:numId w:val="1"/>
        </w:numPr>
      </w:pPr>
      <w:r>
        <w:t>Finanční právo trestní</w:t>
      </w:r>
    </w:p>
    <w:p w:rsidR="004D132A" w:rsidRDefault="004D132A" w:rsidP="004D132A">
      <w:pPr>
        <w:numPr>
          <w:ilvl w:val="0"/>
          <w:numId w:val="1"/>
        </w:numPr>
      </w:pPr>
      <w:r>
        <w:t xml:space="preserve">Správní soudnictví ve finanční správě. Prejudiciální přezkum v daňové správě. </w:t>
      </w:r>
    </w:p>
    <w:p w:rsidR="004D132A" w:rsidRDefault="004D132A" w:rsidP="004D132A">
      <w:pPr>
        <w:numPr>
          <w:ilvl w:val="0"/>
          <w:numId w:val="1"/>
        </w:numPr>
      </w:pPr>
      <w:r>
        <w:t xml:space="preserve">Finanční právo procesní </w:t>
      </w:r>
    </w:p>
    <w:p w:rsidR="004D132A" w:rsidRPr="00134B9D" w:rsidRDefault="004D132A" w:rsidP="004D132A">
      <w:pPr>
        <w:numPr>
          <w:ilvl w:val="0"/>
          <w:numId w:val="1"/>
        </w:numPr>
      </w:pPr>
      <w:r>
        <w:t>Zásady činnosti veřejné správy a zásady správy daní</w:t>
      </w:r>
    </w:p>
    <w:p w:rsidR="004D132A" w:rsidRDefault="004D132A" w:rsidP="004D132A">
      <w:pPr>
        <w:numPr>
          <w:ilvl w:val="0"/>
          <w:numId w:val="1"/>
        </w:numPr>
      </w:pPr>
      <w:r>
        <w:t xml:space="preserve">Peněžní zřízení a měnové právo </w:t>
      </w:r>
    </w:p>
    <w:p w:rsidR="004D132A" w:rsidRDefault="004D132A" w:rsidP="004D132A">
      <w:pPr>
        <w:numPr>
          <w:ilvl w:val="0"/>
          <w:numId w:val="1"/>
        </w:numPr>
      </w:pPr>
      <w:r>
        <w:t>Hotovostní oběh, padělané a pozměněné peníze, omezení plateb v hotovosti</w:t>
      </w:r>
    </w:p>
    <w:p w:rsidR="004D132A" w:rsidRDefault="004D132A" w:rsidP="004D132A">
      <w:pPr>
        <w:numPr>
          <w:ilvl w:val="0"/>
          <w:numId w:val="1"/>
        </w:numPr>
      </w:pPr>
      <w:r>
        <w:t xml:space="preserve">Právní regulace bezhotovostního platebního styku </w:t>
      </w:r>
    </w:p>
    <w:p w:rsidR="004D132A" w:rsidRDefault="004D132A" w:rsidP="004D132A">
      <w:pPr>
        <w:numPr>
          <w:ilvl w:val="0"/>
          <w:numId w:val="1"/>
        </w:numPr>
      </w:pPr>
      <w:r>
        <w:t>Finanční arbitráž a arbitr</w:t>
      </w:r>
    </w:p>
    <w:p w:rsidR="004D132A" w:rsidRDefault="004D132A" w:rsidP="004D132A">
      <w:pPr>
        <w:numPr>
          <w:ilvl w:val="0"/>
          <w:numId w:val="1"/>
        </w:numPr>
      </w:pPr>
      <w:r>
        <w:t>Veřejné bankovní právo -</w:t>
      </w:r>
      <w:r w:rsidRPr="00B24E3F">
        <w:t xml:space="preserve"> </w:t>
      </w:r>
      <w:r>
        <w:t xml:space="preserve">centrální banka </w:t>
      </w:r>
    </w:p>
    <w:p w:rsidR="004D132A" w:rsidRDefault="004D132A" w:rsidP="004D132A">
      <w:pPr>
        <w:numPr>
          <w:ilvl w:val="0"/>
          <w:numId w:val="1"/>
        </w:numPr>
      </w:pPr>
      <w:r>
        <w:t>Veřejné bankovní právo – bankovní dohled</w:t>
      </w:r>
    </w:p>
    <w:p w:rsidR="004D132A" w:rsidRDefault="004D132A" w:rsidP="004D132A">
      <w:pPr>
        <w:numPr>
          <w:ilvl w:val="0"/>
          <w:numId w:val="1"/>
        </w:numPr>
      </w:pPr>
      <w:r>
        <w:t>Devizové právo</w:t>
      </w:r>
    </w:p>
    <w:p w:rsidR="004D132A" w:rsidRDefault="004D132A" w:rsidP="004D132A">
      <w:pPr>
        <w:numPr>
          <w:ilvl w:val="0"/>
          <w:numId w:val="1"/>
        </w:numPr>
      </w:pPr>
      <w:r>
        <w:t>Devizová správa</w:t>
      </w:r>
    </w:p>
    <w:p w:rsidR="004D132A" w:rsidRDefault="004D132A" w:rsidP="004D132A">
      <w:pPr>
        <w:numPr>
          <w:ilvl w:val="0"/>
          <w:numId w:val="1"/>
        </w:numPr>
      </w:pPr>
      <w:r>
        <w:t>Směnárenství</w:t>
      </w:r>
      <w:bookmarkStart w:id="0" w:name="_GoBack"/>
      <w:bookmarkEnd w:id="0"/>
    </w:p>
    <w:p w:rsidR="004D132A" w:rsidRDefault="004D132A" w:rsidP="004D132A">
      <w:pPr>
        <w:numPr>
          <w:ilvl w:val="0"/>
          <w:numId w:val="1"/>
        </w:numPr>
      </w:pPr>
      <w:r>
        <w:t>Pojišťovnické právo</w:t>
      </w:r>
    </w:p>
    <w:p w:rsidR="004D132A" w:rsidRDefault="004D132A" w:rsidP="004D132A">
      <w:pPr>
        <w:numPr>
          <w:ilvl w:val="0"/>
          <w:numId w:val="1"/>
        </w:numPr>
      </w:pPr>
      <w:r>
        <w:t xml:space="preserve">Zprostředkovatelské profese </w:t>
      </w:r>
    </w:p>
    <w:p w:rsidR="004D132A" w:rsidRDefault="004D132A" w:rsidP="004D132A">
      <w:pPr>
        <w:numPr>
          <w:ilvl w:val="0"/>
          <w:numId w:val="1"/>
        </w:numPr>
      </w:pPr>
      <w:r>
        <w:t>Právo kapitálového trhu</w:t>
      </w:r>
    </w:p>
    <w:p w:rsidR="004D132A" w:rsidRDefault="004D132A" w:rsidP="004D132A">
      <w:pPr>
        <w:numPr>
          <w:ilvl w:val="0"/>
          <w:numId w:val="1"/>
        </w:numPr>
      </w:pPr>
      <w:r>
        <w:t>Opatření proti legalizaci výnosů z trestné činnosti a financování terorizmu</w:t>
      </w:r>
    </w:p>
    <w:p w:rsidR="004D132A" w:rsidRDefault="004D132A" w:rsidP="004D132A">
      <w:pPr>
        <w:numPr>
          <w:ilvl w:val="0"/>
          <w:numId w:val="1"/>
        </w:numPr>
      </w:pPr>
      <w:r>
        <w:t xml:space="preserve">Puncovní právo </w:t>
      </w:r>
    </w:p>
    <w:p w:rsidR="004D132A" w:rsidRDefault="004D132A" w:rsidP="004D132A">
      <w:pPr>
        <w:ind w:left="360"/>
      </w:pPr>
    </w:p>
    <w:p w:rsidR="004D132A" w:rsidRDefault="004D132A" w:rsidP="004D132A">
      <w:pPr>
        <w:ind w:left="360"/>
        <w:rPr>
          <w:b/>
        </w:rPr>
      </w:pPr>
      <w:proofErr w:type="gramStart"/>
      <w:r>
        <w:rPr>
          <w:b/>
        </w:rPr>
        <w:t>ČÁST B  – Fiskální</w:t>
      </w:r>
      <w:proofErr w:type="gramEnd"/>
      <w:r>
        <w:rPr>
          <w:b/>
        </w:rPr>
        <w:t xml:space="preserve"> část</w:t>
      </w:r>
    </w:p>
    <w:p w:rsidR="004D132A" w:rsidRPr="004E6541" w:rsidRDefault="004D132A" w:rsidP="004D132A">
      <w:pPr>
        <w:ind w:left="360"/>
        <w:rPr>
          <w:b/>
        </w:rPr>
      </w:pPr>
    </w:p>
    <w:p w:rsidR="004D132A" w:rsidRPr="002F56A4" w:rsidRDefault="004D132A" w:rsidP="004D132A">
      <w:pPr>
        <w:pStyle w:val="Odstavecseseznamem"/>
        <w:numPr>
          <w:ilvl w:val="0"/>
          <w:numId w:val="1"/>
        </w:numPr>
      </w:pPr>
      <w:r w:rsidRPr="002F56A4">
        <w:t>Rozpočtové právo jako pod odvětví finančního práva, základní charakteristika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>Systém rozpočtového práva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>Pojem rozpočet, náhled na rozpočet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>Právní a ekonomická charakteristika rozpočtu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>Rozpočtová soustava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>Fiskální federalismus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>Prameny rozpočtového práva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>Subjekty rozpočtového práva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>Zásady rozpočtového práva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>Funkce rozpočtového práva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>Státní rozpočet-pojem, náhled hospodářský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lastRenderedPageBreak/>
        <w:t>Střednědobý výhled a střednědobý výdajový rámec státního rozpočtu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 xml:space="preserve">Rozpočty ÚSC – pojem, problematika vyrovnanosti rozpočtů 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>Rozpočtový výhled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>Vnitřní struktura státního rozpočtu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>Vnitřní struktura rozpočtů ÚSC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>Rozpočtový proces státního rozpočtu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>Rozpočtový proces rozpočtů ÚSC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>Problematika rozpočtového provizoria u státního rozpočtu a rozpočtů ÚSC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>Státní fondy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>Národní fond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>Peněžní fondy ÚSC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>Finanční kontrola státního rozpočtu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>Finanční kontrola rozpočtů ÚSC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Rozpočtová kázeň a p</w:t>
      </w:r>
      <w:r w:rsidRPr="0094288E">
        <w:rPr>
          <w:rFonts w:ascii="Times New Roman" w:hAnsi="Times New Roman"/>
          <w:sz w:val="24"/>
          <w:szCs w:val="24"/>
        </w:rPr>
        <w:t>orušení rozpočtové kázně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 xml:space="preserve">Správní delikty </w:t>
      </w:r>
      <w:r>
        <w:rPr>
          <w:rFonts w:ascii="Times New Roman" w:hAnsi="Times New Roman"/>
          <w:sz w:val="24"/>
          <w:szCs w:val="24"/>
        </w:rPr>
        <w:t>ve veřejných financích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>Hospodaření organizačních složek státu</w:t>
      </w:r>
    </w:p>
    <w:p w:rsidR="004D132A" w:rsidRPr="00134B9D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>Hospodaření příspěvkových organizací státu</w:t>
      </w:r>
    </w:p>
    <w:p w:rsidR="004D132A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288E">
        <w:rPr>
          <w:rFonts w:ascii="Times New Roman" w:hAnsi="Times New Roman"/>
          <w:sz w:val="24"/>
          <w:szCs w:val="24"/>
        </w:rPr>
        <w:t>Hospodaření dobrovolných svazků obcí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Samostatná a přenesená působnost ÚSC ve veřejné finanční činnosti</w:t>
      </w:r>
    </w:p>
    <w:p w:rsidR="004D132A" w:rsidRDefault="004D132A" w:rsidP="004D132A">
      <w:pPr>
        <w:ind w:left="360"/>
      </w:pPr>
    </w:p>
    <w:p w:rsidR="004D132A" w:rsidRDefault="004D132A" w:rsidP="004D132A">
      <w:pPr>
        <w:ind w:left="360"/>
        <w:rPr>
          <w:b/>
        </w:rPr>
      </w:pPr>
      <w:r>
        <w:rPr>
          <w:b/>
        </w:rPr>
        <w:t>ČÁST C – Berní právo</w:t>
      </w:r>
    </w:p>
    <w:p w:rsidR="004D132A" w:rsidRDefault="004D132A" w:rsidP="004D132A">
      <w:pPr>
        <w:ind w:left="360"/>
        <w:rPr>
          <w:b/>
        </w:rPr>
      </w:pPr>
    </w:p>
    <w:p w:rsidR="004D132A" w:rsidRDefault="004D132A" w:rsidP="004D132A"/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Berní právo jako odvětví práva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Právní a ekonomická charakteristika daně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Klasifikace daní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Důchodové daně – DPFO – zdanění závislé činnosti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Důchodové daně – DPFO – zdanění samostatné činnosti a nájmu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Důchodové daně – DPPO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Korekční prvky důchodových daní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Majetkové daně – zdanění pozemků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Majetkové daně – zdanění staveb a jednotek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Majetkové daně – transferové daně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Majetkové daně – daně z motorových vozidel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Všeobecná spotřební daň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Akcízy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Smlouvy o zamezení dvojího zdanění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Místní poplatky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Správní a soudní poplatky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Zvláštní dávky poplatkového charakteru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Celní právo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Správa daní, daňový proces a daňové řízení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Zásady správy daní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Osoby zúčastněné na správě daní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Berní správa - správce daně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Ochrana a poskytování informací ve správě daní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lastRenderedPageBreak/>
        <w:t>Dokumentace ve správě daní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Registrační řízení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Nalézací řízení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Placení daní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Opravné prostředky ve správě daní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Dozorčí prostředky ve správě daní</w:t>
      </w:r>
    </w:p>
    <w:p w:rsidR="004D132A" w:rsidRPr="0094288E" w:rsidRDefault="004D132A" w:rsidP="004D13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88E">
        <w:rPr>
          <w:rFonts w:ascii="Times New Roman" w:hAnsi="Times New Roman" w:cs="Times New Roman"/>
          <w:sz w:val="24"/>
          <w:szCs w:val="24"/>
        </w:rPr>
        <w:t>Soudní přezkum v berním právu</w:t>
      </w:r>
    </w:p>
    <w:p w:rsidR="004D132A" w:rsidRDefault="004D132A" w:rsidP="004D132A">
      <w:pPr>
        <w:ind w:left="360"/>
      </w:pPr>
    </w:p>
    <w:p w:rsidR="004D132A" w:rsidRDefault="004D132A" w:rsidP="004D132A">
      <w:pPr>
        <w:ind w:left="360"/>
      </w:pPr>
    </w:p>
    <w:p w:rsidR="004D132A" w:rsidRPr="00DE56DC" w:rsidRDefault="004D132A" w:rsidP="004D132A">
      <w:pPr>
        <w:pStyle w:val="Zklad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Prameny</w:t>
      </w:r>
    </w:p>
    <w:p w:rsidR="004D132A" w:rsidRDefault="004D132A" w:rsidP="004D132A">
      <w:pPr>
        <w:pStyle w:val="Nadpis1"/>
        <w:jc w:val="center"/>
        <w:rPr>
          <w:caps/>
          <w:color w:val="993366"/>
        </w:rPr>
      </w:pPr>
      <w:r>
        <w:rPr>
          <w:caps/>
          <w:color w:val="993366"/>
        </w:rPr>
        <w:t>finanční právo III</w:t>
      </w:r>
    </w:p>
    <w:p w:rsidR="004D132A" w:rsidRDefault="004D132A" w:rsidP="004D132A">
      <w:pPr>
        <w:ind w:left="360"/>
        <w:rPr>
          <w:b/>
        </w:rPr>
      </w:pPr>
    </w:p>
    <w:p w:rsidR="004D132A" w:rsidRDefault="004D132A" w:rsidP="004D132A">
      <w:pPr>
        <w:ind w:left="360"/>
        <w:rPr>
          <w:b/>
        </w:rPr>
      </w:pPr>
      <w:r>
        <w:rPr>
          <w:b/>
        </w:rPr>
        <w:t xml:space="preserve">Zdroje - zejména: </w:t>
      </w:r>
    </w:p>
    <w:p w:rsidR="004D132A" w:rsidRDefault="004D132A" w:rsidP="004D132A">
      <w:pPr>
        <w:numPr>
          <w:ilvl w:val="0"/>
          <w:numId w:val="2"/>
        </w:numPr>
      </w:pPr>
      <w:r w:rsidRPr="00B75019">
        <w:rPr>
          <w:b/>
        </w:rPr>
        <w:t>platné</w:t>
      </w:r>
      <w:r>
        <w:t xml:space="preserve"> právní p</w:t>
      </w:r>
      <w:r>
        <w:t>ředpisy (dle stavu k 1. 12. 2017</w:t>
      </w:r>
      <w:r>
        <w:t>)</w:t>
      </w:r>
    </w:p>
    <w:p w:rsidR="004D132A" w:rsidRDefault="004D132A" w:rsidP="004D132A">
      <w:pPr>
        <w:numPr>
          <w:ilvl w:val="0"/>
          <w:numId w:val="2"/>
        </w:numPr>
      </w:pPr>
      <w:r>
        <w:t xml:space="preserve">Janošíková, P., Mrkývka, P. a kol. Finanční a daňové právo. </w:t>
      </w:r>
      <w:r w:rsidRPr="004D132A">
        <w:rPr>
          <w:b/>
        </w:rPr>
        <w:t>2. vydání</w:t>
      </w:r>
      <w:r>
        <w:t xml:space="preserve">. Čeněk, Plzeň 2016 </w:t>
      </w:r>
    </w:p>
    <w:p w:rsidR="004D132A" w:rsidRDefault="004D132A" w:rsidP="004D132A">
      <w:pPr>
        <w:numPr>
          <w:ilvl w:val="0"/>
          <w:numId w:val="2"/>
        </w:numPr>
      </w:pPr>
      <w:r>
        <w:t>Mrkývka, P. Propedeutika finančního práva I – obecná část. MU, Brno 2015</w:t>
      </w:r>
    </w:p>
    <w:p w:rsidR="004D132A" w:rsidRDefault="004D132A" w:rsidP="004D132A">
      <w:pPr>
        <w:numPr>
          <w:ilvl w:val="0"/>
          <w:numId w:val="2"/>
        </w:numPr>
      </w:pPr>
      <w:r>
        <w:t>Radvan, M. Daně a správa daní. MU, Brno 2015</w:t>
      </w:r>
    </w:p>
    <w:p w:rsidR="004D132A" w:rsidRDefault="004D132A" w:rsidP="004D132A">
      <w:pPr>
        <w:numPr>
          <w:ilvl w:val="0"/>
          <w:numId w:val="2"/>
        </w:numPr>
      </w:pPr>
      <w:r>
        <w:t>Mrkývka, P., Pařízková, I., Tomášková, E. Veřejné finance a fiskální právo. MU, Brno 2014</w:t>
      </w:r>
    </w:p>
    <w:p w:rsidR="004D132A" w:rsidRDefault="004D132A" w:rsidP="004D132A">
      <w:pPr>
        <w:numPr>
          <w:ilvl w:val="0"/>
          <w:numId w:val="2"/>
        </w:numPr>
      </w:pPr>
      <w:r>
        <w:t xml:space="preserve">Kouba, S. Systém principů daňového práva.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ČR, Praha 2017</w:t>
      </w:r>
    </w:p>
    <w:p w:rsidR="004D132A" w:rsidRDefault="004D132A" w:rsidP="004D132A">
      <w:pPr>
        <w:ind w:left="720"/>
      </w:pPr>
    </w:p>
    <w:p w:rsidR="004D132A" w:rsidRDefault="004D132A" w:rsidP="004D132A">
      <w:pPr>
        <w:numPr>
          <w:ilvl w:val="0"/>
          <w:numId w:val="2"/>
        </w:numPr>
      </w:pPr>
      <w:r>
        <w:t>poznámky z přednášek a seminářů</w:t>
      </w:r>
    </w:p>
    <w:p w:rsidR="004D132A" w:rsidRDefault="004D132A" w:rsidP="004D132A">
      <w:pPr>
        <w:numPr>
          <w:ilvl w:val="0"/>
          <w:numId w:val="2"/>
        </w:numPr>
      </w:pPr>
      <w:r>
        <w:t xml:space="preserve">studijní materiály z IS MU </w:t>
      </w:r>
    </w:p>
    <w:p w:rsidR="004D132A" w:rsidRDefault="004D132A" w:rsidP="004D132A">
      <w:pPr>
        <w:ind w:left="360"/>
      </w:pPr>
    </w:p>
    <w:p w:rsidR="004D132A" w:rsidRPr="00D8678E" w:rsidRDefault="004D132A" w:rsidP="004D132A">
      <w:pPr>
        <w:ind w:left="360"/>
        <w:rPr>
          <w:b/>
        </w:rPr>
      </w:pPr>
      <w:r w:rsidRPr="00D8678E">
        <w:rPr>
          <w:b/>
        </w:rPr>
        <w:t xml:space="preserve">Doporučené </w:t>
      </w:r>
      <w:r>
        <w:rPr>
          <w:b/>
        </w:rPr>
        <w:t xml:space="preserve">internetové </w:t>
      </w:r>
      <w:r w:rsidRPr="00D8678E">
        <w:rPr>
          <w:b/>
        </w:rPr>
        <w:t>zdroje:</w:t>
      </w:r>
    </w:p>
    <w:p w:rsidR="004D132A" w:rsidRDefault="004D132A" w:rsidP="004D132A">
      <w:pPr>
        <w:numPr>
          <w:ilvl w:val="0"/>
          <w:numId w:val="2"/>
        </w:numPr>
      </w:pPr>
      <w:hyperlink r:id="rId5" w:history="1">
        <w:r w:rsidRPr="00A42913">
          <w:rPr>
            <w:rStyle w:val="Hypertextovodkaz"/>
          </w:rPr>
          <w:t>www.cnb.cz</w:t>
        </w:r>
      </w:hyperlink>
    </w:p>
    <w:p w:rsidR="004D132A" w:rsidRDefault="004D132A" w:rsidP="004D132A">
      <w:pPr>
        <w:numPr>
          <w:ilvl w:val="0"/>
          <w:numId w:val="2"/>
        </w:numPr>
      </w:pPr>
      <w:hyperlink r:id="rId6" w:history="1">
        <w:r w:rsidRPr="00A42913">
          <w:rPr>
            <w:rStyle w:val="Hypertextovodkaz"/>
          </w:rPr>
          <w:t>www.mfcr.cz</w:t>
        </w:r>
      </w:hyperlink>
    </w:p>
    <w:p w:rsidR="004D132A" w:rsidRDefault="004D132A" w:rsidP="004D132A">
      <w:pPr>
        <w:numPr>
          <w:ilvl w:val="0"/>
          <w:numId w:val="2"/>
        </w:numPr>
      </w:pPr>
      <w:hyperlink r:id="rId7" w:history="1">
        <w:r w:rsidRPr="00A42913">
          <w:rPr>
            <w:rStyle w:val="Hypertextovodkaz"/>
          </w:rPr>
          <w:t>www.finarbitr.cz</w:t>
        </w:r>
      </w:hyperlink>
    </w:p>
    <w:p w:rsidR="004D132A" w:rsidRDefault="004D132A" w:rsidP="004D132A">
      <w:pPr>
        <w:numPr>
          <w:ilvl w:val="0"/>
          <w:numId w:val="2"/>
        </w:numPr>
      </w:pPr>
      <w:hyperlink r:id="rId8" w:history="1">
        <w:r w:rsidRPr="00A42913">
          <w:rPr>
            <w:rStyle w:val="Hypertextovodkaz"/>
          </w:rPr>
          <w:t>www.cs.mfcr.cz/cmsgrc/</w:t>
        </w:r>
      </w:hyperlink>
    </w:p>
    <w:p w:rsidR="004D132A" w:rsidRDefault="004D132A" w:rsidP="004D132A">
      <w:pPr>
        <w:ind w:left="360"/>
      </w:pPr>
    </w:p>
    <w:p w:rsidR="004D132A" w:rsidRDefault="004D132A" w:rsidP="004D132A">
      <w:pPr>
        <w:ind w:left="360"/>
      </w:pPr>
    </w:p>
    <w:p w:rsidR="004D132A" w:rsidRPr="004E6541" w:rsidRDefault="004D132A" w:rsidP="004D132A"/>
    <w:p w:rsidR="004D132A" w:rsidRPr="00DE56DC" w:rsidRDefault="004D132A" w:rsidP="004D132A">
      <w:pPr>
        <w:pStyle w:val="Zklad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Podmínky zkoušky</w:t>
      </w:r>
    </w:p>
    <w:p w:rsidR="004D132A" w:rsidRDefault="004D132A" w:rsidP="004D132A">
      <w:pPr>
        <w:pStyle w:val="Nadpis1"/>
        <w:jc w:val="center"/>
        <w:rPr>
          <w:caps/>
          <w:color w:val="993366"/>
        </w:rPr>
      </w:pPr>
      <w:r>
        <w:rPr>
          <w:caps/>
          <w:color w:val="993366"/>
        </w:rPr>
        <w:t>finanční právo III</w:t>
      </w:r>
    </w:p>
    <w:p w:rsidR="004D132A" w:rsidRDefault="004D132A" w:rsidP="004D132A"/>
    <w:p w:rsidR="004D132A" w:rsidRDefault="004D132A" w:rsidP="004D132A">
      <w:proofErr w:type="gramStart"/>
      <w:r w:rsidRPr="00360097">
        <w:rPr>
          <w:b/>
        </w:rPr>
        <w:t>Forma</w:t>
      </w:r>
      <w:r>
        <w:t>:  písemná</w:t>
      </w:r>
      <w:proofErr w:type="gramEnd"/>
      <w:r>
        <w:t xml:space="preserve"> + ústní</w:t>
      </w:r>
    </w:p>
    <w:p w:rsidR="004D132A" w:rsidRDefault="004D132A" w:rsidP="004D132A">
      <w:pPr>
        <w:rPr>
          <w:b/>
        </w:rPr>
      </w:pPr>
    </w:p>
    <w:p w:rsidR="004D132A" w:rsidRDefault="004D132A" w:rsidP="004D132A">
      <w:r w:rsidRPr="00360097">
        <w:rPr>
          <w:b/>
        </w:rPr>
        <w:t>Konstrukce</w:t>
      </w:r>
      <w:r>
        <w:t>: písemná část (kombinace otázek testových a odpovídacích), jejíž úspěšné absolvování je podmínkou připuštění k ústní části; zkouška je v rozsahu výše uvedených okruhů A+B+C, ústní bez přípravy odpovědi na zadané otázky</w:t>
      </w:r>
    </w:p>
    <w:p w:rsidR="004D132A" w:rsidRDefault="004D132A" w:rsidP="004D132A">
      <w:r w:rsidRPr="00360097">
        <w:rPr>
          <w:b/>
        </w:rPr>
        <w:t>Předpisy</w:t>
      </w:r>
      <w:r>
        <w:t xml:space="preserve">: u zkoušky </w:t>
      </w:r>
      <w:proofErr w:type="spellStart"/>
      <w:r>
        <w:t>přípustny</w:t>
      </w:r>
      <w:proofErr w:type="spellEnd"/>
      <w:r>
        <w:t xml:space="preserve"> pouze nekomentované, elektronická forma předpisů je zakázána</w:t>
      </w:r>
    </w:p>
    <w:p w:rsidR="004D132A" w:rsidRPr="007C2216" w:rsidRDefault="004D132A" w:rsidP="004D132A">
      <w:pPr>
        <w:pStyle w:val="Zkladntext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Termíny</w:t>
      </w:r>
      <w:r w:rsidRPr="007C2216">
        <w:rPr>
          <w:rFonts w:ascii="Times New Roman" w:hAnsi="Times New Roman"/>
          <w:b w:val="0"/>
          <w:sz w:val="24"/>
          <w:szCs w:val="24"/>
        </w:rPr>
        <w:t xml:space="preserve">: </w:t>
      </w:r>
      <w:r>
        <w:rPr>
          <w:rFonts w:ascii="Times New Roman" w:hAnsi="Times New Roman"/>
          <w:b w:val="0"/>
          <w:sz w:val="24"/>
          <w:szCs w:val="24"/>
        </w:rPr>
        <w:t>každý z vyučujících předmětu vypíše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ISu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své zkušební termíny, na které </w:t>
      </w:r>
      <w:proofErr w:type="gramStart"/>
      <w:r>
        <w:rPr>
          <w:rFonts w:ascii="Times New Roman" w:hAnsi="Times New Roman"/>
          <w:b w:val="0"/>
          <w:sz w:val="24"/>
          <w:szCs w:val="24"/>
        </w:rPr>
        <w:t>se  následně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studenti přihlašují přes IS. Je třeba věnovat pozornost datům, do kdy se přihlásit/odhlásit, a časům ústní části zkoušky, které jsou uvedeny u každého termínu.</w:t>
      </w:r>
    </w:p>
    <w:p w:rsidR="004D132A" w:rsidRPr="007C2216" w:rsidRDefault="004D132A" w:rsidP="004D132A">
      <w:pPr>
        <w:rPr>
          <w:b/>
        </w:rPr>
      </w:pPr>
    </w:p>
    <w:sectPr w:rsidR="004D132A" w:rsidRPr="007C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32424"/>
    <w:multiLevelType w:val="hybridMultilevel"/>
    <w:tmpl w:val="CF8A8D42"/>
    <w:lvl w:ilvl="0" w:tplc="F42E0B96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B25DE"/>
    <w:multiLevelType w:val="hybridMultilevel"/>
    <w:tmpl w:val="88A816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2A"/>
    <w:rsid w:val="004D132A"/>
    <w:rsid w:val="00B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C797"/>
  <w15:chartTrackingRefBased/>
  <w15:docId w15:val="{CCCE08E4-E888-48EA-BB64-874DAB05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D132A"/>
    <w:pPr>
      <w:keepNext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132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D132A"/>
    <w:pPr>
      <w:jc w:val="center"/>
    </w:pPr>
    <w:rPr>
      <w:rFonts w:ascii="Arial" w:hAnsi="Arial"/>
      <w:b/>
      <w:sz w:val="36"/>
      <w:szCs w:val="20"/>
    </w:rPr>
  </w:style>
  <w:style w:type="character" w:customStyle="1" w:styleId="ZkladntextChar">
    <w:name w:val="Základní text Char"/>
    <w:basedOn w:val="Standardnpsmoodstavce"/>
    <w:link w:val="Zkladntext"/>
    <w:rsid w:val="004D132A"/>
    <w:rPr>
      <w:rFonts w:ascii="Arial" w:eastAsia="Times New Roman" w:hAnsi="Arial" w:cs="Times New Roman"/>
      <w:b/>
      <w:sz w:val="36"/>
      <w:szCs w:val="20"/>
      <w:lang w:eastAsia="cs-CZ"/>
    </w:rPr>
  </w:style>
  <w:style w:type="character" w:styleId="Hypertextovodkaz">
    <w:name w:val="Hyperlink"/>
    <w:basedOn w:val="Standardnpsmoodstavce"/>
    <w:rsid w:val="004D132A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4D13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mfcr.cz/cmsgr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narbit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r.cz" TargetMode="External"/><Relationship Id="rId5" Type="http://schemas.openxmlformats.org/officeDocument/2006/relationships/hyperlink" Target="http://www.cnb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665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Mrkývka</dc:creator>
  <cp:keywords/>
  <dc:description/>
  <cp:lastModifiedBy>Petr Mrkývka</cp:lastModifiedBy>
  <cp:revision>1</cp:revision>
  <dcterms:created xsi:type="dcterms:W3CDTF">2017-12-06T09:38:00Z</dcterms:created>
  <dcterms:modified xsi:type="dcterms:W3CDTF">2017-12-06T09:48:00Z</dcterms:modified>
</cp:coreProperties>
</file>