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2C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</w:p>
    <w:p w:rsidR="0080782C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</w:p>
    <w:p w:rsidR="0080782C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</w:p>
    <w:p w:rsidR="0080782C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</w:p>
    <w:p w:rsidR="0080782C" w:rsidRPr="00E23980" w:rsidRDefault="0080782C" w:rsidP="0080782C">
      <w:pPr>
        <w:pStyle w:val="Nadpis8"/>
        <w:spacing w:before="80" w:after="80"/>
        <w:rPr>
          <w:rFonts w:ascii="Syntax LT CE Black" w:hAnsi="Syntax LT CE Black"/>
          <w:b/>
          <w:i/>
          <w:sz w:val="22"/>
          <w:szCs w:val="22"/>
        </w:rPr>
      </w:pPr>
      <w:r w:rsidRPr="00E23980">
        <w:rPr>
          <w:rFonts w:ascii="Syntax LT CE Black" w:hAnsi="Syntax LT CE Black"/>
          <w:b/>
          <w:i/>
          <w:sz w:val="22"/>
          <w:szCs w:val="22"/>
        </w:rPr>
        <w:sym w:font="Wingdings" w:char="F0F0"/>
      </w:r>
      <w:r w:rsidRPr="00E23980">
        <w:rPr>
          <w:rFonts w:ascii="Syntax LT CE Black" w:hAnsi="Syntax LT CE Black"/>
          <w:b/>
          <w:i/>
          <w:sz w:val="22"/>
          <w:szCs w:val="22"/>
        </w:rPr>
        <w:t xml:space="preserve"> Magisterský studijní program „Právo a právní věda“,</w:t>
      </w:r>
      <w:r>
        <w:rPr>
          <w:rFonts w:ascii="Syntax LT CE Black" w:hAnsi="Syntax LT CE Black"/>
          <w:b/>
          <w:i/>
          <w:sz w:val="22"/>
          <w:szCs w:val="22"/>
        </w:rPr>
        <w:t xml:space="preserve"> p</w:t>
      </w:r>
      <w:r w:rsidRPr="00E23980">
        <w:rPr>
          <w:rFonts w:ascii="Syntax LT CE Black" w:hAnsi="Syntax LT CE Black"/>
          <w:b/>
          <w:i/>
          <w:sz w:val="22"/>
          <w:szCs w:val="22"/>
        </w:rPr>
        <w:t>o</w:t>
      </w:r>
      <w:r>
        <w:rPr>
          <w:rFonts w:ascii="Syntax LT CE Black" w:hAnsi="Syntax LT CE Black"/>
          <w:b/>
          <w:i/>
          <w:sz w:val="22"/>
          <w:szCs w:val="22"/>
        </w:rPr>
        <w:t>dzim</w:t>
      </w:r>
      <w:r w:rsidRPr="00E23980">
        <w:rPr>
          <w:rFonts w:ascii="Syntax LT CE Black" w:hAnsi="Syntax LT CE Black"/>
          <w:b/>
          <w:i/>
          <w:sz w:val="22"/>
          <w:szCs w:val="22"/>
        </w:rPr>
        <w:t xml:space="preserve"> 20</w:t>
      </w:r>
      <w:r>
        <w:rPr>
          <w:rFonts w:ascii="Syntax LT CE Black" w:hAnsi="Syntax LT CE Black"/>
          <w:b/>
          <w:i/>
          <w:sz w:val="22"/>
          <w:szCs w:val="22"/>
        </w:rPr>
        <w:t>1</w:t>
      </w:r>
      <w:r w:rsidR="00D0312B">
        <w:rPr>
          <w:rFonts w:ascii="Syntax LT CE Black" w:hAnsi="Syntax LT CE Black"/>
          <w:b/>
          <w:i/>
          <w:sz w:val="22"/>
          <w:szCs w:val="22"/>
        </w:rPr>
        <w:t>8</w:t>
      </w:r>
      <w:r w:rsidRPr="00E23980">
        <w:rPr>
          <w:rFonts w:ascii="Syntax LT CE Black" w:hAnsi="Syntax LT CE Black"/>
          <w:b/>
          <w:i/>
          <w:sz w:val="22"/>
          <w:szCs w:val="22"/>
        </w:rPr>
        <w:t xml:space="preserve">, </w:t>
      </w:r>
      <w:r>
        <w:rPr>
          <w:rFonts w:ascii="Syntax LT CE Black" w:hAnsi="Syntax LT CE Black"/>
          <w:b/>
          <w:i/>
          <w:sz w:val="22"/>
          <w:szCs w:val="22"/>
        </w:rPr>
        <w:t>9</w:t>
      </w:r>
      <w:r w:rsidRPr="00E23980">
        <w:rPr>
          <w:rFonts w:ascii="Syntax LT CE Black" w:hAnsi="Syntax LT CE Black"/>
          <w:b/>
          <w:i/>
          <w:sz w:val="22"/>
          <w:szCs w:val="22"/>
        </w:rPr>
        <w:t xml:space="preserve">. semestr </w:t>
      </w:r>
      <w:r w:rsidRPr="00E23980">
        <w:rPr>
          <w:rFonts w:ascii="Syntax LT CE Black" w:hAnsi="Syntax LT CE Black"/>
          <w:b/>
          <w:i/>
          <w:sz w:val="22"/>
          <w:szCs w:val="22"/>
        </w:rPr>
        <w:sym w:font="Wingdings" w:char="F0EF"/>
      </w:r>
    </w:p>
    <w:p w:rsidR="0080782C" w:rsidRPr="00E23980" w:rsidRDefault="0080782C" w:rsidP="0080782C">
      <w:pPr>
        <w:spacing w:before="80" w:after="80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 w:rsidRPr="00FA24F5">
        <w:rPr>
          <w:rFonts w:ascii="Syntax LT CE Black" w:hAnsi="Syntax LT CE Black"/>
          <w:sz w:val="40"/>
          <w:szCs w:val="40"/>
          <w:u w:val="single"/>
        </w:rPr>
        <w:t>M</w:t>
      </w:r>
      <w:r>
        <w:rPr>
          <w:rFonts w:ascii="Syntax LT CE Black" w:hAnsi="Syntax LT CE Black"/>
          <w:sz w:val="40"/>
          <w:szCs w:val="40"/>
          <w:u w:val="single"/>
        </w:rPr>
        <w:t>V925K</w:t>
      </w:r>
      <w:r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proofErr w:type="spellStart"/>
      <w:r w:rsidRPr="00FE10F6">
        <w:rPr>
          <w:rFonts w:ascii="Syntax LT CE Black" w:hAnsi="Syntax LT CE Black"/>
          <w:b/>
          <w:sz w:val="40"/>
          <w:szCs w:val="40"/>
          <w:u w:val="single"/>
        </w:rPr>
        <w:t>Právotvorba</w:t>
      </w:r>
      <w:proofErr w:type="spellEnd"/>
      <w:r w:rsidRPr="00FE10F6">
        <w:rPr>
          <w:rFonts w:ascii="Syntax LT CE Black" w:hAnsi="Syntax LT CE Black"/>
          <w:b/>
          <w:sz w:val="40"/>
          <w:szCs w:val="40"/>
          <w:u w:val="single"/>
        </w:rPr>
        <w:t xml:space="preserve"> územní samosprávy</w:t>
      </w:r>
    </w:p>
    <w:p w:rsidR="0080782C" w:rsidRPr="00E23980" w:rsidRDefault="0080782C" w:rsidP="0080782C">
      <w:pPr>
        <w:spacing w:before="80" w:after="80"/>
        <w:jc w:val="center"/>
        <w:rPr>
          <w:rFonts w:ascii="Syntax LT CE Black" w:hAnsi="Syntax LT CE Black"/>
          <w:b/>
        </w:rPr>
      </w:pPr>
      <w:bookmarkStart w:id="0" w:name="_GoBack"/>
      <w:bookmarkEnd w:id="0"/>
      <w:r w:rsidRPr="00E23980">
        <w:rPr>
          <w:rFonts w:ascii="Syntax LT CE Black" w:hAnsi="Syntax LT CE Black"/>
        </w:rPr>
        <w:t>Garant</w:t>
      </w:r>
      <w:r>
        <w:rPr>
          <w:rFonts w:ascii="Syntax LT CE Black" w:hAnsi="Syntax LT CE Black"/>
        </w:rPr>
        <w:t xml:space="preserve"> a vyučující</w:t>
      </w:r>
      <w:r w:rsidRPr="00E23980">
        <w:rPr>
          <w:rFonts w:ascii="Syntax LT CE Black" w:hAnsi="Syntax LT CE Black"/>
        </w:rPr>
        <w:t xml:space="preserve">: </w:t>
      </w:r>
      <w:r w:rsidRPr="00E23980">
        <w:rPr>
          <w:rFonts w:ascii="Syntax LT CE Black" w:hAnsi="Syntax LT CE Black"/>
          <w:b/>
        </w:rPr>
        <w:t>JUDr. S</w:t>
      </w:r>
      <w:r>
        <w:rPr>
          <w:rFonts w:ascii="Syntax LT CE Black" w:hAnsi="Syntax LT CE Black"/>
          <w:b/>
        </w:rPr>
        <w:t>tanislav KADEČKA</w:t>
      </w:r>
      <w:r w:rsidRPr="00E23980">
        <w:rPr>
          <w:rFonts w:ascii="Syntax LT CE Black" w:hAnsi="Syntax LT CE Black"/>
          <w:b/>
        </w:rPr>
        <w:t>, Ph.D.</w:t>
      </w:r>
    </w:p>
    <w:p w:rsidR="0080782C" w:rsidRPr="00D0312B" w:rsidRDefault="0080782C" w:rsidP="0080782C">
      <w:pPr>
        <w:pStyle w:val="Nzev"/>
        <w:spacing w:before="80" w:after="80"/>
        <w:rPr>
          <w:rFonts w:ascii="Syntax LT CE" w:hAnsi="Syntax LT CE" w:hint="eastAsia"/>
          <w:b/>
          <w:spacing w:val="30"/>
          <w:u w:val="single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80782C" w:rsidRPr="0080782C" w:rsidTr="0080782C">
        <w:tc>
          <w:tcPr>
            <w:tcW w:w="1242" w:type="dxa"/>
          </w:tcPr>
          <w:p w:rsidR="0080782C" w:rsidRPr="0080782C" w:rsidRDefault="0080782C" w:rsidP="00F41FA9">
            <w:pPr>
              <w:pStyle w:val="Zkladntext"/>
              <w:spacing w:before="80" w:after="80"/>
              <w:rPr>
                <w:rFonts w:ascii="Syntax LT CE" w:hAnsi="Syntax LT CE"/>
                <w:sz w:val="22"/>
                <w:szCs w:val="22"/>
              </w:rPr>
            </w:pPr>
            <w:r w:rsidRPr="0080782C">
              <w:rPr>
                <w:rFonts w:ascii="Syntax LT CE" w:hAnsi="Syntax LT CE"/>
                <w:b/>
                <w:sz w:val="22"/>
                <w:szCs w:val="22"/>
                <w:u w:val="single"/>
              </w:rPr>
              <w:t>Rozsah předmětu:</w:t>
            </w:r>
          </w:p>
        </w:tc>
        <w:tc>
          <w:tcPr>
            <w:tcW w:w="8364" w:type="dxa"/>
          </w:tcPr>
          <w:p w:rsidR="0080782C" w:rsidRPr="0080782C" w:rsidRDefault="0080782C" w:rsidP="00F41FA9">
            <w:pPr>
              <w:pStyle w:val="Zkladntext"/>
              <w:spacing w:before="80" w:after="80"/>
              <w:rPr>
                <w:rFonts w:ascii="Syntax LT CE" w:hAnsi="Syntax LT CE"/>
                <w:sz w:val="22"/>
                <w:szCs w:val="22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>1/1 (dvouhodinová přednáška + seminář každé liché úterý)</w:t>
            </w:r>
          </w:p>
        </w:tc>
      </w:tr>
      <w:tr w:rsidR="0080782C" w:rsidRPr="0080782C" w:rsidTr="0080782C">
        <w:tc>
          <w:tcPr>
            <w:tcW w:w="1242" w:type="dxa"/>
          </w:tcPr>
          <w:p w:rsidR="0080782C" w:rsidRPr="0080782C" w:rsidRDefault="0080782C" w:rsidP="00F41FA9">
            <w:pPr>
              <w:spacing w:before="80" w:after="80"/>
              <w:jc w:val="both"/>
              <w:rPr>
                <w:rFonts w:ascii="Syntax LT CE" w:hAnsi="Syntax LT CE"/>
                <w:b/>
              </w:rPr>
            </w:pPr>
            <w:r w:rsidRPr="0080782C">
              <w:rPr>
                <w:rFonts w:ascii="Syntax LT CE" w:hAnsi="Syntax LT CE"/>
                <w:b/>
                <w:sz w:val="22"/>
                <w:szCs w:val="22"/>
                <w:u w:val="single"/>
              </w:rPr>
              <w:t>Ukončení:</w:t>
            </w:r>
          </w:p>
        </w:tc>
        <w:tc>
          <w:tcPr>
            <w:tcW w:w="8364" w:type="dxa"/>
          </w:tcPr>
          <w:p w:rsidR="0080782C" w:rsidRPr="0080782C" w:rsidRDefault="001B30EC" w:rsidP="00F41FA9">
            <w:pPr>
              <w:spacing w:before="80" w:after="80"/>
              <w:jc w:val="both"/>
              <w:rPr>
                <w:rFonts w:ascii="Syntax LT CE" w:hAnsi="Syntax LT CE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>K</w:t>
            </w:r>
            <w:r w:rsidR="0080782C" w:rsidRPr="0080782C">
              <w:rPr>
                <w:rFonts w:ascii="Syntax LT CE" w:hAnsi="Syntax LT CE"/>
                <w:sz w:val="22"/>
                <w:szCs w:val="22"/>
              </w:rPr>
              <w:t>olokvium</w:t>
            </w:r>
          </w:p>
        </w:tc>
      </w:tr>
      <w:tr w:rsidR="0080782C" w:rsidRPr="0080782C" w:rsidTr="0080782C">
        <w:tc>
          <w:tcPr>
            <w:tcW w:w="1242" w:type="dxa"/>
          </w:tcPr>
          <w:p w:rsidR="0080782C" w:rsidRPr="0080782C" w:rsidRDefault="0080782C" w:rsidP="00F41FA9">
            <w:pPr>
              <w:spacing w:before="80" w:after="80"/>
              <w:jc w:val="both"/>
              <w:rPr>
                <w:rFonts w:ascii="Syntax LT CE" w:hAnsi="Syntax LT CE"/>
              </w:rPr>
            </w:pPr>
            <w:r w:rsidRPr="0080782C">
              <w:rPr>
                <w:rFonts w:ascii="Syntax LT CE" w:hAnsi="Syntax LT CE"/>
                <w:b/>
                <w:sz w:val="22"/>
                <w:szCs w:val="22"/>
                <w:u w:val="single"/>
              </w:rPr>
              <w:t>Anotace:</w:t>
            </w:r>
          </w:p>
        </w:tc>
        <w:tc>
          <w:tcPr>
            <w:tcW w:w="8364" w:type="dxa"/>
          </w:tcPr>
          <w:p w:rsidR="001B30EC" w:rsidRDefault="0080782C" w:rsidP="00F41FA9">
            <w:pPr>
              <w:spacing w:before="80" w:after="80"/>
              <w:jc w:val="both"/>
              <w:rPr>
                <w:rFonts w:ascii="Syntax LT CE" w:hAnsi="Syntax LT CE"/>
                <w:sz w:val="22"/>
                <w:szCs w:val="22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 xml:space="preserve">Předmět seznamuje posluchače s právní úpravou </w:t>
            </w:r>
            <w:proofErr w:type="spellStart"/>
            <w:r w:rsidRPr="0080782C">
              <w:rPr>
                <w:rFonts w:ascii="Syntax LT CE" w:hAnsi="Syntax LT CE"/>
                <w:sz w:val="22"/>
                <w:szCs w:val="22"/>
              </w:rPr>
              <w:t>právotvorby</w:t>
            </w:r>
            <w:proofErr w:type="spellEnd"/>
            <w:r w:rsidRPr="0080782C">
              <w:rPr>
                <w:rFonts w:ascii="Syntax LT CE" w:hAnsi="Syntax LT CE"/>
                <w:sz w:val="22"/>
                <w:szCs w:val="22"/>
              </w:rPr>
              <w:t xml:space="preserve"> obcí a krajů jako jednotek územní samosprávy (tedy s tzv. místním a regionálním právem), jejími historickými východisky i právní úpravou v okolních evropských státech. </w:t>
            </w:r>
          </w:p>
          <w:p w:rsidR="0080782C" w:rsidRPr="0080782C" w:rsidRDefault="0080782C" w:rsidP="00F41FA9">
            <w:pPr>
              <w:spacing w:before="80" w:after="80"/>
              <w:jc w:val="both"/>
              <w:rPr>
                <w:rFonts w:ascii="Syntax LT CE" w:hAnsi="Syntax LT CE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 xml:space="preserve">Zvláštní pozornost je věnována aktuálním problémům veřejnosprávní praxe, dopadu posledních novel obecního a krajského zřízení na </w:t>
            </w:r>
            <w:proofErr w:type="spellStart"/>
            <w:r w:rsidRPr="0080782C">
              <w:rPr>
                <w:rFonts w:ascii="Syntax LT CE" w:hAnsi="Syntax LT CE"/>
                <w:sz w:val="22"/>
                <w:szCs w:val="22"/>
              </w:rPr>
              <w:t>právotvorbu</w:t>
            </w:r>
            <w:proofErr w:type="spellEnd"/>
            <w:r w:rsidRPr="0080782C">
              <w:rPr>
                <w:rFonts w:ascii="Syntax LT CE" w:hAnsi="Syntax LT CE"/>
                <w:sz w:val="22"/>
                <w:szCs w:val="22"/>
              </w:rPr>
              <w:t xml:space="preserve"> územní samosprávy, legislativním novinkám dotýkajícím se </w:t>
            </w:r>
            <w:proofErr w:type="spellStart"/>
            <w:r w:rsidRPr="0080782C">
              <w:rPr>
                <w:rFonts w:ascii="Syntax LT CE" w:hAnsi="Syntax LT CE"/>
                <w:sz w:val="22"/>
                <w:szCs w:val="22"/>
              </w:rPr>
              <w:t>právotvorby</w:t>
            </w:r>
            <w:proofErr w:type="spellEnd"/>
            <w:r w:rsidRPr="0080782C">
              <w:rPr>
                <w:rFonts w:ascii="Syntax LT CE" w:hAnsi="Syntax LT CE"/>
                <w:sz w:val="22"/>
                <w:szCs w:val="22"/>
              </w:rPr>
              <w:t xml:space="preserve"> územní samosprávy, jakož i judikatuře Ústavního soudu.</w:t>
            </w:r>
          </w:p>
        </w:tc>
      </w:tr>
      <w:tr w:rsidR="0080782C" w:rsidRPr="0080782C" w:rsidTr="0080782C">
        <w:tc>
          <w:tcPr>
            <w:tcW w:w="1242" w:type="dxa"/>
          </w:tcPr>
          <w:p w:rsidR="0080782C" w:rsidRPr="0080782C" w:rsidRDefault="0080782C" w:rsidP="00F41FA9">
            <w:pPr>
              <w:spacing w:before="80" w:after="80"/>
              <w:jc w:val="both"/>
              <w:rPr>
                <w:rFonts w:ascii="Syntax LT CE" w:hAnsi="Syntax LT CE"/>
              </w:rPr>
            </w:pPr>
            <w:r w:rsidRPr="0080782C">
              <w:rPr>
                <w:rFonts w:ascii="Syntax LT CE" w:hAnsi="Syntax LT CE"/>
                <w:b/>
                <w:sz w:val="22"/>
                <w:szCs w:val="22"/>
                <w:u w:val="single"/>
              </w:rPr>
              <w:t>Cíl:</w:t>
            </w:r>
          </w:p>
        </w:tc>
        <w:tc>
          <w:tcPr>
            <w:tcW w:w="8364" w:type="dxa"/>
          </w:tcPr>
          <w:p w:rsidR="001B30EC" w:rsidRDefault="0080782C" w:rsidP="00F41FA9">
            <w:pPr>
              <w:spacing w:before="80" w:after="80"/>
              <w:jc w:val="both"/>
              <w:rPr>
                <w:rFonts w:ascii="Syntax LT CE" w:hAnsi="Syntax LT CE"/>
                <w:sz w:val="22"/>
                <w:szCs w:val="22"/>
              </w:rPr>
            </w:pPr>
            <w:r w:rsidRPr="0080782C">
              <w:rPr>
                <w:rFonts w:ascii="Syntax LT CE" w:hAnsi="Syntax LT CE"/>
                <w:sz w:val="22"/>
                <w:szCs w:val="22"/>
              </w:rPr>
              <w:t>Student po úspěšném absolvování předmětu:</w:t>
            </w:r>
          </w:p>
          <w:p w:rsidR="001B30EC" w:rsidRDefault="0080782C" w:rsidP="001B30EC">
            <w:pPr>
              <w:pStyle w:val="Odstavecseseznamem"/>
              <w:numPr>
                <w:ilvl w:val="0"/>
                <w:numId w:val="3"/>
              </w:numPr>
              <w:spacing w:before="80" w:after="80"/>
              <w:ind w:left="487"/>
              <w:jc w:val="both"/>
              <w:rPr>
                <w:rFonts w:ascii="Syntax LT CE" w:hAnsi="Syntax LT CE"/>
              </w:rPr>
            </w:pPr>
            <w:r w:rsidRPr="001B30EC">
              <w:rPr>
                <w:rFonts w:ascii="Syntax LT CE" w:hAnsi="Syntax LT CE"/>
              </w:rPr>
              <w:t xml:space="preserve">zná základní teoretické a praktické poznatky z oblasti </w:t>
            </w:r>
            <w:proofErr w:type="spellStart"/>
            <w:r w:rsidRPr="001B30EC">
              <w:rPr>
                <w:rFonts w:ascii="Syntax LT CE" w:hAnsi="Syntax LT CE"/>
              </w:rPr>
              <w:t>právotvorby</w:t>
            </w:r>
            <w:proofErr w:type="spellEnd"/>
            <w:r w:rsidRPr="001B30EC">
              <w:rPr>
                <w:rFonts w:ascii="Syntax LT CE" w:hAnsi="Syntax LT CE"/>
              </w:rPr>
              <w:t xml:space="preserve"> obcí a krajů jako jednotek územní samosprávy (tedy tzv. místního a regionálního práva), její historická východiska i právní úpravu v okolních evropských státech; </w:t>
            </w:r>
          </w:p>
          <w:p w:rsidR="001B30EC" w:rsidRDefault="0080782C" w:rsidP="001B30EC">
            <w:pPr>
              <w:pStyle w:val="Odstavecseseznamem"/>
              <w:numPr>
                <w:ilvl w:val="0"/>
                <w:numId w:val="3"/>
              </w:numPr>
              <w:spacing w:before="80" w:after="80"/>
              <w:ind w:left="487"/>
              <w:jc w:val="both"/>
              <w:rPr>
                <w:rFonts w:ascii="Syntax LT CE" w:hAnsi="Syntax LT CE"/>
              </w:rPr>
            </w:pPr>
            <w:r w:rsidRPr="001B30EC">
              <w:rPr>
                <w:rFonts w:ascii="Syntax LT CE" w:hAnsi="Syntax LT CE"/>
              </w:rPr>
              <w:t xml:space="preserve">je schopen porozumět a vysvětlit souvislosti a vztahy mezi národním, regionálním a místním právem; dovede vhodně aplikovat právní předpisy na různé příklady z praxe a umí navrhnout řešení jednotlivých konkrétních případových studií; </w:t>
            </w:r>
          </w:p>
          <w:p w:rsidR="001B30EC" w:rsidRDefault="0080782C" w:rsidP="001B30EC">
            <w:pPr>
              <w:pStyle w:val="Odstavecseseznamem"/>
              <w:numPr>
                <w:ilvl w:val="0"/>
                <w:numId w:val="3"/>
              </w:numPr>
              <w:spacing w:before="80" w:after="80"/>
              <w:ind w:left="487"/>
              <w:jc w:val="both"/>
              <w:rPr>
                <w:rFonts w:ascii="Syntax LT CE" w:hAnsi="Syntax LT CE"/>
              </w:rPr>
            </w:pPr>
            <w:r w:rsidRPr="001B30EC">
              <w:rPr>
                <w:rFonts w:ascii="Syntax LT CE" w:hAnsi="Syntax LT CE"/>
              </w:rPr>
              <w:t>umí na základě teoretických poznatků navrhnout jednoduchý místní/regionální práv</w:t>
            </w:r>
            <w:r w:rsidR="001B30EC">
              <w:rPr>
                <w:rFonts w:ascii="Syntax LT CE" w:hAnsi="Syntax LT CE"/>
              </w:rPr>
              <w:t>ní předpis;</w:t>
            </w:r>
          </w:p>
          <w:p w:rsidR="0080782C" w:rsidRPr="001B30EC" w:rsidRDefault="0080782C" w:rsidP="001B30EC">
            <w:pPr>
              <w:pStyle w:val="Odstavecseseznamem"/>
              <w:numPr>
                <w:ilvl w:val="0"/>
                <w:numId w:val="3"/>
              </w:numPr>
              <w:spacing w:before="80" w:after="80"/>
              <w:ind w:left="487"/>
              <w:jc w:val="both"/>
              <w:rPr>
                <w:rFonts w:ascii="Syntax LT CE" w:hAnsi="Syntax LT CE"/>
              </w:rPr>
            </w:pPr>
            <w:r w:rsidRPr="001B30EC">
              <w:rPr>
                <w:rFonts w:ascii="Syntax LT CE" w:hAnsi="Syntax LT CE"/>
              </w:rPr>
              <w:t>je schopen metodologicky korektně a s využitím relevantních poznatků argumentovat zákonnost či nezákonnost místních a regionálních právních předpisů.</w:t>
            </w:r>
          </w:p>
        </w:tc>
      </w:tr>
    </w:tbl>
    <w:p w:rsidR="0080782C" w:rsidRPr="0020349F" w:rsidRDefault="0080782C" w:rsidP="0080782C">
      <w:pPr>
        <w:pStyle w:val="Nzev"/>
        <w:spacing w:before="80" w:after="80"/>
        <w:rPr>
          <w:rFonts w:ascii="Syntax LT CE" w:hAnsi="Syntax LT CE" w:hint="eastAsia"/>
          <w:b/>
          <w:spacing w:val="30"/>
          <w:szCs w:val="40"/>
          <w:u w:val="single"/>
        </w:rPr>
      </w:pPr>
    </w:p>
    <w:p w:rsidR="0080782C" w:rsidRPr="0020349F" w:rsidRDefault="0080782C" w:rsidP="0080782C">
      <w:pPr>
        <w:pStyle w:val="Nzev"/>
        <w:spacing w:before="80" w:after="80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 w:rsidRPr="0020349F">
        <w:rPr>
          <w:rFonts w:ascii="Syntax LT CE Black" w:hAnsi="Syntax LT CE Black"/>
          <w:b/>
          <w:spacing w:val="30"/>
          <w:szCs w:val="40"/>
          <w:u w:val="single"/>
        </w:rPr>
        <w:t>PROGRAM PŘEDNÁŠEK</w:t>
      </w:r>
    </w:p>
    <w:tbl>
      <w:tblPr>
        <w:tblStyle w:val="Mkatabulky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2"/>
      </w:tblGrid>
      <w:tr w:rsidR="0080782C" w:rsidRPr="00B04BD3" w:rsidTr="0080782C">
        <w:tc>
          <w:tcPr>
            <w:tcW w:w="1418" w:type="dxa"/>
          </w:tcPr>
          <w:p w:rsidR="0080782C" w:rsidRPr="00AE2BFB" w:rsidRDefault="001B30EC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10. 201</w:t>
            </w:r>
            <w:r w:rsidR="00D0312B"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</w:tcPr>
          <w:p w:rsidR="0080782C" w:rsidRPr="00B04BD3" w:rsidRDefault="0080782C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 xml:space="preserve">Právní základy postavení územní samosprávy v ČR. </w:t>
            </w:r>
            <w:proofErr w:type="spellStart"/>
            <w:r w:rsidRPr="00B04BD3">
              <w:rPr>
                <w:rFonts w:ascii="Syntax LT CE" w:hAnsi="Syntax LT CE"/>
                <w:sz w:val="22"/>
              </w:rPr>
              <w:t>Právotvorba</w:t>
            </w:r>
            <w:proofErr w:type="spellEnd"/>
            <w:r w:rsidRPr="00B04BD3">
              <w:rPr>
                <w:rFonts w:ascii="Syntax LT CE" w:hAnsi="Syntax LT CE"/>
                <w:sz w:val="22"/>
              </w:rPr>
              <w:t xml:space="preserve"> územní samosprávy v demokratickém právním státě. Historický vývoj </w:t>
            </w:r>
            <w:proofErr w:type="spellStart"/>
            <w:r w:rsidRPr="00B04BD3">
              <w:rPr>
                <w:rFonts w:ascii="Syntax LT CE" w:hAnsi="Syntax LT CE"/>
                <w:sz w:val="22"/>
              </w:rPr>
              <w:t>právotvorby</w:t>
            </w:r>
            <w:proofErr w:type="spellEnd"/>
            <w:r w:rsidRPr="00B04BD3">
              <w:rPr>
                <w:rFonts w:ascii="Syntax LT CE" w:hAnsi="Syntax LT CE"/>
                <w:sz w:val="22"/>
              </w:rPr>
              <w:t xml:space="preserve"> územní samosprávy na území dnešní ČR.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D0312B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15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10. 201</w:t>
            </w:r>
            <w:r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</w:tcPr>
          <w:p w:rsidR="0080782C" w:rsidRPr="00B04BD3" w:rsidRDefault="0080782C" w:rsidP="00487E15">
            <w:pPr>
              <w:spacing w:before="80" w:after="80"/>
              <w:jc w:val="both"/>
              <w:rPr>
                <w:rFonts w:ascii="Syntax LT CE" w:hAnsi="Syntax LT CE"/>
                <w:sz w:val="22"/>
                <w:lang w:val="en-US"/>
              </w:rPr>
            </w:pPr>
            <w:r w:rsidRPr="00B04BD3">
              <w:rPr>
                <w:rFonts w:ascii="Syntax LT CE" w:hAnsi="Syntax LT CE"/>
                <w:sz w:val="22"/>
              </w:rPr>
              <w:t>Právní předpisy obcí v ČR. Nařízení obcí, obecně závazné vyhlášky obcí (jejich zákonné zakotvení, proces přijímání a jednotlivá zmocnění).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D0312B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29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</w:t>
            </w:r>
            <w:r>
              <w:rPr>
                <w:rFonts w:ascii="Syntax LT CE" w:hAnsi="Syntax LT CE"/>
                <w:b/>
                <w:sz w:val="22"/>
              </w:rPr>
              <w:t>0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201</w:t>
            </w:r>
            <w:r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</w:tcPr>
          <w:p w:rsidR="0080782C" w:rsidRPr="00B04BD3" w:rsidRDefault="0080782C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>Právní předpisy krajů v ČR. Nařízení krajů, obecně závazné vyhlášky krajů (jejich zákonné zakotvení, proces přijímání a jednotlivá zmocnění).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4E3B1A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lastRenderedPageBreak/>
              <w:t>1</w:t>
            </w:r>
            <w:r w:rsidR="00D0312B">
              <w:rPr>
                <w:rFonts w:ascii="Syntax LT CE" w:hAnsi="Syntax LT CE"/>
                <w:b/>
                <w:sz w:val="22"/>
              </w:rPr>
              <w:t>2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11. 201</w:t>
            </w:r>
            <w:r w:rsidR="00D0312B"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</w:tcPr>
          <w:p w:rsidR="0080782C" w:rsidRPr="00B04BD3" w:rsidRDefault="0080782C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  <w:szCs w:val="22"/>
              </w:rPr>
              <w:t xml:space="preserve">Státní dozor nad </w:t>
            </w:r>
            <w:proofErr w:type="spellStart"/>
            <w:r w:rsidRPr="00B04BD3">
              <w:rPr>
                <w:rFonts w:ascii="Syntax LT CE" w:hAnsi="Syntax LT CE"/>
                <w:sz w:val="22"/>
                <w:szCs w:val="22"/>
              </w:rPr>
              <w:t>právotvorbou</w:t>
            </w:r>
            <w:proofErr w:type="spellEnd"/>
            <w:r w:rsidRPr="00B04BD3">
              <w:rPr>
                <w:rFonts w:ascii="Syntax LT CE" w:hAnsi="Syntax LT CE"/>
                <w:sz w:val="22"/>
                <w:szCs w:val="22"/>
              </w:rPr>
              <w:t xml:space="preserve"> obcí a krajů – východiska, právní úprava a veřejnosprávní praxe.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D0312B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26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</w:t>
            </w:r>
            <w:r>
              <w:rPr>
                <w:rFonts w:ascii="Syntax LT CE" w:hAnsi="Syntax LT CE"/>
                <w:b/>
                <w:sz w:val="22"/>
              </w:rPr>
              <w:t>1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201</w:t>
            </w:r>
            <w:r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</w:tcPr>
          <w:p w:rsidR="0080782C" w:rsidRPr="00B04BD3" w:rsidRDefault="0080782C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>Právní předpisy územní samosprávy a opatření obecné povahy na místní a regionální úrovni.</w:t>
            </w:r>
          </w:p>
        </w:tc>
      </w:tr>
      <w:tr w:rsidR="0080782C" w:rsidRPr="00B04BD3" w:rsidTr="0080782C">
        <w:tc>
          <w:tcPr>
            <w:tcW w:w="1418" w:type="dxa"/>
          </w:tcPr>
          <w:p w:rsidR="0080782C" w:rsidRPr="00AE2BFB" w:rsidRDefault="004E3B1A" w:rsidP="00487E15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</w:t>
            </w:r>
            <w:r w:rsidR="00D0312B">
              <w:rPr>
                <w:rFonts w:ascii="Syntax LT CE" w:hAnsi="Syntax LT CE"/>
                <w:b/>
                <w:sz w:val="22"/>
              </w:rPr>
              <w:t>0</w:t>
            </w:r>
            <w:r w:rsidR="0080782C" w:rsidRPr="00AE2BFB">
              <w:rPr>
                <w:rFonts w:ascii="Syntax LT CE" w:hAnsi="Syntax LT CE"/>
                <w:b/>
                <w:sz w:val="22"/>
              </w:rPr>
              <w:t>. 12. 201</w:t>
            </w:r>
            <w:r w:rsidR="00D0312B"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</w:tcPr>
          <w:p w:rsidR="0080782C" w:rsidRPr="00B04BD3" w:rsidRDefault="0080782C" w:rsidP="00487E15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>Aktuální problémy české veřejnosprávní praxe spojené s realizací právotvorné pravomoci územní samosprávy a aktuální vývoj právní úpravy. Judikatura Ústavního soudu ve věci právních předpisů územní samosprávy.</w:t>
            </w:r>
          </w:p>
        </w:tc>
      </w:tr>
    </w:tbl>
    <w:p w:rsidR="0080782C" w:rsidRPr="009B6AB6" w:rsidRDefault="0080782C" w:rsidP="0080782C">
      <w:pPr>
        <w:pStyle w:val="Nzev"/>
        <w:spacing w:before="80" w:after="80"/>
        <w:rPr>
          <w:rFonts w:ascii="Syntax LT CE" w:hAnsi="Syntax LT CE" w:hint="eastAsia"/>
          <w:b/>
          <w:spacing w:val="30"/>
          <w:szCs w:val="40"/>
          <w:u w:val="single"/>
        </w:rPr>
      </w:pPr>
    </w:p>
    <w:p w:rsidR="0080782C" w:rsidRPr="009B6AB6" w:rsidRDefault="0080782C" w:rsidP="0080782C">
      <w:pPr>
        <w:pStyle w:val="Nzev"/>
        <w:spacing w:before="80" w:after="80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 w:rsidRPr="009B6AB6">
        <w:rPr>
          <w:rFonts w:ascii="Syntax LT CE Black" w:hAnsi="Syntax LT CE Black"/>
          <w:b/>
          <w:spacing w:val="30"/>
          <w:szCs w:val="40"/>
          <w:u w:val="single"/>
        </w:rPr>
        <w:t>PROGRAM SEMINÁŘŮ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4E3B1A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</w:t>
            </w:r>
            <w:r w:rsidRPr="00AE2BFB">
              <w:rPr>
                <w:rFonts w:ascii="Syntax LT CE" w:hAnsi="Syntax LT CE"/>
                <w:b/>
                <w:sz w:val="22"/>
              </w:rPr>
              <w:t>. 10. 201</w:t>
            </w:r>
            <w:r w:rsidR="00D0312B"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B04BD3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 xml:space="preserve">Základní organizační a věcné informace o předmětu. Úvod do problematiky </w:t>
            </w:r>
            <w:proofErr w:type="spellStart"/>
            <w:r w:rsidRPr="00B04BD3">
              <w:rPr>
                <w:rFonts w:ascii="Syntax LT CE" w:hAnsi="Syntax LT CE"/>
                <w:sz w:val="22"/>
              </w:rPr>
              <w:t>právotvorby</w:t>
            </w:r>
            <w:proofErr w:type="spellEnd"/>
            <w:r w:rsidRPr="00B04BD3">
              <w:rPr>
                <w:rFonts w:ascii="Syntax LT CE" w:hAnsi="Syntax LT CE"/>
                <w:sz w:val="22"/>
              </w:rPr>
              <w:t xml:space="preserve"> územní samosprávy. Zahájení práce na skupinových projektech. 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D0312B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15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10. 201</w:t>
            </w:r>
            <w:r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B04BD3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>
              <w:rPr>
                <w:rFonts w:ascii="Syntax LT CE" w:hAnsi="Syntax LT CE"/>
                <w:sz w:val="22"/>
              </w:rPr>
              <w:t>Seminář k právním předpisům obcí v ČR. Nařízení obcí, obecně závazné vyhlášky obcí (jejich zakotvení v právním řádu, proces přijímání a jednotlivá zmocnění).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D0312B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29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1</w:t>
            </w:r>
            <w:r>
              <w:rPr>
                <w:rFonts w:ascii="Syntax LT CE" w:hAnsi="Syntax LT CE"/>
                <w:b/>
                <w:sz w:val="22"/>
              </w:rPr>
              <w:t>0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201</w:t>
            </w:r>
            <w:r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 xml:space="preserve">Seminář k právním předpisům </w:t>
            </w:r>
            <w:r>
              <w:rPr>
                <w:rFonts w:ascii="Syntax LT CE" w:hAnsi="Syntax LT CE"/>
                <w:sz w:val="22"/>
              </w:rPr>
              <w:t>krajů</w:t>
            </w:r>
            <w:r w:rsidRPr="00B04BD3">
              <w:rPr>
                <w:rFonts w:ascii="Syntax LT CE" w:hAnsi="Syntax LT CE"/>
                <w:sz w:val="22"/>
              </w:rPr>
              <w:t xml:space="preserve"> v ČR. Nařízení </w:t>
            </w:r>
            <w:r>
              <w:rPr>
                <w:rFonts w:ascii="Syntax LT CE" w:hAnsi="Syntax LT CE"/>
                <w:sz w:val="22"/>
              </w:rPr>
              <w:t>krajů</w:t>
            </w:r>
            <w:r w:rsidRPr="00B04BD3">
              <w:rPr>
                <w:rFonts w:ascii="Syntax LT CE" w:hAnsi="Syntax LT CE"/>
                <w:sz w:val="22"/>
              </w:rPr>
              <w:t xml:space="preserve">, obecně závazné vyhlášky </w:t>
            </w:r>
            <w:r>
              <w:rPr>
                <w:rFonts w:ascii="Syntax LT CE" w:hAnsi="Syntax LT CE"/>
                <w:sz w:val="22"/>
              </w:rPr>
              <w:t>krajů</w:t>
            </w:r>
            <w:r w:rsidRPr="00B04BD3">
              <w:rPr>
                <w:rFonts w:ascii="Syntax LT CE" w:hAnsi="Syntax LT CE"/>
                <w:sz w:val="22"/>
              </w:rPr>
              <w:t xml:space="preserve"> (jejich zakotvení v právním řádu, proces přijímání a jednotlivá zmocnění). </w:t>
            </w:r>
          </w:p>
          <w:p w:rsidR="004E3B1A" w:rsidRPr="00AE2BFB" w:rsidRDefault="004E3B1A" w:rsidP="004E3B1A">
            <w:pPr>
              <w:spacing w:before="80" w:after="80"/>
              <w:jc w:val="both"/>
              <w:rPr>
                <w:rFonts w:ascii="Syntax LT CE" w:hAnsi="Syntax LT CE"/>
                <w:b/>
                <w:color w:val="365F91" w:themeColor="accent1" w:themeShade="BF"/>
                <w:sz w:val="22"/>
              </w:rPr>
            </w:pPr>
            <w:r w:rsidRPr="00AE2BFB">
              <w:rPr>
                <w:rFonts w:ascii="Syntax LT CE" w:hAnsi="Syntax LT CE"/>
                <w:b/>
                <w:color w:val="365F91" w:themeColor="accent1" w:themeShade="BF"/>
                <w:sz w:val="22"/>
              </w:rPr>
              <w:t>Prezentace skupinových projektů – I. část. Diskuse.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4E3B1A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</w:t>
            </w:r>
            <w:r w:rsidR="00D0312B">
              <w:rPr>
                <w:rFonts w:ascii="Syntax LT CE" w:hAnsi="Syntax LT CE"/>
                <w:b/>
                <w:sz w:val="22"/>
              </w:rPr>
              <w:t>2</w:t>
            </w:r>
            <w:r w:rsidRPr="00AE2BFB">
              <w:rPr>
                <w:rFonts w:ascii="Syntax LT CE" w:hAnsi="Syntax LT CE"/>
                <w:b/>
                <w:sz w:val="22"/>
              </w:rPr>
              <w:t>. 11. 201</w:t>
            </w:r>
            <w:r w:rsidR="00D0312B"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  <w:szCs w:val="22"/>
              </w:rPr>
            </w:pPr>
            <w:r>
              <w:rPr>
                <w:rFonts w:ascii="Syntax LT CE" w:hAnsi="Syntax LT CE"/>
                <w:sz w:val="22"/>
                <w:szCs w:val="22"/>
              </w:rPr>
              <w:t xml:space="preserve">Seminář ke státnímu dozoru nad </w:t>
            </w:r>
            <w:proofErr w:type="spellStart"/>
            <w:r>
              <w:rPr>
                <w:rFonts w:ascii="Syntax LT CE" w:hAnsi="Syntax LT CE"/>
                <w:sz w:val="22"/>
                <w:szCs w:val="22"/>
              </w:rPr>
              <w:t>právotvorbou</w:t>
            </w:r>
            <w:proofErr w:type="spellEnd"/>
            <w:r>
              <w:rPr>
                <w:rFonts w:ascii="Syntax LT CE" w:hAnsi="Syntax LT CE"/>
                <w:sz w:val="22"/>
                <w:szCs w:val="22"/>
              </w:rPr>
              <w:t xml:space="preserve"> územní samosprávy.</w:t>
            </w:r>
          </w:p>
          <w:p w:rsidR="004E3B1A" w:rsidRPr="00AE2BFB" w:rsidRDefault="004E3B1A" w:rsidP="004E3B1A">
            <w:pPr>
              <w:spacing w:before="80" w:after="80"/>
              <w:jc w:val="both"/>
              <w:rPr>
                <w:rFonts w:ascii="Syntax LT CE" w:hAnsi="Syntax LT CE"/>
                <w:b/>
                <w:color w:val="365F91" w:themeColor="accent1" w:themeShade="BF"/>
                <w:sz w:val="22"/>
              </w:rPr>
            </w:pPr>
            <w:r w:rsidRPr="00AE2BFB">
              <w:rPr>
                <w:rFonts w:ascii="Syntax LT CE" w:hAnsi="Syntax LT CE"/>
                <w:b/>
                <w:color w:val="365F91" w:themeColor="accent1" w:themeShade="BF"/>
                <w:sz w:val="22"/>
                <w:szCs w:val="22"/>
              </w:rPr>
              <w:t>Prezentace skupinových projektů – II. část. Diskuse.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D0312B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26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1</w:t>
            </w:r>
            <w:r>
              <w:rPr>
                <w:rFonts w:ascii="Syntax LT CE" w:hAnsi="Syntax LT CE"/>
                <w:b/>
                <w:sz w:val="22"/>
              </w:rPr>
              <w:t>1</w:t>
            </w:r>
            <w:r w:rsidR="004E3B1A" w:rsidRPr="00AE2BFB">
              <w:rPr>
                <w:rFonts w:ascii="Syntax LT CE" w:hAnsi="Syntax LT CE"/>
                <w:b/>
                <w:sz w:val="22"/>
              </w:rPr>
              <w:t>. 201</w:t>
            </w:r>
            <w:r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B04BD3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>
              <w:rPr>
                <w:rFonts w:ascii="Syntax LT CE" w:hAnsi="Syntax LT CE"/>
                <w:sz w:val="22"/>
              </w:rPr>
              <w:t>Seminář k místním a regionálním opatřením obecné povahy.</w:t>
            </w:r>
          </w:p>
        </w:tc>
      </w:tr>
      <w:tr w:rsidR="004E3B1A" w:rsidRPr="00B04BD3" w:rsidTr="004E3B1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3B1A" w:rsidRPr="00AE2BFB" w:rsidRDefault="004E3B1A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>
              <w:rPr>
                <w:rFonts w:ascii="Syntax LT CE" w:hAnsi="Syntax LT CE"/>
                <w:b/>
                <w:sz w:val="22"/>
              </w:rPr>
              <w:t>1</w:t>
            </w:r>
            <w:r w:rsidR="00D0312B">
              <w:rPr>
                <w:rFonts w:ascii="Syntax LT CE" w:hAnsi="Syntax LT CE"/>
                <w:b/>
                <w:sz w:val="22"/>
              </w:rPr>
              <w:t>0</w:t>
            </w:r>
            <w:r w:rsidRPr="00AE2BFB">
              <w:rPr>
                <w:rFonts w:ascii="Syntax LT CE" w:hAnsi="Syntax LT CE"/>
                <w:b/>
                <w:sz w:val="22"/>
              </w:rPr>
              <w:t>. 12. 201</w:t>
            </w:r>
            <w:r w:rsidR="00D0312B">
              <w:rPr>
                <w:rFonts w:ascii="Syntax LT CE" w:hAnsi="Syntax LT CE"/>
                <w:b/>
                <w:sz w:val="22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E3B1A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 xml:space="preserve">Seminář k aktuálním problémům veřejnosprávní praxe spojeným s realizací právotvorné pravomoci územní samosprávy a k aktuálnímu vývoji právní úpravy a judikatury. </w:t>
            </w:r>
          </w:p>
          <w:p w:rsidR="004E3B1A" w:rsidRPr="00BF745C" w:rsidRDefault="004E3B1A" w:rsidP="004E3B1A">
            <w:pPr>
              <w:spacing w:before="80" w:after="80"/>
              <w:jc w:val="both"/>
              <w:rPr>
                <w:rFonts w:ascii="Syntax LT CE" w:hAnsi="Syntax LT CE"/>
                <w:b/>
                <w:sz w:val="22"/>
              </w:rPr>
            </w:pPr>
            <w:r w:rsidRPr="00AE2BFB">
              <w:rPr>
                <w:rFonts w:ascii="Syntax LT CE" w:hAnsi="Syntax LT CE"/>
                <w:b/>
                <w:color w:val="365F91" w:themeColor="accent1" w:themeShade="BF"/>
                <w:sz w:val="22"/>
              </w:rPr>
              <w:t>Prezentace skupinových projektů – III. část. Diskuse.</w:t>
            </w:r>
          </w:p>
          <w:p w:rsidR="004E3B1A" w:rsidRPr="00B04BD3" w:rsidRDefault="004E3B1A" w:rsidP="004E3B1A">
            <w:pPr>
              <w:spacing w:before="80" w:after="80"/>
              <w:jc w:val="both"/>
              <w:rPr>
                <w:rFonts w:ascii="Syntax LT CE" w:hAnsi="Syntax LT CE"/>
                <w:sz w:val="22"/>
              </w:rPr>
            </w:pPr>
            <w:r w:rsidRPr="00B04BD3">
              <w:rPr>
                <w:rFonts w:ascii="Syntax LT CE" w:hAnsi="Syntax LT CE"/>
                <w:sz w:val="22"/>
              </w:rPr>
              <w:t>S</w:t>
            </w:r>
            <w:r w:rsidRPr="00B04BD3">
              <w:rPr>
                <w:rFonts w:ascii="Syntax LT CE" w:hAnsi="Syntax LT CE"/>
                <w:sz w:val="22"/>
                <w:szCs w:val="22"/>
              </w:rPr>
              <w:t xml:space="preserve">hrnutí a aktualizace </w:t>
            </w:r>
            <w:proofErr w:type="spellStart"/>
            <w:r w:rsidRPr="00B04BD3">
              <w:rPr>
                <w:rFonts w:ascii="Syntax LT CE" w:hAnsi="Syntax LT CE"/>
                <w:sz w:val="22"/>
                <w:szCs w:val="22"/>
              </w:rPr>
              <w:t>seminarizované</w:t>
            </w:r>
            <w:proofErr w:type="spellEnd"/>
            <w:r w:rsidRPr="00B04BD3">
              <w:rPr>
                <w:rFonts w:ascii="Syntax LT CE" w:hAnsi="Syntax LT CE"/>
                <w:sz w:val="22"/>
                <w:szCs w:val="22"/>
              </w:rPr>
              <w:t xml:space="preserve"> materie. Závěrečná diskuse. Ověření splnění podmínek pro udělení kolokvia a udílení kolokvií.</w:t>
            </w:r>
          </w:p>
        </w:tc>
      </w:tr>
    </w:tbl>
    <w:p w:rsidR="0080782C" w:rsidRPr="00D0312B" w:rsidRDefault="0080782C" w:rsidP="0080782C">
      <w:pPr>
        <w:spacing w:before="80" w:after="80"/>
        <w:jc w:val="center"/>
        <w:rPr>
          <w:rFonts w:ascii="Syntax LT CE" w:hAnsi="Syntax LT CE"/>
          <w:b/>
          <w:sz w:val="28"/>
          <w:szCs w:val="28"/>
          <w:u w:val="single"/>
        </w:rPr>
      </w:pPr>
    </w:p>
    <w:p w:rsidR="0080782C" w:rsidRPr="00B57ABF" w:rsidRDefault="0080782C" w:rsidP="0080782C">
      <w:pPr>
        <w:pStyle w:val="NzevSyntaxLTCEBlack"/>
        <w:spacing w:before="80" w:after="80"/>
        <w:rPr>
          <w:rFonts w:ascii="Syntax LT CE" w:hAnsi="Syntax LT CE"/>
        </w:rPr>
      </w:pPr>
      <w:r w:rsidRPr="00B57ABF">
        <w:rPr>
          <w:rFonts w:ascii="Syntax LT CE" w:hAnsi="Syntax LT CE"/>
        </w:rPr>
        <w:t>Podmínky pro udělení kolokvia</w:t>
      </w:r>
    </w:p>
    <w:p w:rsidR="0080782C" w:rsidRPr="00B57ABF" w:rsidRDefault="0080782C" w:rsidP="0080782C">
      <w:pPr>
        <w:spacing w:before="80" w:after="80"/>
        <w:jc w:val="both"/>
        <w:rPr>
          <w:rFonts w:ascii="Syntax LT CE" w:hAnsi="Syntax LT CE"/>
        </w:rPr>
      </w:pPr>
      <w:r w:rsidRPr="00B57ABF">
        <w:rPr>
          <w:rFonts w:ascii="Syntax LT CE" w:hAnsi="Syntax LT CE"/>
        </w:rPr>
        <w:t>1. Aktivní účast na seminářích.</w:t>
      </w:r>
    </w:p>
    <w:p w:rsidR="0080782C" w:rsidRPr="00B57ABF" w:rsidRDefault="0080782C" w:rsidP="0080782C">
      <w:pPr>
        <w:spacing w:before="80" w:after="80"/>
        <w:ind w:left="284" w:hanging="284"/>
        <w:jc w:val="both"/>
        <w:rPr>
          <w:rFonts w:ascii="Syntax LT CE" w:hAnsi="Syntax LT CE"/>
        </w:rPr>
      </w:pPr>
      <w:r w:rsidRPr="00B57ABF">
        <w:rPr>
          <w:rFonts w:ascii="Syntax LT CE" w:hAnsi="Syntax LT CE"/>
        </w:rPr>
        <w:t>2.</w:t>
      </w:r>
      <w:r w:rsidR="008C26F1">
        <w:rPr>
          <w:rFonts w:ascii="Syntax LT CE" w:hAnsi="Syntax LT CE" w:hint="eastAsia"/>
        </w:rPr>
        <w:t> </w:t>
      </w:r>
      <w:r w:rsidRPr="00B57ABF">
        <w:rPr>
          <w:rFonts w:ascii="Syntax LT CE" w:hAnsi="Syntax LT CE"/>
        </w:rPr>
        <w:t xml:space="preserve">Aktivní práce na zvoleném skupinovém seminárním projektu, jeho dokončení a ústní obhajoba </w:t>
      </w:r>
      <w:r w:rsidRPr="00B57ABF">
        <w:rPr>
          <w:rFonts w:ascii="Syntax LT CE" w:hAnsi="Syntax LT CE"/>
          <w:i/>
        </w:rPr>
        <w:t>(zahrnující též prověření všeobecných znalostí v oblasti právních předpisů územní samosprávy)</w:t>
      </w:r>
      <w:r w:rsidRPr="00B57ABF">
        <w:rPr>
          <w:rFonts w:ascii="Syntax LT CE" w:hAnsi="Syntax LT CE"/>
        </w:rPr>
        <w:t>.</w:t>
      </w:r>
    </w:p>
    <w:p w:rsidR="0080782C" w:rsidRPr="00D0312B" w:rsidRDefault="0080782C" w:rsidP="0080782C">
      <w:pPr>
        <w:spacing w:before="80" w:after="80"/>
        <w:jc w:val="both"/>
        <w:rPr>
          <w:rFonts w:ascii="Syntax LT CE" w:hAnsi="Syntax LT CE"/>
          <w:sz w:val="28"/>
          <w:szCs w:val="28"/>
          <w:u w:val="single"/>
        </w:rPr>
      </w:pPr>
    </w:p>
    <w:p w:rsidR="0080782C" w:rsidRPr="00B57ABF" w:rsidRDefault="0080782C" w:rsidP="0080782C">
      <w:pPr>
        <w:pStyle w:val="NzevSyntaxLTCEBlack"/>
        <w:spacing w:before="80" w:after="80"/>
        <w:rPr>
          <w:rFonts w:ascii="Syntax LT CE" w:hAnsi="Syntax LT CE"/>
        </w:rPr>
      </w:pPr>
      <w:r w:rsidRPr="00B57ABF">
        <w:rPr>
          <w:rFonts w:ascii="Syntax LT CE" w:hAnsi="Syntax LT CE"/>
        </w:rPr>
        <w:t>Základní studijní literatura</w:t>
      </w:r>
    </w:p>
    <w:p w:rsidR="0080782C" w:rsidRPr="00B57ABF" w:rsidRDefault="0080782C" w:rsidP="0080782C">
      <w:pPr>
        <w:spacing w:before="80" w:after="80"/>
        <w:jc w:val="both"/>
        <w:rPr>
          <w:rFonts w:ascii="Syntax LT CE" w:hAnsi="Syntax LT CE"/>
          <w:i/>
        </w:rPr>
      </w:pPr>
      <w:r w:rsidRPr="00B57ABF">
        <w:rPr>
          <w:rFonts w:ascii="Syntax LT CE" w:hAnsi="Syntax LT CE"/>
          <w:b/>
          <w:i/>
        </w:rPr>
        <w:t xml:space="preserve">Kadečka, S.: </w:t>
      </w:r>
      <w:r w:rsidRPr="00B57ABF">
        <w:rPr>
          <w:rFonts w:ascii="Syntax LT CE" w:hAnsi="Syntax LT CE"/>
          <w:b/>
        </w:rPr>
        <w:t>Právo obcí a krajů v České republice.</w:t>
      </w:r>
      <w:r w:rsidRPr="00B57ABF">
        <w:rPr>
          <w:rFonts w:ascii="Syntax LT CE" w:hAnsi="Syntax LT CE"/>
        </w:rPr>
        <w:t xml:space="preserve">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C. H. Beck, 2003 •</w:t>
      </w:r>
      <w:r w:rsidRPr="00B57ABF">
        <w:rPr>
          <w:rFonts w:ascii="Syntax LT CE" w:hAnsi="Syntax LT CE"/>
          <w:i/>
        </w:rPr>
        <w:t xml:space="preserve"> Kadečka, S.: </w:t>
      </w:r>
      <w:r w:rsidRPr="00B57ABF">
        <w:rPr>
          <w:rFonts w:ascii="Syntax LT CE" w:hAnsi="Syntax LT CE"/>
          <w:iCs/>
        </w:rPr>
        <w:t>Zákon o místních poplatcích a předpisy související. Komentář.</w:t>
      </w:r>
      <w:r w:rsidRPr="00B57ABF">
        <w:rPr>
          <w:rFonts w:ascii="Syntax LT CE" w:hAnsi="Syntax LT CE"/>
        </w:rPr>
        <w:t xml:space="preserve">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C. H. Beck, 2005 • </w:t>
      </w:r>
      <w:r w:rsidRPr="00B57ABF">
        <w:rPr>
          <w:rFonts w:ascii="Syntax LT CE" w:hAnsi="Syntax LT CE"/>
          <w:i/>
        </w:rPr>
        <w:t xml:space="preserve">Koudelka, Z.: </w:t>
      </w:r>
      <w:r w:rsidRPr="00B57ABF">
        <w:rPr>
          <w:rFonts w:ascii="Syntax LT CE" w:hAnsi="Syntax LT CE"/>
        </w:rPr>
        <w:t xml:space="preserve">Právní předpisy samosprávy. 2. vydání.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Linde, 2008 • </w:t>
      </w:r>
      <w:r w:rsidRPr="00B57ABF">
        <w:rPr>
          <w:rFonts w:ascii="Syntax LT CE" w:hAnsi="Syntax LT CE"/>
          <w:i/>
        </w:rPr>
        <w:t>Ko</w:t>
      </w:r>
      <w:r>
        <w:rPr>
          <w:rFonts w:ascii="Syntax LT CE" w:hAnsi="Syntax LT CE"/>
          <w:i/>
        </w:rPr>
        <w:t>pecký</w:t>
      </w:r>
      <w:r w:rsidRPr="00B57ABF">
        <w:rPr>
          <w:rFonts w:ascii="Syntax LT CE" w:hAnsi="Syntax LT CE"/>
          <w:i/>
        </w:rPr>
        <w:t xml:space="preserve">, </w:t>
      </w:r>
      <w:r>
        <w:rPr>
          <w:rFonts w:ascii="Syntax LT CE" w:hAnsi="Syntax LT CE"/>
          <w:i/>
        </w:rPr>
        <w:t>M</w:t>
      </w:r>
      <w:r w:rsidRPr="00B57ABF">
        <w:rPr>
          <w:rFonts w:ascii="Syntax LT CE" w:hAnsi="Syntax LT CE"/>
          <w:i/>
        </w:rPr>
        <w:t>.:</w:t>
      </w:r>
      <w:r w:rsidRPr="00F17923">
        <w:rPr>
          <w:rFonts w:ascii="Syntax LT CE" w:hAnsi="Syntax LT CE"/>
        </w:rPr>
        <w:t xml:space="preserve"> Právní postavení obcí a krajů</w:t>
      </w:r>
      <w:r>
        <w:rPr>
          <w:rFonts w:ascii="Syntax LT CE" w:hAnsi="Syntax LT CE"/>
        </w:rPr>
        <w:t xml:space="preserve"> – základy komunálního práva</w:t>
      </w:r>
      <w:r w:rsidRPr="00B57ABF">
        <w:rPr>
          <w:rFonts w:ascii="Syntax LT CE" w:hAnsi="Syntax LT CE"/>
        </w:rPr>
        <w:t xml:space="preserve">.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</w:t>
      </w:r>
      <w:proofErr w:type="spellStart"/>
      <w:r>
        <w:rPr>
          <w:rFonts w:ascii="Syntax LT CE" w:hAnsi="Syntax LT CE"/>
        </w:rPr>
        <w:t>Wolters</w:t>
      </w:r>
      <w:proofErr w:type="spellEnd"/>
      <w:r>
        <w:rPr>
          <w:rFonts w:ascii="Syntax LT CE" w:hAnsi="Syntax LT CE"/>
        </w:rPr>
        <w:t xml:space="preserve"> </w:t>
      </w:r>
      <w:proofErr w:type="spellStart"/>
      <w:r>
        <w:rPr>
          <w:rFonts w:ascii="Syntax LT CE" w:hAnsi="Syntax LT CE"/>
        </w:rPr>
        <w:t>Kluwer</w:t>
      </w:r>
      <w:proofErr w:type="spellEnd"/>
      <w:r>
        <w:rPr>
          <w:rFonts w:ascii="Syntax LT CE" w:hAnsi="Syntax LT CE"/>
        </w:rPr>
        <w:t xml:space="preserve"> ČR</w:t>
      </w:r>
      <w:r w:rsidRPr="00B57ABF">
        <w:rPr>
          <w:rFonts w:ascii="Syntax LT CE" w:hAnsi="Syntax LT CE"/>
        </w:rPr>
        <w:t>, 20</w:t>
      </w:r>
      <w:r>
        <w:rPr>
          <w:rFonts w:ascii="Syntax LT CE" w:hAnsi="Syntax LT CE"/>
        </w:rPr>
        <w:t>1</w:t>
      </w:r>
      <w:r w:rsidRPr="00B57ABF">
        <w:rPr>
          <w:rFonts w:ascii="Syntax LT CE" w:hAnsi="Syntax LT CE"/>
        </w:rPr>
        <w:t xml:space="preserve">0 • </w:t>
      </w:r>
      <w:r w:rsidRPr="00B57ABF">
        <w:rPr>
          <w:rFonts w:ascii="Syntax LT CE" w:hAnsi="Syntax LT CE"/>
          <w:i/>
        </w:rPr>
        <w:t xml:space="preserve">Koudelka, Z.: </w:t>
      </w:r>
      <w:r w:rsidRPr="00B57ABF">
        <w:rPr>
          <w:rFonts w:ascii="Syntax LT CE" w:hAnsi="Syntax LT CE"/>
        </w:rPr>
        <w:t xml:space="preserve">Samospráva.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Linde, 2007 • </w:t>
      </w:r>
      <w:r>
        <w:rPr>
          <w:rFonts w:ascii="Syntax LT CE" w:hAnsi="Syntax LT CE"/>
          <w:i/>
        </w:rPr>
        <w:t>Kolektiv</w:t>
      </w:r>
      <w:r w:rsidRPr="00B57ABF">
        <w:rPr>
          <w:rFonts w:ascii="Syntax LT CE" w:hAnsi="Syntax LT CE"/>
          <w:i/>
        </w:rPr>
        <w:t xml:space="preserve">. </w:t>
      </w:r>
      <w:r>
        <w:rPr>
          <w:rFonts w:ascii="Syntax LT CE" w:hAnsi="Syntax LT CE"/>
          <w:iCs/>
        </w:rPr>
        <w:t>Legislativní proces (teorie a praxe)</w:t>
      </w:r>
      <w:r w:rsidRPr="00B57ABF">
        <w:rPr>
          <w:rFonts w:ascii="Syntax LT CE" w:hAnsi="Syntax LT CE"/>
        </w:rPr>
        <w:t>.</w:t>
      </w:r>
      <w:r>
        <w:rPr>
          <w:rFonts w:ascii="Syntax LT CE" w:hAnsi="Syntax LT CE"/>
        </w:rPr>
        <w:t xml:space="preserve"> </w:t>
      </w:r>
      <w:proofErr w:type="gramStart"/>
      <w:r>
        <w:rPr>
          <w:rFonts w:ascii="Syntax LT CE" w:hAnsi="Syntax LT CE"/>
        </w:rPr>
        <w:t>Praha :</w:t>
      </w:r>
      <w:proofErr w:type="gramEnd"/>
      <w:r>
        <w:rPr>
          <w:rFonts w:ascii="Syntax LT CE" w:hAnsi="Syntax LT CE"/>
        </w:rPr>
        <w:t xml:space="preserve"> Ministerstvo vnitra, 2011</w:t>
      </w:r>
      <w:r w:rsidRPr="00B57ABF">
        <w:rPr>
          <w:rFonts w:ascii="Syntax LT CE" w:hAnsi="Syntax LT CE"/>
        </w:rPr>
        <w:t xml:space="preserve"> •</w:t>
      </w:r>
      <w:r w:rsidRPr="00B57ABF">
        <w:rPr>
          <w:rFonts w:ascii="Syntax LT CE" w:hAnsi="Syntax LT CE"/>
          <w:i/>
        </w:rPr>
        <w:t xml:space="preserve"> Šín, Zbyněk. </w:t>
      </w:r>
      <w:r w:rsidRPr="00B57ABF">
        <w:rPr>
          <w:rFonts w:ascii="Syntax LT CE" w:hAnsi="Syntax LT CE"/>
          <w:iCs/>
        </w:rPr>
        <w:lastRenderedPageBreak/>
        <w:t xml:space="preserve">Tvorba </w:t>
      </w:r>
      <w:proofErr w:type="gramStart"/>
      <w:r w:rsidRPr="00B57ABF">
        <w:rPr>
          <w:rFonts w:ascii="Syntax LT CE" w:hAnsi="Syntax LT CE"/>
          <w:iCs/>
        </w:rPr>
        <w:t>práva :</w:t>
      </w:r>
      <w:proofErr w:type="gramEnd"/>
      <w:r w:rsidRPr="00B57ABF">
        <w:rPr>
          <w:rFonts w:ascii="Syntax LT CE" w:hAnsi="Syntax LT CE"/>
          <w:iCs/>
        </w:rPr>
        <w:t xml:space="preserve"> pravidla, metodika, technika</w:t>
      </w:r>
      <w:r>
        <w:rPr>
          <w:rFonts w:ascii="Syntax LT CE" w:hAnsi="Syntax LT CE"/>
        </w:rPr>
        <w:t xml:space="preserve">. </w:t>
      </w:r>
      <w:r w:rsidRPr="00B57ABF">
        <w:rPr>
          <w:rFonts w:ascii="Syntax LT CE" w:hAnsi="Syntax LT CE"/>
        </w:rPr>
        <w:t>2. vydání.</w:t>
      </w:r>
      <w:r>
        <w:rPr>
          <w:rFonts w:ascii="Syntax LT CE" w:hAnsi="Syntax LT CE"/>
        </w:rPr>
        <w:t xml:space="preserve"> </w:t>
      </w:r>
      <w:proofErr w:type="gramStart"/>
      <w:r>
        <w:rPr>
          <w:rFonts w:ascii="Syntax LT CE" w:hAnsi="Syntax LT CE"/>
        </w:rPr>
        <w:t>Praha :</w:t>
      </w:r>
      <w:proofErr w:type="gramEnd"/>
      <w:r>
        <w:rPr>
          <w:rFonts w:ascii="Syntax LT CE" w:hAnsi="Syntax LT CE"/>
        </w:rPr>
        <w:t xml:space="preserve"> C. H. Beck, 2009</w:t>
      </w:r>
      <w:r w:rsidRPr="00B57ABF">
        <w:rPr>
          <w:rFonts w:ascii="Syntax LT CE" w:hAnsi="Syntax LT CE"/>
        </w:rPr>
        <w:t xml:space="preserve"> •</w:t>
      </w:r>
      <w:r w:rsidRPr="00B57ABF">
        <w:rPr>
          <w:rFonts w:ascii="Syntax LT CE" w:hAnsi="Syntax LT CE"/>
          <w:i/>
        </w:rPr>
        <w:t xml:space="preserve"> Ústavní soud: </w:t>
      </w:r>
      <w:r w:rsidRPr="00B57ABF">
        <w:rPr>
          <w:rFonts w:ascii="Syntax LT CE" w:hAnsi="Syntax LT CE"/>
        </w:rPr>
        <w:t xml:space="preserve">Sbírka nálezů a usnesení. </w:t>
      </w:r>
      <w:proofErr w:type="gramStart"/>
      <w:r w:rsidRPr="00B57ABF">
        <w:rPr>
          <w:rFonts w:ascii="Syntax LT CE" w:hAnsi="Syntax LT CE"/>
        </w:rPr>
        <w:t>Praha :</w:t>
      </w:r>
      <w:proofErr w:type="gramEnd"/>
      <w:r w:rsidRPr="00B57ABF">
        <w:rPr>
          <w:rFonts w:ascii="Syntax LT CE" w:hAnsi="Syntax LT CE"/>
        </w:rPr>
        <w:t xml:space="preserve"> C. H. Beck, 1993 – </w:t>
      </w:r>
      <w:r>
        <w:rPr>
          <w:rFonts w:ascii="Syntax LT CE" w:hAnsi="Syntax LT CE"/>
        </w:rPr>
        <w:t>201</w:t>
      </w:r>
      <w:r w:rsidR="00D0312B">
        <w:rPr>
          <w:rFonts w:ascii="Syntax LT CE" w:hAnsi="Syntax LT CE"/>
        </w:rPr>
        <w:t>8</w:t>
      </w:r>
      <w:r w:rsidRPr="00B57ABF">
        <w:rPr>
          <w:rFonts w:ascii="Syntax LT CE" w:hAnsi="Syntax LT CE"/>
        </w:rPr>
        <w:t xml:space="preserve"> </w:t>
      </w:r>
      <w:r w:rsidRPr="00B57ABF">
        <w:rPr>
          <w:rFonts w:ascii="Syntax LT CE" w:hAnsi="Syntax LT CE"/>
          <w:i/>
        </w:rPr>
        <w:t xml:space="preserve">• </w:t>
      </w:r>
      <w:hyperlink r:id="rId8" w:history="1">
        <w:r w:rsidRPr="00B57ABF">
          <w:rPr>
            <w:rStyle w:val="Hypertextovodkaz"/>
            <w:rFonts w:ascii="Syntax LT CE" w:hAnsi="Syntax LT CE"/>
          </w:rPr>
          <w:t>www.usoud.cz</w:t>
        </w:r>
      </w:hyperlink>
      <w:r w:rsidRPr="00B57ABF">
        <w:rPr>
          <w:rFonts w:ascii="Syntax LT CE" w:hAnsi="Syntax LT CE"/>
          <w:i/>
        </w:rPr>
        <w:t xml:space="preserve"> • </w:t>
      </w:r>
      <w:hyperlink r:id="rId9" w:history="1">
        <w:r w:rsidRPr="00B57ABF">
          <w:rPr>
            <w:rStyle w:val="Hypertextovodkaz"/>
            <w:rFonts w:ascii="Syntax LT CE" w:hAnsi="Syntax LT CE"/>
          </w:rPr>
          <w:t>www.mvcr.cz/odk</w:t>
        </w:r>
      </w:hyperlink>
      <w:r w:rsidRPr="00B57ABF">
        <w:rPr>
          <w:rFonts w:ascii="Syntax LT CE" w:hAnsi="Syntax LT CE"/>
          <w:i/>
        </w:rPr>
        <w:t>.</w:t>
      </w:r>
    </w:p>
    <w:p w:rsidR="0080782C" w:rsidRDefault="0080782C" w:rsidP="0080782C">
      <w:pPr>
        <w:spacing w:before="80" w:after="80"/>
        <w:jc w:val="both"/>
        <w:rPr>
          <w:rFonts w:ascii="Syntax LT CE" w:hAnsi="Syntax LT CE"/>
          <w:i/>
        </w:rPr>
      </w:pPr>
    </w:p>
    <w:p w:rsidR="00386F6D" w:rsidRPr="004E3B1A" w:rsidRDefault="0080782C" w:rsidP="004E3B1A">
      <w:pPr>
        <w:spacing w:before="80" w:after="80"/>
        <w:jc w:val="both"/>
        <w:rPr>
          <w:rFonts w:ascii="Syntax LT CE" w:hAnsi="Syntax LT CE"/>
        </w:rPr>
      </w:pPr>
      <w:r w:rsidRPr="00B57ABF">
        <w:rPr>
          <w:rFonts w:ascii="Syntax LT CE" w:hAnsi="Syntax LT CE"/>
          <w:i/>
        </w:rPr>
        <w:t>Další studijní literatura bude uváděna vždy současně se zadáním na jednotlivé semináře, ste</w:t>
      </w:r>
      <w:r>
        <w:rPr>
          <w:rFonts w:ascii="Syntax LT CE" w:hAnsi="Syntax LT CE"/>
          <w:i/>
        </w:rPr>
        <w:t>j</w:t>
      </w:r>
      <w:r w:rsidRPr="00B57ABF">
        <w:rPr>
          <w:rFonts w:ascii="Syntax LT CE" w:hAnsi="Syntax LT CE"/>
          <w:i/>
        </w:rPr>
        <w:t xml:space="preserve">ně tak jako odkazy na další relevantní internetové </w:t>
      </w:r>
      <w:r>
        <w:rPr>
          <w:rFonts w:ascii="Syntax LT CE" w:hAnsi="Syntax LT CE"/>
          <w:i/>
        </w:rPr>
        <w:t>zdroje</w:t>
      </w:r>
      <w:r w:rsidRPr="00B57ABF">
        <w:rPr>
          <w:rFonts w:ascii="Syntax LT CE" w:hAnsi="Syntax LT CE"/>
          <w:i/>
        </w:rPr>
        <w:t>.</w:t>
      </w:r>
    </w:p>
    <w:sectPr w:rsidR="00386F6D" w:rsidRPr="004E3B1A" w:rsidSect="0080782C">
      <w:footerReference w:type="default" r:id="rId10"/>
      <w:headerReference w:type="first" r:id="rId11"/>
      <w:footerReference w:type="first" r:id="rId12"/>
      <w:pgSz w:w="11906" w:h="16838" w:code="9"/>
      <w:pgMar w:top="1418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4DA" w:rsidRDefault="006E74DA">
      <w:pPr>
        <w:spacing w:after="0" w:line="240" w:lineRule="auto"/>
      </w:pPr>
      <w:r>
        <w:separator/>
      </w:r>
    </w:p>
  </w:endnote>
  <w:endnote w:type="continuationSeparator" w:id="0">
    <w:p w:rsidR="006E74DA" w:rsidRDefault="006E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Syntax LT CE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B30" w:rsidRPr="00CC2597" w:rsidRDefault="00661B30" w:rsidP="00661B30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83043B2" wp14:editId="7EA1DB2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661B30" w:rsidRPr="00CC2597" w:rsidRDefault="00661B30" w:rsidP="00661B30">
    <w:pPr>
      <w:pStyle w:val="Zpat"/>
      <w:rPr>
        <w:rFonts w:cs="Arial"/>
        <w:sz w:val="16"/>
        <w:szCs w:val="16"/>
      </w:rPr>
    </w:pP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211F80" w:rsidRPr="00661B30" w:rsidRDefault="00661B30" w:rsidP="00661B30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E7E73">
      <w:rPr>
        <w:noProof/>
      </w:rPr>
      <w:t>2</w:t>
    </w:r>
    <w:r>
      <w:fldChar w:fldCharType="end"/>
    </w:r>
    <w:r>
      <w:t>/</w:t>
    </w:r>
    <w:fldSimple w:instr=" SECTIONPAGES   \* MERGEFORMAT ">
      <w:r w:rsidR="00D0312B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CFDC8CF" wp14:editId="4F0D747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8E6DEE" w:rsidRPr="005D1F84">
      <w:rPr>
        <w:rFonts w:cs="Arial"/>
        <w:szCs w:val="16"/>
      </w:rPr>
      <w:t>Právnická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E7E73">
      <w:rPr>
        <w:noProof/>
      </w:rPr>
      <w:t>1</w:t>
    </w:r>
    <w:r>
      <w:fldChar w:fldCharType="end"/>
    </w:r>
    <w:r>
      <w:t>/</w:t>
    </w:r>
    <w:r w:rsidR="006E74DA">
      <w:rPr>
        <w:noProof/>
      </w:rPr>
      <w:fldChar w:fldCharType="begin"/>
    </w:r>
    <w:r w:rsidR="006E74DA">
      <w:rPr>
        <w:noProof/>
      </w:rPr>
      <w:instrText xml:space="preserve"> SECTIONPAGES   \* MERGEFORMAT </w:instrText>
    </w:r>
    <w:r w:rsidR="006E74DA">
      <w:rPr>
        <w:noProof/>
      </w:rPr>
      <w:fldChar w:fldCharType="separate"/>
    </w:r>
    <w:r w:rsidR="00D0312B">
      <w:rPr>
        <w:noProof/>
      </w:rPr>
      <w:t>3</w:t>
    </w:r>
    <w:r w:rsidR="006E74DA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4DA" w:rsidRDefault="006E74DA">
      <w:pPr>
        <w:spacing w:after="0" w:line="240" w:lineRule="auto"/>
      </w:pPr>
      <w:r>
        <w:separator/>
      </w:r>
    </w:p>
  </w:footnote>
  <w:footnote w:type="continuationSeparator" w:id="0">
    <w:p w:rsidR="006E74DA" w:rsidRDefault="006E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1" layoutInCell="1" allowOverlap="1" wp14:anchorId="57EE1828" wp14:editId="64219803">
          <wp:simplePos x="0" y="0"/>
          <wp:positionH relativeFrom="page">
            <wp:posOffset>523875</wp:posOffset>
          </wp:positionH>
          <wp:positionV relativeFrom="page">
            <wp:posOffset>504825</wp:posOffset>
          </wp:positionV>
          <wp:extent cx="287591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0F1"/>
    <w:multiLevelType w:val="hybridMultilevel"/>
    <w:tmpl w:val="DB943E02"/>
    <w:lvl w:ilvl="0" w:tplc="1F24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306AF"/>
    <w:rsid w:val="00040578"/>
    <w:rsid w:val="00042835"/>
    <w:rsid w:val="00086D29"/>
    <w:rsid w:val="000A5AD7"/>
    <w:rsid w:val="000C6547"/>
    <w:rsid w:val="001300AC"/>
    <w:rsid w:val="00142099"/>
    <w:rsid w:val="00150B9D"/>
    <w:rsid w:val="00152F82"/>
    <w:rsid w:val="001A3A41"/>
    <w:rsid w:val="001A7E64"/>
    <w:rsid w:val="001B30EC"/>
    <w:rsid w:val="001D2B72"/>
    <w:rsid w:val="00211F80"/>
    <w:rsid w:val="00221B36"/>
    <w:rsid w:val="00227BC5"/>
    <w:rsid w:val="00247E5F"/>
    <w:rsid w:val="00267BDC"/>
    <w:rsid w:val="002A469F"/>
    <w:rsid w:val="002B6D09"/>
    <w:rsid w:val="002C0A32"/>
    <w:rsid w:val="002C33A9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F2066"/>
    <w:rsid w:val="004067DE"/>
    <w:rsid w:val="00413EB0"/>
    <w:rsid w:val="0042387A"/>
    <w:rsid w:val="00466430"/>
    <w:rsid w:val="00486A06"/>
    <w:rsid w:val="004B5E58"/>
    <w:rsid w:val="004D1997"/>
    <w:rsid w:val="004E3B1A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61B30"/>
    <w:rsid w:val="0067390A"/>
    <w:rsid w:val="0068214E"/>
    <w:rsid w:val="006A39DF"/>
    <w:rsid w:val="006C4A7C"/>
    <w:rsid w:val="006D0AE9"/>
    <w:rsid w:val="006E74DA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0054"/>
    <w:rsid w:val="0079758E"/>
    <w:rsid w:val="007C738C"/>
    <w:rsid w:val="007D77E7"/>
    <w:rsid w:val="0080782C"/>
    <w:rsid w:val="00815CE1"/>
    <w:rsid w:val="00824279"/>
    <w:rsid w:val="008300B3"/>
    <w:rsid w:val="008640E6"/>
    <w:rsid w:val="008758CC"/>
    <w:rsid w:val="008A1753"/>
    <w:rsid w:val="008B5304"/>
    <w:rsid w:val="008C04D0"/>
    <w:rsid w:val="008C26F1"/>
    <w:rsid w:val="008E6DEE"/>
    <w:rsid w:val="0093108E"/>
    <w:rsid w:val="00935080"/>
    <w:rsid w:val="00947932"/>
    <w:rsid w:val="009929DF"/>
    <w:rsid w:val="00993F65"/>
    <w:rsid w:val="00A02235"/>
    <w:rsid w:val="00A07100"/>
    <w:rsid w:val="00A27490"/>
    <w:rsid w:val="00A35747"/>
    <w:rsid w:val="00A63644"/>
    <w:rsid w:val="00A93690"/>
    <w:rsid w:val="00AC2D36"/>
    <w:rsid w:val="00AC6B6B"/>
    <w:rsid w:val="00B41B4F"/>
    <w:rsid w:val="00B43F1E"/>
    <w:rsid w:val="00C06373"/>
    <w:rsid w:val="00C20847"/>
    <w:rsid w:val="00C44C72"/>
    <w:rsid w:val="00C86993"/>
    <w:rsid w:val="00CA321A"/>
    <w:rsid w:val="00CA6840"/>
    <w:rsid w:val="00CC2597"/>
    <w:rsid w:val="00CC48E7"/>
    <w:rsid w:val="00CE5D2D"/>
    <w:rsid w:val="00D0312B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70DB"/>
    <w:rsid w:val="00FA10BD"/>
    <w:rsid w:val="00FC2768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01562"/>
  <w15:docId w15:val="{6403A49A-6935-4EBA-9F36-ED9B4C0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8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qFormat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8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80782C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82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zevSyntaxLTCEBlack">
    <w:name w:val="Název + Syntax LT CE Black"/>
    <w:aliases w:val="22 b.,Tučné,Podtržení,Před:  3 b.,Za:  3 b.,..."/>
    <w:basedOn w:val="Normln"/>
    <w:rsid w:val="0080782C"/>
    <w:pPr>
      <w:tabs>
        <w:tab w:val="left" w:pos="340"/>
      </w:tabs>
      <w:spacing w:before="60" w:after="60" w:line="240" w:lineRule="auto"/>
      <w:jc w:val="both"/>
    </w:pPr>
    <w:rPr>
      <w:rFonts w:ascii="Book Antiqua" w:eastAsia="Times New Roman" w:hAnsi="Book Antiqua" w:cs="Times New Roman"/>
      <w:b/>
      <w:u w:val="single"/>
      <w:lang w:eastAsia="cs-CZ"/>
    </w:rPr>
  </w:style>
  <w:style w:type="table" w:styleId="Mkatabulky">
    <w:name w:val="Table Grid"/>
    <w:basedOn w:val="Normlntabulka"/>
    <w:rsid w:val="008078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ou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vcr.cz/o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3C9B-0C33-4FE4-B0C7-93ED1AE4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PVP-PUS</dc:title>
  <dc:creator>JUDr. Stanislav Kadečka, Ph.D., advokát</dc:creator>
  <cp:lastModifiedBy>Stanislav Kadečka</cp:lastModifiedBy>
  <cp:revision>3</cp:revision>
  <cp:lastPrinted>2017-09-24T06:10:00Z</cp:lastPrinted>
  <dcterms:created xsi:type="dcterms:W3CDTF">2018-09-17T18:05:00Z</dcterms:created>
  <dcterms:modified xsi:type="dcterms:W3CDTF">2018-09-17T18:12:00Z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