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E252E9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A42A6D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E252E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E252E9">
        <w:rPr>
          <w:rFonts w:ascii="Garamond" w:hAnsi="Garamond"/>
          <w:sz w:val="24"/>
        </w:rPr>
      </w:r>
      <w:r w:rsidR="00E252E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E252E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E252E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E252E9">
        <w:rPr>
          <w:rFonts w:ascii="Garamond" w:hAnsi="Garamond"/>
          <w:sz w:val="24"/>
        </w:rPr>
      </w:r>
      <w:r w:rsidR="00E252E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E252E9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A42A6D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E252E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E252E9">
        <w:rPr>
          <w:rFonts w:ascii="Garamond" w:hAnsi="Garamond"/>
          <w:sz w:val="24"/>
        </w:rPr>
      </w:r>
      <w:r w:rsidR="00E252E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E252E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E252E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E252E9">
        <w:rPr>
          <w:rFonts w:ascii="Garamond" w:hAnsi="Garamond"/>
          <w:sz w:val="24"/>
        </w:rPr>
      </w:r>
      <w:r w:rsidR="00E252E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E252E9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E252E9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E252E9" w:rsidRPr="00E227F5">
        <w:rPr>
          <w:rFonts w:ascii="Garamond" w:hAnsi="Garamond"/>
          <w:sz w:val="24"/>
          <w:szCs w:val="24"/>
        </w:rPr>
      </w:r>
      <w:r w:rsidR="00E252E9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E252E9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96417B" w:rsidRPr="0096417B" w:rsidRDefault="0096417B" w:rsidP="0096417B">
      <w:pPr>
        <w:spacing w:after="120"/>
        <w:jc w:val="both"/>
        <w:rPr>
          <w:rFonts w:ascii="Garamond" w:hAnsi="Garamond"/>
          <w:sz w:val="24"/>
          <w:szCs w:val="24"/>
        </w:rPr>
      </w:pPr>
      <w:r w:rsidRPr="0096417B">
        <w:rPr>
          <w:rFonts w:ascii="Garamond" w:hAnsi="Garamond"/>
          <w:sz w:val="24"/>
          <w:szCs w:val="24"/>
        </w:rPr>
        <w:t>Soud vydává tuto dražební vyhlášku:</w:t>
      </w:r>
    </w:p>
    <w:p w:rsidR="0096417B" w:rsidRDefault="0096417B" w:rsidP="0096417B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Dražební jednání</w:t>
      </w:r>
      <w:r w:rsidR="00D7388E">
        <w:rPr>
          <w:rFonts w:ascii="Garamond" w:hAnsi="Garamond"/>
          <w:sz w:val="24"/>
          <w:szCs w:val="24"/>
        </w:rPr>
        <w:t xml:space="preserve"> pořadové číslo</w:t>
      </w:r>
      <w:r>
        <w:rPr>
          <w:rFonts w:ascii="Garamond" w:hAnsi="Garamond"/>
          <w:sz w:val="24"/>
          <w:szCs w:val="24"/>
        </w:rPr>
        <w:t xml:space="preserve">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" w:name="Text77"/>
      <w:r w:rsidR="00D7388E"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4"/>
      <w:r w:rsidR="00D738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</w:t>
      </w:r>
      <w:r w:rsidR="00CB4CFC" w:rsidRPr="00CB4CFC">
        <w:rPr>
          <w:rFonts w:ascii="Garamond" w:hAnsi="Garamond"/>
          <w:sz w:val="24"/>
          <w:szCs w:val="24"/>
        </w:rPr>
        <w:t xml:space="preserve"> nařizuje </w:t>
      </w:r>
      <w:r>
        <w:rPr>
          <w:rFonts w:ascii="Garamond" w:hAnsi="Garamond"/>
          <w:sz w:val="24"/>
          <w:szCs w:val="24"/>
        </w:rPr>
        <w:t xml:space="preserve">na den </w:t>
      </w:r>
      <w:r w:rsidR="00E252E9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E252E9" w:rsidRPr="0096417B">
        <w:rPr>
          <w:rFonts w:ascii="Garamond" w:hAnsi="Garamond"/>
          <w:b/>
          <w:sz w:val="24"/>
          <w:szCs w:val="24"/>
        </w:rPr>
      </w:r>
      <w:r w:rsidR="00E252E9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E252E9" w:rsidRPr="0096417B">
        <w:rPr>
          <w:rFonts w:ascii="Garamond" w:hAnsi="Garamond"/>
          <w:b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v </w:t>
      </w:r>
      <w:r w:rsidR="00E252E9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E252E9" w:rsidRPr="0096417B">
        <w:rPr>
          <w:rFonts w:ascii="Garamond" w:hAnsi="Garamond"/>
          <w:b/>
          <w:sz w:val="24"/>
          <w:szCs w:val="24"/>
        </w:rPr>
      </w:r>
      <w:r w:rsidR="00E252E9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E252E9" w:rsidRPr="0096417B">
        <w:rPr>
          <w:rFonts w:ascii="Garamond" w:hAnsi="Garamond"/>
          <w:b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 xml:space="preserve"> hodin v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default w:val="(místo jednání)"/>
            </w:textInput>
          </w:ffData>
        </w:fldChar>
      </w:r>
      <w:bookmarkStart w:id="7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(místo jednání)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7"/>
    </w:p>
    <w:p w:rsidR="00BB3B35" w:rsidRDefault="0096417B" w:rsidP="002A219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2"/>
          <w:szCs w:val="22"/>
        </w:rPr>
      </w:pPr>
      <w:r w:rsidRPr="0096417B">
        <w:rPr>
          <w:rFonts w:ascii="Garamond" w:hAnsi="Garamond"/>
          <w:b/>
          <w:sz w:val="22"/>
          <w:szCs w:val="22"/>
        </w:rPr>
        <w:t xml:space="preserve">Upozornění: </w:t>
      </w:r>
      <w:r w:rsidRPr="0096417B">
        <w:rPr>
          <w:rFonts w:ascii="Garamond" w:hAnsi="Garamond"/>
          <w:sz w:val="22"/>
          <w:szCs w:val="22"/>
        </w:rPr>
        <w:t>V případě, že jste osobou s omezenou schopností pohybu, orientace či komunikace, dovolujeme si Vás požádat o sdělení této skutečnosti (např. telefonicky, e-mailem, datovou schránkou, atd.) ve lhůtě 3 dnů ode dne doručení tohoto usnesení. Důvodem námi požadovaného sdělení je zajištění vyššího komfortu zdravotně handicapovaným osobám (např. sdělením našeho soudu o možnostech pohybu po budově soudu).</w:t>
      </w:r>
    </w:p>
    <w:p w:rsidR="0096417B" w:rsidRPr="0096417B" w:rsidRDefault="00D7388E" w:rsidP="002A219B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D7388E">
        <w:rPr>
          <w:rFonts w:ascii="Garamond" w:hAnsi="Garamond"/>
          <w:sz w:val="24"/>
          <w:szCs w:val="24"/>
        </w:rPr>
        <w:t xml:space="preserve">Draženy budou </w:t>
      </w:r>
      <w:r>
        <w:rPr>
          <w:rFonts w:ascii="Garamond" w:hAnsi="Garamond"/>
          <w:sz w:val="24"/>
          <w:szCs w:val="24"/>
        </w:rPr>
        <w:t>nemovité věci/</w:t>
      </w:r>
      <w:r w:rsidR="00151EA9">
        <w:rPr>
          <w:rFonts w:ascii="Garamond" w:hAnsi="Garamond"/>
          <w:sz w:val="24"/>
          <w:szCs w:val="24"/>
        </w:rPr>
        <w:t>spoluvlastnick</w:t>
      </w:r>
      <w:r w:rsidR="00951134">
        <w:rPr>
          <w:rFonts w:ascii="Garamond" w:hAnsi="Garamond"/>
          <w:sz w:val="24"/>
          <w:szCs w:val="24"/>
        </w:rPr>
        <w:t>ý</w:t>
      </w:r>
      <w:r w:rsidR="00151EA9">
        <w:rPr>
          <w:rFonts w:ascii="Garamond" w:hAnsi="Garamond"/>
          <w:sz w:val="24"/>
          <w:szCs w:val="24"/>
        </w:rPr>
        <w:t xml:space="preserve"> podíl </w:t>
      </w:r>
      <w:r w:rsidR="00151EA9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" w:name="Text82"/>
      <w:r w:rsidR="00151EA9">
        <w:rPr>
          <w:rFonts w:ascii="Garamond" w:hAnsi="Garamond"/>
          <w:sz w:val="24"/>
          <w:szCs w:val="24"/>
        </w:rPr>
        <w:instrText xml:space="preserve"> FORMTEXT </w:instrText>
      </w:r>
      <w:r w:rsidR="00151EA9">
        <w:rPr>
          <w:rFonts w:ascii="Garamond" w:hAnsi="Garamond"/>
          <w:sz w:val="24"/>
          <w:szCs w:val="24"/>
        </w:rPr>
      </w:r>
      <w:r w:rsidR="00151EA9">
        <w:rPr>
          <w:rFonts w:ascii="Garamond" w:hAnsi="Garamond"/>
          <w:sz w:val="24"/>
          <w:szCs w:val="24"/>
        </w:rPr>
        <w:fldChar w:fldCharType="separate"/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sz w:val="24"/>
          <w:szCs w:val="24"/>
        </w:rPr>
        <w:fldChar w:fldCharType="end"/>
      </w:r>
      <w:bookmarkEnd w:id="8"/>
      <w:r w:rsidR="00951134">
        <w:rPr>
          <w:rFonts w:ascii="Garamond" w:hAnsi="Garamond"/>
          <w:sz w:val="24"/>
          <w:szCs w:val="24"/>
        </w:rPr>
        <w:t xml:space="preserve"> na nemovitých věcech</w:t>
      </w:r>
      <w:r w:rsidRPr="00D7388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 to</w:t>
      </w:r>
    </w:p>
    <w:p w:rsidR="00151EA9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/byt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 w:rsidRPr="00F02BE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umístěný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0"/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1" w:name="Text63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95113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151EA9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/nebytový prostor/prostor určený k podnikání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, </w:t>
      </w:r>
      <w:r w:rsidRPr="00500819">
        <w:rPr>
          <w:rFonts w:ascii="Garamond" w:hAnsi="Garamond"/>
          <w:sz w:val="24"/>
          <w:szCs w:val="24"/>
        </w:rPr>
        <w:t>umístěn</w:t>
      </w:r>
      <w:r>
        <w:rPr>
          <w:rFonts w:ascii="Garamond" w:hAnsi="Garamond"/>
          <w:sz w:val="24"/>
          <w:szCs w:val="24"/>
        </w:rPr>
        <w:t>ý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95113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151EA9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poluvlastnický podíl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2" w:name="Text64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95113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151EA9" w:rsidRPr="00F02BE1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poluvlastnický podíl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číslo </w:t>
      </w:r>
      <w:r>
        <w:rPr>
          <w:rFonts w:ascii="Garamond" w:hAnsi="Garamond"/>
          <w:sz w:val="24"/>
          <w:szCs w:val="24"/>
        </w:rPr>
        <w:t>evidenční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95113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151EA9" w:rsidRPr="00F02BE1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poluvlastnický podíl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využívané jako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95113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151EA9" w:rsidRPr="000C3005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/spoluvlastnick</w:t>
      </w:r>
      <w:r>
        <w:rPr>
          <w:rFonts w:ascii="Garamond" w:hAnsi="Garamond"/>
          <w:sz w:val="24"/>
          <w:szCs w:val="24"/>
        </w:rPr>
        <w:t>ý podíl</w:t>
      </w:r>
      <w:r w:rsidRPr="000C3005">
        <w:rPr>
          <w:rFonts w:ascii="Garamond" w:hAnsi="Garamond"/>
          <w:sz w:val="24"/>
          <w:szCs w:val="24"/>
        </w:rPr>
        <w:t xml:space="preserve"> ve výši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</w:t>
      </w:r>
      <w:r w:rsidR="00951134">
        <w:rPr>
          <w:rFonts w:ascii="Garamond" w:hAnsi="Garamond"/>
          <w:sz w:val="24"/>
          <w:szCs w:val="24"/>
        </w:rPr>
        <w:t> </w:t>
      </w:r>
      <w:r w:rsidRPr="000C3005">
        <w:rPr>
          <w:rFonts w:ascii="Garamond" w:hAnsi="Garamond"/>
          <w:sz w:val="24"/>
          <w:szCs w:val="24"/>
        </w:rPr>
        <w:t>pozemku</w:t>
      </w:r>
      <w:r w:rsidR="00951134">
        <w:rPr>
          <w:rFonts w:ascii="Garamond" w:hAnsi="Garamond"/>
          <w:sz w:val="24"/>
          <w:szCs w:val="24"/>
        </w:rPr>
        <w:t xml:space="preserve"> pozemkové</w:t>
      </w:r>
      <w:r w:rsidRPr="000C3005">
        <w:rPr>
          <w:rFonts w:ascii="Garamond" w:hAnsi="Garamond"/>
          <w:sz w:val="24"/>
          <w:szCs w:val="24"/>
        </w:rPr>
        <w:t xml:space="preserve">/stavební parcele číslo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3" w:name="Text53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3"/>
      <w:r w:rsidRPr="000C3005">
        <w:rPr>
          <w:rFonts w:ascii="Garamond" w:hAnsi="Garamond"/>
          <w:sz w:val="24"/>
          <w:szCs w:val="24"/>
        </w:rPr>
        <w:t xml:space="preserve"> v katastrálním území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4" w:name="Text54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4"/>
      <w:r w:rsidRPr="000C3005">
        <w:rPr>
          <w:rFonts w:ascii="Garamond" w:hAnsi="Garamond"/>
          <w:sz w:val="24"/>
          <w:szCs w:val="24"/>
        </w:rPr>
        <w:t>,</w:t>
      </w:r>
    </w:p>
    <w:p w:rsidR="00D7388E" w:rsidRPr="00F02BE1" w:rsidRDefault="00151EA9" w:rsidP="00151EA9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/spoluvlastnick</w:t>
      </w:r>
      <w:r>
        <w:rPr>
          <w:rFonts w:ascii="Garamond" w:hAnsi="Garamond"/>
          <w:sz w:val="24"/>
          <w:szCs w:val="24"/>
        </w:rPr>
        <w:t>ý podíl</w:t>
      </w:r>
      <w:r w:rsidRPr="000C3005">
        <w:rPr>
          <w:rFonts w:ascii="Garamond" w:hAnsi="Garamond"/>
          <w:sz w:val="24"/>
          <w:szCs w:val="24"/>
        </w:rPr>
        <w:t xml:space="preserve"> ve výši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pozemku parcele číslo</w:t>
      </w:r>
      <w:r w:rsidR="00951134">
        <w:rPr>
          <w:rFonts w:ascii="Garamond" w:hAnsi="Garamond"/>
          <w:sz w:val="24"/>
          <w:szCs w:val="24"/>
        </w:rPr>
        <w:t xml:space="preserve"> </w:t>
      </w:r>
      <w:proofErr w:type="gramStart"/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5" w:name="Text109"/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5"/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</w:t>
      </w:r>
      <w:r w:rsidRPr="000C3005">
        <w:rPr>
          <w:rFonts w:ascii="Garamond" w:hAnsi="Garamond"/>
          <w:sz w:val="24"/>
          <w:szCs w:val="24"/>
        </w:rPr>
        <w:t xml:space="preserve"> </w:t>
      </w:r>
      <w:r w:rsidR="00951134">
        <w:rPr>
          <w:rFonts w:ascii="Garamond" w:hAnsi="Garamond"/>
          <w:sz w:val="24"/>
          <w:szCs w:val="24"/>
        </w:rPr>
        <w:t>původ</w:t>
      </w:r>
      <w:proofErr w:type="gramEnd"/>
      <w:r w:rsidRPr="000C3005">
        <w:rPr>
          <w:rFonts w:ascii="Garamond" w:hAnsi="Garamond"/>
          <w:sz w:val="24"/>
          <w:szCs w:val="24"/>
        </w:rPr>
        <w:t xml:space="preserve"> pozemkov</w:t>
      </w:r>
      <w:r w:rsidR="00951134">
        <w:rPr>
          <w:rFonts w:ascii="Garamond" w:hAnsi="Garamond"/>
          <w:sz w:val="24"/>
          <w:szCs w:val="24"/>
        </w:rPr>
        <w:t>ý</w:t>
      </w:r>
      <w:r w:rsidRPr="000C3005">
        <w:rPr>
          <w:rFonts w:ascii="Garamond" w:hAnsi="Garamond"/>
          <w:sz w:val="24"/>
          <w:szCs w:val="24"/>
        </w:rPr>
        <w:t xml:space="preserve"> katastr/přídělov</w:t>
      </w:r>
      <w:r w:rsidR="00951134">
        <w:rPr>
          <w:rFonts w:ascii="Garamond" w:hAnsi="Garamond"/>
          <w:sz w:val="24"/>
          <w:szCs w:val="24"/>
        </w:rPr>
        <w:t>ý</w:t>
      </w:r>
      <w:r w:rsidRPr="000C3005">
        <w:rPr>
          <w:rFonts w:ascii="Garamond" w:hAnsi="Garamond"/>
          <w:sz w:val="24"/>
          <w:szCs w:val="24"/>
        </w:rPr>
        <w:t xml:space="preserve"> operát/scelovací operát, evidovaného zjednodušeným způsobem v katastrálním území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6" w:name="Text56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6"/>
      <w:r w:rsidRPr="000C3005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7" w:name="Text57"/>
      <w:r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17"/>
      <w:r w:rsidRPr="00F02BE1">
        <w:rPr>
          <w:rFonts w:ascii="Garamond" w:hAnsi="Garamond"/>
          <w:sz w:val="24"/>
          <w:szCs w:val="24"/>
        </w:rPr>
        <w:t>,</w:t>
      </w:r>
    </w:p>
    <w:p w:rsidR="00D7388E" w:rsidRDefault="00D7388E" w:rsidP="00D7388E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vše zapsané</w:t>
      </w:r>
      <w:r w:rsidRPr="00F02BE1">
        <w:rPr>
          <w:rFonts w:ascii="Garamond" w:hAnsi="Garamond"/>
          <w:sz w:val="24"/>
          <w:szCs w:val="24"/>
        </w:rPr>
        <w:t xml:space="preserve"> na listu vlastnictví č.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8" w:name="Text58"/>
      <w:r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18"/>
      <w:r w:rsidRPr="00F02BE1">
        <w:rPr>
          <w:rFonts w:ascii="Garamond" w:hAnsi="Garamond"/>
          <w:sz w:val="24"/>
          <w:szCs w:val="24"/>
        </w:rPr>
        <w:t xml:space="preserve"> u Katastrálního úřadu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9" w:name="Text59"/>
      <w:r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19"/>
      <w:r w:rsidR="00951134">
        <w:rPr>
          <w:rFonts w:ascii="Garamond" w:hAnsi="Garamond"/>
          <w:sz w:val="24"/>
          <w:szCs w:val="24"/>
        </w:rPr>
        <w:t xml:space="preserve">, Katastrálního pracoviště 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F02BE1">
        <w:rPr>
          <w:rFonts w:ascii="Garamond" w:hAnsi="Garamond"/>
          <w:sz w:val="24"/>
          <w:szCs w:val="24"/>
        </w:rPr>
        <w:t xml:space="preserve"> pro katastrální území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0" w:name="Text60"/>
      <w:r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20"/>
      <w:r w:rsidRPr="00F02BE1">
        <w:rPr>
          <w:rFonts w:ascii="Garamond" w:hAnsi="Garamond"/>
          <w:sz w:val="24"/>
          <w:szCs w:val="24"/>
        </w:rPr>
        <w:t xml:space="preserve"> a obec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21"/>
      <w:r w:rsidR="00151EA9">
        <w:rPr>
          <w:rFonts w:ascii="Garamond" w:hAnsi="Garamond"/>
          <w:sz w:val="24"/>
          <w:szCs w:val="24"/>
        </w:rPr>
        <w:t xml:space="preserve"> (dále jen nemovité věci),</w:t>
      </w:r>
    </w:p>
    <w:p w:rsidR="00D7388E" w:rsidRDefault="00151EA9" w:rsidP="00D7388E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D7388E" w:rsidRPr="00D7388E">
        <w:rPr>
          <w:rFonts w:ascii="Garamond" w:hAnsi="Garamond"/>
          <w:sz w:val="24"/>
          <w:szCs w:val="24"/>
        </w:rPr>
        <w:t>jejich příslušenství, které tvoří</w:t>
      </w:r>
      <w:r w:rsidR="00D7388E">
        <w:rPr>
          <w:rFonts w:ascii="Garamond" w:hAnsi="Garamond"/>
          <w:sz w:val="24"/>
          <w:szCs w:val="24"/>
        </w:rPr>
        <w:t xml:space="preserve"> </w:t>
      </w:r>
      <w:r w:rsidR="00E252E9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2" w:name="Text79"/>
      <w:r w:rsidR="00D7388E">
        <w:rPr>
          <w:rFonts w:ascii="Garamond" w:hAnsi="Garamond"/>
          <w:sz w:val="24"/>
          <w:szCs w:val="24"/>
        </w:rPr>
        <w:instrText xml:space="preserve"> FORMTEXT </w:instrText>
      </w:r>
      <w:r w:rsidR="00E252E9">
        <w:rPr>
          <w:rFonts w:ascii="Garamond" w:hAnsi="Garamond"/>
          <w:sz w:val="24"/>
          <w:szCs w:val="24"/>
        </w:rPr>
      </w:r>
      <w:r w:rsidR="00E252E9"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E252E9">
        <w:rPr>
          <w:rFonts w:ascii="Garamond" w:hAnsi="Garamond"/>
          <w:sz w:val="24"/>
          <w:szCs w:val="24"/>
        </w:rPr>
        <w:fldChar w:fldCharType="end"/>
      </w:r>
      <w:bookmarkEnd w:id="22"/>
      <w:r w:rsidR="00D7388E">
        <w:rPr>
          <w:rFonts w:ascii="Garamond" w:hAnsi="Garamond"/>
          <w:sz w:val="24"/>
          <w:szCs w:val="24"/>
        </w:rPr>
        <w:t>.</w:t>
      </w:r>
    </w:p>
    <w:p w:rsid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lastRenderedPageBreak/>
        <w:t>Výsledná cena nemovitých věcí byla určena ve výši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3" w:name="Text80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3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D7388E" w:rsidRP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Nejnižší podání se stanoví ve výši </w:t>
      </w:r>
      <w:r w:rsidR="00E252E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4" w:name="Text70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="00E252E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4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 Kč.</w:t>
      </w:r>
    </w:p>
    <w:p w:rsidR="0096417B" w:rsidRPr="0096417B" w:rsidRDefault="0096417B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Jistota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stanoví ve výši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5" w:name="Text7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5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96417B" w:rsidRDefault="0096417B" w:rsidP="002A219B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Jistotu lze zaplatit v hotovosti do pokladny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6" w:name="Text7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6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soudu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7" w:name="Text73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7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 době od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8" w:name="Text74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8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 do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9" w:name="Text75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9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nebo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na účet soudu v bance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0" w:name="Text7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0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; k jistotě zaplacené tímto způsobem lze přihlédnout jen tehdy, bude-li před zahájením dražebního jednání zjištěno, že došla na účet soudu.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Zaplacení jistoty se nevyžaduje.</w:t>
      </w:r>
    </w:p>
    <w:p w:rsidR="0096417B" w:rsidRDefault="00D7388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Prodej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em nemovitých věcí nezaniknou ta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to práva: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1" w:name="Text8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252E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1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6A732E" w:rsidRDefault="006A732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Vydražitel je oprávněn převzít vydraženou nemovitou věc s příslušenstvím dnem následujícím po doplacení nejvyššího podání, nejdříve však po uplynutí lhůty podle § 336ja odst. 1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zák. č. 99/1963 Sb., občanský soudní řád – dále jen „</w:t>
      </w:r>
      <w:proofErr w:type="gramStart"/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>o.s.</w:t>
      </w:r>
      <w:proofErr w:type="gramEnd"/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>ř.“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. Vydražitel se stane vlastníkem vydražené nemovité věci s příslušenstvím, nabude-li usnesení o příklepu právní moci a zaplatí-li nejvyšší podání, a to ke dni vydání usnesení o příklepu.</w:t>
      </w:r>
    </w:p>
    <w:p w:rsidR="006A732E" w:rsidRDefault="006A732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Soud vyzývá </w:t>
      </w:r>
    </w:p>
    <w:p w:rsidR="002A219B" w:rsidRDefault="006A732E" w:rsidP="006A732E">
      <w:pPr>
        <w:pStyle w:val="Odstavecseseznamem"/>
        <w:widowControl/>
        <w:numPr>
          <w:ilvl w:val="1"/>
          <w:numId w:val="28"/>
        </w:numPr>
        <w:tabs>
          <w:tab w:val="left" w:pos="4820"/>
          <w:tab w:val="left" w:pos="6521"/>
        </w:tabs>
        <w:spacing w:after="120"/>
        <w:ind w:left="851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každého, kdo má právo, které nepřipouští dražbu (§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267), aby je uplatnil u soudu a aby takové uplatnění práva prokázal nejpozději před zahájením dražebního jednání, s upozorněním, že jinak k jeho právu nebude při provedení výkonu rozhodnutí přihlíženo,</w:t>
      </w:r>
    </w:p>
    <w:p w:rsidR="006A732E" w:rsidRDefault="006A732E" w:rsidP="006A732E">
      <w:pPr>
        <w:pStyle w:val="Odstavecseseznamem"/>
        <w:widowControl/>
        <w:numPr>
          <w:ilvl w:val="1"/>
          <w:numId w:val="28"/>
        </w:numPr>
        <w:tabs>
          <w:tab w:val="left" w:pos="4820"/>
          <w:tab w:val="left" w:pos="6521"/>
        </w:tabs>
        <w:spacing w:after="120"/>
        <w:ind w:left="851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každého, kdo má k nemovité věci nájemní či </w:t>
      </w:r>
      <w:proofErr w:type="spellStart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pachtovní</w:t>
      </w:r>
      <w:proofErr w:type="spellEnd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právo, výměnek nebo věcné břemeno nezapsané v katastru nemovitostí, které není uvedeno v dražební vyhlášc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e, nejde-li o nájemce bytu, výmě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nkáře, je-li součástí výměnku právo bydlení nebo oprávněného z věcného břemene bydlení, aby takové právo soudu oznámil a doložil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listinami, jinak takové právo zanikne příklepem nebo v případě zemědělského pachtu koncem </w:t>
      </w:r>
      <w:proofErr w:type="spellStart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pachtovního</w:t>
      </w:r>
      <w:proofErr w:type="spellEnd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roku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6A732E" w:rsidRDefault="00FF5987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a další věřitelé </w:t>
      </w:r>
      <w:r w:rsidR="00A42A6D">
        <w:rPr>
          <w:rFonts w:ascii="Garamond" w:eastAsia="Calibri" w:hAnsi="Garamond"/>
          <w:color w:val="000000"/>
          <w:sz w:val="24"/>
          <w:szCs w:val="24"/>
          <w:lang w:eastAsia="en-US"/>
        </w:rPr>
        <w:t>povinného/povinné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mohou domáhat uspokojení jiných vymahatelných pohledávek nebo pohledávek zajištěných zástavním právem, než pro které byl nařízen výkon rozhodnutí, jestliže je přihlásí nejpozději do zahájení dražebního jednání a přihláška bude obsahovat náležitosti podle § 336f odst. 2 a 3.</w:t>
      </w:r>
      <w:r w:rsid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 přihlášce, v níž nebude uvedena výše pohledávky nebo jejího příslušenství, soud nebude přihlížet.</w:t>
      </w:r>
    </w:p>
    <w:p w:rsidR="006A732E" w:rsidRDefault="00FF5987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a další věřitelé</w:t>
      </w:r>
      <w:r w:rsidR="0095113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povinného/povinné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</w:t>
      </w:r>
      <w:r w:rsidR="00EA1DC9">
        <w:rPr>
          <w:rFonts w:ascii="Garamond" w:eastAsia="Calibri" w:hAnsi="Garamond"/>
          <w:color w:val="000000"/>
          <w:sz w:val="24"/>
          <w:szCs w:val="24"/>
          <w:lang w:eastAsia="en-US"/>
        </w:rPr>
        <w:t>povinný/povinná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mohou popřít přihlášené pohledávky co do jejich pravosti, výše, zařazení do skupiny a pořadí, a to nejpozději do 15 dnů ode dne zveřejnění oznámení podle § 336p odst. 1</w:t>
      </w:r>
      <w:r w:rsid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, nebo v téže lhůtě žádat, aby k rozvržení rozdělované podstaty bylo nařízeno jednání. K námitkám a žádosti o jednání učiněným později se nepřihlíží.</w:t>
      </w:r>
    </w:p>
    <w:p w:rsid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Dražiteli se připouští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nepřipouští, aby nejvyšší podání bylo doplaceno úvěrem se zřízením zástavního práva na vydražené nemovité věci.</w:t>
      </w:r>
    </w:p>
    <w:p w:rsid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Osoby, které mají k nemovité věci předkupní právo nebo výhradu zpětné koupě, je mohou uplatnit jen v dražbě jako dražitelé. Udělením příklepu předkupní právo nebo výhrada zpětné koupě zanikají, nejde-li o předkupní právo stavebníka k pozemku nebo vlastníka pozemku k právu stavby, předkupní právo vlastníka stavby k pozemku a vlastníka pozemku ke stavbě nebo zákonné předkupní právo, která udělením příklepu nezanikají.</w:t>
      </w:r>
    </w:p>
    <w:p w:rsidR="006A732E" w:rsidRP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Pozemek, na který se vztahuje nařízení výkonu rozhodnutí, je zatížen právem stavby, lze-li tuto skutečnost zjistit z veřejného seznamu.</w:t>
      </w:r>
    </w:p>
    <w:p w:rsidR="009032F3" w:rsidRDefault="0080574B" w:rsidP="009032F3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lastRenderedPageBreak/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  <w:bookmarkStart w:id="32" w:name="_GoBack"/>
      <w:bookmarkEnd w:id="32"/>
    </w:p>
    <w:p w:rsidR="003461F4" w:rsidRPr="00E227F5" w:rsidRDefault="002A219B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2A219B">
        <w:rPr>
          <w:rFonts w:ascii="Garamond" w:hAnsi="Garamond"/>
          <w:sz w:val="24"/>
          <w:szCs w:val="24"/>
        </w:rPr>
        <w:t xml:space="preserve">Proti tomuto usnesení </w:t>
      </w:r>
      <w:r>
        <w:rPr>
          <w:rFonts w:ascii="Garamond" w:hAnsi="Garamond"/>
          <w:sz w:val="24"/>
          <w:szCs w:val="24"/>
        </w:rPr>
        <w:t xml:space="preserve">není </w:t>
      </w:r>
      <w:r w:rsidRPr="002A219B">
        <w:rPr>
          <w:rFonts w:ascii="Garamond" w:hAnsi="Garamond"/>
          <w:sz w:val="24"/>
          <w:szCs w:val="24"/>
        </w:rPr>
        <w:t>odvolání přípustné</w:t>
      </w:r>
    </w:p>
    <w:p w:rsidR="00743A73" w:rsidRDefault="00743A73" w:rsidP="00743A73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E252E9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E252E9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86" w:rsidRDefault="00295F86" w:rsidP="00B842B3">
      <w:r>
        <w:separator/>
      </w:r>
    </w:p>
  </w:endnote>
  <w:endnote w:type="continuationSeparator" w:id="0">
    <w:p w:rsidR="00295F86" w:rsidRDefault="00295F8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86" w:rsidRDefault="00295F86" w:rsidP="00B842B3">
      <w:r>
        <w:separator/>
      </w:r>
    </w:p>
  </w:footnote>
  <w:footnote w:type="continuationSeparator" w:id="0">
    <w:p w:rsidR="00295F86" w:rsidRDefault="00295F8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295F86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E252E9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E252E9" w:rsidRPr="00442C5F">
          <w:rPr>
            <w:rFonts w:ascii="Garamond" w:hAnsi="Garamond"/>
            <w:sz w:val="24"/>
          </w:rPr>
          <w:fldChar w:fldCharType="separate"/>
        </w:r>
        <w:r w:rsidR="009032F3">
          <w:rPr>
            <w:rFonts w:ascii="Garamond" w:hAnsi="Garamond"/>
            <w:noProof/>
            <w:sz w:val="24"/>
          </w:rPr>
          <w:t>2</w:t>
        </w:r>
        <w:r w:rsidR="00E252E9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7378"/>
    <w:multiLevelType w:val="hybridMultilevel"/>
    <w:tmpl w:val="345AE21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52CA67B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C57FEE"/>
    <w:multiLevelType w:val="hybridMultilevel"/>
    <w:tmpl w:val="40E86CA2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6666A5"/>
    <w:multiLevelType w:val="hybridMultilevel"/>
    <w:tmpl w:val="2C3658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26"/>
  </w:num>
  <w:num w:numId="6">
    <w:abstractNumId w:val="3"/>
  </w:num>
  <w:num w:numId="7">
    <w:abstractNumId w:val="1"/>
  </w:num>
  <w:num w:numId="8">
    <w:abstractNumId w:val="19"/>
  </w:num>
  <w:num w:numId="9">
    <w:abstractNumId w:val="17"/>
  </w:num>
  <w:num w:numId="10">
    <w:abstractNumId w:val="7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20"/>
  </w:num>
  <w:num w:numId="20">
    <w:abstractNumId w:val="27"/>
  </w:num>
  <w:num w:numId="21">
    <w:abstractNumId w:val="28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22"/>
  </w:num>
  <w:num w:numId="27">
    <w:abstractNumId w:val="6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1EA9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902F8"/>
    <w:rsid w:val="00295F86"/>
    <w:rsid w:val="002A219B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72760"/>
    <w:rsid w:val="00694F19"/>
    <w:rsid w:val="006A732E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B9B"/>
    <w:rsid w:val="00743A73"/>
    <w:rsid w:val="007552B5"/>
    <w:rsid w:val="00772674"/>
    <w:rsid w:val="00785F42"/>
    <w:rsid w:val="00792658"/>
    <w:rsid w:val="007A5F85"/>
    <w:rsid w:val="007B5972"/>
    <w:rsid w:val="007C08DD"/>
    <w:rsid w:val="007D2B1C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5782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24B2"/>
    <w:rsid w:val="008F38D3"/>
    <w:rsid w:val="0090061A"/>
    <w:rsid w:val="009032F3"/>
    <w:rsid w:val="00944188"/>
    <w:rsid w:val="00951134"/>
    <w:rsid w:val="0096417B"/>
    <w:rsid w:val="00972460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2A6D"/>
    <w:rsid w:val="00A45472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3B35"/>
    <w:rsid w:val="00C21F14"/>
    <w:rsid w:val="00C2657E"/>
    <w:rsid w:val="00C304E0"/>
    <w:rsid w:val="00C63519"/>
    <w:rsid w:val="00C6357B"/>
    <w:rsid w:val="00C81FBA"/>
    <w:rsid w:val="00CB1388"/>
    <w:rsid w:val="00CB3BBB"/>
    <w:rsid w:val="00CB4CFC"/>
    <w:rsid w:val="00CC5CDD"/>
    <w:rsid w:val="00CE2991"/>
    <w:rsid w:val="00CF04D9"/>
    <w:rsid w:val="00D4538B"/>
    <w:rsid w:val="00D53242"/>
    <w:rsid w:val="00D70561"/>
    <w:rsid w:val="00D7388E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252E9"/>
    <w:rsid w:val="00E313D0"/>
    <w:rsid w:val="00E3220A"/>
    <w:rsid w:val="00E539E0"/>
    <w:rsid w:val="00E6340C"/>
    <w:rsid w:val="00E86821"/>
    <w:rsid w:val="00EA1DC9"/>
    <w:rsid w:val="00EB0F41"/>
    <w:rsid w:val="00EB3B56"/>
    <w:rsid w:val="00EB5A66"/>
    <w:rsid w:val="00EF1398"/>
    <w:rsid w:val="00F24EF2"/>
    <w:rsid w:val="00F3722A"/>
    <w:rsid w:val="00F37E7A"/>
    <w:rsid w:val="00F60C69"/>
    <w:rsid w:val="00F90927"/>
    <w:rsid w:val="00FD2352"/>
    <w:rsid w:val="00FF598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2017-08-11T11:28:00Z</dcterms:created>
  <dcterms:modified xsi:type="dcterms:W3CDTF">2017-12-28T14:28:00Z</dcterms:modified>
</cp:coreProperties>
</file>