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C3C66" w14:textId="77777777" w:rsidR="0010479E" w:rsidRPr="0039225F" w:rsidRDefault="0010479E" w:rsidP="0010479E">
      <w:pPr>
        <w:rPr>
          <w:b/>
          <w:sz w:val="28"/>
          <w:szCs w:val="28"/>
          <w:u w:val="single"/>
        </w:rPr>
      </w:pPr>
      <w:r w:rsidRPr="0039225F">
        <w:rPr>
          <w:b/>
          <w:sz w:val="28"/>
          <w:szCs w:val="28"/>
          <w:u w:val="single"/>
        </w:rPr>
        <w:t>Seminář č. II. –</w:t>
      </w:r>
      <w:r w:rsidR="00832215" w:rsidRPr="0039225F">
        <w:rPr>
          <w:b/>
          <w:sz w:val="28"/>
          <w:szCs w:val="28"/>
          <w:u w:val="single"/>
        </w:rPr>
        <w:t xml:space="preserve"> </w:t>
      </w:r>
      <w:r w:rsidRPr="0039225F">
        <w:rPr>
          <w:b/>
          <w:sz w:val="28"/>
          <w:szCs w:val="28"/>
          <w:u w:val="single"/>
        </w:rPr>
        <w:t>Právní pojmy a jejich výklad</w:t>
      </w:r>
    </w:p>
    <w:p w14:paraId="2215E202" w14:textId="77777777" w:rsidR="0010479E" w:rsidRDefault="0010479E" w:rsidP="0010479E">
      <w:pPr>
        <w:rPr>
          <w:b/>
        </w:rPr>
      </w:pPr>
    </w:p>
    <w:p w14:paraId="3C8C2F1C" w14:textId="77777777" w:rsidR="0010479E" w:rsidRDefault="0010479E" w:rsidP="0010479E">
      <w:pPr>
        <w:rPr>
          <w:b/>
        </w:rPr>
      </w:pPr>
      <w:r>
        <w:rPr>
          <w:b/>
        </w:rPr>
        <w:t>Zadání příkladů:</w:t>
      </w:r>
    </w:p>
    <w:p w14:paraId="68F80A7A" w14:textId="77777777" w:rsidR="0039225F" w:rsidRDefault="0039225F" w:rsidP="0010479E">
      <w:pPr>
        <w:rPr>
          <w:b/>
        </w:rPr>
      </w:pPr>
    </w:p>
    <w:p w14:paraId="0EB6EB33" w14:textId="68406FA5" w:rsidR="0039225F" w:rsidRPr="00753472" w:rsidRDefault="0039225F" w:rsidP="006F057F">
      <w:pPr>
        <w:ind w:left="705" w:hanging="705"/>
        <w:jc w:val="both"/>
        <w:rPr>
          <w:b/>
        </w:rPr>
      </w:pPr>
      <w:r>
        <w:rPr>
          <w:b/>
        </w:rPr>
        <w:t xml:space="preserve">I. </w:t>
      </w:r>
      <w:r>
        <w:rPr>
          <w:b/>
        </w:rPr>
        <w:tab/>
      </w:r>
      <w:r w:rsidRPr="00753472">
        <w:rPr>
          <w:b/>
        </w:rPr>
        <w:t xml:space="preserve">Prostudujte si příspěvek </w:t>
      </w:r>
      <w:r w:rsidR="00753472">
        <w:rPr>
          <w:b/>
        </w:rPr>
        <w:t xml:space="preserve">F. </w:t>
      </w:r>
      <w:proofErr w:type="spellStart"/>
      <w:r w:rsidR="00753472">
        <w:rPr>
          <w:b/>
        </w:rPr>
        <w:t>Melzera</w:t>
      </w:r>
      <w:proofErr w:type="spellEnd"/>
      <w:r w:rsidR="00990E9D" w:rsidRPr="00990E9D">
        <w:rPr>
          <w:b/>
          <w:i/>
          <w:iCs/>
        </w:rPr>
        <w:t xml:space="preserve"> (</w:t>
      </w:r>
      <w:r w:rsidR="00990E9D">
        <w:rPr>
          <w:b/>
          <w:i/>
          <w:iCs/>
        </w:rPr>
        <w:t>přístupný ve složce</w:t>
      </w:r>
      <w:r w:rsidR="00990E9D" w:rsidRPr="00990E9D">
        <w:rPr>
          <w:b/>
          <w:i/>
          <w:iCs/>
        </w:rPr>
        <w:t xml:space="preserve"> Učební materiály – IS.MUNI)</w:t>
      </w:r>
      <w:r w:rsidRPr="00753472">
        <w:rPr>
          <w:b/>
        </w:rPr>
        <w:t xml:space="preserve"> o metodologickém významu </w:t>
      </w:r>
      <w:r w:rsidR="00753472">
        <w:rPr>
          <w:b/>
        </w:rPr>
        <w:t xml:space="preserve">jazykového výkladu a </w:t>
      </w:r>
      <w:r w:rsidRPr="00753472">
        <w:rPr>
          <w:b/>
        </w:rPr>
        <w:t>nauky o třech oblastech pojmu a připravte si do diskuse</w:t>
      </w:r>
      <w:r w:rsidR="003A5907">
        <w:rPr>
          <w:b/>
        </w:rPr>
        <w:t xml:space="preserve"> odpovědi na následující otázky</w:t>
      </w:r>
      <w:r w:rsidR="00BB17B2">
        <w:rPr>
          <w:b/>
        </w:rPr>
        <w:t>:</w:t>
      </w:r>
    </w:p>
    <w:p w14:paraId="1A69C731" w14:textId="77777777" w:rsidR="0039225F" w:rsidRPr="00753472" w:rsidRDefault="0039225F" w:rsidP="0039225F">
      <w:pPr>
        <w:ind w:left="1410" w:hanging="705"/>
        <w:rPr>
          <w:b/>
        </w:rPr>
      </w:pPr>
    </w:p>
    <w:p w14:paraId="670B5719" w14:textId="77777777" w:rsidR="0039225F" w:rsidRPr="00753472" w:rsidRDefault="00753472" w:rsidP="0039225F">
      <w:pPr>
        <w:spacing w:line="360" w:lineRule="auto"/>
        <w:ind w:left="1406" w:hanging="703"/>
      </w:pPr>
      <w:r>
        <w:t xml:space="preserve">1) </w:t>
      </w:r>
      <w:r w:rsidR="003A5907">
        <w:t>Jak se liší právní komunikace od běžné komunikace v jazykovém společenství?</w:t>
      </w:r>
    </w:p>
    <w:p w14:paraId="3919520B" w14:textId="77777777" w:rsidR="0039225F" w:rsidRPr="00753472" w:rsidRDefault="0039225F" w:rsidP="0039225F">
      <w:pPr>
        <w:spacing w:line="360" w:lineRule="auto"/>
        <w:ind w:left="1406" w:hanging="703"/>
      </w:pPr>
      <w:r w:rsidRPr="00753472">
        <w:t>2) Jakou úlohu hraje jazyk</w:t>
      </w:r>
      <w:r w:rsidR="00B45F6D">
        <w:t>ový výklad</w:t>
      </w:r>
      <w:r w:rsidRPr="00753472">
        <w:t xml:space="preserve"> ve fungování práva a v právním myšlení?</w:t>
      </w:r>
    </w:p>
    <w:p w14:paraId="1B6D426B" w14:textId="77777777" w:rsidR="0039225F" w:rsidRPr="00753472" w:rsidRDefault="0039225F" w:rsidP="0039225F">
      <w:pPr>
        <w:spacing w:line="360" w:lineRule="auto"/>
        <w:ind w:left="1406" w:hanging="703"/>
      </w:pPr>
      <w:r w:rsidRPr="00753472">
        <w:t xml:space="preserve">3) </w:t>
      </w:r>
      <w:r w:rsidR="003A5907">
        <w:t>V čem spočívá problém neurčitosti právního jazyka?</w:t>
      </w:r>
    </w:p>
    <w:p w14:paraId="4999D538" w14:textId="77777777" w:rsidR="0039225F" w:rsidRPr="00753472" w:rsidRDefault="0039225F" w:rsidP="0039225F">
      <w:pPr>
        <w:spacing w:line="360" w:lineRule="auto"/>
        <w:ind w:left="1406" w:hanging="703"/>
      </w:pPr>
      <w:r w:rsidRPr="00753472">
        <w:t>4) Jak metodologie tradičně vymezuje tzv. tři oblasti pojmu?</w:t>
      </w:r>
    </w:p>
    <w:p w14:paraId="2D9590B9" w14:textId="77777777" w:rsidR="0039225F" w:rsidRDefault="0039225F" w:rsidP="0039225F">
      <w:pPr>
        <w:spacing w:line="360" w:lineRule="auto"/>
        <w:ind w:left="1406" w:hanging="703"/>
      </w:pPr>
      <w:r w:rsidRPr="00753472">
        <w:t xml:space="preserve">5) Jaký </w:t>
      </w:r>
      <w:r w:rsidR="00753472">
        <w:t>je</w:t>
      </w:r>
      <w:r w:rsidR="00B45F6D">
        <w:t xml:space="preserve"> podle názoru autora</w:t>
      </w:r>
      <w:r w:rsidR="00753472">
        <w:t xml:space="preserve"> rozdíl mezi výkladem a dotvářením  práva</w:t>
      </w:r>
      <w:r w:rsidRPr="00753472">
        <w:t>?</w:t>
      </w:r>
    </w:p>
    <w:p w14:paraId="5DDDD8B4" w14:textId="324FBEFC" w:rsidR="003A5907" w:rsidRPr="0039225F" w:rsidRDefault="003A5907" w:rsidP="001F77DB">
      <w:pPr>
        <w:spacing w:line="360" w:lineRule="auto"/>
        <w:ind w:left="993" w:hanging="290"/>
      </w:pPr>
      <w:r>
        <w:t xml:space="preserve">6) Vysvětlete doktrínu lex </w:t>
      </w:r>
      <w:proofErr w:type="spellStart"/>
      <w:r>
        <w:t>clara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resp. </w:t>
      </w:r>
      <w:proofErr w:type="spellStart"/>
      <w:r>
        <w:t>clara</w:t>
      </w:r>
      <w:proofErr w:type="spellEnd"/>
      <w:r>
        <w:t xml:space="preserve"> non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interpretanda</w:t>
      </w:r>
      <w:proofErr w:type="spellEnd"/>
      <w:r w:rsidR="001F77DB">
        <w:t xml:space="preserve"> (fr. </w:t>
      </w:r>
      <w:proofErr w:type="spellStart"/>
      <w:r w:rsidR="001F77DB" w:rsidRPr="001F77DB">
        <w:rPr>
          <w:i/>
          <w:iCs/>
        </w:rPr>
        <w:t>sens</w:t>
      </w:r>
      <w:proofErr w:type="spellEnd"/>
      <w:r w:rsidR="001F77DB" w:rsidRPr="001F77DB">
        <w:rPr>
          <w:i/>
          <w:iCs/>
        </w:rPr>
        <w:t xml:space="preserve"> </w:t>
      </w:r>
      <w:proofErr w:type="spellStart"/>
      <w:r w:rsidR="001F77DB" w:rsidRPr="001F77DB">
        <w:rPr>
          <w:i/>
          <w:iCs/>
        </w:rPr>
        <w:t>clair</w:t>
      </w:r>
      <w:proofErr w:type="spellEnd"/>
      <w:r w:rsidR="001F77DB" w:rsidRPr="001F77DB">
        <w:rPr>
          <w:i/>
          <w:iCs/>
        </w:rPr>
        <w:t xml:space="preserve"> </w:t>
      </w:r>
      <w:proofErr w:type="spellStart"/>
      <w:r w:rsidR="001F77DB" w:rsidRPr="001F77DB">
        <w:rPr>
          <w:i/>
          <w:iCs/>
        </w:rPr>
        <w:t>doctrine</w:t>
      </w:r>
      <w:proofErr w:type="spellEnd"/>
      <w:r w:rsidR="001F77DB">
        <w:t>)</w:t>
      </w:r>
      <w:r>
        <w:t>.</w:t>
      </w:r>
    </w:p>
    <w:p w14:paraId="22CF66E1" w14:textId="77777777" w:rsidR="0010479E" w:rsidRDefault="0010479E" w:rsidP="0010479E">
      <w:pPr>
        <w:ind w:left="705" w:hanging="705"/>
        <w:rPr>
          <w:b/>
        </w:rPr>
      </w:pPr>
    </w:p>
    <w:p w14:paraId="09AA9863" w14:textId="77777777" w:rsidR="0010479E" w:rsidRDefault="0039225F" w:rsidP="0010479E">
      <w:pPr>
        <w:ind w:left="705" w:hanging="705"/>
        <w:jc w:val="both"/>
        <w:rPr>
          <w:b/>
        </w:rPr>
      </w:pPr>
      <w:r>
        <w:rPr>
          <w:b/>
        </w:rPr>
        <w:t>I</w:t>
      </w:r>
      <w:r w:rsidR="0010479E" w:rsidRPr="00783D8F">
        <w:rPr>
          <w:b/>
        </w:rPr>
        <w:t>I.</w:t>
      </w:r>
      <w:r w:rsidR="0010479E">
        <w:rPr>
          <w:b/>
        </w:rPr>
        <w:tab/>
        <w:t xml:space="preserve">Prostudujte si </w:t>
      </w:r>
      <w:r w:rsidR="00641C91">
        <w:rPr>
          <w:b/>
        </w:rPr>
        <w:t xml:space="preserve">usnesení </w:t>
      </w:r>
      <w:r w:rsidR="00641C91" w:rsidRPr="00641C91">
        <w:rPr>
          <w:b/>
        </w:rPr>
        <w:t xml:space="preserve">Nejvyššího soudu ze dne 15. 6. 2011, </w:t>
      </w:r>
      <w:proofErr w:type="spellStart"/>
      <w:r w:rsidR="00641C91" w:rsidRPr="00641C91">
        <w:rPr>
          <w:b/>
        </w:rPr>
        <w:t>sp</w:t>
      </w:r>
      <w:proofErr w:type="spellEnd"/>
      <w:r w:rsidR="00641C91" w:rsidRPr="00641C91">
        <w:rPr>
          <w:b/>
        </w:rPr>
        <w:t xml:space="preserve">. zn. 8 </w:t>
      </w:r>
      <w:proofErr w:type="spellStart"/>
      <w:r w:rsidR="00641C91" w:rsidRPr="00641C91">
        <w:rPr>
          <w:b/>
        </w:rPr>
        <w:t>Tdo</w:t>
      </w:r>
      <w:proofErr w:type="spellEnd"/>
      <w:r w:rsidR="00641C91" w:rsidRPr="00641C91">
        <w:rPr>
          <w:b/>
        </w:rPr>
        <w:t xml:space="preserve"> 657/2011</w:t>
      </w:r>
      <w:r w:rsidR="00641C91">
        <w:rPr>
          <w:b/>
        </w:rPr>
        <w:t xml:space="preserve"> a promyslete si odpovědi na tyto otázky</w:t>
      </w:r>
    </w:p>
    <w:p w14:paraId="70A4CEDA" w14:textId="77777777" w:rsidR="0010479E" w:rsidRDefault="0010479E" w:rsidP="0010479E">
      <w:pPr>
        <w:ind w:left="705" w:hanging="705"/>
        <w:rPr>
          <w:b/>
        </w:rPr>
      </w:pPr>
    </w:p>
    <w:p w14:paraId="7DA06692" w14:textId="77777777" w:rsidR="0010479E" w:rsidRPr="006F057F" w:rsidRDefault="00F25DB8" w:rsidP="00EF3965">
      <w:pPr>
        <w:numPr>
          <w:ilvl w:val="0"/>
          <w:numId w:val="1"/>
        </w:numPr>
        <w:spacing w:line="360" w:lineRule="auto"/>
        <w:ind w:left="1406" w:hanging="703"/>
      </w:pPr>
      <w:r>
        <w:t xml:space="preserve">Jakými pojmovými znaky je definována skutková podstata týrání zvířat </w:t>
      </w:r>
      <w:proofErr w:type="gramStart"/>
      <w:r>
        <w:t xml:space="preserve">podle </w:t>
      </w:r>
      <w:r w:rsidR="00BB17B2">
        <w:t xml:space="preserve"> </w:t>
      </w:r>
      <w:r w:rsidRPr="006F057F">
        <w:t>§</w:t>
      </w:r>
      <w:proofErr w:type="gramEnd"/>
      <w:r w:rsidRPr="006F057F">
        <w:t xml:space="preserve"> 302 odst. 1 písm. b) </w:t>
      </w:r>
      <w:proofErr w:type="spellStart"/>
      <w:r w:rsidRPr="006F057F">
        <w:t>tr</w:t>
      </w:r>
      <w:proofErr w:type="spellEnd"/>
      <w:r w:rsidRPr="006F057F">
        <w:t xml:space="preserve">. zákoníku </w:t>
      </w:r>
      <w:r w:rsidR="0010479E" w:rsidRPr="006F057F">
        <w:t>?</w:t>
      </w:r>
    </w:p>
    <w:p w14:paraId="0D8BE61B" w14:textId="77777777" w:rsidR="0010479E" w:rsidRDefault="00BD7F06" w:rsidP="00EF3965">
      <w:pPr>
        <w:numPr>
          <w:ilvl w:val="0"/>
          <w:numId w:val="1"/>
        </w:numPr>
        <w:spacing w:line="360" w:lineRule="auto"/>
        <w:ind w:left="1406" w:hanging="703"/>
      </w:pPr>
      <w:r>
        <w:t xml:space="preserve">Jakým způsobem </w:t>
      </w:r>
      <w:r w:rsidR="00F25DB8">
        <w:t>postupoval Nejvyšší soud při výkladu pojmového znaku „týrání zvířete“ a „veřejně“</w:t>
      </w:r>
      <w:r>
        <w:t>?</w:t>
      </w:r>
      <w:r w:rsidR="00F25DB8">
        <w:t xml:space="preserve"> Popište tuto výkladovou úvahu a pokuste se pojmenovat principy, jimiž se řídí.</w:t>
      </w:r>
    </w:p>
    <w:p w14:paraId="4B073F0C" w14:textId="77777777" w:rsidR="00BD7F06" w:rsidRDefault="00F25DB8" w:rsidP="00EF3965">
      <w:pPr>
        <w:numPr>
          <w:ilvl w:val="0"/>
          <w:numId w:val="1"/>
        </w:numPr>
        <w:spacing w:line="360" w:lineRule="auto"/>
        <w:ind w:left="1406" w:hanging="703"/>
      </w:pPr>
      <w:r>
        <w:t>Jakým způsobem Nejvyšší soud interpretoval pojem větší počet zvířat a které výkladové metody přitom užil</w:t>
      </w:r>
      <w:r w:rsidR="00BD7F06">
        <w:t>?</w:t>
      </w:r>
      <w:r>
        <w:t xml:space="preserve"> Charakterizujte tento pojem a zamyslete se nad možnými interpretačními přístupy. </w:t>
      </w:r>
    </w:p>
    <w:p w14:paraId="60D388F6" w14:textId="77777777" w:rsidR="00BB17B2" w:rsidRDefault="00BB17B2" w:rsidP="006D2F2D"/>
    <w:p w14:paraId="4E9BB793" w14:textId="0AD23534" w:rsidR="006F057F" w:rsidRDefault="0074371C" w:rsidP="006D3BC9">
      <w:pPr>
        <w:ind w:left="705" w:hanging="705"/>
        <w:jc w:val="both"/>
        <w:rPr>
          <w:b/>
        </w:rPr>
      </w:pPr>
      <w:r>
        <w:rPr>
          <w:b/>
        </w:rPr>
        <w:t>III</w:t>
      </w:r>
      <w:r w:rsidR="006D2F2D" w:rsidRPr="006D2F2D">
        <w:rPr>
          <w:b/>
        </w:rPr>
        <w:t>.</w:t>
      </w:r>
      <w:r w:rsidR="006D2F2D" w:rsidRPr="006D2F2D">
        <w:rPr>
          <w:b/>
        </w:rPr>
        <w:tab/>
      </w:r>
      <w:r w:rsidR="00EF3965">
        <w:rPr>
          <w:b/>
        </w:rPr>
        <w:t>Prostudujte si stanovisko Ministerstva dopravy k používání elektrokol a zamyslete se nad řešenými kvalifikačními problémy:</w:t>
      </w:r>
    </w:p>
    <w:p w14:paraId="3D4FBB78" w14:textId="36D7D18C" w:rsidR="00EF3965" w:rsidRDefault="00EF3965" w:rsidP="006D3BC9">
      <w:pPr>
        <w:ind w:left="705" w:hanging="705"/>
        <w:jc w:val="both"/>
        <w:rPr>
          <w:b/>
        </w:rPr>
      </w:pPr>
    </w:p>
    <w:p w14:paraId="108EB15E" w14:textId="502B35DB" w:rsidR="00EF3965" w:rsidRPr="00EF3965" w:rsidRDefault="00EF3965" w:rsidP="00EF3965">
      <w:pPr>
        <w:spacing w:line="360" w:lineRule="auto"/>
        <w:ind w:left="703" w:hanging="703"/>
        <w:jc w:val="both"/>
        <w:rPr>
          <w:bCs/>
        </w:rPr>
      </w:pPr>
      <w:r>
        <w:rPr>
          <w:b/>
        </w:rPr>
        <w:tab/>
      </w:r>
      <w:r w:rsidRPr="00EF3965">
        <w:rPr>
          <w:bCs/>
        </w:rPr>
        <w:t xml:space="preserve">1) </w:t>
      </w:r>
      <w:r w:rsidR="005C5BE7">
        <w:rPr>
          <w:bCs/>
        </w:rPr>
        <w:tab/>
      </w:r>
      <w:r w:rsidRPr="00EF3965">
        <w:rPr>
          <w:bCs/>
        </w:rPr>
        <w:t>Může být koloběžka považována v silničním provozu za jízdní kolo?</w:t>
      </w:r>
    </w:p>
    <w:p w14:paraId="02065828" w14:textId="24BDFEAF" w:rsidR="00EF3965" w:rsidRPr="00EF3965" w:rsidRDefault="00EF3965" w:rsidP="00EF3965">
      <w:pPr>
        <w:spacing w:line="360" w:lineRule="auto"/>
        <w:ind w:left="703" w:hanging="703"/>
        <w:jc w:val="both"/>
        <w:rPr>
          <w:bCs/>
        </w:rPr>
      </w:pPr>
      <w:r w:rsidRPr="00EF3965">
        <w:rPr>
          <w:bCs/>
        </w:rPr>
        <w:tab/>
        <w:t xml:space="preserve">2) </w:t>
      </w:r>
      <w:r w:rsidR="005C5BE7">
        <w:rPr>
          <w:bCs/>
        </w:rPr>
        <w:tab/>
      </w:r>
      <w:r w:rsidRPr="00EF3965">
        <w:rPr>
          <w:bCs/>
        </w:rPr>
        <w:t>Jakými způsoby lze v českém právním řádu kvalifikovat „elektrokolo“?</w:t>
      </w:r>
    </w:p>
    <w:p w14:paraId="6BC41228" w14:textId="0D68DD17" w:rsidR="00EF3965" w:rsidRPr="00EF3965" w:rsidRDefault="00EF3965" w:rsidP="005C5BE7">
      <w:pPr>
        <w:spacing w:line="360" w:lineRule="auto"/>
        <w:ind w:left="1410" w:hanging="707"/>
        <w:jc w:val="both"/>
        <w:rPr>
          <w:bCs/>
        </w:rPr>
      </w:pPr>
      <w:r w:rsidRPr="00EF3965">
        <w:rPr>
          <w:bCs/>
        </w:rPr>
        <w:t xml:space="preserve">3) </w:t>
      </w:r>
      <w:r w:rsidR="005C5BE7">
        <w:rPr>
          <w:bCs/>
        </w:rPr>
        <w:tab/>
      </w:r>
      <w:r w:rsidRPr="00EF3965">
        <w:rPr>
          <w:bCs/>
        </w:rPr>
        <w:t>Jsou podle Vašeho názoru důvody rozlišování mezi kategoriemi elektrokol rozumné, akceptovatelné a přesvědčivé?</w:t>
      </w:r>
    </w:p>
    <w:p w14:paraId="2A27A66F" w14:textId="3360FB12" w:rsidR="00EF3965" w:rsidRPr="00EF3965" w:rsidRDefault="00EF3965" w:rsidP="005C5BE7">
      <w:pPr>
        <w:spacing w:line="360" w:lineRule="auto"/>
        <w:ind w:left="1416" w:hanging="711"/>
        <w:jc w:val="both"/>
        <w:rPr>
          <w:bCs/>
        </w:rPr>
      </w:pPr>
      <w:r w:rsidRPr="00EF3965">
        <w:rPr>
          <w:bCs/>
        </w:rPr>
        <w:t xml:space="preserve">4) </w:t>
      </w:r>
      <w:r w:rsidR="005C5BE7">
        <w:rPr>
          <w:bCs/>
        </w:rPr>
        <w:tab/>
      </w:r>
      <w:r w:rsidRPr="00EF3965">
        <w:rPr>
          <w:bCs/>
        </w:rPr>
        <w:t xml:space="preserve">Jakou úlohu hrají výkladová stanoviska ústředních správních úřadů v životě společnosti? Diskutujte o vhodnosti těchto typů výkladu z pohledu teoretického i praktického. </w:t>
      </w:r>
    </w:p>
    <w:p w14:paraId="313119F9" w14:textId="0AF66731" w:rsidR="00EF3965" w:rsidRPr="00EF3965" w:rsidRDefault="00EF3965" w:rsidP="005C5BE7">
      <w:pPr>
        <w:spacing w:line="360" w:lineRule="auto"/>
        <w:ind w:left="1416" w:hanging="711"/>
        <w:jc w:val="both"/>
        <w:rPr>
          <w:bCs/>
        </w:rPr>
      </w:pPr>
      <w:r w:rsidRPr="00EF3965">
        <w:rPr>
          <w:bCs/>
        </w:rPr>
        <w:t xml:space="preserve">5) </w:t>
      </w:r>
      <w:r w:rsidR="005C5BE7">
        <w:rPr>
          <w:bCs/>
        </w:rPr>
        <w:tab/>
      </w:r>
      <w:r w:rsidRPr="00EF3965">
        <w:rPr>
          <w:bCs/>
        </w:rPr>
        <w:t xml:space="preserve">Je uvedený výklad Ministerstva dopravy závazný? Definujte takový typ závaznosti. </w:t>
      </w:r>
    </w:p>
    <w:p w14:paraId="1E9661C2" w14:textId="77777777" w:rsidR="00EF3965" w:rsidRPr="00EF3965" w:rsidRDefault="00EF3965" w:rsidP="00EF3965">
      <w:pPr>
        <w:spacing w:line="360" w:lineRule="auto"/>
        <w:ind w:left="703" w:hanging="703"/>
        <w:jc w:val="both"/>
        <w:rPr>
          <w:bCs/>
        </w:rPr>
      </w:pPr>
    </w:p>
    <w:sectPr w:rsidR="00EF3965" w:rsidRPr="00EF3965" w:rsidSect="005C5BE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42F41"/>
    <w:multiLevelType w:val="hybridMultilevel"/>
    <w:tmpl w:val="7A545BB2"/>
    <w:lvl w:ilvl="0" w:tplc="478AC92E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A3739E1"/>
    <w:multiLevelType w:val="hybridMultilevel"/>
    <w:tmpl w:val="B6CAE536"/>
    <w:lvl w:ilvl="0" w:tplc="55F654AC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61E2CC5"/>
    <w:multiLevelType w:val="hybridMultilevel"/>
    <w:tmpl w:val="1160F732"/>
    <w:lvl w:ilvl="0" w:tplc="4DB80A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1D3F28"/>
    <w:multiLevelType w:val="hybridMultilevel"/>
    <w:tmpl w:val="7A545BB2"/>
    <w:lvl w:ilvl="0" w:tplc="478AC92E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79E"/>
    <w:rsid w:val="000373FF"/>
    <w:rsid w:val="000721D8"/>
    <w:rsid w:val="0010479E"/>
    <w:rsid w:val="00106157"/>
    <w:rsid w:val="001262CA"/>
    <w:rsid w:val="001B45F9"/>
    <w:rsid w:val="001F77DB"/>
    <w:rsid w:val="00226793"/>
    <w:rsid w:val="00350901"/>
    <w:rsid w:val="0039225F"/>
    <w:rsid w:val="003A5907"/>
    <w:rsid w:val="005C5BE7"/>
    <w:rsid w:val="005F7D47"/>
    <w:rsid w:val="00641C91"/>
    <w:rsid w:val="006D2F2D"/>
    <w:rsid w:val="006D3BC9"/>
    <w:rsid w:val="006F057F"/>
    <w:rsid w:val="006F22A2"/>
    <w:rsid w:val="0074371C"/>
    <w:rsid w:val="00753472"/>
    <w:rsid w:val="00832215"/>
    <w:rsid w:val="00990E9D"/>
    <w:rsid w:val="00A8125C"/>
    <w:rsid w:val="00B24726"/>
    <w:rsid w:val="00B45F6D"/>
    <w:rsid w:val="00BB17B2"/>
    <w:rsid w:val="00BD7F06"/>
    <w:rsid w:val="00CA50EF"/>
    <w:rsid w:val="00EF3965"/>
    <w:rsid w:val="00F2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D902"/>
  <w15:docId w15:val="{6DAA8389-6807-4582-9641-E2565E94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479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 Luke</dc:creator>
  <cp:keywords/>
  <cp:lastModifiedBy>Hlousik</cp:lastModifiedBy>
  <cp:revision>2</cp:revision>
  <dcterms:created xsi:type="dcterms:W3CDTF">2020-10-24T12:53:00Z</dcterms:created>
  <dcterms:modified xsi:type="dcterms:W3CDTF">2020-10-24T12:53:00Z</dcterms:modified>
</cp:coreProperties>
</file>