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E4C" w:rsidRDefault="00C804EB">
      <w:pPr>
        <w:pStyle w:val="Nadpis2"/>
        <w:numPr>
          <w:ilvl w:val="1"/>
          <w:numId w:val="1"/>
        </w:numPr>
        <w:spacing w:before="0" w:after="200"/>
        <w:jc w:val="both"/>
        <w:rPr>
          <w:rFonts w:ascii="Arial Black" w:hAnsi="Arial Black"/>
          <w:color w:val="0000FF"/>
        </w:rPr>
      </w:pPr>
      <w:bookmarkStart w:id="0" w:name="_GoBack"/>
      <w:bookmarkEnd w:id="0"/>
      <w:r>
        <w:rPr>
          <w:rFonts w:ascii="Arial Black" w:hAnsi="Arial Black"/>
          <w:color w:val="0000FF"/>
        </w:rPr>
        <w:t>Prameny sekundárního práva EU</w:t>
      </w:r>
    </w:p>
    <w:p w:rsidR="00B92E4C" w:rsidRDefault="00B92E4C">
      <w:pPr>
        <w:pStyle w:val="Normlnweb"/>
        <w:spacing w:beforeAutospacing="0" w:after="120" w:afterAutospacing="0"/>
        <w:jc w:val="both"/>
        <w:rPr>
          <w:b/>
          <w:highlight w:val="cyan"/>
        </w:rPr>
      </w:pPr>
    </w:p>
    <w:p w:rsidR="00B92E4C" w:rsidRDefault="00C804EB">
      <w:pPr>
        <w:pStyle w:val="Normlnweb"/>
        <w:spacing w:beforeAutospacing="0" w:after="120" w:afterAutospacing="0"/>
        <w:jc w:val="both"/>
        <w:rPr>
          <w:b/>
        </w:rPr>
      </w:pPr>
      <w:r>
        <w:rPr>
          <w:b/>
          <w:highlight w:val="cyan"/>
        </w:rPr>
        <w:t>Prameny sekundárního práva – přehled a charakteristika</w:t>
      </w:r>
    </w:p>
    <w:p w:rsidR="00B92E4C" w:rsidRDefault="00C804EB">
      <w:pPr>
        <w:pStyle w:val="Normlnweb"/>
        <w:spacing w:beforeAutospacing="0" w:after="120" w:afterAutospacing="0"/>
        <w:jc w:val="both"/>
        <w:rPr>
          <w:b/>
        </w:rPr>
      </w:pPr>
      <w:r>
        <w:rPr>
          <w:b/>
        </w:rPr>
        <w:t xml:space="preserve">Článek 288 SFEU 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Pro výkon pravomocí Unie přijímají orgány nařízení, směrnice, rozhodnutí, doporučení a stanoviska.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rPr>
          <w:b/>
          <w:u w:val="single"/>
        </w:rPr>
        <w:t>Nařízení</w:t>
      </w:r>
      <w:r>
        <w:t xml:space="preserve"> má obecnou působnost. Je závazné v celém rozsahu a přímo použitelné ve všech členských státech.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rPr>
          <w:b/>
          <w:u w:val="single"/>
        </w:rPr>
        <w:t>Směrnice</w:t>
      </w:r>
      <w:r>
        <w:t xml:space="preserve"> je závazná pro každý stát, kterému je určena, pokud jde o výsledek, jehož má být 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dosaženo, přičemž volba formy a prostředků se ponechává vnitrostátním orgánům.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rPr>
          <w:b/>
        </w:rPr>
        <w:t>Rozhodnutí</w:t>
      </w:r>
      <w:r>
        <w:t xml:space="preserve"> je závazné v celém rozsahu. Pokud jsou v něm uvedeni ti, jimž je určeno, je závazné pouze pro ně.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Doporučení a stanoviska nejsou závazná.</w:t>
      </w:r>
    </w:p>
    <w:p w:rsidR="00B92E4C" w:rsidRDefault="00B92E4C">
      <w:pPr>
        <w:pStyle w:val="Normlnweb"/>
        <w:spacing w:beforeAutospacing="0" w:after="120" w:afterAutospacing="0"/>
        <w:jc w:val="both"/>
      </w:pPr>
    </w:p>
    <w:p w:rsidR="00B92E4C" w:rsidRDefault="00C804EB">
      <w:pPr>
        <w:pStyle w:val="Normlnweb"/>
        <w:spacing w:beforeAutospacing="0" w:after="120" w:afterAutospacing="0"/>
        <w:jc w:val="both"/>
        <w:rPr>
          <w:i/>
        </w:rPr>
      </w:pPr>
      <w:r>
        <w:rPr>
          <w:i/>
        </w:rPr>
        <w:t>Uvedené ustanovení charakterizuje prameny sekundárního práva EU. Další ustanovení Smluv potom stanoví oblasti, v nichž EU disponuje legislativní pravomocí. Jiná ustanovení pak specifikují legislativní postupy vedoucí k přijetí takových předpisů.</w:t>
      </w:r>
    </w:p>
    <w:p w:rsidR="00B92E4C" w:rsidRDefault="00B92E4C">
      <w:pPr>
        <w:pStyle w:val="Normlnweb"/>
        <w:spacing w:beforeAutospacing="0" w:after="120" w:afterAutospacing="0"/>
        <w:jc w:val="both"/>
      </w:pPr>
    </w:p>
    <w:p w:rsidR="00B92E4C" w:rsidRPr="00EE4588" w:rsidRDefault="00EE4588">
      <w:pPr>
        <w:pStyle w:val="Normlnweb"/>
        <w:spacing w:beforeAutospacing="0" w:after="120" w:afterAutospacing="0"/>
        <w:jc w:val="both"/>
        <w:rPr>
          <w:b/>
          <w:sz w:val="28"/>
          <w:szCs w:val="28"/>
          <w:highlight w:val="yellow"/>
        </w:rPr>
      </w:pPr>
      <w:r w:rsidRPr="00EE4588">
        <w:rPr>
          <w:b/>
          <w:sz w:val="28"/>
          <w:szCs w:val="28"/>
          <w:highlight w:val="yellow"/>
        </w:rPr>
        <w:t>Z</w:t>
      </w:r>
      <w:r w:rsidR="00C804EB" w:rsidRPr="00EE4588">
        <w:rPr>
          <w:b/>
          <w:sz w:val="28"/>
          <w:szCs w:val="28"/>
          <w:highlight w:val="yellow"/>
        </w:rPr>
        <w:t xml:space="preserve">ákladní charakteristika nařízení 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je přijímáno zpravidla tam, kde je nezbytná jednotná úprava v celé EU z těchto důvodů:</w:t>
      </w:r>
    </w:p>
    <w:p w:rsidR="00B92E4C" w:rsidRDefault="00C804EB">
      <w:pPr>
        <w:pStyle w:val="Normlnweb"/>
        <w:numPr>
          <w:ilvl w:val="0"/>
          <w:numId w:val="2"/>
        </w:numPr>
        <w:spacing w:beforeAutospacing="0" w:after="0" w:afterAutospacing="0"/>
        <w:jc w:val="both"/>
      </w:pPr>
      <w:r>
        <w:t>předmětem úpravy jsou právní vztahy na úrovni unijní - proto nemohou být upraveny vnitrostátně (zejména oblasti s výlučnou pravomocí EU, ale i další - např. sociální zabezpečení migrujících osob),</w:t>
      </w:r>
    </w:p>
    <w:p w:rsidR="00EE4588" w:rsidRDefault="00EE4588" w:rsidP="00EE4588">
      <w:pPr>
        <w:pStyle w:val="Normlnweb"/>
        <w:spacing w:beforeAutospacing="0" w:after="120" w:afterAutospacing="0"/>
        <w:ind w:left="420"/>
        <w:jc w:val="both"/>
      </w:pPr>
    </w:p>
    <w:p w:rsidR="00B92E4C" w:rsidRPr="00EE4588" w:rsidRDefault="00C804EB" w:rsidP="00EE4588">
      <w:pPr>
        <w:pStyle w:val="Normlnweb"/>
        <w:spacing w:beforeAutospacing="0" w:after="120" w:afterAutospacing="0"/>
        <w:ind w:left="420"/>
        <w:jc w:val="both"/>
        <w:rPr>
          <w:highlight w:val="cyan"/>
        </w:rPr>
      </w:pPr>
      <w:r w:rsidRPr="00EE4588">
        <w:t>u</w:t>
      </w:r>
      <w:r>
        <w:t>nifikace vnitrostátních úprav cestou jejich nahrazení nařízením (zjevná unifikace</w:t>
      </w:r>
      <w:r w:rsidR="00EE4588">
        <w:t>)</w:t>
      </w:r>
    </w:p>
    <w:p w:rsidR="00EE4588" w:rsidRDefault="00EE4588">
      <w:pPr>
        <w:pStyle w:val="Normlnweb"/>
        <w:spacing w:beforeAutospacing="0" w:after="120" w:afterAutospacing="0"/>
        <w:jc w:val="both"/>
        <w:rPr>
          <w:b/>
          <w:highlight w:val="cyan"/>
        </w:rPr>
      </w:pPr>
    </w:p>
    <w:p w:rsidR="00B92E4C" w:rsidRDefault="00C804EB">
      <w:pPr>
        <w:pStyle w:val="Normlnweb"/>
        <w:spacing w:beforeAutospacing="0" w:after="120" w:afterAutospacing="0"/>
        <w:jc w:val="both"/>
        <w:rPr>
          <w:b/>
        </w:rPr>
      </w:pPr>
      <w:r>
        <w:rPr>
          <w:b/>
          <w:highlight w:val="cyan"/>
        </w:rPr>
        <w:t>Ukázka nařízení</w:t>
      </w:r>
    </w:p>
    <w:p w:rsidR="00B92E4C" w:rsidRDefault="00C804EB">
      <w:pPr>
        <w:pStyle w:val="Normlnweb"/>
        <w:spacing w:beforeAutospacing="0" w:after="120" w:afterAutospacing="0"/>
        <w:jc w:val="both"/>
        <w:rPr>
          <w:b/>
        </w:rPr>
      </w:pPr>
      <w:r>
        <w:rPr>
          <w:b/>
        </w:rPr>
        <w:t>Nařízení Rady (ES) č. 44/2001 ze dne 22. prosince 2000 o příslušnosti a uznávání a výkonu soudních rozhodnutí v občanských a obchodních věcech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RADA EVROPSKÉ UNIE,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s ohledem na Smlouvu o založení Evropského společenství, a zejména na čl. 61 písm. c) a čl. 67 odst. 1 této smlouvy,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vzhledem k těmto důvodům: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(1) Společenství si stanovilo cíl udržovat a rozvíjet prostor svobody, bezpečnosti a práva, ve kterém je zajištěn volný pohyb osob. </w:t>
      </w:r>
      <w:r w:rsidR="00841B52">
        <w:t>..</w:t>
      </w:r>
      <w:r>
        <w:t>.</w:t>
      </w:r>
    </w:p>
    <w:p w:rsidR="00B92E4C" w:rsidRDefault="00C804EB">
      <w:pPr>
        <w:pStyle w:val="Normlnweb"/>
        <w:spacing w:beforeAutospacing="0" w:after="120" w:afterAutospacing="0"/>
        <w:jc w:val="both"/>
        <w:rPr>
          <w:i/>
        </w:rPr>
      </w:pPr>
      <w:r>
        <w:rPr>
          <w:i/>
        </w:rPr>
        <w:t>… (vynecháno)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PŘIJALA TOTO NAŘÍZENÍ: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KAPITOLA I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lastRenderedPageBreak/>
        <w:t>OBLAST PŮSOBNOSTI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1. Toto nařízení se vztahuje na věci občanské a obchodní bez ohledu na druh soudu. Nevztahuje se zejména na věci daňové, celní a správní.</w:t>
      </w:r>
    </w:p>
    <w:p w:rsidR="00B92E4C" w:rsidRDefault="00C804EB">
      <w:pPr>
        <w:pStyle w:val="Normlnweb"/>
        <w:spacing w:beforeAutospacing="0" w:after="120" w:afterAutospacing="0"/>
        <w:jc w:val="both"/>
        <w:rPr>
          <w:i/>
        </w:rPr>
      </w:pPr>
      <w:r>
        <w:rPr>
          <w:i/>
        </w:rPr>
        <w:t>… (vynecháno)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KAPITOLA VIII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ZÁVĚREČNÁ USTANOVENÍ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76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Toto nařízení vstupuje v platnost dnem 1. března 2002.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Toto nařízení je </w:t>
      </w:r>
      <w:r>
        <w:rPr>
          <w:b/>
        </w:rPr>
        <w:t>závazné v celém rozsahu</w:t>
      </w:r>
      <w:r>
        <w:t xml:space="preserve"> a </w:t>
      </w:r>
      <w:r>
        <w:rPr>
          <w:b/>
        </w:rPr>
        <w:t>přímo použitelné</w:t>
      </w:r>
      <w:r>
        <w:t xml:space="preserve"> v členských státech</w:t>
      </w:r>
      <w:r w:rsidR="00841B52">
        <w:t>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V Bruselu dne 22. prosince 2000.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Za Radu</w:t>
      </w:r>
      <w:r w:rsidR="00EE4588">
        <w:t xml:space="preserve"> </w:t>
      </w:r>
      <w:r>
        <w:t>předseda</w:t>
      </w:r>
      <w:r w:rsidR="00EE4588">
        <w:t xml:space="preserve"> </w:t>
      </w:r>
      <w:r>
        <w:t xml:space="preserve">C. </w:t>
      </w:r>
      <w:proofErr w:type="spellStart"/>
      <w:r>
        <w:t>Pierret</w:t>
      </w:r>
      <w:proofErr w:type="spellEnd"/>
    </w:p>
    <w:p w:rsidR="00B92E4C" w:rsidRDefault="00B92E4C">
      <w:pPr>
        <w:pStyle w:val="Normlnweb"/>
        <w:spacing w:beforeAutospacing="0" w:after="120" w:afterAutospacing="0"/>
        <w:jc w:val="both"/>
      </w:pPr>
    </w:p>
    <w:p w:rsidR="00B92E4C" w:rsidRPr="00EE4588" w:rsidRDefault="00EE4588">
      <w:pPr>
        <w:pStyle w:val="Normlnweb"/>
        <w:spacing w:beforeAutospacing="0" w:after="120" w:afterAutospacing="0"/>
        <w:jc w:val="both"/>
        <w:rPr>
          <w:b/>
          <w:sz w:val="28"/>
          <w:szCs w:val="28"/>
          <w:highlight w:val="yellow"/>
        </w:rPr>
      </w:pPr>
      <w:r w:rsidRPr="00EE4588">
        <w:rPr>
          <w:b/>
          <w:sz w:val="28"/>
          <w:szCs w:val="28"/>
          <w:highlight w:val="yellow"/>
        </w:rPr>
        <w:t>Z</w:t>
      </w:r>
      <w:r w:rsidR="00C804EB" w:rsidRPr="00EE4588">
        <w:rPr>
          <w:b/>
          <w:sz w:val="28"/>
          <w:szCs w:val="28"/>
          <w:highlight w:val="yellow"/>
        </w:rPr>
        <w:t xml:space="preserve">ákladní charakteristika směrnice </w:t>
      </w:r>
    </w:p>
    <w:p w:rsidR="00B92E4C" w:rsidRDefault="00C804EB">
      <w:pPr>
        <w:pStyle w:val="Normlnweb"/>
        <w:spacing w:beforeAutospacing="0" w:after="120" w:afterAutospacing="0"/>
        <w:jc w:val="both"/>
        <w:rPr>
          <w:i/>
        </w:rPr>
      </w:pPr>
      <w:r>
        <w:rPr>
          <w:i/>
        </w:rPr>
        <w:t>používá se zpravidla tam, kde pravomoc EU ponechává právní úpravu dané oblasti vnitrostátnímu právu - nástroj pro ovlivnění obsahu vnitrostátního práva ve směru unijních zásad:</w:t>
      </w:r>
    </w:p>
    <w:p w:rsidR="00B92E4C" w:rsidRDefault="00C804EB">
      <w:pPr>
        <w:pStyle w:val="Normlnweb"/>
        <w:numPr>
          <w:ilvl w:val="0"/>
          <w:numId w:val="2"/>
        </w:numPr>
        <w:spacing w:beforeAutospacing="0" w:after="0" w:afterAutospacing="0"/>
        <w:jc w:val="both"/>
        <w:rPr>
          <w:i/>
        </w:rPr>
      </w:pPr>
      <w:r>
        <w:rPr>
          <w:i/>
        </w:rPr>
        <w:t>sbližování obsahu vnitrostátních pravidel, někdy téměř (skrytá) unifikace,</w:t>
      </w:r>
    </w:p>
    <w:p w:rsidR="00B92E4C" w:rsidRDefault="00C804EB">
      <w:pPr>
        <w:pStyle w:val="Normlnweb"/>
        <w:numPr>
          <w:ilvl w:val="0"/>
          <w:numId w:val="2"/>
        </w:numPr>
        <w:spacing w:beforeAutospacing="0" w:after="120" w:afterAutospacing="0"/>
        <w:jc w:val="both"/>
        <w:rPr>
          <w:i/>
        </w:rPr>
      </w:pPr>
      <w:r>
        <w:rPr>
          <w:i/>
        </w:rPr>
        <w:t>vytváření minimálního (evropského) standardu vnitrostátní úpravy</w:t>
      </w:r>
    </w:p>
    <w:p w:rsidR="00B92E4C" w:rsidRDefault="00B92E4C">
      <w:pPr>
        <w:pStyle w:val="Normlnweb"/>
        <w:spacing w:beforeAutospacing="0" w:after="120" w:afterAutospacing="0"/>
        <w:jc w:val="both"/>
      </w:pPr>
    </w:p>
    <w:p w:rsidR="00B92E4C" w:rsidRDefault="00C804EB">
      <w:pPr>
        <w:pStyle w:val="Normlnweb"/>
        <w:spacing w:beforeAutospacing="0" w:after="120" w:afterAutospacing="0"/>
        <w:jc w:val="both"/>
        <w:rPr>
          <w:b/>
        </w:rPr>
      </w:pPr>
      <w:r>
        <w:rPr>
          <w:b/>
          <w:highlight w:val="cyan"/>
        </w:rPr>
        <w:t>Ukázka směrnice</w:t>
      </w:r>
    </w:p>
    <w:p w:rsidR="00B92E4C" w:rsidRDefault="00C804EB">
      <w:pPr>
        <w:pStyle w:val="Normlnweb"/>
        <w:spacing w:beforeAutospacing="0" w:after="120" w:afterAutospacing="0"/>
        <w:jc w:val="both"/>
        <w:rPr>
          <w:b/>
        </w:rPr>
      </w:pPr>
      <w:r>
        <w:rPr>
          <w:b/>
        </w:rPr>
        <w:t>Směrnice Rady 93/13/EHS ze dne 5. dubna 1993 o nepřiměřených podmínkách ve spotřebitelských smlouvách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RADA EVROPSKÝCH SPOLEČENSTVÍ,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s ohledem na Smlouvu o založení Evropského hospodářského společenství, a zejména na článek 100a této smlouvy,</w:t>
      </w:r>
    </w:p>
    <w:p w:rsidR="00B92E4C" w:rsidRDefault="00C804EB">
      <w:pPr>
        <w:pStyle w:val="Normlnweb"/>
        <w:spacing w:beforeAutospacing="0" w:after="120" w:afterAutospacing="0"/>
        <w:jc w:val="both"/>
        <w:rPr>
          <w:i/>
        </w:rPr>
      </w:pPr>
      <w:r>
        <w:rPr>
          <w:i/>
        </w:rPr>
        <w:t>… (vynecháno)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PŘIJALA TUTO SMĚRNICI: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1. </w:t>
      </w:r>
      <w:r>
        <w:rPr>
          <w:b/>
        </w:rPr>
        <w:t xml:space="preserve">Účelem </w:t>
      </w:r>
      <w:r>
        <w:t>této směrnice</w:t>
      </w:r>
      <w:r>
        <w:rPr>
          <w:b/>
        </w:rPr>
        <w:t xml:space="preserve"> je sblížit právní a správní předpisy členských států</w:t>
      </w:r>
      <w:r>
        <w:t xml:space="preserve"> týkající se nepřiměřených podmínek ve smlouvách uzavíraných mezi prodávajícím zboží nebo poskytovatelem služeb a spotřebitelem.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2. Smluvní podmínky, které odrážejí závazná právní a správní ustanovení a ustanovení nebo zásady mezinárodních úmluv, jejichž stranami jsou členské státy nebo Společenství, zejména v oblasti dopravy, nejsou předmětem ustanovení této směrnice.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8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rPr>
          <w:b/>
        </w:rPr>
        <w:t>Členské státy mohou přijmout nebo ponechat v platnosti přísnější ustanovení slučitelná se Smlouvou</w:t>
      </w:r>
      <w:r>
        <w:t xml:space="preserve"> v oblasti působnosti této směrnice, aby zajistily nejvyšší stupeň ochrany spotřebitele. </w:t>
      </w:r>
      <w:r>
        <w:rPr>
          <w:b/>
          <w:i/>
        </w:rPr>
        <w:t>(MINIMÁLNÍ STANDARD HARMONIZACE)</w:t>
      </w:r>
    </w:p>
    <w:p w:rsidR="00B92E4C" w:rsidRDefault="00C804EB">
      <w:pPr>
        <w:pStyle w:val="Normlnweb"/>
        <w:spacing w:beforeAutospacing="0" w:after="120" w:afterAutospacing="0"/>
        <w:jc w:val="both"/>
        <w:rPr>
          <w:i/>
        </w:rPr>
      </w:pPr>
      <w:r>
        <w:rPr>
          <w:i/>
        </w:rPr>
        <w:lastRenderedPageBreak/>
        <w:t>… (vynecháno)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10</w:t>
      </w:r>
    </w:p>
    <w:p w:rsidR="00B92E4C" w:rsidRDefault="00C804EB">
      <w:pPr>
        <w:pStyle w:val="Normlnweb"/>
        <w:spacing w:beforeAutospacing="0" w:after="120" w:afterAutospacing="0"/>
        <w:jc w:val="both"/>
        <w:rPr>
          <w:b/>
          <w:i/>
        </w:rPr>
      </w:pPr>
      <w:r>
        <w:rPr>
          <w:b/>
        </w:rPr>
        <w:t>1. Členské státy uvedou v účinnost právní a správní předpisy nezbytné pro dosažení souladu s touto směrnicí nejpozději do 31. prosince 1994. Neprodleně o nich uvědomí Komisi</w:t>
      </w:r>
      <w:r>
        <w:t xml:space="preserve">. </w:t>
      </w:r>
      <w:r>
        <w:rPr>
          <w:b/>
          <w:i/>
        </w:rPr>
        <w:t>(</w:t>
      </w:r>
      <w:r w:rsidR="00EE4588">
        <w:rPr>
          <w:b/>
          <w:i/>
        </w:rPr>
        <w:t>TRANSPOZIČ</w:t>
      </w:r>
      <w:r>
        <w:rPr>
          <w:b/>
          <w:i/>
        </w:rPr>
        <w:t>NÍ LHŮTA)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Tato ustanovení jsou použitelná pro všechny smlouvy uzavřené po 31. prosinci 1994.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2. Tato opatření přijatá členskými státy musí obsahovat odkaz na tuto směrnici nebo musí být takový odkaz učiněn při jejich úředním vyhlášení. Způsob odkazu si stanoví členské státy.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3. Členské státy sdělí Komisi znění hlavních ustanovení vnitrostátních právních předpisů, které přijmou v oblasti působnosti této směrnice.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11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Tato směrnice je určena členským státům.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V Lucemburku dne 5. dubna 1993.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Za Radu</w:t>
      </w:r>
      <w:r w:rsidR="00EE4588">
        <w:t xml:space="preserve">  </w:t>
      </w:r>
      <w:r>
        <w:t>předseda</w:t>
      </w:r>
      <w:r w:rsidR="00EE4588">
        <w:t xml:space="preserve">  </w:t>
      </w:r>
      <w:r>
        <w:t xml:space="preserve">N. </w:t>
      </w:r>
      <w:proofErr w:type="spellStart"/>
      <w:r>
        <w:t>Helveg</w:t>
      </w:r>
      <w:proofErr w:type="spellEnd"/>
      <w:r>
        <w:t xml:space="preserve"> </w:t>
      </w:r>
      <w:proofErr w:type="spellStart"/>
      <w:r>
        <w:t>Petersen</w:t>
      </w:r>
      <w:proofErr w:type="spellEnd"/>
    </w:p>
    <w:p w:rsidR="00B92E4C" w:rsidRDefault="00B92E4C">
      <w:pPr>
        <w:pStyle w:val="Normlnweb"/>
        <w:spacing w:beforeAutospacing="0" w:after="120" w:afterAutospacing="0"/>
        <w:jc w:val="both"/>
      </w:pPr>
    </w:p>
    <w:p w:rsidR="00B92E4C" w:rsidRDefault="00B92E4C">
      <w:pPr>
        <w:pStyle w:val="Normlnweb"/>
        <w:spacing w:beforeAutospacing="0" w:after="120" w:afterAutospacing="0"/>
        <w:rPr>
          <w:b/>
          <w:highlight w:val="cyan"/>
        </w:rPr>
      </w:pPr>
    </w:p>
    <w:p w:rsidR="00B92E4C" w:rsidRPr="00841B52" w:rsidRDefault="00841B52">
      <w:pPr>
        <w:pStyle w:val="Normlnweb"/>
        <w:spacing w:beforeAutospacing="0" w:after="120" w:afterAutospacing="0"/>
        <w:rPr>
          <w:b/>
          <w:sz w:val="28"/>
          <w:szCs w:val="28"/>
        </w:rPr>
      </w:pPr>
      <w:r w:rsidRPr="00841B52">
        <w:rPr>
          <w:b/>
          <w:sz w:val="28"/>
          <w:szCs w:val="28"/>
          <w:highlight w:val="cyan"/>
        </w:rPr>
        <w:t>O t á z k a :</w:t>
      </w:r>
    </w:p>
    <w:p w:rsidR="00B92E4C" w:rsidRDefault="00C804EB">
      <w:pPr>
        <w:pStyle w:val="Normlnweb"/>
        <w:spacing w:beforeAutospacing="0" w:after="120" w:afterAutospacing="0"/>
        <w:rPr>
          <w:b/>
        </w:rPr>
      </w:pPr>
      <w:r>
        <w:rPr>
          <w:b/>
        </w:rPr>
        <w:t xml:space="preserve">Identifikujte následující předpis a rozhodněte, zda se jedná o nařízení či směrnici. Své rozhodnutí odůvodněte! 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Právní předpis č. 1 o záznamovém zařízení v silniční dopravě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RADA EVROPSKÝCH SPOLEČENSTVÍ,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(</w:t>
      </w:r>
      <w:r>
        <w:rPr>
          <w:i/>
        </w:rPr>
        <w:t>vynecháno</w:t>
      </w:r>
      <w:r>
        <w:t>)…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PŘIJALA </w:t>
      </w:r>
      <w:r>
        <w:rPr>
          <w:i/>
        </w:rPr>
        <w:t>TENTO PŘEDPIS</w:t>
      </w:r>
      <w:r>
        <w:t>: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Záznamové zařízení ve smyslu tohoto </w:t>
      </w:r>
      <w:r>
        <w:rPr>
          <w:i/>
        </w:rPr>
        <w:t>předpisu</w:t>
      </w:r>
      <w:r>
        <w:t xml:space="preserve"> musí s ohledem na svou konstrukci, montáž, užívání a zkoušení vyhovovat požadavkům tohoto </w:t>
      </w:r>
      <w:r>
        <w:rPr>
          <w:i/>
        </w:rPr>
        <w:t>předpisu</w:t>
      </w:r>
      <w:r>
        <w:t>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3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1. Záznamové zařízení musí být zabudováno a užíváno ve vozidlech, která jsou registrována v členském státě a používána pro silniční přepravu cestujících nebo zboží, s výjimkou vozidel uvedených v článku 4 a v čl. 14 odst. 1 </w:t>
      </w:r>
      <w:r>
        <w:rPr>
          <w:i/>
        </w:rPr>
        <w:t>předpisu (EHS) č. XX</w:t>
      </w:r>
      <w:r>
        <w:t>.</w:t>
      </w:r>
      <w:r w:rsidR="00841B52">
        <w:t xml:space="preserve"> …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4. V oblasti vnitrostátní přepravy mohou členské státy požadovat zabudování a užívání záznamového zařízení v souladu s tímto </w:t>
      </w:r>
      <w:r>
        <w:rPr>
          <w:i/>
        </w:rPr>
        <w:t>předpisem</w:t>
      </w:r>
      <w:r>
        <w:t xml:space="preserve"> pro všechna vozidla, pro která nejsou zabudování a užívání požadovány podle odstavce 1.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(</w:t>
      </w:r>
      <w:r>
        <w:rPr>
          <w:i/>
        </w:rPr>
        <w:t>vynecháno</w:t>
      </w:r>
      <w:r>
        <w:t>)…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13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Zaměstnavatel a řidiči odpovídají za správné fungování a používání zařízení.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14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lastRenderedPageBreak/>
        <w:t xml:space="preserve">1. Zaměstnavatel vydá řidičům dostatečný počet záznamových listů s ohledem na individuální povahu těchto listů, </w:t>
      </w:r>
      <w:r w:rsidR="00841B52">
        <w:t>…</w:t>
      </w:r>
      <w:r>
        <w:t>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2. Podnik uchovává záznamové listy v řádném stavu nejméně jeden rok po jejich použití a na žádost dotyčného řidiče mu vydá jejich kopie. Listy musí být předloženy nebo vydány na žádost kontrolora.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(</w:t>
      </w:r>
      <w:r>
        <w:rPr>
          <w:i/>
        </w:rPr>
        <w:t>vynecháno</w:t>
      </w:r>
      <w:r>
        <w:t>)…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19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1. Členské státy přijmou včas po konzultaci s Komisí právní a správní předpisy nezbytné pro provedení tohoto </w:t>
      </w:r>
      <w:r>
        <w:rPr>
          <w:i/>
        </w:rPr>
        <w:t>předpisu</w:t>
      </w:r>
      <w:r>
        <w:t>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 xml:space="preserve">Tyto předpisy musí mimo jiné zahrnovat organizaci, postupy a prostředky pro kontrolu dodržování tohoto </w:t>
      </w:r>
      <w:r>
        <w:rPr>
          <w:i/>
        </w:rPr>
        <w:t>předpisu</w:t>
      </w:r>
      <w:r>
        <w:t>, jakož i sankce v případě jeho porušení.</w:t>
      </w:r>
    </w:p>
    <w:p w:rsidR="00B92E4C" w:rsidRDefault="00841B52">
      <w:pPr>
        <w:pStyle w:val="Normlnweb"/>
        <w:spacing w:beforeAutospacing="0" w:after="120" w:afterAutospacing="0"/>
        <w:jc w:val="both"/>
      </w:pPr>
      <w:r>
        <w:t xml:space="preserve"> </w:t>
      </w:r>
      <w:r w:rsidR="00C804EB">
        <w:t>(</w:t>
      </w:r>
      <w:r w:rsidR="00C804EB">
        <w:rPr>
          <w:i/>
        </w:rPr>
        <w:t>vynecháno</w:t>
      </w:r>
      <w:r w:rsidR="00C804EB">
        <w:t>)…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Článek 21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rPr>
          <w:i/>
        </w:rPr>
        <w:t>Tento předpis</w:t>
      </w:r>
      <w:r>
        <w:t xml:space="preserve"> vstupuje v platnost dnem 29. září 1986.</w:t>
      </w:r>
      <w:r w:rsidR="00841B52">
        <w:t xml:space="preserve"> …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V Bruselu dne 20. prosince 1985.</w:t>
      </w:r>
    </w:p>
    <w:p w:rsidR="00B92E4C" w:rsidRDefault="00C804EB">
      <w:pPr>
        <w:pStyle w:val="Normlnweb"/>
        <w:spacing w:beforeAutospacing="0" w:after="120" w:afterAutospacing="0"/>
        <w:jc w:val="both"/>
      </w:pPr>
      <w:r>
        <w:t>Za Radu</w:t>
      </w:r>
      <w:r w:rsidR="00841B52">
        <w:t xml:space="preserve">  </w:t>
      </w:r>
      <w:r>
        <w:t>předseda</w:t>
      </w:r>
      <w:r w:rsidR="00841B52">
        <w:t xml:space="preserve">  </w:t>
      </w:r>
      <w:r>
        <w:t xml:space="preserve">R. </w:t>
      </w:r>
      <w:proofErr w:type="spellStart"/>
      <w:r>
        <w:t>Krieps</w:t>
      </w:r>
      <w:proofErr w:type="spellEnd"/>
    </w:p>
    <w:p w:rsidR="00B92E4C" w:rsidRDefault="00B92E4C">
      <w:pPr>
        <w:spacing w:after="120" w:line="240" w:lineRule="auto"/>
        <w:jc w:val="both"/>
      </w:pPr>
    </w:p>
    <w:p w:rsidR="00B92E4C" w:rsidRPr="00B67DE0" w:rsidRDefault="00B92E4C">
      <w:pPr>
        <w:pStyle w:val="Normlnweb"/>
        <w:spacing w:beforeAutospacing="0" w:after="120" w:afterAutospacing="0"/>
        <w:jc w:val="both"/>
        <w:rPr>
          <w:b/>
          <w:color w:val="808080" w:themeColor="background1" w:themeShade="80"/>
          <w:highlight w:val="cyan"/>
        </w:rPr>
      </w:pPr>
    </w:p>
    <w:p w:rsidR="00B92E4C" w:rsidRPr="00B67DE0" w:rsidRDefault="00841B52">
      <w:pPr>
        <w:pStyle w:val="Normlnweb"/>
        <w:spacing w:beforeAutospacing="0" w:after="120" w:afterAutospacing="0"/>
        <w:jc w:val="both"/>
        <w:rPr>
          <w:b/>
          <w:color w:val="808080" w:themeColor="background1" w:themeShade="80"/>
          <w:sz w:val="28"/>
          <w:szCs w:val="28"/>
        </w:rPr>
      </w:pPr>
      <w:r w:rsidRPr="00B67DE0">
        <w:rPr>
          <w:b/>
          <w:color w:val="808080" w:themeColor="background1" w:themeShade="80"/>
          <w:sz w:val="28"/>
          <w:szCs w:val="28"/>
          <w:highlight w:val="green"/>
        </w:rPr>
        <w:t>K o n t r o l n í   o t á z k</w:t>
      </w:r>
      <w:r w:rsidR="00B67DE0">
        <w:rPr>
          <w:b/>
          <w:color w:val="808080" w:themeColor="background1" w:themeShade="80"/>
          <w:sz w:val="28"/>
          <w:szCs w:val="28"/>
          <w:highlight w:val="green"/>
        </w:rPr>
        <w:t> </w:t>
      </w:r>
      <w:r w:rsidRPr="00B67DE0">
        <w:rPr>
          <w:b/>
          <w:color w:val="808080" w:themeColor="background1" w:themeShade="80"/>
          <w:sz w:val="28"/>
          <w:szCs w:val="28"/>
          <w:highlight w:val="green"/>
        </w:rPr>
        <w:t>y</w:t>
      </w:r>
      <w:r w:rsidR="00B67DE0">
        <w:rPr>
          <w:b/>
          <w:color w:val="808080" w:themeColor="background1" w:themeShade="80"/>
          <w:sz w:val="28"/>
          <w:szCs w:val="28"/>
          <w:highlight w:val="green"/>
        </w:rPr>
        <w:t xml:space="preserve">  (nepovinné)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Které orgány a jakými postupy směrnice a nařízení mohou přijímat?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Jakým způsobem a ve které sbírce dochází k vyhlášení nařízení a směrnic?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V jakých jazycích jsou směrnice a nařízení vyhlašovány?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Srovnejte nařízení a směrnice s českými právní předpisy a uveďte, které z nich by mohly být jejich ekvivalentem (pokud to lze).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 xml:space="preserve">Co se rozumí </w:t>
      </w:r>
      <w:r w:rsidRPr="00B67DE0">
        <w:rPr>
          <w:i/>
          <w:color w:val="808080" w:themeColor="background1" w:themeShade="80"/>
        </w:rPr>
        <w:t>obecnou působností</w:t>
      </w:r>
      <w:r w:rsidRPr="00B67DE0">
        <w:rPr>
          <w:color w:val="808080" w:themeColor="background1" w:themeShade="80"/>
        </w:rPr>
        <w:t xml:space="preserve"> nařízení?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 xml:space="preserve">Co znamená, že nařízení je </w:t>
      </w:r>
      <w:r w:rsidRPr="00B67DE0">
        <w:rPr>
          <w:i/>
          <w:color w:val="808080" w:themeColor="background1" w:themeShade="80"/>
        </w:rPr>
        <w:t>přímo použitelné?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 xml:space="preserve">Jsou také směrnice </w:t>
      </w:r>
      <w:r w:rsidRPr="00B67DE0">
        <w:rPr>
          <w:i/>
          <w:color w:val="808080" w:themeColor="background1" w:themeShade="80"/>
        </w:rPr>
        <w:t>přímo použitelné</w:t>
      </w:r>
      <w:r w:rsidRPr="00B67DE0">
        <w:rPr>
          <w:color w:val="808080" w:themeColor="background1" w:themeShade="80"/>
        </w:rPr>
        <w:t xml:space="preserve">? 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Může jednotlivec směrnici porušit a případně být následně za toto porušení sankcionován?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 xml:space="preserve">Proč je v případě směrnice tvrzení, že </w:t>
      </w:r>
      <w:r w:rsidRPr="00B67DE0">
        <w:rPr>
          <w:i/>
          <w:color w:val="808080" w:themeColor="background1" w:themeShade="80"/>
        </w:rPr>
        <w:t>stanoví cíl, jehož má být dosaženo</w:t>
      </w:r>
      <w:r w:rsidRPr="00B67DE0">
        <w:rPr>
          <w:color w:val="808080" w:themeColor="background1" w:themeShade="80"/>
        </w:rPr>
        <w:t xml:space="preserve"> ne zcela výstižné?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Jaký je rozdíl mezi implementací a transpozicí?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Kdy členský stát splní svou povinnost směrnici provést? Postačí i interní pokyn v rámci hierarchického uspořádání státních orgánů k jejímu provádění nebo musí být vždy provedena formou obecně závazného předpisu?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 xml:space="preserve">Jaké účinky má směrnice vůči členskému státu </w:t>
      </w:r>
      <w:r w:rsidRPr="00B67DE0">
        <w:rPr>
          <w:b/>
          <w:color w:val="808080" w:themeColor="background1" w:themeShade="80"/>
        </w:rPr>
        <w:t>před</w:t>
      </w:r>
      <w:r w:rsidRPr="00B67DE0">
        <w:rPr>
          <w:color w:val="808080" w:themeColor="background1" w:themeShade="80"/>
        </w:rPr>
        <w:t xml:space="preserve"> uplynutím její implementační doby?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Mohou se členské státy odchýlit od standardu předvídaného směrnicí?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Kdo dohlíží nad správnou implementací směrnic a jakým způsobem získává tento orgán relevantní informace?</w:t>
      </w:r>
    </w:p>
    <w:p w:rsidR="00B92E4C" w:rsidRPr="00B67DE0" w:rsidRDefault="00C804EB">
      <w:pPr>
        <w:pStyle w:val="Normlnweb"/>
        <w:numPr>
          <w:ilvl w:val="0"/>
          <w:numId w:val="3"/>
        </w:numPr>
        <w:spacing w:beforeAutospacing="0" w:after="120" w:afterAutospacing="0"/>
        <w:jc w:val="both"/>
        <w:rPr>
          <w:color w:val="808080" w:themeColor="background1" w:themeShade="80"/>
        </w:rPr>
      </w:pPr>
      <w:r w:rsidRPr="00B67DE0">
        <w:rPr>
          <w:color w:val="808080" w:themeColor="background1" w:themeShade="80"/>
        </w:rPr>
        <w:t>Co může být důsledkem neprovedení směrnice řádně a včas?</w:t>
      </w:r>
    </w:p>
    <w:sectPr w:rsidR="00B92E4C" w:rsidRPr="00B67DE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0F3"/>
    <w:multiLevelType w:val="multilevel"/>
    <w:tmpl w:val="F93AC6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CB6F6F"/>
    <w:multiLevelType w:val="multilevel"/>
    <w:tmpl w:val="7C6A8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408CF"/>
    <w:multiLevelType w:val="multilevel"/>
    <w:tmpl w:val="58BC9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1135CD"/>
    <w:multiLevelType w:val="multilevel"/>
    <w:tmpl w:val="8F4E4FA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4C"/>
    <w:rsid w:val="00047BC9"/>
    <w:rsid w:val="00661B7E"/>
    <w:rsid w:val="00841B52"/>
    <w:rsid w:val="00B67DE0"/>
    <w:rsid w:val="00B92E4C"/>
    <w:rsid w:val="00C804EB"/>
    <w:rsid w:val="00E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19D3C-83D2-4B6F-B4C0-1EB0843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2">
    <w:name w:val="heading 2"/>
    <w:basedOn w:val="Normln"/>
    <w:link w:val="Nadpis2Char"/>
    <w:qFormat/>
    <w:rsid w:val="006F6FAD"/>
    <w:pPr>
      <w:keepNext/>
      <w:tabs>
        <w:tab w:val="left" w:pos="360"/>
      </w:tabs>
      <w:suppressAutoHyphens/>
      <w:spacing w:before="240" w:after="120" w:line="240" w:lineRule="auto"/>
      <w:outlineLvl w:val="1"/>
    </w:pPr>
    <w:rPr>
      <w:rFonts w:ascii="Arial" w:eastAsia="Arial" w:hAnsi="Arial" w:cs="Times New Roman"/>
      <w:b/>
      <w:bCs/>
      <w:i/>
      <w:iCs/>
      <w:kern w:val="2"/>
      <w:sz w:val="28"/>
      <w:szCs w:val="28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6F6FAD"/>
    <w:rPr>
      <w:rFonts w:ascii="Arial" w:eastAsia="Arial" w:hAnsi="Arial" w:cs="Times New Roman"/>
      <w:b/>
      <w:bCs/>
      <w:i/>
      <w:iCs/>
      <w:kern w:val="2"/>
      <w:sz w:val="28"/>
      <w:szCs w:val="28"/>
      <w:lang w:eastAsia="hi-IN" w:bidi="hi-IN"/>
    </w:rPr>
  </w:style>
  <w:style w:type="character" w:customStyle="1" w:styleId="Symbolyproslovn">
    <w:name w:val="Symboly pro číslování"/>
    <w:qFormat/>
    <w:rsid w:val="006F6FAD"/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6F6FA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F6FAD"/>
    <w:pPr>
      <w:spacing w:after="120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ormlnweb">
    <w:name w:val="Normal (Web)"/>
    <w:basedOn w:val="Normln"/>
    <w:uiPriority w:val="99"/>
    <w:semiHidden/>
    <w:unhideWhenUsed/>
    <w:qFormat/>
    <w:rsid w:val="00F762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dc:description/>
  <cp:lastModifiedBy>Tyc Vladimir</cp:lastModifiedBy>
  <cp:revision>5</cp:revision>
  <dcterms:created xsi:type="dcterms:W3CDTF">2020-10-15T14:49:00Z</dcterms:created>
  <dcterms:modified xsi:type="dcterms:W3CDTF">2021-09-27T11:00:00Z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