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17A5" w14:textId="77777777" w:rsidR="00F06E2F" w:rsidRDefault="00F06E2F" w:rsidP="00092735">
      <w:pPr>
        <w:pStyle w:val="Bezmezer1"/>
        <w:jc w:val="both"/>
      </w:pPr>
    </w:p>
    <w:p w14:paraId="114FE172" w14:textId="77777777" w:rsidR="00F06E2F" w:rsidRDefault="00F06E2F" w:rsidP="00092735">
      <w:pPr>
        <w:pStyle w:val="Bezmezer1"/>
        <w:jc w:val="both"/>
      </w:pPr>
    </w:p>
    <w:p w14:paraId="40889759" w14:textId="77777777" w:rsidR="00F06E2F" w:rsidRDefault="00F06E2F" w:rsidP="00092735">
      <w:pPr>
        <w:pStyle w:val="Bezmezer1"/>
        <w:jc w:val="both"/>
      </w:pPr>
    </w:p>
    <w:p w14:paraId="53230F5E" w14:textId="77777777" w:rsidR="00F06E2F" w:rsidRDefault="00F06E2F" w:rsidP="00092735">
      <w:pPr>
        <w:pStyle w:val="Bezmezer1"/>
        <w:jc w:val="both"/>
      </w:pPr>
    </w:p>
    <w:p w14:paraId="0311616B" w14:textId="77777777" w:rsidR="00F06E2F" w:rsidRDefault="00F06E2F" w:rsidP="00092735">
      <w:pPr>
        <w:pStyle w:val="Bezmezer1"/>
        <w:jc w:val="both"/>
      </w:pPr>
    </w:p>
    <w:p w14:paraId="4CD2F84C" w14:textId="77777777" w:rsidR="00F06E2F" w:rsidRDefault="00F06E2F" w:rsidP="00092735">
      <w:pPr>
        <w:pStyle w:val="Bezmezer1"/>
        <w:jc w:val="both"/>
      </w:pPr>
    </w:p>
    <w:p w14:paraId="548C5ED1" w14:textId="77777777" w:rsidR="00F06E2F" w:rsidRDefault="00F06E2F" w:rsidP="00092735">
      <w:pPr>
        <w:pStyle w:val="Bezmezer1"/>
        <w:jc w:val="both"/>
      </w:pPr>
    </w:p>
    <w:p w14:paraId="281E554A" w14:textId="77777777" w:rsidR="00F06E2F" w:rsidRDefault="00F06E2F" w:rsidP="00092735">
      <w:pPr>
        <w:pStyle w:val="Bezmezer1"/>
        <w:jc w:val="both"/>
      </w:pPr>
    </w:p>
    <w:p w14:paraId="2EBAB7CC" w14:textId="77777777" w:rsidR="00F06E2F" w:rsidRDefault="00F06E2F" w:rsidP="00092735">
      <w:pPr>
        <w:pStyle w:val="Bezmezer1"/>
        <w:jc w:val="both"/>
      </w:pPr>
    </w:p>
    <w:p w14:paraId="4C29E4A0" w14:textId="77777777" w:rsidR="00F06E2F" w:rsidRDefault="00F06E2F" w:rsidP="00092735">
      <w:pPr>
        <w:pStyle w:val="Bezmezer1"/>
        <w:jc w:val="both"/>
      </w:pPr>
    </w:p>
    <w:p w14:paraId="7E34ADF4" w14:textId="77777777" w:rsidR="00F06E2F" w:rsidRDefault="00F06E2F" w:rsidP="00092735">
      <w:pPr>
        <w:pStyle w:val="Bezmezer1"/>
        <w:jc w:val="both"/>
      </w:pPr>
    </w:p>
    <w:p w14:paraId="4602760E" w14:textId="77777777" w:rsidR="00F06E2F" w:rsidRDefault="00F06E2F" w:rsidP="00092735">
      <w:pPr>
        <w:pStyle w:val="Bezmezer1"/>
        <w:jc w:val="both"/>
      </w:pPr>
    </w:p>
    <w:p w14:paraId="6777E035" w14:textId="77777777" w:rsidR="00F06E2F" w:rsidRDefault="00F06E2F" w:rsidP="00092735">
      <w:pPr>
        <w:pStyle w:val="Bezmezer1"/>
        <w:jc w:val="both"/>
      </w:pPr>
    </w:p>
    <w:p w14:paraId="7CE14B62" w14:textId="77777777" w:rsidR="00F06E2F" w:rsidRDefault="00F06E2F" w:rsidP="00092735">
      <w:pPr>
        <w:pStyle w:val="Bezmezer1"/>
        <w:jc w:val="both"/>
      </w:pPr>
    </w:p>
    <w:p w14:paraId="6A15F1A6" w14:textId="77777777" w:rsidR="00F06E2F" w:rsidRDefault="00F06E2F" w:rsidP="00092735">
      <w:pPr>
        <w:pStyle w:val="Bezmezer1"/>
        <w:jc w:val="both"/>
      </w:pPr>
    </w:p>
    <w:p w14:paraId="66E461AB" w14:textId="77777777" w:rsidR="00F06E2F" w:rsidRDefault="00F06E2F" w:rsidP="00092735">
      <w:pPr>
        <w:pStyle w:val="Bezmezer1"/>
        <w:jc w:val="both"/>
      </w:pPr>
    </w:p>
    <w:p w14:paraId="6283BA55" w14:textId="77777777" w:rsidR="00F06E2F" w:rsidRDefault="00F06E2F" w:rsidP="00092735">
      <w:pPr>
        <w:pStyle w:val="Bezmezer1"/>
        <w:jc w:val="both"/>
      </w:pPr>
    </w:p>
    <w:p w14:paraId="72902737" w14:textId="77777777" w:rsidR="00F06E2F" w:rsidRDefault="00F06E2F" w:rsidP="00092735">
      <w:pPr>
        <w:pStyle w:val="Bezmezer1"/>
        <w:jc w:val="both"/>
      </w:pPr>
    </w:p>
    <w:p w14:paraId="1F3D6F1B" w14:textId="77777777" w:rsidR="00F06E2F" w:rsidRDefault="00F06E2F" w:rsidP="00092735">
      <w:pPr>
        <w:pStyle w:val="Bezmezer1"/>
        <w:jc w:val="both"/>
      </w:pPr>
    </w:p>
    <w:p w14:paraId="12DC17AF" w14:textId="77777777" w:rsidR="00F06E2F" w:rsidRDefault="00F06E2F" w:rsidP="00092735">
      <w:pPr>
        <w:pStyle w:val="Bezmezer1"/>
        <w:jc w:val="both"/>
      </w:pPr>
    </w:p>
    <w:p w14:paraId="208542E2" w14:textId="77777777" w:rsidR="00F06E2F" w:rsidRDefault="00F06E2F" w:rsidP="00092735">
      <w:pPr>
        <w:pStyle w:val="Bezmezer1"/>
        <w:jc w:val="both"/>
      </w:pPr>
    </w:p>
    <w:p w14:paraId="33639552" w14:textId="77777777" w:rsidR="00F06E2F" w:rsidRDefault="00F06E2F" w:rsidP="00092735">
      <w:pPr>
        <w:pStyle w:val="Bezmezer1"/>
        <w:jc w:val="both"/>
      </w:pPr>
    </w:p>
    <w:p w14:paraId="0E642DA1" w14:textId="77777777" w:rsidR="00F06E2F" w:rsidRDefault="00F06E2F" w:rsidP="00092735">
      <w:pPr>
        <w:pStyle w:val="Bezmezer1"/>
        <w:jc w:val="both"/>
      </w:pPr>
    </w:p>
    <w:p w14:paraId="34372DDD" w14:textId="77777777" w:rsidR="00F06E2F" w:rsidRDefault="00F06E2F" w:rsidP="00092735">
      <w:pPr>
        <w:pStyle w:val="Bezmezer1"/>
        <w:jc w:val="both"/>
      </w:pPr>
    </w:p>
    <w:p w14:paraId="43E74FDA" w14:textId="77777777" w:rsidR="00F06E2F" w:rsidRDefault="00F06E2F" w:rsidP="00092735">
      <w:pPr>
        <w:pStyle w:val="Bezmezer1"/>
        <w:jc w:val="both"/>
      </w:pPr>
    </w:p>
    <w:p w14:paraId="1BEF2C7F" w14:textId="77777777" w:rsidR="00F06E2F" w:rsidRDefault="00F06E2F" w:rsidP="00092735">
      <w:pPr>
        <w:pStyle w:val="Bezmezer1"/>
        <w:jc w:val="both"/>
      </w:pPr>
    </w:p>
    <w:p w14:paraId="418AD6DC" w14:textId="77777777" w:rsidR="00F06E2F" w:rsidRDefault="00F06E2F" w:rsidP="00092735">
      <w:pPr>
        <w:pStyle w:val="Bezmezer1"/>
        <w:jc w:val="both"/>
      </w:pPr>
    </w:p>
    <w:p w14:paraId="06617DC8" w14:textId="77777777" w:rsidR="00F06E2F" w:rsidRDefault="00F06E2F" w:rsidP="00092735">
      <w:pPr>
        <w:pStyle w:val="Bezmezer1"/>
        <w:jc w:val="both"/>
      </w:pPr>
    </w:p>
    <w:p w14:paraId="65231C8C" w14:textId="77777777" w:rsidR="00F06E2F" w:rsidRDefault="00F06E2F" w:rsidP="00092735">
      <w:pPr>
        <w:pStyle w:val="Bezmezer1"/>
        <w:jc w:val="both"/>
      </w:pPr>
    </w:p>
    <w:p w14:paraId="0F0B1E39" w14:textId="77777777" w:rsidR="00F06E2F" w:rsidRDefault="00F06E2F" w:rsidP="00092735">
      <w:pPr>
        <w:pStyle w:val="Bezmezer1"/>
        <w:jc w:val="both"/>
      </w:pPr>
    </w:p>
    <w:p w14:paraId="389331BF" w14:textId="77777777" w:rsidR="00F06E2F" w:rsidRDefault="00F06E2F" w:rsidP="00092735">
      <w:pPr>
        <w:pStyle w:val="Bezmezer1"/>
        <w:jc w:val="both"/>
      </w:pPr>
    </w:p>
    <w:p w14:paraId="01E83958" w14:textId="77777777" w:rsidR="00F06E2F" w:rsidRDefault="00F06E2F" w:rsidP="00092735">
      <w:pPr>
        <w:pStyle w:val="Bezmezer1"/>
        <w:jc w:val="both"/>
      </w:pPr>
    </w:p>
    <w:p w14:paraId="44EC86FC" w14:textId="77777777" w:rsidR="00F06E2F" w:rsidRDefault="00F06E2F" w:rsidP="00092735">
      <w:pPr>
        <w:pStyle w:val="Bezmezer1"/>
        <w:jc w:val="both"/>
      </w:pPr>
    </w:p>
    <w:p w14:paraId="41035D39" w14:textId="77777777" w:rsidR="00F06E2F" w:rsidRDefault="00F06E2F" w:rsidP="00092735">
      <w:pPr>
        <w:pStyle w:val="Bezmezer1"/>
        <w:jc w:val="both"/>
      </w:pPr>
    </w:p>
    <w:p w14:paraId="391C1EDC" w14:textId="77777777" w:rsidR="00F06E2F" w:rsidRDefault="00F06E2F" w:rsidP="00092735">
      <w:pPr>
        <w:pStyle w:val="Bezmezer1"/>
        <w:jc w:val="both"/>
      </w:pPr>
    </w:p>
    <w:p w14:paraId="06D8BEE2" w14:textId="77777777" w:rsidR="00F06E2F" w:rsidRDefault="00F06E2F" w:rsidP="00092735">
      <w:pPr>
        <w:pStyle w:val="Bezmezer1"/>
        <w:jc w:val="both"/>
      </w:pPr>
    </w:p>
    <w:p w14:paraId="441F993A" w14:textId="77777777" w:rsidR="00F06E2F" w:rsidRDefault="00F06E2F" w:rsidP="00092735">
      <w:pPr>
        <w:pStyle w:val="Bezmezer1"/>
        <w:jc w:val="both"/>
      </w:pPr>
    </w:p>
    <w:p w14:paraId="0B461799" w14:textId="77777777" w:rsidR="00F06E2F" w:rsidRDefault="00F06E2F" w:rsidP="00092735">
      <w:pPr>
        <w:pStyle w:val="Bezmezer1"/>
        <w:jc w:val="both"/>
      </w:pPr>
    </w:p>
    <w:p w14:paraId="1B03EDAD" w14:textId="77777777" w:rsidR="00F06E2F" w:rsidRDefault="00F06E2F" w:rsidP="00092735">
      <w:pPr>
        <w:pStyle w:val="Bezmezer1"/>
        <w:jc w:val="both"/>
      </w:pPr>
    </w:p>
    <w:p w14:paraId="00C1B5F5" w14:textId="77777777" w:rsidR="00F06E2F" w:rsidRDefault="00F06E2F" w:rsidP="00092735">
      <w:pPr>
        <w:pStyle w:val="Bezmezer1"/>
        <w:jc w:val="both"/>
      </w:pPr>
    </w:p>
    <w:p w14:paraId="226E1CA5" w14:textId="77777777" w:rsidR="00F06E2F" w:rsidRDefault="00F06E2F" w:rsidP="00092735">
      <w:pPr>
        <w:pStyle w:val="Bezmezer1"/>
        <w:jc w:val="both"/>
      </w:pPr>
    </w:p>
    <w:p w14:paraId="754DB8F6" w14:textId="77777777" w:rsidR="00F06E2F" w:rsidRDefault="00F06E2F" w:rsidP="00092735">
      <w:pPr>
        <w:pStyle w:val="Bezmezer1"/>
        <w:jc w:val="both"/>
      </w:pPr>
    </w:p>
    <w:p w14:paraId="41BDA499" w14:textId="77777777" w:rsidR="00F06E2F" w:rsidRDefault="00F06E2F" w:rsidP="00092735">
      <w:pPr>
        <w:pStyle w:val="Bezmezer1"/>
        <w:jc w:val="both"/>
      </w:pPr>
    </w:p>
    <w:p w14:paraId="2360611E" w14:textId="77777777" w:rsidR="00F06E2F" w:rsidRDefault="00F06E2F" w:rsidP="00092735">
      <w:pPr>
        <w:pStyle w:val="Bezmezer1"/>
        <w:jc w:val="both"/>
      </w:pPr>
    </w:p>
    <w:p w14:paraId="437A8614" w14:textId="77777777" w:rsidR="00F06E2F" w:rsidRDefault="00F06E2F" w:rsidP="00092735">
      <w:pPr>
        <w:pStyle w:val="Bezmezer1"/>
        <w:jc w:val="both"/>
      </w:pPr>
    </w:p>
    <w:p w14:paraId="4E76805C" w14:textId="77777777" w:rsidR="00F06E2F" w:rsidRDefault="00F06E2F" w:rsidP="00092735">
      <w:pPr>
        <w:pStyle w:val="Bezmezer1"/>
        <w:jc w:val="both"/>
      </w:pPr>
    </w:p>
    <w:p w14:paraId="3327341F" w14:textId="77777777" w:rsidR="00F06E2F" w:rsidRDefault="00F06E2F" w:rsidP="00092735">
      <w:pPr>
        <w:pStyle w:val="Bezmezer1"/>
        <w:jc w:val="both"/>
      </w:pPr>
    </w:p>
    <w:p w14:paraId="020755EB" w14:textId="77777777" w:rsidR="00F06E2F" w:rsidRDefault="00F06E2F" w:rsidP="00092735">
      <w:pPr>
        <w:pStyle w:val="Bezmezer1"/>
        <w:jc w:val="both"/>
      </w:pPr>
    </w:p>
    <w:p w14:paraId="6E77C4E0" w14:textId="77777777" w:rsidR="00F06E2F" w:rsidRDefault="00F06E2F" w:rsidP="00092735">
      <w:pPr>
        <w:pStyle w:val="Bezmezer1"/>
        <w:jc w:val="both"/>
      </w:pPr>
    </w:p>
    <w:p w14:paraId="03C8C18A" w14:textId="77777777" w:rsidR="00F06E2F" w:rsidRDefault="00F06E2F" w:rsidP="00092735">
      <w:pPr>
        <w:pStyle w:val="Bezmezer1"/>
        <w:jc w:val="both"/>
      </w:pPr>
    </w:p>
    <w:p w14:paraId="47B56E6D" w14:textId="77777777" w:rsidR="00F06E2F" w:rsidRDefault="00F06E2F" w:rsidP="00092735">
      <w:pPr>
        <w:pStyle w:val="Bezmezer1"/>
        <w:jc w:val="both"/>
      </w:pPr>
    </w:p>
    <w:p w14:paraId="165A1448" w14:textId="77777777" w:rsidR="00F06E2F" w:rsidRDefault="00F06E2F" w:rsidP="00092735">
      <w:pPr>
        <w:pStyle w:val="Bezmezer1"/>
        <w:jc w:val="both"/>
      </w:pPr>
    </w:p>
    <w:tbl>
      <w:tblPr>
        <w:tblW w:w="9540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3"/>
        <w:gridCol w:w="2340"/>
        <w:gridCol w:w="2307"/>
      </w:tblGrid>
      <w:tr w:rsidR="00FF22DB" w:rsidRPr="00A63DF2" w14:paraId="1D1C47A3" w14:textId="77777777">
        <w:trPr>
          <w:trHeight w:val="540"/>
        </w:trPr>
        <w:tc>
          <w:tcPr>
            <w:tcW w:w="4893" w:type="dxa"/>
            <w:tcBorders>
              <w:bottom w:val="single" w:sz="4" w:space="0" w:color="auto"/>
            </w:tcBorders>
            <w:vAlign w:val="center"/>
          </w:tcPr>
          <w:p w14:paraId="18C8C8FA" w14:textId="77777777" w:rsidR="00FF22DB" w:rsidRPr="00A63DF2" w:rsidRDefault="00FF22DB" w:rsidP="00FF22DB">
            <w:pPr>
              <w:pStyle w:val="Bezmezer1"/>
              <w:ind w:left="33"/>
              <w:rPr>
                <w:rFonts w:ascii="Garamond" w:hAnsi="Garamond"/>
                <w:sz w:val="24"/>
                <w:szCs w:val="24"/>
              </w:rPr>
            </w:pPr>
            <w:r w:rsidRPr="00A63DF2">
              <w:rPr>
                <w:rFonts w:ascii="Garamond" w:hAnsi="Garamond"/>
                <w:sz w:val="24"/>
                <w:szCs w:val="24"/>
              </w:rPr>
              <w:t>Jméno a příjmení: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9D2E8D9" w14:textId="77777777" w:rsidR="00FF22DB" w:rsidRPr="00A63DF2" w:rsidRDefault="004F6AD1" w:rsidP="00FF22DB">
            <w:pPr>
              <w:pStyle w:val="Bezmezer1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</w:t>
            </w:r>
            <w:r w:rsidR="00FF22DB" w:rsidRPr="00A63DF2">
              <w:rPr>
                <w:rFonts w:ascii="Garamond" w:hAnsi="Garamond"/>
                <w:sz w:val="24"/>
                <w:szCs w:val="24"/>
              </w:rPr>
              <w:t>ČO:</w:t>
            </w:r>
          </w:p>
        </w:tc>
        <w:tc>
          <w:tcPr>
            <w:tcW w:w="2307" w:type="dxa"/>
            <w:vAlign w:val="center"/>
          </w:tcPr>
          <w:p w14:paraId="5B3BB85A" w14:textId="77777777" w:rsidR="00FF22DB" w:rsidRPr="00A63DF2" w:rsidRDefault="007B2EF3" w:rsidP="00183E15">
            <w:pPr>
              <w:pStyle w:val="Bezmezer1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Datum: </w:t>
            </w:r>
          </w:p>
        </w:tc>
      </w:tr>
      <w:tr w:rsidR="00FF22DB" w:rsidRPr="00A63DF2" w14:paraId="03DD2035" w14:textId="77777777" w:rsidTr="007B2EF3">
        <w:trPr>
          <w:trHeight w:val="70"/>
        </w:trPr>
        <w:tc>
          <w:tcPr>
            <w:tcW w:w="4893" w:type="dxa"/>
            <w:tcBorders>
              <w:bottom w:val="single" w:sz="4" w:space="0" w:color="auto"/>
            </w:tcBorders>
            <w:vAlign w:val="center"/>
          </w:tcPr>
          <w:p w14:paraId="60F5041E" w14:textId="77777777" w:rsidR="00FF22DB" w:rsidRPr="00A63DF2" w:rsidRDefault="00A63DF2" w:rsidP="007B2EF3">
            <w:pPr>
              <w:pStyle w:val="Bezmezer1"/>
              <w:ind w:left="33"/>
              <w:jc w:val="center"/>
              <w:rPr>
                <w:rFonts w:ascii="Garamond" w:hAnsi="Garamond"/>
                <w:sz w:val="24"/>
                <w:szCs w:val="24"/>
              </w:rPr>
            </w:pPr>
            <w:r w:rsidRPr="00A63DF2">
              <w:rPr>
                <w:rFonts w:ascii="Garamond" w:hAnsi="Garamond"/>
                <w:sz w:val="24"/>
                <w:szCs w:val="24"/>
              </w:rPr>
              <w:t xml:space="preserve">Výsledek </w:t>
            </w:r>
            <w:r w:rsidR="004F6AD1">
              <w:rPr>
                <w:rFonts w:ascii="Garamond" w:hAnsi="Garamond"/>
                <w:sz w:val="24"/>
                <w:szCs w:val="24"/>
              </w:rPr>
              <w:t xml:space="preserve">najdete v poznámkovém bloku. </w:t>
            </w:r>
          </w:p>
        </w:tc>
        <w:tc>
          <w:tcPr>
            <w:tcW w:w="4647" w:type="dxa"/>
            <w:gridSpan w:val="2"/>
            <w:tcBorders>
              <w:bottom w:val="single" w:sz="4" w:space="0" w:color="auto"/>
            </w:tcBorders>
            <w:vAlign w:val="center"/>
          </w:tcPr>
          <w:p w14:paraId="32ABCCD0" w14:textId="77777777" w:rsidR="00FF22DB" w:rsidRPr="00A63DF2" w:rsidRDefault="00E7478E" w:rsidP="007B2EF3">
            <w:pPr>
              <w:pStyle w:val="Bezmezer1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Písemná prác</w:t>
            </w:r>
            <w:r w:rsidR="007B2EF3">
              <w:rPr>
                <w:rFonts w:ascii="Garamond" w:hAnsi="Garamond"/>
                <w:sz w:val="24"/>
                <w:szCs w:val="24"/>
              </w:rPr>
              <w:t>e bude opravena do 7 </w:t>
            </w:r>
            <w:r>
              <w:rPr>
                <w:rFonts w:ascii="Garamond" w:hAnsi="Garamond"/>
                <w:sz w:val="24"/>
                <w:szCs w:val="24"/>
              </w:rPr>
              <w:t>dnů (den písemné práce se do lhůty nepočítá)</w:t>
            </w:r>
            <w:r w:rsidR="007B2EF3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</w:tbl>
    <w:p w14:paraId="55294028" w14:textId="77777777" w:rsidR="00FF22DB" w:rsidRDefault="00FF22DB" w:rsidP="00C04E92">
      <w:pPr>
        <w:jc w:val="both"/>
        <w:rPr>
          <w:rFonts w:ascii="Syntax LT CE" w:hAnsi="Syntax LT CE"/>
          <w:sz w:val="24"/>
          <w:szCs w:val="24"/>
        </w:rPr>
      </w:pPr>
    </w:p>
    <w:p w14:paraId="2A8F337F" w14:textId="77777777" w:rsidR="00040E0F" w:rsidRPr="00040E0F" w:rsidRDefault="00040E0F" w:rsidP="00040E0F">
      <w:pPr>
        <w:pStyle w:val="Bezmezer"/>
        <w:spacing w:line="276" w:lineRule="auto"/>
        <w:jc w:val="both"/>
        <w:rPr>
          <w:rFonts w:ascii="Garamond" w:hAnsi="Garamond"/>
          <w:sz w:val="24"/>
          <w:szCs w:val="24"/>
        </w:rPr>
      </w:pPr>
      <w:r w:rsidRPr="00040E0F">
        <w:rPr>
          <w:rFonts w:ascii="Garamond" w:hAnsi="Garamond"/>
          <w:sz w:val="24"/>
          <w:szCs w:val="24"/>
        </w:rPr>
        <w:t xml:space="preserve">Společnost </w:t>
      </w:r>
      <w:proofErr w:type="spellStart"/>
      <w:r w:rsidR="00AA0B58">
        <w:rPr>
          <w:rFonts w:ascii="Garamond" w:hAnsi="Garamond"/>
          <w:sz w:val="24"/>
          <w:szCs w:val="24"/>
        </w:rPr>
        <w:t>Vetarex</w:t>
      </w:r>
      <w:proofErr w:type="spellEnd"/>
      <w:r w:rsidR="00AA0B58">
        <w:rPr>
          <w:rFonts w:ascii="Garamond" w:hAnsi="Garamond"/>
          <w:sz w:val="24"/>
          <w:szCs w:val="24"/>
        </w:rPr>
        <w:t xml:space="preserve"> (</w:t>
      </w:r>
      <w:r w:rsidRPr="00040E0F">
        <w:rPr>
          <w:rFonts w:ascii="Garamond" w:hAnsi="Garamond"/>
          <w:sz w:val="24"/>
          <w:szCs w:val="24"/>
        </w:rPr>
        <w:t>sídlo a místo podnikání</w:t>
      </w:r>
      <w:r w:rsidR="00AA0B58">
        <w:rPr>
          <w:rFonts w:ascii="Garamond" w:hAnsi="Garamond"/>
          <w:sz w:val="24"/>
          <w:szCs w:val="24"/>
        </w:rPr>
        <w:t xml:space="preserve"> Brno,</w:t>
      </w:r>
      <w:r w:rsidRPr="00040E0F">
        <w:rPr>
          <w:rFonts w:ascii="Garamond" w:hAnsi="Garamond"/>
          <w:sz w:val="24"/>
          <w:szCs w:val="24"/>
        </w:rPr>
        <w:t xml:space="preserve"> ČR</w:t>
      </w:r>
      <w:r w:rsidR="00AA0B58">
        <w:rPr>
          <w:rFonts w:ascii="Garamond" w:hAnsi="Garamond"/>
          <w:sz w:val="24"/>
          <w:szCs w:val="24"/>
        </w:rPr>
        <w:t>)</w:t>
      </w:r>
      <w:r w:rsidRPr="00040E0F">
        <w:rPr>
          <w:rFonts w:ascii="Garamond" w:hAnsi="Garamond"/>
          <w:sz w:val="24"/>
          <w:szCs w:val="24"/>
        </w:rPr>
        <w:t xml:space="preserve"> </w:t>
      </w:r>
      <w:r w:rsidR="00AA0B58">
        <w:rPr>
          <w:rFonts w:ascii="Garamond" w:hAnsi="Garamond"/>
          <w:sz w:val="24"/>
          <w:szCs w:val="24"/>
        </w:rPr>
        <w:t xml:space="preserve">provozuje velkoobchod </w:t>
      </w:r>
      <w:proofErr w:type="gramStart"/>
      <w:r w:rsidR="00AA0B58">
        <w:rPr>
          <w:rFonts w:ascii="Garamond" w:hAnsi="Garamond"/>
          <w:sz w:val="24"/>
          <w:szCs w:val="24"/>
        </w:rPr>
        <w:t xml:space="preserve">s </w:t>
      </w:r>
      <w:r w:rsidRPr="00040E0F">
        <w:rPr>
          <w:rFonts w:ascii="Garamond" w:hAnsi="Garamond"/>
          <w:sz w:val="24"/>
          <w:szCs w:val="24"/>
        </w:rPr>
        <w:t xml:space="preserve"> veterinární</w:t>
      </w:r>
      <w:r w:rsidR="00AA0B58">
        <w:rPr>
          <w:rFonts w:ascii="Garamond" w:hAnsi="Garamond"/>
          <w:sz w:val="24"/>
          <w:szCs w:val="24"/>
        </w:rPr>
        <w:t>mi</w:t>
      </w:r>
      <w:proofErr w:type="gramEnd"/>
      <w:r w:rsidRPr="00040E0F">
        <w:rPr>
          <w:rFonts w:ascii="Garamond" w:hAnsi="Garamond"/>
          <w:sz w:val="24"/>
          <w:szCs w:val="24"/>
        </w:rPr>
        <w:t xml:space="preserve"> léčiv</w:t>
      </w:r>
      <w:r w:rsidR="00AA0B58">
        <w:rPr>
          <w:rFonts w:ascii="Garamond" w:hAnsi="Garamond"/>
          <w:sz w:val="24"/>
          <w:szCs w:val="24"/>
        </w:rPr>
        <w:t>y</w:t>
      </w:r>
      <w:r w:rsidRPr="00040E0F">
        <w:rPr>
          <w:rFonts w:ascii="Garamond" w:hAnsi="Garamond"/>
          <w:sz w:val="24"/>
          <w:szCs w:val="24"/>
        </w:rPr>
        <w:t>, potravinov</w:t>
      </w:r>
      <w:r w:rsidR="00AA0B58">
        <w:rPr>
          <w:rFonts w:ascii="Garamond" w:hAnsi="Garamond"/>
          <w:sz w:val="24"/>
          <w:szCs w:val="24"/>
        </w:rPr>
        <w:t>ými</w:t>
      </w:r>
      <w:r w:rsidRPr="00040E0F">
        <w:rPr>
          <w:rFonts w:ascii="Garamond" w:hAnsi="Garamond"/>
          <w:sz w:val="24"/>
          <w:szCs w:val="24"/>
        </w:rPr>
        <w:t xml:space="preserve"> doplňk</w:t>
      </w:r>
      <w:r w:rsidR="00AA0B58">
        <w:rPr>
          <w:rFonts w:ascii="Garamond" w:hAnsi="Garamond"/>
          <w:sz w:val="24"/>
          <w:szCs w:val="24"/>
        </w:rPr>
        <w:t>y</w:t>
      </w:r>
      <w:r w:rsidRPr="00040E0F">
        <w:rPr>
          <w:rFonts w:ascii="Garamond" w:hAnsi="Garamond"/>
          <w:sz w:val="24"/>
          <w:szCs w:val="24"/>
        </w:rPr>
        <w:t xml:space="preserve"> a zvířecí</w:t>
      </w:r>
      <w:r w:rsidR="00AA0B58">
        <w:rPr>
          <w:rFonts w:ascii="Garamond" w:hAnsi="Garamond"/>
          <w:sz w:val="24"/>
          <w:szCs w:val="24"/>
        </w:rPr>
        <w:t>mi</w:t>
      </w:r>
      <w:r w:rsidRPr="00040E0F">
        <w:rPr>
          <w:rFonts w:ascii="Garamond" w:hAnsi="Garamond"/>
          <w:sz w:val="24"/>
          <w:szCs w:val="24"/>
        </w:rPr>
        <w:t xml:space="preserve"> krmiv</w:t>
      </w:r>
      <w:r w:rsidR="00AA0B58">
        <w:rPr>
          <w:rFonts w:ascii="Garamond" w:hAnsi="Garamond"/>
          <w:sz w:val="24"/>
          <w:szCs w:val="24"/>
        </w:rPr>
        <w:t>y</w:t>
      </w:r>
      <w:r w:rsidRPr="00040E0F">
        <w:rPr>
          <w:rFonts w:ascii="Garamond" w:hAnsi="Garamond"/>
          <w:sz w:val="24"/>
          <w:szCs w:val="24"/>
        </w:rPr>
        <w:t xml:space="preserve">. </w:t>
      </w:r>
      <w:r w:rsidR="00AA0B58">
        <w:rPr>
          <w:rFonts w:ascii="Garamond" w:hAnsi="Garamond"/>
          <w:sz w:val="24"/>
          <w:szCs w:val="24"/>
        </w:rPr>
        <w:t>V roce 2019</w:t>
      </w:r>
      <w:r w:rsidRPr="00040E0F">
        <w:rPr>
          <w:rFonts w:ascii="Garamond" w:hAnsi="Garamond"/>
          <w:sz w:val="24"/>
          <w:szCs w:val="24"/>
        </w:rPr>
        <w:t xml:space="preserve"> začala jednat s novým potenciálním dodavatelem psích granulí, společností </w:t>
      </w:r>
      <w:proofErr w:type="spellStart"/>
      <w:r w:rsidR="00AA0B58">
        <w:rPr>
          <w:rFonts w:ascii="Garamond" w:hAnsi="Garamond"/>
          <w:sz w:val="24"/>
          <w:szCs w:val="24"/>
        </w:rPr>
        <w:t>Hillas</w:t>
      </w:r>
      <w:proofErr w:type="spellEnd"/>
      <w:r w:rsidR="00AA0B58">
        <w:rPr>
          <w:rFonts w:ascii="Garamond" w:hAnsi="Garamond"/>
          <w:sz w:val="24"/>
          <w:szCs w:val="24"/>
        </w:rPr>
        <w:t xml:space="preserve"> (sídlo a místo podnikání Neapol, Itálie).</w:t>
      </w:r>
      <w:r w:rsidRPr="00040E0F">
        <w:rPr>
          <w:rFonts w:ascii="Garamond" w:hAnsi="Garamond"/>
          <w:sz w:val="24"/>
          <w:szCs w:val="24"/>
        </w:rPr>
        <w:t xml:space="preserve"> První kontakt proběhl na mezinárodní výstavě spojené s veletrhem v</w:t>
      </w:r>
      <w:r w:rsidR="00AA0B58">
        <w:rPr>
          <w:rFonts w:ascii="Garamond" w:hAnsi="Garamond"/>
          <w:sz w:val="24"/>
          <w:szCs w:val="24"/>
        </w:rPr>
        <w:t> </w:t>
      </w:r>
      <w:r w:rsidRPr="00040E0F">
        <w:rPr>
          <w:rFonts w:ascii="Garamond" w:hAnsi="Garamond"/>
          <w:sz w:val="24"/>
          <w:szCs w:val="24"/>
        </w:rPr>
        <w:t>Miláně</w:t>
      </w:r>
      <w:r w:rsidR="00AA0B58">
        <w:rPr>
          <w:rFonts w:ascii="Garamond" w:hAnsi="Garamond"/>
          <w:sz w:val="24"/>
          <w:szCs w:val="24"/>
        </w:rPr>
        <w:t xml:space="preserve"> v květnu 2019</w:t>
      </w:r>
      <w:r w:rsidRPr="00040E0F">
        <w:rPr>
          <w:rFonts w:ascii="Garamond" w:hAnsi="Garamond"/>
          <w:sz w:val="24"/>
          <w:szCs w:val="24"/>
        </w:rPr>
        <w:t>. Zástupci obou společností si vyměnili základní představy spolupráce, jednání probíhalo v angličtině:</w:t>
      </w:r>
    </w:p>
    <w:p w14:paraId="52B7575E" w14:textId="77777777" w:rsidR="00040E0F" w:rsidRPr="00040E0F" w:rsidRDefault="00040E0F" w:rsidP="00040E0F">
      <w:pPr>
        <w:pStyle w:val="Bezmezer"/>
        <w:numPr>
          <w:ilvl w:val="0"/>
          <w:numId w:val="25"/>
        </w:numPr>
        <w:jc w:val="both"/>
        <w:rPr>
          <w:rFonts w:ascii="Garamond" w:hAnsi="Garamond"/>
          <w:sz w:val="24"/>
          <w:szCs w:val="24"/>
        </w:rPr>
      </w:pPr>
      <w:r w:rsidRPr="00040E0F">
        <w:rPr>
          <w:rFonts w:ascii="Garamond" w:hAnsi="Garamond"/>
          <w:sz w:val="24"/>
          <w:szCs w:val="24"/>
        </w:rPr>
        <w:t xml:space="preserve">začátek spolupráce </w:t>
      </w:r>
      <w:r w:rsidR="00AA0B58">
        <w:rPr>
          <w:rFonts w:ascii="Garamond" w:hAnsi="Garamond"/>
          <w:sz w:val="24"/>
          <w:szCs w:val="24"/>
        </w:rPr>
        <w:t>září</w:t>
      </w:r>
      <w:r w:rsidRPr="00040E0F">
        <w:rPr>
          <w:rFonts w:ascii="Garamond" w:hAnsi="Garamond"/>
          <w:sz w:val="24"/>
          <w:szCs w:val="24"/>
        </w:rPr>
        <w:t xml:space="preserve"> 201</w:t>
      </w:r>
      <w:r w:rsidR="00AA0B58">
        <w:rPr>
          <w:rFonts w:ascii="Garamond" w:hAnsi="Garamond"/>
          <w:sz w:val="24"/>
          <w:szCs w:val="24"/>
        </w:rPr>
        <w:t>9</w:t>
      </w:r>
      <w:r w:rsidRPr="00040E0F">
        <w:rPr>
          <w:rFonts w:ascii="Garamond" w:hAnsi="Garamond"/>
          <w:sz w:val="24"/>
          <w:szCs w:val="24"/>
        </w:rPr>
        <w:t>;</w:t>
      </w:r>
    </w:p>
    <w:p w14:paraId="5E9F8EE2" w14:textId="77777777" w:rsidR="00040E0F" w:rsidRDefault="00040E0F" w:rsidP="00040E0F">
      <w:pPr>
        <w:pStyle w:val="Bezmezer"/>
        <w:numPr>
          <w:ilvl w:val="0"/>
          <w:numId w:val="25"/>
        </w:numPr>
        <w:jc w:val="both"/>
        <w:rPr>
          <w:rFonts w:ascii="Garamond" w:hAnsi="Garamond"/>
          <w:sz w:val="24"/>
          <w:szCs w:val="24"/>
        </w:rPr>
      </w:pPr>
      <w:r w:rsidRPr="00040E0F">
        <w:rPr>
          <w:rFonts w:ascii="Garamond" w:hAnsi="Garamond"/>
          <w:sz w:val="24"/>
          <w:szCs w:val="24"/>
        </w:rPr>
        <w:t xml:space="preserve">délka spolupráce 12 měsíců s automatickým prodlužováním v případě, kdy ani jedna společnost do konce měsíce </w:t>
      </w:r>
      <w:r w:rsidR="00AA0B58">
        <w:rPr>
          <w:rFonts w:ascii="Garamond" w:hAnsi="Garamond"/>
          <w:sz w:val="24"/>
          <w:szCs w:val="24"/>
        </w:rPr>
        <w:t>července</w:t>
      </w:r>
      <w:r w:rsidRPr="00040E0F">
        <w:rPr>
          <w:rFonts w:ascii="Garamond" w:hAnsi="Garamond"/>
          <w:sz w:val="24"/>
          <w:szCs w:val="24"/>
        </w:rPr>
        <w:t xml:space="preserve"> nezašle informaci o ukončení spolupráce;</w:t>
      </w:r>
    </w:p>
    <w:p w14:paraId="2A3956DC" w14:textId="77777777" w:rsidR="00040E0F" w:rsidRPr="00040E0F" w:rsidRDefault="00040E0F" w:rsidP="00040E0F">
      <w:pPr>
        <w:pStyle w:val="Bezmezer"/>
        <w:numPr>
          <w:ilvl w:val="0"/>
          <w:numId w:val="25"/>
        </w:numPr>
        <w:jc w:val="both"/>
        <w:rPr>
          <w:rFonts w:ascii="Garamond" w:hAnsi="Garamond"/>
          <w:sz w:val="24"/>
          <w:szCs w:val="24"/>
        </w:rPr>
      </w:pPr>
      <w:r w:rsidRPr="00040E0F">
        <w:rPr>
          <w:rFonts w:ascii="Garamond" w:hAnsi="Garamond"/>
          <w:sz w:val="24"/>
          <w:szCs w:val="24"/>
        </w:rPr>
        <w:t xml:space="preserve">minimální měsíční odběr granulí </w:t>
      </w:r>
      <w:r w:rsidR="00AA0B58">
        <w:rPr>
          <w:rFonts w:ascii="Garamond" w:hAnsi="Garamond"/>
          <w:sz w:val="24"/>
          <w:szCs w:val="24"/>
        </w:rPr>
        <w:t>8</w:t>
      </w:r>
      <w:r w:rsidRPr="00040E0F">
        <w:rPr>
          <w:rFonts w:ascii="Garamond" w:hAnsi="Garamond"/>
          <w:sz w:val="24"/>
          <w:szCs w:val="24"/>
        </w:rPr>
        <w:t>.000 EUR dle ceníkových cen a v libovolné kombinaci nabízených druhů granulí, zároveň cena -</w:t>
      </w:r>
      <w:proofErr w:type="gramStart"/>
      <w:r w:rsidR="00AA0B58">
        <w:rPr>
          <w:rFonts w:ascii="Garamond" w:hAnsi="Garamond"/>
          <w:sz w:val="24"/>
          <w:szCs w:val="24"/>
        </w:rPr>
        <w:t>7</w:t>
      </w:r>
      <w:r w:rsidRPr="00040E0F">
        <w:rPr>
          <w:rFonts w:ascii="Garamond" w:hAnsi="Garamond"/>
          <w:sz w:val="24"/>
          <w:szCs w:val="24"/>
        </w:rPr>
        <w:t>%</w:t>
      </w:r>
      <w:proofErr w:type="gramEnd"/>
      <w:r w:rsidRPr="00040E0F">
        <w:rPr>
          <w:rFonts w:ascii="Garamond" w:hAnsi="Garamond"/>
          <w:sz w:val="24"/>
          <w:szCs w:val="24"/>
        </w:rPr>
        <w:t xml:space="preserve"> oproti běžným ceníkovým cenám, při nedodržení smluvní pokuta ve výši </w:t>
      </w:r>
      <w:r w:rsidR="00AA0B58">
        <w:rPr>
          <w:rFonts w:ascii="Garamond" w:hAnsi="Garamond"/>
          <w:sz w:val="24"/>
          <w:szCs w:val="24"/>
        </w:rPr>
        <w:t>2</w:t>
      </w:r>
      <w:r w:rsidRPr="00040E0F">
        <w:rPr>
          <w:rFonts w:ascii="Garamond" w:hAnsi="Garamond"/>
          <w:sz w:val="24"/>
          <w:szCs w:val="24"/>
        </w:rPr>
        <w:t>.000 EUR;</w:t>
      </w:r>
    </w:p>
    <w:p w14:paraId="74C5F8D4" w14:textId="77777777" w:rsidR="00040E0F" w:rsidRPr="00040E0F" w:rsidRDefault="00040E0F" w:rsidP="00040E0F">
      <w:pPr>
        <w:pStyle w:val="Bezmezer"/>
        <w:numPr>
          <w:ilvl w:val="0"/>
          <w:numId w:val="25"/>
        </w:numPr>
        <w:jc w:val="both"/>
        <w:rPr>
          <w:rFonts w:ascii="Garamond" w:hAnsi="Garamond"/>
          <w:sz w:val="24"/>
          <w:szCs w:val="24"/>
        </w:rPr>
      </w:pPr>
      <w:r w:rsidRPr="00040E0F">
        <w:rPr>
          <w:rFonts w:ascii="Garamond" w:hAnsi="Garamond"/>
          <w:sz w:val="24"/>
          <w:szCs w:val="24"/>
        </w:rPr>
        <w:t xml:space="preserve">při měsíčním odběru </w:t>
      </w:r>
      <w:r w:rsidR="00AA0B58">
        <w:rPr>
          <w:rFonts w:ascii="Garamond" w:hAnsi="Garamond"/>
          <w:sz w:val="24"/>
          <w:szCs w:val="24"/>
        </w:rPr>
        <w:t>8</w:t>
      </w:r>
      <w:r w:rsidRPr="00040E0F">
        <w:rPr>
          <w:rFonts w:ascii="Garamond" w:hAnsi="Garamond"/>
          <w:sz w:val="24"/>
          <w:szCs w:val="24"/>
        </w:rPr>
        <w:t>.001-</w:t>
      </w:r>
      <w:r w:rsidR="00AA0B58">
        <w:rPr>
          <w:rFonts w:ascii="Garamond" w:hAnsi="Garamond"/>
          <w:sz w:val="24"/>
          <w:szCs w:val="24"/>
        </w:rPr>
        <w:t>15</w:t>
      </w:r>
      <w:r w:rsidRPr="00040E0F">
        <w:rPr>
          <w:rFonts w:ascii="Garamond" w:hAnsi="Garamond"/>
          <w:sz w:val="24"/>
          <w:szCs w:val="24"/>
        </w:rPr>
        <w:t>.000 EUR cena -</w:t>
      </w:r>
      <w:proofErr w:type="gramStart"/>
      <w:r w:rsidRPr="00040E0F">
        <w:rPr>
          <w:rFonts w:ascii="Garamond" w:hAnsi="Garamond"/>
          <w:sz w:val="24"/>
          <w:szCs w:val="24"/>
        </w:rPr>
        <w:t>1</w:t>
      </w:r>
      <w:r w:rsidR="00AA0B58">
        <w:rPr>
          <w:rFonts w:ascii="Garamond" w:hAnsi="Garamond"/>
          <w:sz w:val="24"/>
          <w:szCs w:val="24"/>
        </w:rPr>
        <w:t>2</w:t>
      </w:r>
      <w:r w:rsidRPr="00040E0F">
        <w:rPr>
          <w:rFonts w:ascii="Garamond" w:hAnsi="Garamond"/>
          <w:sz w:val="24"/>
          <w:szCs w:val="24"/>
        </w:rPr>
        <w:t>%</w:t>
      </w:r>
      <w:proofErr w:type="gramEnd"/>
      <w:r w:rsidRPr="00040E0F">
        <w:rPr>
          <w:rFonts w:ascii="Garamond" w:hAnsi="Garamond"/>
          <w:sz w:val="24"/>
          <w:szCs w:val="24"/>
        </w:rPr>
        <w:t xml:space="preserve"> oproti běžným ceníkovým cenám, při vyšších odběrem -15%;</w:t>
      </w:r>
    </w:p>
    <w:p w14:paraId="69E7E515" w14:textId="77777777" w:rsidR="00040E0F" w:rsidRDefault="00040E0F" w:rsidP="00040E0F">
      <w:pPr>
        <w:pStyle w:val="Bezmezer"/>
        <w:numPr>
          <w:ilvl w:val="0"/>
          <w:numId w:val="25"/>
        </w:numPr>
        <w:jc w:val="both"/>
        <w:rPr>
          <w:rFonts w:ascii="Garamond" w:hAnsi="Garamond"/>
          <w:sz w:val="24"/>
          <w:szCs w:val="24"/>
        </w:rPr>
      </w:pPr>
      <w:r w:rsidRPr="00040E0F">
        <w:rPr>
          <w:rFonts w:ascii="Garamond" w:hAnsi="Garamond"/>
          <w:sz w:val="24"/>
          <w:szCs w:val="24"/>
        </w:rPr>
        <w:t xml:space="preserve">další otázky dle obchodních podmínek společnosti </w:t>
      </w:r>
      <w:proofErr w:type="spellStart"/>
      <w:r w:rsidR="00AA0B58">
        <w:rPr>
          <w:rFonts w:ascii="Garamond" w:hAnsi="Garamond"/>
          <w:sz w:val="24"/>
          <w:szCs w:val="24"/>
        </w:rPr>
        <w:t>Vetarex</w:t>
      </w:r>
      <w:proofErr w:type="spellEnd"/>
      <w:r w:rsidRPr="00040E0F">
        <w:rPr>
          <w:rFonts w:ascii="Garamond" w:hAnsi="Garamond"/>
          <w:sz w:val="24"/>
          <w:szCs w:val="24"/>
        </w:rPr>
        <w:t xml:space="preserve">. Tyto obchodní podmínky nebyly mezi stranami vyměněny, zástupce společnosti </w:t>
      </w:r>
      <w:proofErr w:type="spellStart"/>
      <w:r w:rsidR="00AA0B58">
        <w:rPr>
          <w:rFonts w:ascii="Garamond" w:hAnsi="Garamond"/>
          <w:sz w:val="24"/>
          <w:szCs w:val="24"/>
        </w:rPr>
        <w:t>Vetarex</w:t>
      </w:r>
      <w:proofErr w:type="spellEnd"/>
      <w:r w:rsidRPr="00040E0F">
        <w:rPr>
          <w:rFonts w:ascii="Garamond" w:hAnsi="Garamond"/>
          <w:sz w:val="24"/>
          <w:szCs w:val="24"/>
        </w:rPr>
        <w:t xml:space="preserve"> pouze uvedl, že jsou na webových stránkách společnosti. Na těchto stránkách jsou obchodní podmínky opravdu dohledatelné, ale pouze v češtině. </w:t>
      </w:r>
    </w:p>
    <w:p w14:paraId="004C5171" w14:textId="77777777" w:rsidR="00040E0F" w:rsidRPr="00040E0F" w:rsidRDefault="00040E0F" w:rsidP="00040E0F">
      <w:pPr>
        <w:pStyle w:val="Bezmezer"/>
        <w:ind w:left="720"/>
        <w:rPr>
          <w:rFonts w:ascii="Garamond" w:hAnsi="Garamond"/>
          <w:sz w:val="24"/>
          <w:szCs w:val="24"/>
        </w:rPr>
      </w:pPr>
    </w:p>
    <w:p w14:paraId="0ADD045E" w14:textId="77777777" w:rsidR="00040E0F" w:rsidRPr="00040E0F" w:rsidRDefault="00040E0F" w:rsidP="00040E0F">
      <w:pPr>
        <w:jc w:val="both"/>
        <w:rPr>
          <w:rFonts w:ascii="Garamond" w:hAnsi="Garamond"/>
          <w:sz w:val="24"/>
          <w:szCs w:val="24"/>
        </w:rPr>
      </w:pPr>
      <w:r w:rsidRPr="00040E0F">
        <w:rPr>
          <w:rFonts w:ascii="Garamond" w:hAnsi="Garamond"/>
          <w:sz w:val="24"/>
          <w:szCs w:val="24"/>
        </w:rPr>
        <w:t xml:space="preserve">Na veletrhu se zástupci obou společností rozešli s tím, že tyto parametry předloží vedení </w:t>
      </w:r>
      <w:r w:rsidR="00AA0B58">
        <w:rPr>
          <w:rFonts w:ascii="Garamond" w:hAnsi="Garamond"/>
          <w:sz w:val="24"/>
          <w:szCs w:val="24"/>
        </w:rPr>
        <w:t>svých</w:t>
      </w:r>
      <w:r w:rsidRPr="00040E0F">
        <w:rPr>
          <w:rFonts w:ascii="Garamond" w:hAnsi="Garamond"/>
          <w:sz w:val="24"/>
          <w:szCs w:val="24"/>
        </w:rPr>
        <w:t xml:space="preserve"> společnos</w:t>
      </w:r>
      <w:r w:rsidR="00AA0B58">
        <w:rPr>
          <w:rFonts w:ascii="Garamond" w:hAnsi="Garamond"/>
          <w:sz w:val="24"/>
          <w:szCs w:val="24"/>
        </w:rPr>
        <w:t>tí. Výsledek si sdělí do jednoho měsíce od konání veletrhu</w:t>
      </w:r>
      <w:r w:rsidRPr="00040E0F">
        <w:rPr>
          <w:rFonts w:ascii="Garamond" w:hAnsi="Garamond"/>
          <w:sz w:val="24"/>
          <w:szCs w:val="24"/>
        </w:rPr>
        <w:t xml:space="preserve"> Po cca 3 týdnech společnost </w:t>
      </w:r>
      <w:proofErr w:type="spellStart"/>
      <w:r w:rsidR="00AA0B58">
        <w:rPr>
          <w:rFonts w:ascii="Garamond" w:hAnsi="Garamond"/>
          <w:sz w:val="24"/>
          <w:szCs w:val="24"/>
        </w:rPr>
        <w:t>Vetarex</w:t>
      </w:r>
      <w:proofErr w:type="spellEnd"/>
      <w:r w:rsidRPr="00040E0F">
        <w:rPr>
          <w:rFonts w:ascii="Garamond" w:hAnsi="Garamond"/>
          <w:sz w:val="24"/>
          <w:szCs w:val="24"/>
        </w:rPr>
        <w:t xml:space="preserve"> kontaktovala emailem společnost </w:t>
      </w:r>
      <w:proofErr w:type="spellStart"/>
      <w:r w:rsidR="00AA0B58">
        <w:rPr>
          <w:rFonts w:ascii="Garamond" w:hAnsi="Garamond"/>
          <w:sz w:val="24"/>
          <w:szCs w:val="24"/>
        </w:rPr>
        <w:t>Hillas</w:t>
      </w:r>
      <w:proofErr w:type="spellEnd"/>
      <w:r w:rsidRPr="00040E0F">
        <w:rPr>
          <w:rFonts w:ascii="Garamond" w:hAnsi="Garamond"/>
          <w:sz w:val="24"/>
          <w:szCs w:val="24"/>
        </w:rPr>
        <w:t xml:space="preserve"> s tím, že navazuje na komunikaci na veletrhu, shrnuje ji (shrnutí přesně odpovídalo parametrům domluveným na veletrhu, nebyl připojen konkrétní hypertextový odkaz na obchodní podmínky, pouze odkaz na </w:t>
      </w:r>
      <w:proofErr w:type="spellStart"/>
      <w:r w:rsidRPr="00040E0F">
        <w:rPr>
          <w:rFonts w:ascii="Garamond" w:hAnsi="Garamond"/>
          <w:sz w:val="24"/>
          <w:szCs w:val="24"/>
        </w:rPr>
        <w:t>homepage</w:t>
      </w:r>
      <w:proofErr w:type="spellEnd"/>
      <w:r w:rsidRPr="00040E0F">
        <w:rPr>
          <w:rFonts w:ascii="Garamond" w:hAnsi="Garamond"/>
          <w:sz w:val="24"/>
          <w:szCs w:val="24"/>
        </w:rPr>
        <w:t xml:space="preserve"> webové prezentace společnosti </w:t>
      </w:r>
      <w:proofErr w:type="spellStart"/>
      <w:r w:rsidR="00AA0B58">
        <w:rPr>
          <w:rFonts w:ascii="Garamond" w:hAnsi="Garamond"/>
          <w:sz w:val="24"/>
          <w:szCs w:val="24"/>
        </w:rPr>
        <w:t>Vetare</w:t>
      </w:r>
      <w:r w:rsidR="00656069">
        <w:rPr>
          <w:rFonts w:ascii="Garamond" w:hAnsi="Garamond"/>
          <w:sz w:val="24"/>
          <w:szCs w:val="24"/>
        </w:rPr>
        <w:t>x</w:t>
      </w:r>
      <w:proofErr w:type="spellEnd"/>
      <w:r w:rsidRPr="00040E0F">
        <w:rPr>
          <w:rFonts w:ascii="Garamond" w:hAnsi="Garamond"/>
          <w:sz w:val="24"/>
          <w:szCs w:val="24"/>
        </w:rPr>
        <w:t xml:space="preserve">), souhlasí a je připravena takovouto smlouvu uzavřít. Společnost </w:t>
      </w:r>
      <w:proofErr w:type="spellStart"/>
      <w:r w:rsidR="000272F4">
        <w:rPr>
          <w:rFonts w:ascii="Garamond" w:hAnsi="Garamond"/>
          <w:sz w:val="24"/>
          <w:szCs w:val="24"/>
        </w:rPr>
        <w:t>Hillas</w:t>
      </w:r>
      <w:proofErr w:type="spellEnd"/>
      <w:r w:rsidRPr="00040E0F">
        <w:rPr>
          <w:rFonts w:ascii="Garamond" w:hAnsi="Garamond"/>
          <w:sz w:val="24"/>
          <w:szCs w:val="24"/>
        </w:rPr>
        <w:t xml:space="preserve"> reagovala emailem během </w:t>
      </w:r>
      <w:r w:rsidR="00AA0B58">
        <w:rPr>
          <w:rFonts w:ascii="Garamond" w:hAnsi="Garamond"/>
          <w:sz w:val="24"/>
          <w:szCs w:val="24"/>
        </w:rPr>
        <w:t>4</w:t>
      </w:r>
      <w:r w:rsidRPr="00040E0F">
        <w:rPr>
          <w:rFonts w:ascii="Garamond" w:hAnsi="Garamond"/>
          <w:sz w:val="24"/>
          <w:szCs w:val="24"/>
        </w:rPr>
        <w:t xml:space="preserve"> dnů, že také souhlasí. </w:t>
      </w:r>
    </w:p>
    <w:p w14:paraId="5BFD32FC" w14:textId="77777777" w:rsidR="00040E0F" w:rsidRPr="00040E0F" w:rsidRDefault="00040E0F" w:rsidP="00040E0F">
      <w:pPr>
        <w:jc w:val="both"/>
        <w:rPr>
          <w:rFonts w:ascii="Garamond" w:hAnsi="Garamond"/>
          <w:sz w:val="24"/>
          <w:szCs w:val="24"/>
        </w:rPr>
      </w:pPr>
      <w:r w:rsidRPr="00040E0F">
        <w:rPr>
          <w:rFonts w:ascii="Garamond" w:hAnsi="Garamond"/>
          <w:sz w:val="24"/>
          <w:szCs w:val="24"/>
        </w:rPr>
        <w:t xml:space="preserve">Společnost </w:t>
      </w:r>
      <w:proofErr w:type="spellStart"/>
      <w:r w:rsidR="00AA0B58">
        <w:rPr>
          <w:rFonts w:ascii="Garamond" w:hAnsi="Garamond"/>
          <w:sz w:val="24"/>
          <w:szCs w:val="24"/>
        </w:rPr>
        <w:t>Vetarex</w:t>
      </w:r>
      <w:proofErr w:type="spellEnd"/>
      <w:r w:rsidRPr="00040E0F">
        <w:rPr>
          <w:rFonts w:ascii="Garamond" w:hAnsi="Garamond"/>
          <w:sz w:val="24"/>
          <w:szCs w:val="24"/>
        </w:rPr>
        <w:t xml:space="preserve"> zaslala 5. </w:t>
      </w:r>
      <w:r w:rsidR="00AA0B58">
        <w:rPr>
          <w:rFonts w:ascii="Garamond" w:hAnsi="Garamond"/>
          <w:sz w:val="24"/>
          <w:szCs w:val="24"/>
        </w:rPr>
        <w:t>září</w:t>
      </w:r>
      <w:r w:rsidRPr="00040E0F">
        <w:rPr>
          <w:rFonts w:ascii="Garamond" w:hAnsi="Garamond"/>
          <w:sz w:val="24"/>
          <w:szCs w:val="24"/>
        </w:rPr>
        <w:t xml:space="preserve"> 201</w:t>
      </w:r>
      <w:r w:rsidR="00AA0B58">
        <w:rPr>
          <w:rFonts w:ascii="Garamond" w:hAnsi="Garamond"/>
          <w:sz w:val="24"/>
          <w:szCs w:val="24"/>
        </w:rPr>
        <w:t>9</w:t>
      </w:r>
      <w:r w:rsidRPr="00040E0F">
        <w:rPr>
          <w:rFonts w:ascii="Garamond" w:hAnsi="Garamond"/>
          <w:sz w:val="24"/>
          <w:szCs w:val="24"/>
        </w:rPr>
        <w:t xml:space="preserve"> objednávku na zvolené typy granulí v ceníkové ceně 1</w:t>
      </w:r>
      <w:r w:rsidR="00AA0B58">
        <w:rPr>
          <w:rFonts w:ascii="Garamond" w:hAnsi="Garamond"/>
          <w:sz w:val="24"/>
          <w:szCs w:val="24"/>
        </w:rPr>
        <w:t>0.000</w:t>
      </w:r>
      <w:r w:rsidRPr="00040E0F">
        <w:rPr>
          <w:rFonts w:ascii="Garamond" w:hAnsi="Garamond"/>
          <w:sz w:val="24"/>
          <w:szCs w:val="24"/>
        </w:rPr>
        <w:t xml:space="preserve"> EUR. Když ani 20. ledna nebyla dodávka doručena do jejího centrálního skladu v Brně,</w:t>
      </w:r>
      <w:r w:rsidR="00AA0B58">
        <w:rPr>
          <w:rFonts w:ascii="Garamond" w:hAnsi="Garamond"/>
          <w:sz w:val="24"/>
          <w:szCs w:val="24"/>
        </w:rPr>
        <w:t xml:space="preserve"> což odpovídalo </w:t>
      </w:r>
      <w:r w:rsidR="000272F4">
        <w:rPr>
          <w:rFonts w:ascii="Garamond" w:hAnsi="Garamond"/>
          <w:sz w:val="24"/>
          <w:szCs w:val="24"/>
        </w:rPr>
        <w:t>jejím obchodním podmínkám,</w:t>
      </w:r>
      <w:r w:rsidRPr="00040E0F">
        <w:rPr>
          <w:rFonts w:ascii="Garamond" w:hAnsi="Garamond"/>
          <w:sz w:val="24"/>
          <w:szCs w:val="24"/>
        </w:rPr>
        <w:t xml:space="preserve"> zaslala společnosti </w:t>
      </w:r>
      <w:proofErr w:type="spellStart"/>
      <w:r w:rsidR="000272F4">
        <w:rPr>
          <w:rFonts w:ascii="Garamond" w:hAnsi="Garamond"/>
          <w:sz w:val="24"/>
          <w:szCs w:val="24"/>
        </w:rPr>
        <w:t>Hillas</w:t>
      </w:r>
      <w:proofErr w:type="spellEnd"/>
      <w:r w:rsidRPr="00040E0F">
        <w:rPr>
          <w:rFonts w:ascii="Garamond" w:hAnsi="Garamond"/>
          <w:sz w:val="24"/>
          <w:szCs w:val="24"/>
        </w:rPr>
        <w:t xml:space="preserve"> email s dotazem, kde se zboží nachází. Obratem dostala odpověď, že zboží je připraveno k odběru ve skladě společnosti </w:t>
      </w:r>
      <w:proofErr w:type="spellStart"/>
      <w:r w:rsidR="000272F4">
        <w:rPr>
          <w:rFonts w:ascii="Garamond" w:hAnsi="Garamond"/>
          <w:sz w:val="24"/>
          <w:szCs w:val="24"/>
        </w:rPr>
        <w:t>Hillas</w:t>
      </w:r>
      <w:proofErr w:type="spellEnd"/>
      <w:r w:rsidRPr="00040E0F">
        <w:rPr>
          <w:rFonts w:ascii="Garamond" w:hAnsi="Garamond"/>
          <w:sz w:val="24"/>
          <w:szCs w:val="24"/>
        </w:rPr>
        <w:t xml:space="preserve"> v</w:t>
      </w:r>
      <w:r w:rsidR="000272F4">
        <w:rPr>
          <w:rFonts w:ascii="Garamond" w:hAnsi="Garamond"/>
          <w:sz w:val="24"/>
          <w:szCs w:val="24"/>
        </w:rPr>
        <w:t> Neapoli</w:t>
      </w:r>
      <w:r w:rsidRPr="00040E0F">
        <w:rPr>
          <w:rFonts w:ascii="Garamond" w:hAnsi="Garamond"/>
          <w:sz w:val="24"/>
          <w:szCs w:val="24"/>
        </w:rPr>
        <w:t>, a to již od 1</w:t>
      </w:r>
      <w:r w:rsidR="000272F4">
        <w:rPr>
          <w:rFonts w:ascii="Garamond" w:hAnsi="Garamond"/>
          <w:sz w:val="24"/>
          <w:szCs w:val="24"/>
        </w:rPr>
        <w:t>0</w:t>
      </w:r>
      <w:r w:rsidRPr="00040E0F">
        <w:rPr>
          <w:rFonts w:ascii="Garamond" w:hAnsi="Garamond"/>
          <w:sz w:val="24"/>
          <w:szCs w:val="24"/>
        </w:rPr>
        <w:t xml:space="preserve">. </w:t>
      </w:r>
      <w:r w:rsidR="000272F4">
        <w:rPr>
          <w:rFonts w:ascii="Garamond" w:hAnsi="Garamond"/>
          <w:sz w:val="24"/>
          <w:szCs w:val="24"/>
        </w:rPr>
        <w:t>září</w:t>
      </w:r>
      <w:r w:rsidRPr="00040E0F">
        <w:rPr>
          <w:rFonts w:ascii="Garamond" w:hAnsi="Garamond"/>
          <w:sz w:val="24"/>
          <w:szCs w:val="24"/>
        </w:rPr>
        <w:t xml:space="preserve">. Společnost </w:t>
      </w:r>
      <w:proofErr w:type="spellStart"/>
      <w:r w:rsidR="000272F4">
        <w:rPr>
          <w:rFonts w:ascii="Garamond" w:hAnsi="Garamond"/>
          <w:sz w:val="24"/>
          <w:szCs w:val="24"/>
        </w:rPr>
        <w:t>Vetarex</w:t>
      </w:r>
      <w:proofErr w:type="spellEnd"/>
      <w:r w:rsidRPr="00040E0F">
        <w:rPr>
          <w:rFonts w:ascii="Garamond" w:hAnsi="Garamond"/>
          <w:sz w:val="24"/>
          <w:szCs w:val="24"/>
        </w:rPr>
        <w:t xml:space="preserve"> tvrdí, že dle jejích obchodních podmínek platí dodací podmínka DAP centrální sklad společnosti </w:t>
      </w:r>
      <w:proofErr w:type="spellStart"/>
      <w:r w:rsidR="000272F4">
        <w:rPr>
          <w:rFonts w:ascii="Garamond" w:hAnsi="Garamond"/>
          <w:sz w:val="24"/>
          <w:szCs w:val="24"/>
        </w:rPr>
        <w:t>Vetarex</w:t>
      </w:r>
      <w:proofErr w:type="spellEnd"/>
      <w:r w:rsidRPr="00040E0F">
        <w:rPr>
          <w:rFonts w:ascii="Garamond" w:hAnsi="Garamond"/>
          <w:sz w:val="24"/>
          <w:szCs w:val="24"/>
        </w:rPr>
        <w:t>, Brno.</w:t>
      </w:r>
    </w:p>
    <w:p w14:paraId="1B99D58A" w14:textId="77777777" w:rsidR="00040E0F" w:rsidRPr="00040E0F" w:rsidRDefault="000272F4" w:rsidP="00040E0F">
      <w:pPr>
        <w:numPr>
          <w:ilvl w:val="0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Identifikuj a kvalifikuj smlouvu či smlouvy</w:t>
      </w:r>
      <w:r w:rsidR="00040E0F" w:rsidRPr="00040E0F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které mezi sebou strany uzavřely či mají uzavírat a urči jejich právní režim</w:t>
      </w:r>
      <w:r w:rsidR="00040E0F" w:rsidRPr="00040E0F">
        <w:rPr>
          <w:rFonts w:ascii="Garamond" w:hAnsi="Garamond"/>
          <w:sz w:val="24"/>
          <w:szCs w:val="24"/>
        </w:rPr>
        <w:t xml:space="preserve">. </w:t>
      </w:r>
    </w:p>
    <w:p w14:paraId="77A1DE2E" w14:textId="77777777" w:rsidR="00040E0F" w:rsidRDefault="00040E0F" w:rsidP="00040E0F">
      <w:pPr>
        <w:numPr>
          <w:ilvl w:val="0"/>
          <w:numId w:val="24"/>
        </w:numPr>
        <w:jc w:val="both"/>
        <w:rPr>
          <w:rFonts w:ascii="Garamond" w:hAnsi="Garamond"/>
          <w:sz w:val="24"/>
          <w:szCs w:val="24"/>
        </w:rPr>
      </w:pPr>
      <w:r w:rsidRPr="00040E0F">
        <w:rPr>
          <w:rFonts w:ascii="Garamond" w:hAnsi="Garamond"/>
          <w:sz w:val="24"/>
          <w:szCs w:val="24"/>
        </w:rPr>
        <w:t xml:space="preserve">Vyjádři se ke kontraktačnímu procesu, identifikuj jednotlivé kroky (včetně jednání </w:t>
      </w:r>
      <w:r w:rsidR="000272F4">
        <w:rPr>
          <w:rFonts w:ascii="Garamond" w:hAnsi="Garamond"/>
          <w:sz w:val="24"/>
          <w:szCs w:val="24"/>
        </w:rPr>
        <w:t>na veletrhu</w:t>
      </w:r>
      <w:r w:rsidRPr="00040E0F">
        <w:rPr>
          <w:rFonts w:ascii="Garamond" w:hAnsi="Garamond"/>
          <w:sz w:val="24"/>
          <w:szCs w:val="24"/>
        </w:rPr>
        <w:t xml:space="preserve">) a vyjádři se k tomu, zda jsou obchodní podmínky společnosti </w:t>
      </w:r>
      <w:proofErr w:type="spellStart"/>
      <w:r w:rsidR="000272F4">
        <w:rPr>
          <w:rFonts w:ascii="Garamond" w:hAnsi="Garamond"/>
          <w:sz w:val="24"/>
          <w:szCs w:val="24"/>
        </w:rPr>
        <w:t>Vetarex</w:t>
      </w:r>
      <w:proofErr w:type="spellEnd"/>
      <w:r w:rsidRPr="00040E0F">
        <w:rPr>
          <w:rFonts w:ascii="Garamond" w:hAnsi="Garamond"/>
          <w:sz w:val="24"/>
          <w:szCs w:val="24"/>
        </w:rPr>
        <w:t xml:space="preserve"> součástí smlouvy mezi oběma stranami. Vysvětli obecně podmínky, které musí být splněny, aby se obchodní podmínky staly součástí smlouvy, výslovně se zabývej jazykovou stránkou a formou, tj. zda je možné odkázat na obchodní podmínky na www bez uvedení konkrétního hypertextového odkazu.</w:t>
      </w:r>
    </w:p>
    <w:p w14:paraId="17D57CC1" w14:textId="77777777" w:rsidR="000272F4" w:rsidRDefault="000272F4" w:rsidP="000272F4">
      <w:pPr>
        <w:jc w:val="both"/>
        <w:rPr>
          <w:rFonts w:ascii="Garamond" w:hAnsi="Garamond"/>
          <w:sz w:val="24"/>
          <w:szCs w:val="24"/>
        </w:rPr>
      </w:pPr>
      <w:r w:rsidRPr="001F7AF9">
        <w:rPr>
          <w:rFonts w:ascii="Garamond" w:hAnsi="Garamond"/>
          <w:b/>
          <w:bCs/>
          <w:sz w:val="24"/>
          <w:szCs w:val="24"/>
        </w:rPr>
        <w:lastRenderedPageBreak/>
        <w:t xml:space="preserve">Pro účely zodpovězení dalších otázek </w:t>
      </w:r>
      <w:r w:rsidR="00E26CD1" w:rsidRPr="001F7AF9">
        <w:rPr>
          <w:rFonts w:ascii="Garamond" w:hAnsi="Garamond"/>
          <w:b/>
          <w:bCs/>
          <w:sz w:val="24"/>
          <w:szCs w:val="24"/>
        </w:rPr>
        <w:t>doplňujeme skutkový stav tímto způsobem</w:t>
      </w:r>
      <w:r w:rsidR="00E26CD1">
        <w:rPr>
          <w:rFonts w:ascii="Garamond" w:hAnsi="Garamond"/>
          <w:sz w:val="24"/>
          <w:szCs w:val="24"/>
        </w:rPr>
        <w:t xml:space="preserve">: </w:t>
      </w:r>
    </w:p>
    <w:p w14:paraId="741FBD45" w14:textId="77777777" w:rsidR="00E26CD1" w:rsidRDefault="00E26CD1" w:rsidP="000272F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 výše nastíněném počátečním problému s dodáním zboží přijaly obě společnosti Dodatek č. 1, a to z 10. října 2019, </w:t>
      </w:r>
      <w:r w:rsidR="00771136">
        <w:rPr>
          <w:rFonts w:ascii="Garamond" w:hAnsi="Garamond"/>
          <w:sz w:val="24"/>
          <w:szCs w:val="24"/>
        </w:rPr>
        <w:t xml:space="preserve">uzavřený prostřednictvím výměny emailů, </w:t>
      </w:r>
      <w:r>
        <w:rPr>
          <w:rFonts w:ascii="Garamond" w:hAnsi="Garamond"/>
          <w:sz w:val="24"/>
          <w:szCs w:val="24"/>
        </w:rPr>
        <w:t xml:space="preserve">s následujícím obsahem: „Otázky neupravené touto smlouvou či smlouvami uzavřenými na základě této smlouvy se řídí Obchodními podmínkami společnosti </w:t>
      </w:r>
      <w:proofErr w:type="spellStart"/>
      <w:r>
        <w:rPr>
          <w:rFonts w:ascii="Garamond" w:hAnsi="Garamond"/>
          <w:sz w:val="24"/>
          <w:szCs w:val="24"/>
        </w:rPr>
        <w:t>Vetarex</w:t>
      </w:r>
      <w:proofErr w:type="spellEnd"/>
      <w:r>
        <w:rPr>
          <w:rFonts w:ascii="Garamond" w:hAnsi="Garamond"/>
          <w:sz w:val="24"/>
          <w:szCs w:val="24"/>
        </w:rPr>
        <w:t xml:space="preserve">, které jsou umístěny pod hypertextovým odkazem </w:t>
      </w:r>
      <w:hyperlink r:id="rId5" w:history="1">
        <w:r w:rsidRPr="001C416C">
          <w:rPr>
            <w:rStyle w:val="Hypertextovodkaz"/>
            <w:rFonts w:ascii="Garamond" w:hAnsi="Garamond"/>
            <w:sz w:val="24"/>
            <w:szCs w:val="24"/>
          </w:rPr>
          <w:t>www.vetarex.eu/termscondit_EN_2019.html</w:t>
        </w:r>
      </w:hyperlink>
      <w:r>
        <w:rPr>
          <w:rFonts w:ascii="Garamond" w:hAnsi="Garamond"/>
          <w:sz w:val="24"/>
          <w:szCs w:val="24"/>
        </w:rPr>
        <w:t>. Obě strany tímto prohlašují, že se s nimi seznámily, jejich obsahu rozumí a souhlasí s ním.“</w:t>
      </w:r>
    </w:p>
    <w:p w14:paraId="00ACF303" w14:textId="77777777" w:rsidR="00E26CD1" w:rsidRDefault="00E26CD1" w:rsidP="000272F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Součástí obchodních podmínek byly mimo jiné tyto doložky:</w:t>
      </w:r>
    </w:p>
    <w:p w14:paraId="05F35FC8" w14:textId="77777777" w:rsidR="00E26CD1" w:rsidRDefault="00E26CD1" w:rsidP="000272F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Dodací podmínka: </w:t>
      </w:r>
      <w:r w:rsidRPr="00040E0F">
        <w:rPr>
          <w:rFonts w:ascii="Garamond" w:hAnsi="Garamond"/>
          <w:sz w:val="24"/>
          <w:szCs w:val="24"/>
        </w:rPr>
        <w:t xml:space="preserve">DAP centrální sklad společnosti </w:t>
      </w:r>
      <w:proofErr w:type="spellStart"/>
      <w:r>
        <w:rPr>
          <w:rFonts w:ascii="Garamond" w:hAnsi="Garamond"/>
          <w:sz w:val="24"/>
          <w:szCs w:val="24"/>
        </w:rPr>
        <w:t>Vetarex</w:t>
      </w:r>
      <w:proofErr w:type="spellEnd"/>
      <w:r w:rsidRPr="00040E0F">
        <w:rPr>
          <w:rFonts w:ascii="Garamond" w:hAnsi="Garamond"/>
          <w:sz w:val="24"/>
          <w:szCs w:val="24"/>
        </w:rPr>
        <w:t>, Brno</w:t>
      </w:r>
      <w:r>
        <w:rPr>
          <w:rFonts w:ascii="Garamond" w:hAnsi="Garamond"/>
          <w:sz w:val="24"/>
          <w:szCs w:val="24"/>
        </w:rPr>
        <w:t>.</w:t>
      </w:r>
    </w:p>
    <w:p w14:paraId="64AE3D25" w14:textId="77777777" w:rsidR="00E26CD1" w:rsidRPr="00040E0F" w:rsidRDefault="00E26CD1" w:rsidP="000272F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Veškeré spory vyplývající z této smlouvy budou s konečnou platností řešeny v rozhodčím řízení vedeném u Rozhodčího soudu při HK ČR a AK ČR. Řízení bude vedeno v angličtině, místem řízení je Brno. Strany se vzdávají možnosti zrušení rozhodčího nálezu českými soudy. </w:t>
      </w:r>
    </w:p>
    <w:p w14:paraId="0B6C9057" w14:textId="77777777" w:rsidR="00040E0F" w:rsidRPr="00040E0F" w:rsidRDefault="00E26CD1" w:rsidP="00040E0F">
      <w:pPr>
        <w:numPr>
          <w:ilvl w:val="0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Interpretuj obsah dodací podmínky, tj. kde má dojít k předání zboží. Identifikuj problematická místa dodací podmínky (pokud nějaká existují) a vysvětli také, jaká interpretační pravidla</w:t>
      </w:r>
      <w:r w:rsidR="00656069">
        <w:rPr>
          <w:rFonts w:ascii="Garamond" w:hAnsi="Garamond"/>
          <w:sz w:val="24"/>
          <w:szCs w:val="24"/>
        </w:rPr>
        <w:t xml:space="preserve"> opírající se o ustanovení Vídeňské úmluvy</w:t>
      </w:r>
      <w:r>
        <w:rPr>
          <w:rFonts w:ascii="Garamond" w:hAnsi="Garamond"/>
          <w:sz w:val="24"/>
          <w:szCs w:val="24"/>
        </w:rPr>
        <w:t xml:space="preserve"> jsi použil/a pro překlenutí těchto problematických míst.</w:t>
      </w:r>
    </w:p>
    <w:p w14:paraId="5EEA104D" w14:textId="77777777" w:rsidR="00040E0F" w:rsidRPr="00040E0F" w:rsidRDefault="00040E0F" w:rsidP="00040E0F">
      <w:pPr>
        <w:numPr>
          <w:ilvl w:val="0"/>
          <w:numId w:val="24"/>
        </w:numPr>
        <w:jc w:val="both"/>
        <w:rPr>
          <w:rFonts w:ascii="Garamond" w:hAnsi="Garamond"/>
          <w:sz w:val="24"/>
          <w:szCs w:val="24"/>
        </w:rPr>
      </w:pPr>
      <w:r w:rsidRPr="00040E0F">
        <w:rPr>
          <w:rFonts w:ascii="Garamond" w:hAnsi="Garamond"/>
          <w:sz w:val="24"/>
          <w:szCs w:val="24"/>
        </w:rPr>
        <w:t xml:space="preserve">Dodávka z měsíce </w:t>
      </w:r>
      <w:r w:rsidR="00E26CD1">
        <w:rPr>
          <w:rFonts w:ascii="Garamond" w:hAnsi="Garamond"/>
          <w:sz w:val="24"/>
          <w:szCs w:val="24"/>
        </w:rPr>
        <w:t>prosince</w:t>
      </w:r>
      <w:r w:rsidRPr="00040E0F">
        <w:rPr>
          <w:rFonts w:ascii="Garamond" w:hAnsi="Garamond"/>
          <w:sz w:val="24"/>
          <w:szCs w:val="24"/>
        </w:rPr>
        <w:t xml:space="preserve"> 201</w:t>
      </w:r>
      <w:r w:rsidR="00E26CD1">
        <w:rPr>
          <w:rFonts w:ascii="Garamond" w:hAnsi="Garamond"/>
          <w:sz w:val="24"/>
          <w:szCs w:val="24"/>
        </w:rPr>
        <w:t>9</w:t>
      </w:r>
      <w:r w:rsidRPr="00040E0F">
        <w:rPr>
          <w:rFonts w:ascii="Garamond" w:hAnsi="Garamond"/>
          <w:sz w:val="24"/>
          <w:szCs w:val="24"/>
        </w:rPr>
        <w:t xml:space="preserve"> byla vyzvednuta v </w:t>
      </w:r>
      <w:r w:rsidR="00E26CD1">
        <w:rPr>
          <w:rFonts w:ascii="Garamond" w:hAnsi="Garamond"/>
          <w:sz w:val="24"/>
          <w:szCs w:val="24"/>
        </w:rPr>
        <w:t>Neapoli</w:t>
      </w:r>
      <w:r w:rsidRPr="00040E0F">
        <w:rPr>
          <w:rFonts w:ascii="Garamond" w:hAnsi="Garamond"/>
          <w:sz w:val="24"/>
          <w:szCs w:val="24"/>
        </w:rPr>
        <w:t xml:space="preserve"> dopravcem</w:t>
      </w:r>
      <w:r w:rsidR="00E26CD1">
        <w:rPr>
          <w:rFonts w:ascii="Garamond" w:hAnsi="Garamond"/>
          <w:sz w:val="24"/>
          <w:szCs w:val="24"/>
        </w:rPr>
        <w:t xml:space="preserve">, kterého objednala společnost </w:t>
      </w:r>
      <w:proofErr w:type="spellStart"/>
      <w:r w:rsidR="00E26CD1">
        <w:rPr>
          <w:rFonts w:ascii="Garamond" w:hAnsi="Garamond"/>
          <w:sz w:val="24"/>
          <w:szCs w:val="24"/>
        </w:rPr>
        <w:t>Hillas</w:t>
      </w:r>
      <w:proofErr w:type="spellEnd"/>
      <w:r w:rsidRPr="00040E0F">
        <w:rPr>
          <w:rFonts w:ascii="Garamond" w:hAnsi="Garamond"/>
          <w:sz w:val="24"/>
          <w:szCs w:val="24"/>
        </w:rPr>
        <w:t>. Po vyložení v centrálním skladu kupujícího byla zkontrolována co do množství</w:t>
      </w:r>
      <w:r w:rsidR="000F5360">
        <w:rPr>
          <w:rFonts w:ascii="Garamond" w:hAnsi="Garamond"/>
          <w:sz w:val="24"/>
          <w:szCs w:val="24"/>
        </w:rPr>
        <w:t xml:space="preserve"> pytlů psích granulí, a dle potisku na nich co do typu a hmotnosti</w:t>
      </w:r>
      <w:r w:rsidRPr="00040E0F">
        <w:rPr>
          <w:rFonts w:ascii="Garamond" w:hAnsi="Garamond"/>
          <w:sz w:val="24"/>
          <w:szCs w:val="24"/>
        </w:rPr>
        <w:t xml:space="preserve">. Vše </w:t>
      </w:r>
      <w:r w:rsidR="000F5360">
        <w:rPr>
          <w:rFonts w:ascii="Garamond" w:hAnsi="Garamond"/>
          <w:sz w:val="24"/>
          <w:szCs w:val="24"/>
        </w:rPr>
        <w:t>odpovídalo objednávce</w:t>
      </w:r>
      <w:r w:rsidRPr="00040E0F">
        <w:rPr>
          <w:rFonts w:ascii="Garamond" w:hAnsi="Garamond"/>
          <w:sz w:val="24"/>
          <w:szCs w:val="24"/>
        </w:rPr>
        <w:t xml:space="preserve">. Expedice těchto pytlů byla zahájena až na začátku </w:t>
      </w:r>
      <w:r w:rsidR="000F5360">
        <w:rPr>
          <w:rFonts w:ascii="Garamond" w:hAnsi="Garamond"/>
          <w:sz w:val="24"/>
          <w:szCs w:val="24"/>
        </w:rPr>
        <w:t>února 2020. Po</w:t>
      </w:r>
      <w:r w:rsidRPr="00040E0F">
        <w:rPr>
          <w:rFonts w:ascii="Garamond" w:hAnsi="Garamond"/>
          <w:sz w:val="24"/>
          <w:szCs w:val="24"/>
        </w:rPr>
        <w:t xml:space="preserve"> týdnu </w:t>
      </w:r>
      <w:r w:rsidR="000F5360">
        <w:rPr>
          <w:rFonts w:ascii="Garamond" w:hAnsi="Garamond"/>
          <w:sz w:val="24"/>
          <w:szCs w:val="24"/>
        </w:rPr>
        <w:t xml:space="preserve">od začátku expedice </w:t>
      </w:r>
      <w:r w:rsidRPr="00040E0F">
        <w:rPr>
          <w:rFonts w:ascii="Garamond" w:hAnsi="Garamond"/>
          <w:sz w:val="24"/>
          <w:szCs w:val="24"/>
        </w:rPr>
        <w:t xml:space="preserve">začala společnost </w:t>
      </w:r>
      <w:proofErr w:type="spellStart"/>
      <w:r w:rsidR="000F5360">
        <w:rPr>
          <w:rFonts w:ascii="Garamond" w:hAnsi="Garamond"/>
          <w:sz w:val="24"/>
          <w:szCs w:val="24"/>
        </w:rPr>
        <w:t>Vetarex</w:t>
      </w:r>
      <w:proofErr w:type="spellEnd"/>
      <w:r w:rsidRPr="00040E0F">
        <w:rPr>
          <w:rFonts w:ascii="Garamond" w:hAnsi="Garamond"/>
          <w:sz w:val="24"/>
          <w:szCs w:val="24"/>
        </w:rPr>
        <w:t xml:space="preserve"> dostávat informace o tom, že v pytlích s granulemi pro velká plemena jsou granule rozměru určenému pro malá plemena, což způsobuje velkým psům potíže při krmení (potisk pytle garantoval jiné granule, než v pytli byly). Společnost </w:t>
      </w:r>
      <w:proofErr w:type="spellStart"/>
      <w:r w:rsidR="000F5360">
        <w:rPr>
          <w:rFonts w:ascii="Garamond" w:hAnsi="Garamond"/>
          <w:sz w:val="24"/>
          <w:szCs w:val="24"/>
        </w:rPr>
        <w:t>Vetarex</w:t>
      </w:r>
      <w:proofErr w:type="spellEnd"/>
      <w:r w:rsidRPr="00040E0F">
        <w:rPr>
          <w:rFonts w:ascii="Garamond" w:hAnsi="Garamond"/>
          <w:sz w:val="24"/>
          <w:szCs w:val="24"/>
        </w:rPr>
        <w:t xml:space="preserve"> zastavila expedici a o problému informovala společnost </w:t>
      </w:r>
      <w:proofErr w:type="spellStart"/>
      <w:r w:rsidR="000F5360">
        <w:rPr>
          <w:rFonts w:ascii="Garamond" w:hAnsi="Garamond"/>
          <w:sz w:val="24"/>
          <w:szCs w:val="24"/>
        </w:rPr>
        <w:t>Hillas</w:t>
      </w:r>
      <w:proofErr w:type="spellEnd"/>
      <w:r w:rsidRPr="00040E0F">
        <w:rPr>
          <w:rFonts w:ascii="Garamond" w:hAnsi="Garamond"/>
          <w:sz w:val="24"/>
          <w:szCs w:val="24"/>
        </w:rPr>
        <w:t>. Ta situaci odmít</w:t>
      </w:r>
      <w:r w:rsidR="000F5360">
        <w:rPr>
          <w:rFonts w:ascii="Garamond" w:hAnsi="Garamond"/>
          <w:sz w:val="24"/>
          <w:szCs w:val="24"/>
        </w:rPr>
        <w:t>la</w:t>
      </w:r>
      <w:r w:rsidRPr="00040E0F">
        <w:rPr>
          <w:rFonts w:ascii="Garamond" w:hAnsi="Garamond"/>
          <w:sz w:val="24"/>
          <w:szCs w:val="24"/>
        </w:rPr>
        <w:t xml:space="preserve"> řešit s tím, že byla o problému informována pozdě. Posuď průběh reklamačního procesu a možnou pozici </w:t>
      </w:r>
      <w:r w:rsidR="000F5360">
        <w:rPr>
          <w:rFonts w:ascii="Garamond" w:hAnsi="Garamond"/>
          <w:sz w:val="24"/>
          <w:szCs w:val="24"/>
        </w:rPr>
        <w:t xml:space="preserve">prodávajícího a </w:t>
      </w:r>
      <w:r w:rsidRPr="00040E0F">
        <w:rPr>
          <w:rFonts w:ascii="Garamond" w:hAnsi="Garamond"/>
          <w:sz w:val="24"/>
          <w:szCs w:val="24"/>
        </w:rPr>
        <w:t>kupujícího.</w:t>
      </w:r>
    </w:p>
    <w:p w14:paraId="54804ABD" w14:textId="77777777" w:rsidR="00040E0F" w:rsidRPr="00040E0F" w:rsidRDefault="00040E0F" w:rsidP="00040E0F">
      <w:pPr>
        <w:numPr>
          <w:ilvl w:val="0"/>
          <w:numId w:val="24"/>
        </w:numPr>
        <w:jc w:val="both"/>
        <w:rPr>
          <w:rFonts w:ascii="Garamond" w:hAnsi="Garamond"/>
          <w:sz w:val="24"/>
          <w:szCs w:val="24"/>
        </w:rPr>
      </w:pPr>
      <w:r w:rsidRPr="00040E0F">
        <w:rPr>
          <w:rFonts w:ascii="Garamond" w:hAnsi="Garamond"/>
          <w:sz w:val="24"/>
          <w:szCs w:val="24"/>
        </w:rPr>
        <w:t xml:space="preserve">Posuď, zda společnost A může odstoupit od </w:t>
      </w:r>
      <w:r w:rsidR="000F5360">
        <w:rPr>
          <w:rFonts w:ascii="Garamond" w:hAnsi="Garamond"/>
          <w:sz w:val="24"/>
          <w:szCs w:val="24"/>
        </w:rPr>
        <w:t>prosincové</w:t>
      </w:r>
      <w:r w:rsidRPr="00040E0F">
        <w:rPr>
          <w:rFonts w:ascii="Garamond" w:hAnsi="Garamond"/>
          <w:sz w:val="24"/>
          <w:szCs w:val="24"/>
        </w:rPr>
        <w:t xml:space="preserve"> dodávky v rozsahu odpovídajícímu vadným pytlům (cca 20% dodávky), jak je popsáno v předcházející otázce. Může tak učinit i za předpokladu, že již nemá k dispozici všechny pytle?</w:t>
      </w:r>
    </w:p>
    <w:p w14:paraId="58C01CA9" w14:textId="77777777" w:rsidR="00040E0F" w:rsidRPr="00040E0F" w:rsidRDefault="000F5360" w:rsidP="00040E0F">
      <w:pPr>
        <w:numPr>
          <w:ilvl w:val="0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 března do června 2020</w:t>
      </w:r>
      <w:r w:rsidR="00040E0F" w:rsidRPr="00040E0F">
        <w:rPr>
          <w:rFonts w:ascii="Garamond" w:hAnsi="Garamond"/>
          <w:sz w:val="24"/>
          <w:szCs w:val="24"/>
        </w:rPr>
        <w:t xml:space="preserve"> měla společnost </w:t>
      </w:r>
      <w:proofErr w:type="spellStart"/>
      <w:r>
        <w:rPr>
          <w:rFonts w:ascii="Garamond" w:hAnsi="Garamond"/>
          <w:sz w:val="24"/>
          <w:szCs w:val="24"/>
        </w:rPr>
        <w:t>Hillas</w:t>
      </w:r>
      <w:proofErr w:type="spellEnd"/>
      <w:r w:rsidR="00040E0F" w:rsidRPr="00040E0F">
        <w:rPr>
          <w:rFonts w:ascii="Garamond" w:hAnsi="Garamond"/>
          <w:sz w:val="24"/>
          <w:szCs w:val="24"/>
        </w:rPr>
        <w:t xml:space="preserve"> výpadek ve výrobě a nebyla schopna dodat objednané granule. </w:t>
      </w:r>
      <w:r>
        <w:rPr>
          <w:rFonts w:ascii="Garamond" w:hAnsi="Garamond"/>
          <w:sz w:val="24"/>
          <w:szCs w:val="24"/>
        </w:rPr>
        <w:t xml:space="preserve">Důvodem byla opatření italské vlády vydaná v důsledku pandemie covid-19, kvůli kterým byla společnost </w:t>
      </w:r>
      <w:proofErr w:type="spellStart"/>
      <w:r>
        <w:rPr>
          <w:rFonts w:ascii="Garamond" w:hAnsi="Garamond"/>
          <w:sz w:val="24"/>
          <w:szCs w:val="24"/>
        </w:rPr>
        <w:t>Hillas</w:t>
      </w:r>
      <w:proofErr w:type="spellEnd"/>
      <w:r>
        <w:rPr>
          <w:rFonts w:ascii="Garamond" w:hAnsi="Garamond"/>
          <w:sz w:val="24"/>
          <w:szCs w:val="24"/>
        </w:rPr>
        <w:t xml:space="preserve"> nucena uzavřít svůj výrobní závod. </w:t>
      </w:r>
      <w:r w:rsidR="00040E0F" w:rsidRPr="00040E0F">
        <w:rPr>
          <w:rFonts w:ascii="Garamond" w:hAnsi="Garamond"/>
          <w:sz w:val="24"/>
          <w:szCs w:val="24"/>
        </w:rPr>
        <w:t xml:space="preserve">Společnost </w:t>
      </w:r>
      <w:proofErr w:type="spellStart"/>
      <w:r>
        <w:rPr>
          <w:rFonts w:ascii="Garamond" w:hAnsi="Garamond"/>
          <w:sz w:val="24"/>
          <w:szCs w:val="24"/>
        </w:rPr>
        <w:t>Vetarex</w:t>
      </w:r>
      <w:proofErr w:type="spellEnd"/>
      <w:r w:rsidR="00040E0F" w:rsidRPr="00040E0F">
        <w:rPr>
          <w:rFonts w:ascii="Garamond" w:hAnsi="Garamond"/>
          <w:sz w:val="24"/>
          <w:szCs w:val="24"/>
        </w:rPr>
        <w:t xml:space="preserve"> byla nucena, aby mohla uspokojit požadavky svých klientů, objednat granule u jiného výrobce</w:t>
      </w:r>
      <w:r>
        <w:rPr>
          <w:rFonts w:ascii="Garamond" w:hAnsi="Garamond"/>
          <w:sz w:val="24"/>
          <w:szCs w:val="24"/>
        </w:rPr>
        <w:t xml:space="preserve">, ovšem za vyšší cenu, než jakou by platila za odpovídající typy granulí společnosti </w:t>
      </w:r>
      <w:proofErr w:type="spellStart"/>
      <w:r>
        <w:rPr>
          <w:rFonts w:ascii="Garamond" w:hAnsi="Garamond"/>
          <w:sz w:val="24"/>
          <w:szCs w:val="24"/>
        </w:rPr>
        <w:t>Hillas</w:t>
      </w:r>
      <w:proofErr w:type="spellEnd"/>
      <w:r>
        <w:rPr>
          <w:rFonts w:ascii="Garamond" w:hAnsi="Garamond"/>
          <w:sz w:val="24"/>
          <w:szCs w:val="24"/>
        </w:rPr>
        <w:t>.</w:t>
      </w:r>
      <w:r w:rsidR="00040E0F" w:rsidRPr="00040E0F">
        <w:rPr>
          <w:rFonts w:ascii="Garamond" w:hAnsi="Garamond"/>
          <w:sz w:val="24"/>
          <w:szCs w:val="24"/>
        </w:rPr>
        <w:t xml:space="preserve"> Rozdíl v ceně </w:t>
      </w:r>
      <w:r>
        <w:rPr>
          <w:rFonts w:ascii="Garamond" w:hAnsi="Garamond"/>
          <w:sz w:val="24"/>
          <w:szCs w:val="24"/>
        </w:rPr>
        <w:t xml:space="preserve">chce společnost </w:t>
      </w:r>
      <w:proofErr w:type="spellStart"/>
      <w:r>
        <w:rPr>
          <w:rFonts w:ascii="Garamond" w:hAnsi="Garamond"/>
          <w:sz w:val="24"/>
          <w:szCs w:val="24"/>
        </w:rPr>
        <w:t>Vetarex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040E0F" w:rsidRPr="00040E0F">
        <w:rPr>
          <w:rFonts w:ascii="Garamond" w:hAnsi="Garamond"/>
          <w:sz w:val="24"/>
          <w:szCs w:val="24"/>
        </w:rPr>
        <w:t>vymá</w:t>
      </w:r>
      <w:r>
        <w:rPr>
          <w:rFonts w:ascii="Garamond" w:hAnsi="Garamond"/>
          <w:sz w:val="24"/>
          <w:szCs w:val="24"/>
        </w:rPr>
        <w:t>hat</w:t>
      </w:r>
      <w:r w:rsidR="00040E0F" w:rsidRPr="00040E0F">
        <w:rPr>
          <w:rFonts w:ascii="Garamond" w:hAnsi="Garamond"/>
          <w:sz w:val="24"/>
          <w:szCs w:val="24"/>
        </w:rPr>
        <w:t xml:space="preserve"> po společnosti </w:t>
      </w:r>
      <w:proofErr w:type="spellStart"/>
      <w:r>
        <w:rPr>
          <w:rFonts w:ascii="Garamond" w:hAnsi="Garamond"/>
          <w:sz w:val="24"/>
          <w:szCs w:val="24"/>
        </w:rPr>
        <w:t>Hillas</w:t>
      </w:r>
      <w:proofErr w:type="spellEnd"/>
      <w:r w:rsidR="00040E0F" w:rsidRPr="00040E0F">
        <w:rPr>
          <w:rFonts w:ascii="Garamond" w:hAnsi="Garamond"/>
          <w:sz w:val="24"/>
          <w:szCs w:val="24"/>
        </w:rPr>
        <w:t xml:space="preserve">. Kvalifikuj </w:t>
      </w:r>
      <w:r>
        <w:rPr>
          <w:rFonts w:ascii="Garamond" w:hAnsi="Garamond"/>
          <w:sz w:val="24"/>
          <w:szCs w:val="24"/>
        </w:rPr>
        <w:t>popsaný nárok</w:t>
      </w:r>
      <w:r w:rsidR="00040E0F" w:rsidRPr="00040E0F">
        <w:rPr>
          <w:rFonts w:ascii="Garamond" w:hAnsi="Garamond"/>
          <w:sz w:val="24"/>
          <w:szCs w:val="24"/>
        </w:rPr>
        <w:t xml:space="preserve"> a posuď, zda je oprávněný.</w:t>
      </w:r>
    </w:p>
    <w:p w14:paraId="5D185DBA" w14:textId="77777777" w:rsidR="00040E0F" w:rsidRDefault="000F5360" w:rsidP="00040E0F">
      <w:pPr>
        <w:numPr>
          <w:ilvl w:val="0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Společnost </w:t>
      </w:r>
      <w:proofErr w:type="spellStart"/>
      <w:r>
        <w:rPr>
          <w:rFonts w:ascii="Garamond" w:hAnsi="Garamond"/>
          <w:sz w:val="24"/>
          <w:szCs w:val="24"/>
        </w:rPr>
        <w:t>Hillas</w:t>
      </w:r>
      <w:proofErr w:type="spellEnd"/>
      <w:r>
        <w:rPr>
          <w:rFonts w:ascii="Garamond" w:hAnsi="Garamond"/>
          <w:sz w:val="24"/>
          <w:szCs w:val="24"/>
        </w:rPr>
        <w:t xml:space="preserve"> na nárok společnosti </w:t>
      </w:r>
      <w:proofErr w:type="spellStart"/>
      <w:r>
        <w:rPr>
          <w:rFonts w:ascii="Garamond" w:hAnsi="Garamond"/>
          <w:sz w:val="24"/>
          <w:szCs w:val="24"/>
        </w:rPr>
        <w:t>Vetarex</w:t>
      </w:r>
      <w:proofErr w:type="spellEnd"/>
      <w:r>
        <w:rPr>
          <w:rFonts w:ascii="Garamond" w:hAnsi="Garamond"/>
          <w:sz w:val="24"/>
          <w:szCs w:val="24"/>
        </w:rPr>
        <w:t xml:space="preserve"> reagovala tím, že vyčíslila smluvní pokutu za to, že společnost </w:t>
      </w:r>
      <w:proofErr w:type="spellStart"/>
      <w:r>
        <w:rPr>
          <w:rFonts w:ascii="Garamond" w:hAnsi="Garamond"/>
          <w:sz w:val="24"/>
          <w:szCs w:val="24"/>
        </w:rPr>
        <w:t>Vetarex</w:t>
      </w:r>
      <w:proofErr w:type="spellEnd"/>
      <w:r>
        <w:rPr>
          <w:rFonts w:ascii="Garamond" w:hAnsi="Garamond"/>
          <w:sz w:val="24"/>
          <w:szCs w:val="24"/>
        </w:rPr>
        <w:t xml:space="preserve"> v dubnu, květnu a červnu nezaslala žádnou objednávku na psí granule, a to ve výši celkem 6.000 EUR. </w:t>
      </w:r>
      <w:r w:rsidR="001F7AF9">
        <w:rPr>
          <w:rFonts w:ascii="Garamond" w:hAnsi="Garamond"/>
          <w:sz w:val="24"/>
          <w:szCs w:val="24"/>
        </w:rPr>
        <w:t xml:space="preserve">Tuto smluvní pokutu jednostranně započetla na nárok společnosti </w:t>
      </w:r>
      <w:proofErr w:type="spellStart"/>
      <w:r w:rsidR="001F7AF9">
        <w:rPr>
          <w:rFonts w:ascii="Garamond" w:hAnsi="Garamond"/>
          <w:sz w:val="24"/>
          <w:szCs w:val="24"/>
        </w:rPr>
        <w:t>Vetarex</w:t>
      </w:r>
      <w:proofErr w:type="spellEnd"/>
      <w:r w:rsidR="001F7AF9">
        <w:rPr>
          <w:rFonts w:ascii="Garamond" w:hAnsi="Garamond"/>
          <w:sz w:val="24"/>
          <w:szCs w:val="24"/>
        </w:rPr>
        <w:t xml:space="preserve"> popsaný v otázce č. 6. Urči právní režim započtení. </w:t>
      </w:r>
      <w:r>
        <w:rPr>
          <w:rFonts w:ascii="Garamond" w:hAnsi="Garamond"/>
          <w:sz w:val="24"/>
          <w:szCs w:val="24"/>
        </w:rPr>
        <w:t xml:space="preserve"> </w:t>
      </w:r>
    </w:p>
    <w:p w14:paraId="0AD09CB6" w14:textId="77777777" w:rsidR="0010203D" w:rsidRDefault="000F5360" w:rsidP="00771136">
      <w:pPr>
        <w:numPr>
          <w:ilvl w:val="0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Urči sudiště pro nárok společnosti </w:t>
      </w:r>
      <w:proofErr w:type="spellStart"/>
      <w:r>
        <w:rPr>
          <w:rFonts w:ascii="Garamond" w:hAnsi="Garamond"/>
          <w:sz w:val="24"/>
          <w:szCs w:val="24"/>
        </w:rPr>
        <w:t>Vetarex</w:t>
      </w:r>
      <w:proofErr w:type="spellEnd"/>
      <w:r>
        <w:rPr>
          <w:rFonts w:ascii="Garamond" w:hAnsi="Garamond"/>
          <w:sz w:val="24"/>
          <w:szCs w:val="24"/>
        </w:rPr>
        <w:t xml:space="preserve"> vůči společnosti </w:t>
      </w:r>
      <w:proofErr w:type="spellStart"/>
      <w:r>
        <w:rPr>
          <w:rFonts w:ascii="Garamond" w:hAnsi="Garamond"/>
          <w:sz w:val="24"/>
          <w:szCs w:val="24"/>
        </w:rPr>
        <w:t>Hillas</w:t>
      </w:r>
      <w:proofErr w:type="spellEnd"/>
      <w:r>
        <w:rPr>
          <w:rFonts w:ascii="Garamond" w:hAnsi="Garamond"/>
          <w:sz w:val="24"/>
          <w:szCs w:val="24"/>
        </w:rPr>
        <w:t xml:space="preserve"> popsaný v otázce č. 6. Pro zodpovězení této</w:t>
      </w:r>
      <w:r w:rsidR="001F7AF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otázky je nutné analyzovat rozhodčí smlouvu uzavřenou mezi stranami, uvést </w:t>
      </w:r>
      <w:r>
        <w:rPr>
          <w:rFonts w:ascii="Garamond" w:hAnsi="Garamond"/>
          <w:sz w:val="24"/>
          <w:szCs w:val="24"/>
        </w:rPr>
        <w:t xml:space="preserve">minimální </w:t>
      </w:r>
      <w:r w:rsidR="00771136">
        <w:rPr>
          <w:rFonts w:ascii="Garamond" w:hAnsi="Garamond"/>
          <w:sz w:val="24"/>
          <w:szCs w:val="24"/>
        </w:rPr>
        <w:t xml:space="preserve">obsahové </w:t>
      </w:r>
      <w:r>
        <w:rPr>
          <w:rFonts w:ascii="Garamond" w:hAnsi="Garamond"/>
          <w:sz w:val="24"/>
          <w:szCs w:val="24"/>
        </w:rPr>
        <w:t xml:space="preserve">náležitosti rozhodčí smlouvy obecně a na </w:t>
      </w:r>
      <w:r w:rsidR="00771136">
        <w:rPr>
          <w:rFonts w:ascii="Garamond" w:hAnsi="Garamond"/>
          <w:sz w:val="24"/>
          <w:szCs w:val="24"/>
        </w:rPr>
        <w:t>rozhodčí smlouvě dle zadání identifikovat, zda jsou minimální náležitosti naplněny. Stejně tak je nutné zodpovědět, zda došlo k naplnění formálních požadavků. Zabývej se také možností stran vzdát se zrušení rozhodčího nálezu českými soudy.</w:t>
      </w:r>
    </w:p>
    <w:p w14:paraId="0018BA6D" w14:textId="77777777" w:rsidR="00771136" w:rsidRDefault="00771136" w:rsidP="00771136">
      <w:pPr>
        <w:numPr>
          <w:ilvl w:val="0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Bez ohledu na odpověď v předcházející otázce vyřeš následující. V České republice byl vydán rozhodčí nález, kterým byla společnosti </w:t>
      </w:r>
      <w:proofErr w:type="spellStart"/>
      <w:r>
        <w:rPr>
          <w:rFonts w:ascii="Garamond" w:hAnsi="Garamond"/>
          <w:sz w:val="24"/>
          <w:szCs w:val="24"/>
        </w:rPr>
        <w:t>Hillas</w:t>
      </w:r>
      <w:proofErr w:type="spellEnd"/>
      <w:r>
        <w:rPr>
          <w:rFonts w:ascii="Garamond" w:hAnsi="Garamond"/>
          <w:sz w:val="24"/>
          <w:szCs w:val="24"/>
        </w:rPr>
        <w:t xml:space="preserve"> stanovena povinnost uhradit částku 5.000 EUR společnosti </w:t>
      </w:r>
      <w:proofErr w:type="spellStart"/>
      <w:r>
        <w:rPr>
          <w:rFonts w:ascii="Garamond" w:hAnsi="Garamond"/>
          <w:sz w:val="24"/>
          <w:szCs w:val="24"/>
        </w:rPr>
        <w:t>Vetarex</w:t>
      </w:r>
      <w:proofErr w:type="spellEnd"/>
      <w:r>
        <w:rPr>
          <w:rFonts w:ascii="Garamond" w:hAnsi="Garamond"/>
          <w:sz w:val="24"/>
          <w:szCs w:val="24"/>
        </w:rPr>
        <w:t>. Identifikuj právní předpis společný jak ČR, tak Itálii, na jehož základě je možné provést uznání a výkon českého rozhodčího nálezu v Itálii. Uveď důvody, pro které je možné v Itálii odmítnout uznání českého rozhodčího nálezu, a vysvětli, za jakých podmínek se jimi může/musí italský soud zabývat. Posuď, zda</w:t>
      </w:r>
      <w:r w:rsidR="00656069">
        <w:rPr>
          <w:rFonts w:ascii="Garamond" w:hAnsi="Garamond"/>
          <w:sz w:val="24"/>
          <w:szCs w:val="24"/>
        </w:rPr>
        <w:t xml:space="preserve"> by</w:t>
      </w:r>
      <w:r>
        <w:rPr>
          <w:rFonts w:ascii="Garamond" w:hAnsi="Garamond"/>
          <w:sz w:val="24"/>
          <w:szCs w:val="24"/>
        </w:rPr>
        <w:t xml:space="preserve"> přiznání nároku na náhradu škody způsobené společností </w:t>
      </w:r>
      <w:proofErr w:type="spellStart"/>
      <w:r>
        <w:rPr>
          <w:rFonts w:ascii="Garamond" w:hAnsi="Garamond"/>
          <w:sz w:val="24"/>
          <w:szCs w:val="24"/>
        </w:rPr>
        <w:t>Hillas</w:t>
      </w:r>
      <w:proofErr w:type="spellEnd"/>
      <w:r>
        <w:rPr>
          <w:rFonts w:ascii="Garamond" w:hAnsi="Garamond"/>
          <w:sz w:val="24"/>
          <w:szCs w:val="24"/>
        </w:rPr>
        <w:t xml:space="preserve"> společnosti </w:t>
      </w:r>
      <w:proofErr w:type="spellStart"/>
      <w:r>
        <w:rPr>
          <w:rFonts w:ascii="Garamond" w:hAnsi="Garamond"/>
          <w:sz w:val="24"/>
          <w:szCs w:val="24"/>
        </w:rPr>
        <w:t>Vetarex</w:t>
      </w:r>
      <w:proofErr w:type="spellEnd"/>
      <w:r>
        <w:rPr>
          <w:rFonts w:ascii="Garamond" w:hAnsi="Garamond"/>
          <w:sz w:val="24"/>
          <w:szCs w:val="24"/>
        </w:rPr>
        <w:t xml:space="preserve"> nedodáním granulí, které nastalo v důsledku uplatnění ochranných opatření italskou vládou (viz otázka č. 6), </w:t>
      </w:r>
      <w:r w:rsidR="00656069">
        <w:rPr>
          <w:rFonts w:ascii="Garamond" w:hAnsi="Garamond"/>
          <w:sz w:val="24"/>
          <w:szCs w:val="24"/>
        </w:rPr>
        <w:t>bylo možné</w:t>
      </w:r>
      <w:r>
        <w:rPr>
          <w:rFonts w:ascii="Garamond" w:hAnsi="Garamond"/>
          <w:sz w:val="24"/>
          <w:szCs w:val="24"/>
        </w:rPr>
        <w:t xml:space="preserve"> podřadit pod některý z těchto důvodů.</w:t>
      </w:r>
    </w:p>
    <w:p w14:paraId="4FB4A5F0" w14:textId="77777777" w:rsidR="00771136" w:rsidRDefault="00771136" w:rsidP="00771136">
      <w:pPr>
        <w:numPr>
          <w:ilvl w:val="0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Vzhledem k tomu, že rozhodci řešili spor s mezinárodním prvkem (česká společnost </w:t>
      </w:r>
      <w:r w:rsidR="00E913DC">
        <w:rPr>
          <w:rFonts w:ascii="Garamond" w:hAnsi="Garamond"/>
          <w:sz w:val="24"/>
          <w:szCs w:val="24"/>
        </w:rPr>
        <w:t>žaluje</w:t>
      </w:r>
      <w:r>
        <w:rPr>
          <w:rFonts w:ascii="Garamond" w:hAnsi="Garamond"/>
          <w:sz w:val="24"/>
          <w:szCs w:val="24"/>
        </w:rPr>
        <w:t xml:space="preserve"> italskou společnost), posuď, jakým způsobem (dle jakého právního předpisu) by určili právní režim smluvního závazku, jestliže by smlouva obsahovala ujednání: Tato smlouva, stejně jako smlouvy s dle ní uzavřené a s ní související, se neřídí Úmluvou OSN o smlouvách o mezinárodní koupi zboží</w:t>
      </w:r>
      <w:r w:rsidR="00656069">
        <w:rPr>
          <w:rFonts w:ascii="Garamond" w:hAnsi="Garamond"/>
          <w:sz w:val="24"/>
          <w:szCs w:val="24"/>
        </w:rPr>
        <w:t>, ale řídí se právem platným mezi obchodníky a zásadami ekvity.</w:t>
      </w:r>
      <w:r>
        <w:rPr>
          <w:rFonts w:ascii="Garamond" w:hAnsi="Garamond"/>
          <w:sz w:val="24"/>
          <w:szCs w:val="24"/>
        </w:rPr>
        <w:t xml:space="preserve"> </w:t>
      </w:r>
      <w:r w:rsidR="00C75A3A">
        <w:rPr>
          <w:rFonts w:ascii="Garamond" w:hAnsi="Garamond"/>
          <w:sz w:val="24"/>
          <w:szCs w:val="24"/>
        </w:rPr>
        <w:t xml:space="preserve">Vysvětli, zda </w:t>
      </w:r>
      <w:r w:rsidR="00E913DC">
        <w:rPr>
          <w:rFonts w:ascii="Garamond" w:hAnsi="Garamond"/>
          <w:sz w:val="24"/>
          <w:szCs w:val="24"/>
        </w:rPr>
        <w:t>lze v</w:t>
      </w:r>
      <w:r w:rsidR="00C75A3A">
        <w:rPr>
          <w:rFonts w:ascii="Garamond" w:hAnsi="Garamond"/>
          <w:sz w:val="24"/>
          <w:szCs w:val="24"/>
        </w:rPr>
        <w:t xml:space="preserve"> rozhodčím řízení vedeném na území ČR </w:t>
      </w:r>
      <w:r w:rsidR="00E913DC">
        <w:rPr>
          <w:rFonts w:ascii="Garamond" w:hAnsi="Garamond"/>
          <w:sz w:val="24"/>
          <w:szCs w:val="24"/>
        </w:rPr>
        <w:t>rozhodovat nikoliv</w:t>
      </w:r>
      <w:r w:rsidR="00C75A3A">
        <w:rPr>
          <w:rFonts w:ascii="Garamond" w:hAnsi="Garamond"/>
          <w:sz w:val="24"/>
          <w:szCs w:val="24"/>
        </w:rPr>
        <w:t xml:space="preserve"> dle právního řádu </w:t>
      </w:r>
      <w:r w:rsidR="00656069">
        <w:rPr>
          <w:rFonts w:ascii="Garamond" w:hAnsi="Garamond"/>
          <w:sz w:val="24"/>
          <w:szCs w:val="24"/>
        </w:rPr>
        <w:t>určitého</w:t>
      </w:r>
      <w:r w:rsidR="00C75A3A">
        <w:rPr>
          <w:rFonts w:ascii="Garamond" w:hAnsi="Garamond"/>
          <w:sz w:val="24"/>
          <w:szCs w:val="24"/>
        </w:rPr>
        <w:t xml:space="preserve"> státu, ale mimo rovinu tzv. </w:t>
      </w:r>
      <w:r w:rsidR="00C75A3A" w:rsidRPr="00C75A3A">
        <w:rPr>
          <w:rFonts w:ascii="Garamond" w:hAnsi="Garamond"/>
          <w:i/>
          <w:iCs/>
          <w:sz w:val="24"/>
          <w:szCs w:val="24"/>
        </w:rPr>
        <w:t xml:space="preserve">hard </w:t>
      </w:r>
      <w:proofErr w:type="spellStart"/>
      <w:r w:rsidR="00C75A3A" w:rsidRPr="00C75A3A">
        <w:rPr>
          <w:rFonts w:ascii="Garamond" w:hAnsi="Garamond"/>
          <w:i/>
          <w:iCs/>
          <w:sz w:val="24"/>
          <w:szCs w:val="24"/>
        </w:rPr>
        <w:t>law</w:t>
      </w:r>
      <w:proofErr w:type="spellEnd"/>
      <w:r w:rsidR="00C75A3A">
        <w:rPr>
          <w:rFonts w:ascii="Garamond" w:hAnsi="Garamond"/>
          <w:sz w:val="24"/>
          <w:szCs w:val="24"/>
        </w:rPr>
        <w:t>.</w:t>
      </w:r>
    </w:p>
    <w:p w14:paraId="604EC6D2" w14:textId="77777777" w:rsidR="00C75A3A" w:rsidRDefault="00C75A3A" w:rsidP="00771136">
      <w:pPr>
        <w:numPr>
          <w:ilvl w:val="0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Povinností kupujícího v rámci kupní smlouvy je povinnost zaplatit kupní cenu. Uveď, jakými způsoby je možné kupní cenu hradit. Doporuč způsob placení pro situaci:</w:t>
      </w:r>
    </w:p>
    <w:p w14:paraId="492E5D93" w14:textId="77777777" w:rsidR="00C75A3A" w:rsidRDefault="00C75A3A" w:rsidP="00C75A3A">
      <w:pPr>
        <w:numPr>
          <w:ilvl w:val="1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kdy prodávající a kupující spolu obchodují delší dobu, bezproblémově a důvěřují si;</w:t>
      </w:r>
    </w:p>
    <w:p w14:paraId="12C8B0D7" w14:textId="3FBB4D60" w:rsidR="00C75A3A" w:rsidRDefault="00C75A3A" w:rsidP="00C75A3A">
      <w:pPr>
        <w:numPr>
          <w:ilvl w:val="1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prodávající a kupující se buď neznají, nebo si nedůvěřují, případně kupující se nachází ve státě s nestabilním politickým režimem – prodávající chce proto využít platební prostředek, který mu zajistí alespoň určitou míru jistoty, že v případě odeslání zboží obdrží za toto zboží sjednanou platbu. Pro navržený platební mechanismus </w:t>
      </w:r>
      <w:r w:rsidR="00D92D3B">
        <w:rPr>
          <w:rFonts w:ascii="Garamond" w:hAnsi="Garamond"/>
          <w:sz w:val="24"/>
          <w:szCs w:val="24"/>
        </w:rPr>
        <w:t>urči</w:t>
      </w:r>
      <w:r>
        <w:rPr>
          <w:rFonts w:ascii="Garamond" w:hAnsi="Garamond"/>
          <w:sz w:val="24"/>
          <w:szCs w:val="24"/>
        </w:rPr>
        <w:t xml:space="preserve"> právní režim</w:t>
      </w:r>
      <w:r w:rsidR="00D92D3B">
        <w:rPr>
          <w:rFonts w:ascii="Garamond" w:hAnsi="Garamond"/>
          <w:sz w:val="24"/>
          <w:szCs w:val="24"/>
        </w:rPr>
        <w:t xml:space="preserve">, neopomínej nestátní prostředky úpravy, pokud jsou relevantní. </w:t>
      </w:r>
    </w:p>
    <w:p w14:paraId="3834D2D1" w14:textId="77777777" w:rsidR="00C75A3A" w:rsidRDefault="00C75A3A" w:rsidP="00C75A3A">
      <w:pPr>
        <w:numPr>
          <w:ilvl w:val="0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Společnost </w:t>
      </w:r>
      <w:proofErr w:type="spellStart"/>
      <w:r>
        <w:rPr>
          <w:rFonts w:ascii="Garamond" w:hAnsi="Garamond"/>
          <w:sz w:val="24"/>
          <w:szCs w:val="24"/>
        </w:rPr>
        <w:t>Hillas</w:t>
      </w:r>
      <w:proofErr w:type="spellEnd"/>
      <w:r>
        <w:rPr>
          <w:rFonts w:ascii="Garamond" w:hAnsi="Garamond"/>
          <w:sz w:val="24"/>
          <w:szCs w:val="24"/>
        </w:rPr>
        <w:t xml:space="preserve">, která je dle smlouvy se společností </w:t>
      </w:r>
      <w:proofErr w:type="spellStart"/>
      <w:r>
        <w:rPr>
          <w:rFonts w:ascii="Garamond" w:hAnsi="Garamond"/>
          <w:sz w:val="24"/>
          <w:szCs w:val="24"/>
        </w:rPr>
        <w:t>Vetarex</w:t>
      </w:r>
      <w:proofErr w:type="spellEnd"/>
      <w:r>
        <w:rPr>
          <w:rFonts w:ascii="Garamond" w:hAnsi="Garamond"/>
          <w:sz w:val="24"/>
          <w:szCs w:val="24"/>
        </w:rPr>
        <w:t xml:space="preserve"> povinna zajistit dopravu zboží do skladu společnosti </w:t>
      </w:r>
      <w:proofErr w:type="spellStart"/>
      <w:r>
        <w:rPr>
          <w:rFonts w:ascii="Garamond" w:hAnsi="Garamond"/>
          <w:sz w:val="24"/>
          <w:szCs w:val="24"/>
        </w:rPr>
        <w:t>Vetarex</w:t>
      </w:r>
      <w:proofErr w:type="spellEnd"/>
      <w:r>
        <w:rPr>
          <w:rFonts w:ascii="Garamond" w:hAnsi="Garamond"/>
          <w:sz w:val="24"/>
          <w:szCs w:val="24"/>
        </w:rPr>
        <w:t xml:space="preserve">, si k tomuto najímá nezávislého přepravce (slovinská společnost). Přeprava probíhá silniční kamionovou přepravou. Urči právní režim pro smlouvy o přepravě mezi společností </w:t>
      </w:r>
      <w:proofErr w:type="spellStart"/>
      <w:r>
        <w:rPr>
          <w:rFonts w:ascii="Garamond" w:hAnsi="Garamond"/>
          <w:sz w:val="24"/>
          <w:szCs w:val="24"/>
        </w:rPr>
        <w:t>Hillas</w:t>
      </w:r>
      <w:proofErr w:type="spellEnd"/>
      <w:r>
        <w:rPr>
          <w:rFonts w:ascii="Garamond" w:hAnsi="Garamond"/>
          <w:sz w:val="24"/>
          <w:szCs w:val="24"/>
        </w:rPr>
        <w:t xml:space="preserve"> a </w:t>
      </w:r>
      <w:proofErr w:type="spellStart"/>
      <w:r>
        <w:rPr>
          <w:rFonts w:ascii="Garamond" w:hAnsi="Garamond"/>
          <w:sz w:val="24"/>
          <w:szCs w:val="24"/>
        </w:rPr>
        <w:t>přepravem</w:t>
      </w:r>
      <w:proofErr w:type="spellEnd"/>
      <w:r>
        <w:rPr>
          <w:rFonts w:ascii="Garamond" w:hAnsi="Garamond"/>
          <w:sz w:val="24"/>
          <w:szCs w:val="24"/>
        </w:rPr>
        <w:t>. Uveď, o jaký způsob určení právního režimu z pohledu mezinárodního práva soukromého se jedná</w:t>
      </w:r>
      <w:r w:rsidR="00E913DC">
        <w:rPr>
          <w:rFonts w:ascii="Garamond" w:hAnsi="Garamond"/>
          <w:sz w:val="24"/>
          <w:szCs w:val="24"/>
        </w:rPr>
        <w:t>. U</w:t>
      </w:r>
      <w:r>
        <w:rPr>
          <w:rFonts w:ascii="Garamond" w:hAnsi="Garamond"/>
          <w:sz w:val="24"/>
          <w:szCs w:val="24"/>
        </w:rPr>
        <w:t>veď základní práva a povinnosti stran v rámci tohoto smluvního vztahu</w:t>
      </w:r>
      <w:r w:rsidR="0055585D">
        <w:rPr>
          <w:rFonts w:ascii="Garamond" w:hAnsi="Garamond"/>
          <w:sz w:val="24"/>
          <w:szCs w:val="24"/>
        </w:rPr>
        <w:t xml:space="preserve">. Vysvětli, jaké stěžejní otázky pro vztah mezi přepravcem a zadavatelem přepravy jsou v rámci daného právního režimu upraveny. </w:t>
      </w:r>
    </w:p>
    <w:p w14:paraId="5D8863EE" w14:textId="77777777" w:rsidR="0055585D" w:rsidRPr="001F7AF9" w:rsidRDefault="0055585D" w:rsidP="001F7AF9">
      <w:pPr>
        <w:numPr>
          <w:ilvl w:val="0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Společnost </w:t>
      </w:r>
      <w:proofErr w:type="spellStart"/>
      <w:r>
        <w:rPr>
          <w:rFonts w:ascii="Garamond" w:hAnsi="Garamond"/>
          <w:sz w:val="24"/>
          <w:szCs w:val="24"/>
        </w:rPr>
        <w:t>Vetarex</w:t>
      </w:r>
      <w:proofErr w:type="spellEnd"/>
      <w:r>
        <w:rPr>
          <w:rFonts w:ascii="Garamond" w:hAnsi="Garamond"/>
          <w:sz w:val="24"/>
          <w:szCs w:val="24"/>
        </w:rPr>
        <w:t xml:space="preserve"> chce začít dovážet psí granule z Kanady a USA. </w:t>
      </w:r>
      <w:r w:rsidR="00656069">
        <w:rPr>
          <w:rFonts w:ascii="Garamond" w:hAnsi="Garamond"/>
          <w:sz w:val="24"/>
          <w:szCs w:val="24"/>
        </w:rPr>
        <w:t xml:space="preserve">Jako právní zástupce společnosti </w:t>
      </w:r>
      <w:proofErr w:type="spellStart"/>
      <w:r w:rsidR="00656069">
        <w:rPr>
          <w:rFonts w:ascii="Garamond" w:hAnsi="Garamond"/>
          <w:sz w:val="24"/>
          <w:szCs w:val="24"/>
        </w:rPr>
        <w:t>Vetarex</w:t>
      </w:r>
      <w:proofErr w:type="spellEnd"/>
      <w:r w:rsidR="00656069">
        <w:rPr>
          <w:rFonts w:ascii="Garamond" w:hAnsi="Garamond"/>
          <w:sz w:val="24"/>
          <w:szCs w:val="24"/>
        </w:rPr>
        <w:t xml:space="preserve"> proveďte analýzu</w:t>
      </w:r>
      <w:r w:rsidR="001F7AF9">
        <w:rPr>
          <w:rFonts w:ascii="Garamond" w:hAnsi="Garamond"/>
          <w:sz w:val="24"/>
          <w:szCs w:val="24"/>
        </w:rPr>
        <w:t xml:space="preserve">, jaké skupiny právních norem upravují dovoz zboží z USA a Kanady do EU včetně uvedení příkladů konkrétních právních předpisů. </w:t>
      </w:r>
      <w:r w:rsidR="00E913DC">
        <w:rPr>
          <w:rFonts w:ascii="Garamond" w:hAnsi="Garamond"/>
          <w:sz w:val="24"/>
          <w:szCs w:val="24"/>
        </w:rPr>
        <w:t>Vysvětli</w:t>
      </w:r>
      <w:r w:rsidR="001F7AF9">
        <w:rPr>
          <w:rFonts w:ascii="Garamond" w:hAnsi="Garamond"/>
          <w:sz w:val="24"/>
          <w:szCs w:val="24"/>
        </w:rPr>
        <w:t xml:space="preserve">, které z těchto právních norem stanoví práva a povinnosti přímo společnosti </w:t>
      </w:r>
      <w:proofErr w:type="spellStart"/>
      <w:r w:rsidR="001F7AF9">
        <w:rPr>
          <w:rFonts w:ascii="Garamond" w:hAnsi="Garamond"/>
          <w:sz w:val="24"/>
          <w:szCs w:val="24"/>
        </w:rPr>
        <w:t>Veratex</w:t>
      </w:r>
      <w:proofErr w:type="spellEnd"/>
      <w:r w:rsidR="001F7AF9">
        <w:rPr>
          <w:rFonts w:ascii="Garamond" w:hAnsi="Garamond"/>
          <w:sz w:val="24"/>
          <w:szCs w:val="24"/>
        </w:rPr>
        <w:t xml:space="preserve"> jako dovozci. </w:t>
      </w:r>
    </w:p>
    <w:sectPr w:rsidR="0055585D" w:rsidRPr="001F7AF9" w:rsidSect="00F06E2F">
      <w:pgSz w:w="23814" w:h="16840" w:orient="landscape" w:code="8"/>
      <w:pgMar w:top="1418" w:right="1418" w:bottom="1418" w:left="1418" w:header="709" w:footer="709" w:gutter="0"/>
      <w:cols w:num="2" w:space="1418" w:equalWidth="0">
        <w:col w:w="10135" w:space="1418"/>
        <w:col w:w="942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ntax LT CE">
    <w:altName w:val="Arial"/>
    <w:panose1 w:val="020B0604020202020204"/>
    <w:charset w:val="EE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AED"/>
    <w:multiLevelType w:val="hybridMultilevel"/>
    <w:tmpl w:val="FBDE0F6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154"/>
    <w:multiLevelType w:val="hybridMultilevel"/>
    <w:tmpl w:val="FFB8C3C4"/>
    <w:lvl w:ilvl="0" w:tplc="1D1AC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62DED"/>
    <w:multiLevelType w:val="hybridMultilevel"/>
    <w:tmpl w:val="3A8EDE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136D4"/>
    <w:multiLevelType w:val="hybridMultilevel"/>
    <w:tmpl w:val="572A4C26"/>
    <w:lvl w:ilvl="0" w:tplc="20A4A8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55B26"/>
    <w:multiLevelType w:val="hybridMultilevel"/>
    <w:tmpl w:val="AC8E59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55494"/>
    <w:multiLevelType w:val="hybridMultilevel"/>
    <w:tmpl w:val="0AEEB626"/>
    <w:lvl w:ilvl="0" w:tplc="EFFC22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85C27"/>
    <w:multiLevelType w:val="hybridMultilevel"/>
    <w:tmpl w:val="05ACE89C"/>
    <w:lvl w:ilvl="0" w:tplc="EFFC22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1530B"/>
    <w:multiLevelType w:val="hybridMultilevel"/>
    <w:tmpl w:val="3760B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C2990"/>
    <w:multiLevelType w:val="hybridMultilevel"/>
    <w:tmpl w:val="4948B22A"/>
    <w:lvl w:ilvl="0" w:tplc="EFFC22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E3AAC"/>
    <w:multiLevelType w:val="hybridMultilevel"/>
    <w:tmpl w:val="43C07B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57FFE"/>
    <w:multiLevelType w:val="hybridMultilevel"/>
    <w:tmpl w:val="E84E7736"/>
    <w:lvl w:ilvl="0" w:tplc="F072EF3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B0B60"/>
    <w:multiLevelType w:val="hybridMultilevel"/>
    <w:tmpl w:val="4CEC4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86C7A"/>
    <w:multiLevelType w:val="hybridMultilevel"/>
    <w:tmpl w:val="BCDE0582"/>
    <w:lvl w:ilvl="0" w:tplc="59766F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44C36"/>
    <w:multiLevelType w:val="hybridMultilevel"/>
    <w:tmpl w:val="68CCEA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22156"/>
    <w:multiLevelType w:val="hybridMultilevel"/>
    <w:tmpl w:val="0F4C251C"/>
    <w:lvl w:ilvl="0" w:tplc="EFFC22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34179"/>
    <w:multiLevelType w:val="hybridMultilevel"/>
    <w:tmpl w:val="EF005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0321B"/>
    <w:multiLevelType w:val="hybridMultilevel"/>
    <w:tmpl w:val="D52454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00242"/>
    <w:multiLevelType w:val="hybridMultilevel"/>
    <w:tmpl w:val="84C60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C7C22"/>
    <w:multiLevelType w:val="hybridMultilevel"/>
    <w:tmpl w:val="E7A06F5C"/>
    <w:lvl w:ilvl="0" w:tplc="EFFC22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93114"/>
    <w:multiLevelType w:val="hybridMultilevel"/>
    <w:tmpl w:val="99C20D2A"/>
    <w:lvl w:ilvl="0" w:tplc="2D649EA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16C49"/>
    <w:multiLevelType w:val="hybridMultilevel"/>
    <w:tmpl w:val="BCB85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C001D"/>
    <w:multiLevelType w:val="hybridMultilevel"/>
    <w:tmpl w:val="87B2556A"/>
    <w:lvl w:ilvl="0" w:tplc="ED2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852CF1"/>
    <w:multiLevelType w:val="hybridMultilevel"/>
    <w:tmpl w:val="1BD4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A5F2D"/>
    <w:multiLevelType w:val="hybridMultilevel"/>
    <w:tmpl w:val="06B23C56"/>
    <w:lvl w:ilvl="0" w:tplc="2D649EA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66C03"/>
    <w:multiLevelType w:val="hybridMultilevel"/>
    <w:tmpl w:val="17662032"/>
    <w:lvl w:ilvl="0" w:tplc="20A4A8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437685">
    <w:abstractNumId w:val="20"/>
  </w:num>
  <w:num w:numId="2" w16cid:durableId="1328095546">
    <w:abstractNumId w:val="12"/>
  </w:num>
  <w:num w:numId="3" w16cid:durableId="1441027206">
    <w:abstractNumId w:val="21"/>
  </w:num>
  <w:num w:numId="4" w16cid:durableId="1128089640">
    <w:abstractNumId w:val="1"/>
  </w:num>
  <w:num w:numId="5" w16cid:durableId="478960191">
    <w:abstractNumId w:val="4"/>
  </w:num>
  <w:num w:numId="6" w16cid:durableId="157966355">
    <w:abstractNumId w:val="17"/>
  </w:num>
  <w:num w:numId="7" w16cid:durableId="1406368599">
    <w:abstractNumId w:val="15"/>
  </w:num>
  <w:num w:numId="8" w16cid:durableId="2041585111">
    <w:abstractNumId w:val="11"/>
  </w:num>
  <w:num w:numId="9" w16cid:durableId="2075421316">
    <w:abstractNumId w:val="13"/>
  </w:num>
  <w:num w:numId="10" w16cid:durableId="1587954963">
    <w:abstractNumId w:val="14"/>
  </w:num>
  <w:num w:numId="11" w16cid:durableId="1580016460">
    <w:abstractNumId w:val="6"/>
  </w:num>
  <w:num w:numId="12" w16cid:durableId="344787611">
    <w:abstractNumId w:val="8"/>
  </w:num>
  <w:num w:numId="13" w16cid:durableId="622618759">
    <w:abstractNumId w:val="18"/>
  </w:num>
  <w:num w:numId="14" w16cid:durableId="658191880">
    <w:abstractNumId w:val="7"/>
  </w:num>
  <w:num w:numId="15" w16cid:durableId="264773915">
    <w:abstractNumId w:val="5"/>
  </w:num>
  <w:num w:numId="16" w16cid:durableId="1504583415">
    <w:abstractNumId w:val="2"/>
  </w:num>
  <w:num w:numId="17" w16cid:durableId="1370569448">
    <w:abstractNumId w:val="24"/>
  </w:num>
  <w:num w:numId="18" w16cid:durableId="1417244544">
    <w:abstractNumId w:val="3"/>
  </w:num>
  <w:num w:numId="19" w16cid:durableId="1812016581">
    <w:abstractNumId w:val="16"/>
  </w:num>
  <w:num w:numId="20" w16cid:durableId="1355499931">
    <w:abstractNumId w:val="0"/>
  </w:num>
  <w:num w:numId="21" w16cid:durableId="55082924">
    <w:abstractNumId w:val="9"/>
  </w:num>
  <w:num w:numId="22" w16cid:durableId="1405758830">
    <w:abstractNumId w:val="10"/>
  </w:num>
  <w:num w:numId="23" w16cid:durableId="2020502095">
    <w:abstractNumId w:val="19"/>
  </w:num>
  <w:num w:numId="24" w16cid:durableId="86583693">
    <w:abstractNumId w:val="22"/>
  </w:num>
  <w:num w:numId="25" w16cid:durableId="297689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32"/>
    <w:rsid w:val="000272F4"/>
    <w:rsid w:val="00040E0F"/>
    <w:rsid w:val="000427D0"/>
    <w:rsid w:val="00092735"/>
    <w:rsid w:val="00095CDA"/>
    <w:rsid w:val="000F5360"/>
    <w:rsid w:val="0010203D"/>
    <w:rsid w:val="00135B3B"/>
    <w:rsid w:val="0013683A"/>
    <w:rsid w:val="00183E15"/>
    <w:rsid w:val="00185020"/>
    <w:rsid w:val="001A6E98"/>
    <w:rsid w:val="001B3E5A"/>
    <w:rsid w:val="001F4A60"/>
    <w:rsid w:val="001F7AF9"/>
    <w:rsid w:val="002A39E2"/>
    <w:rsid w:val="002B5B8D"/>
    <w:rsid w:val="002C0872"/>
    <w:rsid w:val="00324528"/>
    <w:rsid w:val="003874B0"/>
    <w:rsid w:val="003C3C80"/>
    <w:rsid w:val="004F6AD1"/>
    <w:rsid w:val="0055585D"/>
    <w:rsid w:val="00572BC3"/>
    <w:rsid w:val="00597E76"/>
    <w:rsid w:val="0061374A"/>
    <w:rsid w:val="00656069"/>
    <w:rsid w:val="00690529"/>
    <w:rsid w:val="00693E5A"/>
    <w:rsid w:val="006C00DF"/>
    <w:rsid w:val="00715332"/>
    <w:rsid w:val="007520A8"/>
    <w:rsid w:val="00765037"/>
    <w:rsid w:val="00771136"/>
    <w:rsid w:val="007B2EF3"/>
    <w:rsid w:val="007D341D"/>
    <w:rsid w:val="00835132"/>
    <w:rsid w:val="0085695B"/>
    <w:rsid w:val="00880719"/>
    <w:rsid w:val="00894A92"/>
    <w:rsid w:val="0090658D"/>
    <w:rsid w:val="009A41FC"/>
    <w:rsid w:val="00A63DF2"/>
    <w:rsid w:val="00A641C5"/>
    <w:rsid w:val="00AA0B58"/>
    <w:rsid w:val="00AB2D6F"/>
    <w:rsid w:val="00B23B3A"/>
    <w:rsid w:val="00B830E1"/>
    <w:rsid w:val="00B93A5B"/>
    <w:rsid w:val="00C04E92"/>
    <w:rsid w:val="00C75A3A"/>
    <w:rsid w:val="00D622A9"/>
    <w:rsid w:val="00D92D3B"/>
    <w:rsid w:val="00E1089D"/>
    <w:rsid w:val="00E26CD1"/>
    <w:rsid w:val="00E57628"/>
    <w:rsid w:val="00E7478E"/>
    <w:rsid w:val="00E7721E"/>
    <w:rsid w:val="00E77CB3"/>
    <w:rsid w:val="00E913DC"/>
    <w:rsid w:val="00F06E2F"/>
    <w:rsid w:val="00F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89BB"/>
  <w15:chartTrackingRefBased/>
  <w15:docId w15:val="{E058867A-EB46-E047-90B4-BE1EDC96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E5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uiPriority w:val="1"/>
    <w:qFormat/>
    <w:rsid w:val="00135B3B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uiPriority w:val="34"/>
    <w:qFormat/>
    <w:rsid w:val="00693E5A"/>
    <w:pPr>
      <w:ind w:left="720"/>
      <w:contextualSpacing/>
    </w:pPr>
  </w:style>
  <w:style w:type="paragraph" w:styleId="Normlnweb">
    <w:name w:val="Normal (Web)"/>
    <w:basedOn w:val="Normln"/>
    <w:rsid w:val="00835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3DF2"/>
    <w:pPr>
      <w:ind w:left="720"/>
      <w:contextualSpacing/>
    </w:pPr>
  </w:style>
  <w:style w:type="character" w:styleId="Siln">
    <w:name w:val="Strong"/>
    <w:uiPriority w:val="22"/>
    <w:qFormat/>
    <w:rsid w:val="00324528"/>
    <w:rPr>
      <w:b/>
      <w:bCs/>
    </w:rPr>
  </w:style>
  <w:style w:type="character" w:styleId="Odkaznakoment">
    <w:name w:val="annotation reference"/>
    <w:uiPriority w:val="99"/>
    <w:semiHidden/>
    <w:unhideWhenUsed/>
    <w:rsid w:val="00102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20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0203D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0203D"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uiPriority w:val="1"/>
    <w:qFormat/>
    <w:rsid w:val="007B2EF3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26CD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6CD1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A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AF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tarex.eu/termscondit_EN_201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Společnost Lachex je producentem léčiv se sídlem ve Slovinsku</vt:lpstr>
    </vt:vector>
  </TitlesOfParts>
  <Company>PrF MU</Company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Společnost Lachex je producentem léčiv se sídlem ve Slovinsku</dc:title>
  <dc:subject/>
  <dc:creator>Jiří Valdhans</dc:creator>
  <cp:keywords/>
  <cp:lastModifiedBy>Jiří Valdhans</cp:lastModifiedBy>
  <cp:revision>2</cp:revision>
  <cp:lastPrinted>2012-01-10T08:01:00Z</cp:lastPrinted>
  <dcterms:created xsi:type="dcterms:W3CDTF">2022-11-04T14:10:00Z</dcterms:created>
  <dcterms:modified xsi:type="dcterms:W3CDTF">2022-11-04T14:10:00Z</dcterms:modified>
</cp:coreProperties>
</file>