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11" w:rsidRDefault="00BE3B11" w:rsidP="00531A9C">
      <w:pPr>
        <w:tabs>
          <w:tab w:val="left" w:pos="-720"/>
          <w:tab w:val="left" w:pos="0"/>
        </w:tabs>
        <w:suppressAutoHyphens/>
        <w:jc w:val="both"/>
        <w:rPr>
          <w:spacing w:val="-3"/>
          <w:sz w:val="20"/>
        </w:rPr>
      </w:pPr>
      <w:r>
        <w:rPr>
          <w:spacing w:val="-3"/>
          <w:sz w:val="20"/>
        </w:rPr>
        <w:t>1.</w:t>
      </w:r>
    </w:p>
    <w:p w:rsidR="00BE3B11" w:rsidRDefault="00BE3B11" w:rsidP="00531A9C">
      <w:pPr>
        <w:tabs>
          <w:tab w:val="left" w:pos="-720"/>
          <w:tab w:val="left" w:pos="0"/>
        </w:tabs>
        <w:suppressAutoHyphens/>
        <w:jc w:val="both"/>
        <w:rPr>
          <w:spacing w:val="-3"/>
          <w:sz w:val="20"/>
        </w:rPr>
      </w:pPr>
      <w:r>
        <w:rPr>
          <w:spacing w:val="-3"/>
          <w:sz w:val="20"/>
        </w:rPr>
        <w:t>Vratné obaly</w:t>
      </w:r>
    </w:p>
    <w:p w:rsidR="00BE3B11" w:rsidRDefault="00BE3B11" w:rsidP="00531A9C">
      <w:pPr>
        <w:tabs>
          <w:tab w:val="left" w:pos="-720"/>
          <w:tab w:val="left" w:pos="0"/>
        </w:tabs>
        <w:suppressAutoHyphens/>
        <w:jc w:val="both"/>
        <w:rPr>
          <w:spacing w:val="-3"/>
          <w:sz w:val="20"/>
        </w:rPr>
      </w:pPr>
    </w:p>
    <w:p w:rsidR="00531A9C" w:rsidRDefault="00531A9C" w:rsidP="00531A9C">
      <w:pPr>
        <w:tabs>
          <w:tab w:val="left" w:pos="-720"/>
          <w:tab w:val="left" w:pos="0"/>
        </w:tabs>
        <w:suppressAutoHyphens/>
        <w:jc w:val="both"/>
        <w:rPr>
          <w:spacing w:val="-3"/>
          <w:sz w:val="20"/>
        </w:rPr>
      </w:pPr>
      <w:r>
        <w:rPr>
          <w:spacing w:val="-3"/>
          <w:sz w:val="20"/>
        </w:rPr>
        <w:t>Členský stát zavedl systém, dle kterého musí být nápoje uváděny na trh ve skleněných recyklovatelných obalech. Obaly musí schválit Národní úřad pro ochranu životního prostředí, který může schválení nových druhů obalů odepřít, zejména domnívá</w:t>
      </w:r>
      <w:r>
        <w:rPr>
          <w:spacing w:val="-3"/>
          <w:sz w:val="20"/>
        </w:rPr>
        <w:noBreakHyphen/>
        <w:t>li se, že obal technicky nevyhovuje systému vracení obalů nebo že předpokládaný systém vracení nezajišťuje skutečné opětné použití dostatečné části obalů nebo byl</w:t>
      </w:r>
      <w:r>
        <w:rPr>
          <w:spacing w:val="-3"/>
          <w:sz w:val="20"/>
        </w:rPr>
        <w:noBreakHyphen/>
        <w:t>li již schválen obal stejného objemu, který je k dispozici a hodí se k témuž užití.</w:t>
      </w:r>
      <w:r>
        <w:rPr>
          <w:spacing w:val="-3"/>
          <w:sz w:val="20"/>
        </w:rPr>
        <w:t xml:space="preserve"> Ve výsledku je používáno celkem 30 </w:t>
      </w:r>
      <w:r w:rsidR="00BE3B11">
        <w:rPr>
          <w:spacing w:val="-3"/>
          <w:sz w:val="20"/>
        </w:rPr>
        <w:t>typů lahví.</w:t>
      </w:r>
    </w:p>
    <w:p w:rsidR="00531A9C" w:rsidRDefault="00531A9C" w:rsidP="00531A9C">
      <w:pPr>
        <w:tabs>
          <w:tab w:val="left" w:pos="-720"/>
          <w:tab w:val="left" w:pos="0"/>
        </w:tabs>
        <w:suppressAutoHyphens/>
        <w:jc w:val="both"/>
        <w:rPr>
          <w:spacing w:val="-3"/>
          <w:sz w:val="20"/>
        </w:rPr>
      </w:pPr>
    </w:p>
    <w:p w:rsidR="00531A9C" w:rsidRDefault="00531A9C" w:rsidP="00531A9C">
      <w:pPr>
        <w:tabs>
          <w:tab w:val="left" w:pos="-720"/>
          <w:tab w:val="left" w:pos="0"/>
        </w:tabs>
        <w:suppressAutoHyphens/>
        <w:jc w:val="both"/>
        <w:rPr>
          <w:spacing w:val="-3"/>
          <w:sz w:val="20"/>
        </w:rPr>
      </w:pPr>
      <w:r>
        <w:rPr>
          <w:spacing w:val="-3"/>
          <w:sz w:val="20"/>
        </w:rPr>
        <w:t>Novelizace výše zmíněná pravidla upravila, a to tak, že neschválené lahve lze použít, s výjimkou jakýchkoli obalů kovových, jen pro množství nepřevyšující 3 000 hektolitrů na výrobce ročně a jen pro nápoje, které zahraniční výrobci prodávají za účelem průzkumu trhu.</w:t>
      </w:r>
    </w:p>
    <w:p w:rsidR="00336D5B" w:rsidRDefault="00336D5B"/>
    <w:p w:rsidR="00BE3B11" w:rsidRPr="00BE3B11" w:rsidRDefault="00BE3B11" w:rsidP="00BE3B11">
      <w:pPr>
        <w:tabs>
          <w:tab w:val="left" w:pos="-720"/>
          <w:tab w:val="left" w:pos="0"/>
        </w:tabs>
        <w:suppressAutoHyphens/>
        <w:jc w:val="both"/>
        <w:rPr>
          <w:spacing w:val="-3"/>
          <w:sz w:val="20"/>
        </w:rPr>
      </w:pPr>
      <w:r w:rsidRPr="00BE3B11">
        <w:rPr>
          <w:spacing w:val="-3"/>
          <w:sz w:val="20"/>
        </w:rPr>
        <w:t>2.</w:t>
      </w:r>
    </w:p>
    <w:p w:rsidR="00BE3B11" w:rsidRDefault="00BE3B11" w:rsidP="00BE3B11">
      <w:pPr>
        <w:tabs>
          <w:tab w:val="left" w:pos="-720"/>
          <w:tab w:val="left" w:pos="0"/>
        </w:tabs>
        <w:suppressAutoHyphens/>
        <w:jc w:val="both"/>
        <w:rPr>
          <w:spacing w:val="-3"/>
          <w:sz w:val="20"/>
        </w:rPr>
      </w:pPr>
      <w:r w:rsidRPr="00BE3B11">
        <w:rPr>
          <w:spacing w:val="-3"/>
          <w:sz w:val="20"/>
        </w:rPr>
        <w:t xml:space="preserve">Slepičí klece. </w:t>
      </w:r>
    </w:p>
    <w:p w:rsidR="00BE3B11" w:rsidRPr="00BE3B11" w:rsidRDefault="00BE3B11" w:rsidP="00BE3B11">
      <w:pPr>
        <w:tabs>
          <w:tab w:val="left" w:pos="-720"/>
          <w:tab w:val="left" w:pos="0"/>
        </w:tabs>
        <w:suppressAutoHyphens/>
        <w:jc w:val="both"/>
        <w:rPr>
          <w:spacing w:val="-3"/>
          <w:sz w:val="20"/>
        </w:rPr>
      </w:pPr>
      <w:r>
        <w:rPr>
          <w:spacing w:val="-3"/>
          <w:sz w:val="20"/>
        </w:rPr>
        <w:t xml:space="preserve">Směrnice EU zavádí pravidla pro klecový chov. Část členských států (Polsko a Maďarsko) nezajistila jejich plné provedení. Slepice tak jsou chovány ve standardních neobohacených klecích. Prakticky to znamená, že příslušní chovatelé nemuseli nést náklady na nový standard. Česká republika zakazuje dovoz vajec z těchto zemí. </w:t>
      </w:r>
      <w:bookmarkStart w:id="0" w:name="_GoBack"/>
      <w:bookmarkEnd w:id="0"/>
    </w:p>
    <w:sectPr w:rsidR="00BE3B11" w:rsidRPr="00BE3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9C"/>
    <w:rsid w:val="00336D5B"/>
    <w:rsid w:val="00531A9C"/>
    <w:rsid w:val="00BE3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1A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1A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168</Words>
  <Characters>997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David Sehnálek, Ph.D.</dc:creator>
  <cp:lastModifiedBy>JUDr. David Sehnálek, Ph.D.</cp:lastModifiedBy>
  <cp:revision>1</cp:revision>
  <dcterms:created xsi:type="dcterms:W3CDTF">2015-10-13T14:29:00Z</dcterms:created>
  <dcterms:modified xsi:type="dcterms:W3CDTF">2015-10-13T15:23:00Z</dcterms:modified>
</cp:coreProperties>
</file>