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E75B" w14:textId="294598E3" w:rsidR="00001C68" w:rsidRPr="006E7190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cs-CZ"/>
        </w:rPr>
      </w:pPr>
      <w:r w:rsidRPr="006E719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cs-CZ"/>
        </w:rPr>
        <w:t>Témata přednášek z práva EU (BEP 301 Zk) ve dvojicích odpovídajících pěti seminářům</w:t>
      </w:r>
      <w:r w:rsidR="004C6429" w:rsidRPr="006E719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cs-CZ"/>
        </w:rPr>
        <w:t xml:space="preserve"> (podzim 20</w:t>
      </w:r>
      <w:r w:rsidR="00BE258A" w:rsidRPr="006E719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cs-CZ"/>
        </w:rPr>
        <w:t>2</w:t>
      </w:r>
      <w:r w:rsidR="006E7190" w:rsidRPr="006E719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cs-CZ"/>
        </w:rPr>
        <w:t>3</w:t>
      </w:r>
      <w:r w:rsidR="004C6429" w:rsidRPr="006E719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cs-CZ"/>
        </w:rPr>
        <w:t>)</w:t>
      </w:r>
      <w:r w:rsidRPr="006E719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cs-CZ"/>
        </w:rPr>
        <w:t>:</w:t>
      </w:r>
    </w:p>
    <w:p w14:paraId="21827310" w14:textId="77777777" w:rsid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14:paraId="248500F5" w14:textId="77777777" w:rsidR="00BE258A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1. </w:t>
      </w:r>
      <w:r w:rsidR="00F03077">
        <w:rPr>
          <w:rFonts w:ascii="Times New Roman" w:eastAsia="Times New Roman" w:hAnsi="Times New Roman" w:cs="Times New Roman"/>
          <w:sz w:val="28"/>
          <w:szCs w:val="28"/>
          <w:lang w:eastAsia="cs-CZ"/>
        </w:rPr>
        <w:t>Tři právní systémy.</w:t>
      </w: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03077"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znik Evropských společenství (ES), jejich nadstátní povaha (nadstátnost jako metoda integrace), pojem Evropské unie (EU), přehled. </w:t>
      </w:r>
    </w:p>
    <w:p w14:paraId="1D82902C" w14:textId="77777777" w:rsidR="00001C68" w:rsidRPr="00001C68" w:rsidRDefault="00BE258A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2. </w:t>
      </w:r>
      <w:r w:rsidR="00001C68"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Struktura zřizovacích </w:t>
      </w:r>
      <w:proofErr w:type="gramStart"/>
      <w:r w:rsidR="00001C68"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>smluv - primární</w:t>
      </w:r>
      <w:proofErr w:type="gramEnd"/>
      <w:r w:rsidR="00001C68"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právo. Obsah členství v EU. </w:t>
      </w:r>
    </w:p>
    <w:p w14:paraId="34E1A14E" w14:textId="77777777" w:rsidR="00001C68" w:rsidRPr="000D691E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 xml:space="preserve">3. Organizační struktura EU: Evropská komise, Rada EU, Evropská rada, </w:t>
      </w:r>
      <w:r w:rsidRPr="000D691E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Evropský parlament, Soudní dvůr EU. Složení těchto orgánů, jejich pravomoci a vztahy mezi nimi.</w:t>
      </w:r>
    </w:p>
    <w:p w14:paraId="4EF60573" w14:textId="77777777" w:rsidR="00001C68" w:rsidRPr="000D691E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D691E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 xml:space="preserve">4. Pravomoci EU. Právo jako integrační nástroj v nadstátním a mezistátním prostředí EU. </w:t>
      </w:r>
    </w:p>
    <w:p w14:paraId="4F3BFDFE" w14:textId="77777777" w:rsidR="00001C68" w:rsidRPr="000D691E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D691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5. Pojem práva EU, rozdíl oproti právu mezinárodnímu. Primární a sekundární právo EU, prameny. Přednost práva EU v členských státech.  </w:t>
      </w:r>
    </w:p>
    <w:p w14:paraId="4B8BE4B8" w14:textId="77777777" w:rsidR="00001C68" w:rsidRPr="000D691E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D691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6. Vynucování práva </w:t>
      </w:r>
      <w:proofErr w:type="gramStart"/>
      <w:r w:rsidRPr="000D691E">
        <w:rPr>
          <w:rFonts w:ascii="Times New Roman" w:eastAsia="Times New Roman" w:hAnsi="Times New Roman" w:cs="Times New Roman"/>
          <w:sz w:val="28"/>
          <w:szCs w:val="28"/>
          <w:lang w:eastAsia="cs-CZ"/>
        </w:rPr>
        <w:t>EU - pravomoci</w:t>
      </w:r>
      <w:proofErr w:type="gramEnd"/>
      <w:r w:rsidRPr="000D691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Komise a Soudního dvora.</w:t>
      </w:r>
    </w:p>
    <w:p w14:paraId="50D252D1" w14:textId="77777777" w:rsidR="00001C68" w:rsidRPr="000D691E" w:rsidRDefault="00001C68" w:rsidP="00001C6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D691E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7. Jednotlivé typy řízení u soudů EU (jen tři hlavní: žaloba na porušení povinnosti, na neplatnost a řízení o předběžné otázce</w:t>
      </w:r>
      <w:r w:rsidR="00BE258A" w:rsidRPr="000D691E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)</w:t>
      </w:r>
      <w:r w:rsidRPr="000D691E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.</w:t>
      </w:r>
    </w:p>
    <w:p w14:paraId="2FBFEBF3" w14:textId="77777777" w:rsidR="00001C68" w:rsidRPr="000D691E" w:rsidRDefault="00001C68" w:rsidP="00001C6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D691E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8. Pojem společného a jednotného vnitřního trhu, hospodářské a měnové unie. Zákaz diskriminace podle státní příslušnosti a jiných kritérií.</w:t>
      </w:r>
    </w:p>
    <w:p w14:paraId="70CBA2D0" w14:textId="77777777" w:rsidR="00001C68" w:rsidRPr="000D691E" w:rsidRDefault="00001C68" w:rsidP="00001C68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D691E">
        <w:rPr>
          <w:rFonts w:ascii="Times New Roman" w:eastAsia="Times New Roman" w:hAnsi="Times New Roman" w:cs="Times New Roman"/>
          <w:sz w:val="28"/>
          <w:szCs w:val="28"/>
          <w:lang w:eastAsia="cs-CZ"/>
        </w:rPr>
        <w:t>9. Čtyři základní svobody jako základ jednotného vnitřního trhu. Volný pohyb zboží.</w:t>
      </w:r>
    </w:p>
    <w:p w14:paraId="4F320816" w14:textId="7C6FEC3A" w:rsidR="00DB7FA6" w:rsidRPr="000D691E" w:rsidRDefault="00001C68" w:rsidP="00001C68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D691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10. Volný pohyb osob, Prostor svobody, bezpečnosti a práva. </w:t>
      </w:r>
    </w:p>
    <w:p w14:paraId="52CC451D" w14:textId="0EB297FE" w:rsidR="000D691E" w:rsidRPr="000D691E" w:rsidRDefault="000D691E" w:rsidP="000D691E">
      <w:pPr>
        <w:pStyle w:val="Normln1"/>
        <w:spacing w:before="120" w:after="0"/>
        <w:rPr>
          <w:color w:val="000000"/>
          <w:sz w:val="28"/>
          <w:szCs w:val="28"/>
        </w:rPr>
      </w:pPr>
      <w:r w:rsidRPr="000D691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11. Aktuální </w:t>
      </w:r>
      <w:proofErr w:type="gramStart"/>
      <w:r w:rsidRPr="000D691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otázky - </w:t>
      </w:r>
      <w:r w:rsidRPr="000D691E">
        <w:rPr>
          <w:rFonts w:ascii="Times New Roman" w:hAnsi="Times New Roman" w:cs="Times New Roman"/>
          <w:color w:val="000000"/>
          <w:sz w:val="28"/>
          <w:szCs w:val="28"/>
        </w:rPr>
        <w:t>Základní</w:t>
      </w:r>
      <w:proofErr w:type="gramEnd"/>
      <w:r w:rsidRPr="000D691E">
        <w:rPr>
          <w:rFonts w:ascii="Times New Roman" w:hAnsi="Times New Roman" w:cs="Times New Roman"/>
          <w:color w:val="000000"/>
          <w:sz w:val="28"/>
          <w:szCs w:val="28"/>
        </w:rPr>
        <w:t xml:space="preserve"> hodnoty EU, ochrana právního státu, problémy Polska a Maďarska, Brexit</w:t>
      </w:r>
    </w:p>
    <w:p w14:paraId="01844D92" w14:textId="77777777" w:rsidR="000D691E" w:rsidRPr="000D691E" w:rsidRDefault="000D691E" w:rsidP="000D691E">
      <w:pPr>
        <w:pStyle w:val="Normln1"/>
        <w:spacing w:before="120" w:after="0"/>
        <w:rPr>
          <w:rFonts w:ascii="Arial" w:hAnsi="Arial" w:cs="Arial"/>
          <w:b/>
          <w:color w:val="833C0B" w:themeColor="accent2" w:themeShade="80"/>
          <w:sz w:val="28"/>
          <w:szCs w:val="28"/>
        </w:rPr>
      </w:pPr>
    </w:p>
    <w:p w14:paraId="379ED575" w14:textId="4BA079F5" w:rsidR="000D691E" w:rsidRPr="000D691E" w:rsidRDefault="000D691E" w:rsidP="00001C68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0D691E" w:rsidRPr="000D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68"/>
    <w:rsid w:val="00001C68"/>
    <w:rsid w:val="000D691E"/>
    <w:rsid w:val="00384669"/>
    <w:rsid w:val="004C6429"/>
    <w:rsid w:val="006E7190"/>
    <w:rsid w:val="00BE258A"/>
    <w:rsid w:val="00D74CFE"/>
    <w:rsid w:val="00DB7FA6"/>
    <w:rsid w:val="00F0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5A1D"/>
  <w15:chartTrackingRefBased/>
  <w15:docId w15:val="{4D0412D1-D859-4167-A787-94FE60AC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qFormat/>
    <w:rsid w:val="000D691E"/>
    <w:pPr>
      <w:widowControl w:val="0"/>
      <w:suppressAutoHyphens/>
      <w:spacing w:after="200" w:line="240" w:lineRule="auto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Týč</dc:creator>
  <cp:keywords/>
  <dc:description/>
  <cp:lastModifiedBy>Vladimír Týč</cp:lastModifiedBy>
  <cp:revision>2</cp:revision>
  <dcterms:created xsi:type="dcterms:W3CDTF">2023-10-04T20:39:00Z</dcterms:created>
  <dcterms:modified xsi:type="dcterms:W3CDTF">2023-10-04T20:39:00Z</dcterms:modified>
</cp:coreProperties>
</file>