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b/>
          <w:caps/>
          <w:smallCaps/>
          <w:sz w:val="28"/>
          <w:lang w:eastAsia="en-US"/>
        </w:rPr>
        <w:id w:val="-310018071"/>
        <w:docPartObj>
          <w:docPartGallery w:val="Cover Pages"/>
          <w:docPartUnique/>
        </w:docPartObj>
      </w:sdtPr>
      <w:sdtEndPr>
        <w:rPr>
          <w:rFonts w:eastAsiaTheme="minorEastAsia" w:cstheme="minorBidi"/>
          <w:caps w:val="0"/>
          <w:lang w:eastAsia="cs-CZ"/>
        </w:rPr>
      </w:sdtEndPr>
      <w:sdtContent>
        <w:tbl>
          <w:tblPr>
            <w:tblW w:w="5000" w:type="pct"/>
            <w:jc w:val="center"/>
            <w:tblLook w:val="04A0" w:firstRow="1" w:lastRow="0" w:firstColumn="1" w:lastColumn="0" w:noHBand="0" w:noVBand="1"/>
          </w:tblPr>
          <w:tblGrid>
            <w:gridCol w:w="10466"/>
          </w:tblGrid>
          <w:tr w:rsidR="001E42F7" w:rsidRPr="000B16D5">
            <w:trPr>
              <w:trHeight w:val="2880"/>
              <w:jc w:val="center"/>
            </w:trPr>
            <w:tc>
              <w:tcPr>
                <w:tcW w:w="5000" w:type="pct"/>
              </w:tcPr>
              <w:p w:rsidR="00545272" w:rsidRPr="000B16D5" w:rsidRDefault="00545272" w:rsidP="001E42F7">
                <w:pPr>
                  <w:pStyle w:val="Bezmezer"/>
                  <w:jc w:val="center"/>
                  <w:rPr>
                    <w:rFonts w:asciiTheme="majorHAnsi" w:eastAsiaTheme="majorEastAsia" w:hAnsiTheme="majorHAnsi" w:cstheme="majorBidi"/>
                    <w:caps/>
                  </w:rPr>
                </w:pPr>
              </w:p>
              <w:p w:rsidR="00545272" w:rsidRPr="000B16D5" w:rsidRDefault="00545272" w:rsidP="001E42F7">
                <w:pPr>
                  <w:pStyle w:val="Bezmezer"/>
                  <w:jc w:val="center"/>
                  <w:rPr>
                    <w:rFonts w:asciiTheme="majorHAnsi" w:eastAsiaTheme="majorEastAsia" w:hAnsiTheme="majorHAnsi" w:cstheme="majorBidi"/>
                    <w:caps/>
                  </w:rPr>
                </w:pPr>
              </w:p>
              <w:p w:rsidR="00545272" w:rsidRPr="000B16D5" w:rsidRDefault="00545272" w:rsidP="001E42F7">
                <w:pPr>
                  <w:pStyle w:val="Bezmezer"/>
                  <w:jc w:val="center"/>
                  <w:rPr>
                    <w:rFonts w:asciiTheme="majorHAnsi" w:eastAsiaTheme="majorEastAsia" w:hAnsiTheme="majorHAnsi" w:cstheme="majorBidi"/>
                    <w:caps/>
                  </w:rPr>
                </w:pPr>
              </w:p>
              <w:sdt>
                <w:sdtPr>
                  <w:rPr>
                    <w:rFonts w:asciiTheme="majorHAnsi" w:eastAsiaTheme="majorEastAsia" w:hAnsiTheme="majorHAnsi" w:cstheme="majorBidi"/>
                    <w:caps/>
                  </w:rPr>
                  <w:alias w:val="Společnost"/>
                  <w:id w:val="15524243"/>
                  <w:dataBinding w:prefixMappings="xmlns:ns0='http://schemas.openxmlformats.org/officeDocument/2006/extended-properties'" w:xpath="/ns0:Properties[1]/ns0:Company[1]" w:storeItemID="{6668398D-A668-4E3E-A5EB-62B293D839F1}"/>
                  <w:text/>
                </w:sdtPr>
                <w:sdtEndPr/>
                <w:sdtContent>
                  <w:p w:rsidR="001E42F7" w:rsidRPr="000B16D5" w:rsidRDefault="001E42F7" w:rsidP="001E42F7">
                    <w:pPr>
                      <w:pStyle w:val="Bezmezer"/>
                      <w:jc w:val="center"/>
                      <w:rPr>
                        <w:rFonts w:asciiTheme="majorHAnsi" w:eastAsiaTheme="majorEastAsia" w:hAnsiTheme="majorHAnsi" w:cstheme="majorBidi"/>
                        <w:caps/>
                      </w:rPr>
                    </w:pPr>
                    <w:r w:rsidRPr="000B16D5">
                      <w:rPr>
                        <w:rFonts w:asciiTheme="majorHAnsi" w:eastAsiaTheme="majorEastAsia" w:hAnsiTheme="majorHAnsi" w:cstheme="majorBidi"/>
                        <w:caps/>
                      </w:rPr>
                      <w:t>Masarykova univerzita v brně</w:t>
                    </w:r>
                  </w:p>
                </w:sdtContent>
              </w:sdt>
            </w:tc>
          </w:tr>
          <w:tr w:rsidR="001E42F7" w:rsidRPr="000B16D5">
            <w:trPr>
              <w:trHeight w:val="1440"/>
              <w:jc w:val="center"/>
            </w:trPr>
            <w:tc>
              <w:tcPr>
                <w:tcW w:w="5000" w:type="pct"/>
                <w:tcBorders>
                  <w:bottom w:val="single" w:sz="4" w:space="0" w:color="4F81BD" w:themeColor="accent1"/>
                </w:tcBorders>
                <w:vAlign w:val="center"/>
              </w:tcPr>
              <w:p w:rsidR="00545272" w:rsidRPr="000B16D5" w:rsidRDefault="00545272" w:rsidP="00545272">
                <w:pPr>
                  <w:pStyle w:val="Bezmezer"/>
                  <w:jc w:val="center"/>
                  <w:rPr>
                    <w:rFonts w:asciiTheme="majorHAnsi" w:eastAsiaTheme="majorEastAsia" w:hAnsiTheme="majorHAnsi" w:cstheme="majorBidi"/>
                    <w:b/>
                    <w:sz w:val="80"/>
                    <w:szCs w:val="80"/>
                  </w:rPr>
                </w:pPr>
              </w:p>
              <w:p w:rsidR="00545272" w:rsidRPr="000B16D5" w:rsidRDefault="00545272" w:rsidP="00545272">
                <w:pPr>
                  <w:pStyle w:val="Bezmezer"/>
                  <w:jc w:val="center"/>
                  <w:rPr>
                    <w:rFonts w:asciiTheme="majorHAnsi" w:eastAsiaTheme="majorEastAsia" w:hAnsiTheme="majorHAnsi" w:cstheme="majorBidi"/>
                    <w:b/>
                    <w:sz w:val="80"/>
                    <w:szCs w:val="80"/>
                  </w:rPr>
                </w:pPr>
              </w:p>
              <w:sdt>
                <w:sdtPr>
                  <w:rPr>
                    <w:rFonts w:asciiTheme="majorHAnsi" w:eastAsiaTheme="majorEastAsia" w:hAnsiTheme="majorHAnsi" w:cstheme="majorBidi"/>
                    <w:b/>
                    <w:sz w:val="80"/>
                    <w:szCs w:val="80"/>
                  </w:rPr>
                  <w:alias w:val="Název"/>
                  <w:id w:val="15524250"/>
                  <w:dataBinding w:prefixMappings="xmlns:ns0='http://schemas.openxmlformats.org/package/2006/metadata/core-properties' xmlns:ns1='http://purl.org/dc/elements/1.1/'" w:xpath="/ns0:coreProperties[1]/ns1:title[1]" w:storeItemID="{6C3C8BC8-F283-45AE-878A-BAB7291924A1}"/>
                  <w:text/>
                </w:sdtPr>
                <w:sdtEndPr/>
                <w:sdtContent>
                  <w:p w:rsidR="001E42F7" w:rsidRPr="000B16D5" w:rsidRDefault="001E42F7" w:rsidP="00545272">
                    <w:pPr>
                      <w:pStyle w:val="Bezmezer"/>
                      <w:jc w:val="center"/>
                      <w:rPr>
                        <w:rFonts w:asciiTheme="majorHAnsi" w:eastAsiaTheme="majorEastAsia" w:hAnsiTheme="majorHAnsi" w:cstheme="majorBidi"/>
                        <w:sz w:val="80"/>
                        <w:szCs w:val="80"/>
                      </w:rPr>
                    </w:pPr>
                    <w:r w:rsidRPr="000B16D5">
                      <w:rPr>
                        <w:rFonts w:asciiTheme="majorHAnsi" w:eastAsiaTheme="majorEastAsia" w:hAnsiTheme="majorHAnsi" w:cstheme="majorBidi"/>
                        <w:b/>
                        <w:sz w:val="80"/>
                        <w:szCs w:val="80"/>
                      </w:rPr>
                      <w:t>Genetika</w:t>
                    </w:r>
                  </w:p>
                </w:sdtContent>
              </w:sdt>
            </w:tc>
          </w:tr>
          <w:tr w:rsidR="001E42F7" w:rsidRPr="000B16D5">
            <w:trPr>
              <w:trHeight w:val="720"/>
              <w:jc w:val="center"/>
            </w:trPr>
            <w:tc>
              <w:tcPr>
                <w:tcW w:w="5000" w:type="pct"/>
                <w:tcBorders>
                  <w:top w:val="single" w:sz="4" w:space="0" w:color="4F81BD" w:themeColor="accent1"/>
                </w:tcBorders>
                <w:vAlign w:val="center"/>
              </w:tcPr>
              <w:p w:rsidR="001E42F7" w:rsidRPr="000B16D5" w:rsidRDefault="00545272" w:rsidP="00545272">
                <w:pPr>
                  <w:pStyle w:val="Bezmezer"/>
                  <w:jc w:val="center"/>
                  <w:rPr>
                    <w:rFonts w:asciiTheme="majorHAnsi" w:eastAsiaTheme="majorEastAsia" w:hAnsiTheme="majorHAnsi" w:cstheme="majorBidi"/>
                    <w:sz w:val="44"/>
                    <w:szCs w:val="44"/>
                  </w:rPr>
                </w:pPr>
                <w:r w:rsidRPr="000B16D5">
                  <w:rPr>
                    <w:rFonts w:asciiTheme="majorHAnsi" w:eastAsiaTheme="majorEastAsia" w:hAnsiTheme="majorHAnsi" w:cstheme="majorBidi"/>
                    <w:sz w:val="52"/>
                    <w:szCs w:val="80"/>
                  </w:rPr>
                  <w:t>pro nutriční terapeuty</w:t>
                </w:r>
              </w:p>
            </w:tc>
          </w:tr>
          <w:tr w:rsidR="001E42F7" w:rsidRPr="000B16D5">
            <w:trPr>
              <w:trHeight w:val="360"/>
              <w:jc w:val="center"/>
            </w:trPr>
            <w:tc>
              <w:tcPr>
                <w:tcW w:w="5000" w:type="pct"/>
                <w:vAlign w:val="center"/>
              </w:tcPr>
              <w:p w:rsidR="001E42F7" w:rsidRPr="000B16D5" w:rsidRDefault="001E42F7">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rsidP="00545272">
                <w:pPr>
                  <w:pStyle w:val="Bezmez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p w:rsidR="00545272" w:rsidRPr="000B16D5" w:rsidRDefault="00545272">
                <w:pPr>
                  <w:pStyle w:val="Bezmezer"/>
                  <w:jc w:val="center"/>
                  <w:rPr>
                    <w:rFonts w:asciiTheme="majorHAnsi" w:hAnsiTheme="majorHAnsi"/>
                  </w:rPr>
                </w:pPr>
              </w:p>
            </w:tc>
          </w:tr>
          <w:tr w:rsidR="001E42F7" w:rsidRPr="000B16D5">
            <w:trPr>
              <w:trHeight w:val="360"/>
              <w:jc w:val="center"/>
            </w:trPr>
            <w:sdt>
              <w:sdtPr>
                <w:rPr>
                  <w:rFonts w:asciiTheme="majorHAnsi" w:hAnsiTheme="majorHAnsi"/>
                  <w:b/>
                  <w:bCs/>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1E42F7" w:rsidRPr="000B16D5" w:rsidRDefault="00312118" w:rsidP="001E42F7">
                    <w:pPr>
                      <w:pStyle w:val="Bezmezer"/>
                      <w:jc w:val="center"/>
                      <w:rPr>
                        <w:rFonts w:asciiTheme="majorHAnsi" w:hAnsiTheme="majorHAnsi"/>
                        <w:b/>
                        <w:bCs/>
                      </w:rPr>
                    </w:pPr>
                    <w:r w:rsidRPr="000B16D5">
                      <w:rPr>
                        <w:rFonts w:asciiTheme="majorHAnsi" w:hAnsiTheme="majorHAnsi"/>
                        <w:b/>
                        <w:bCs/>
                      </w:rPr>
                      <w:t>Julie Bienertová-Vašků a kolektiv</w:t>
                    </w:r>
                  </w:p>
                </w:tc>
              </w:sdtContent>
            </w:sdt>
          </w:tr>
          <w:tr w:rsidR="001E42F7" w:rsidRPr="000B16D5">
            <w:trPr>
              <w:trHeight w:val="360"/>
              <w:jc w:val="center"/>
            </w:trPr>
            <w:tc>
              <w:tcPr>
                <w:tcW w:w="5000" w:type="pct"/>
                <w:vAlign w:val="center"/>
              </w:tcPr>
              <w:p w:rsidR="00545272" w:rsidRPr="000B16D5" w:rsidRDefault="00545272" w:rsidP="001E42F7">
                <w:pPr>
                  <w:pStyle w:val="Bezmezer"/>
                  <w:jc w:val="center"/>
                  <w:rPr>
                    <w:rFonts w:asciiTheme="majorHAnsi" w:hAnsiTheme="majorHAnsi"/>
                    <w:b/>
                    <w:bCs/>
                  </w:rPr>
                </w:pPr>
              </w:p>
              <w:p w:rsidR="00545272" w:rsidRPr="000B16D5" w:rsidRDefault="00545272" w:rsidP="001E42F7">
                <w:pPr>
                  <w:pStyle w:val="Bezmezer"/>
                  <w:jc w:val="center"/>
                  <w:rPr>
                    <w:rFonts w:asciiTheme="majorHAnsi" w:hAnsiTheme="majorHAnsi"/>
                    <w:b/>
                    <w:bCs/>
                  </w:rPr>
                </w:pPr>
              </w:p>
              <w:p w:rsidR="00545272" w:rsidRPr="000B16D5" w:rsidRDefault="00545272" w:rsidP="001E42F7">
                <w:pPr>
                  <w:pStyle w:val="Bezmezer"/>
                  <w:jc w:val="center"/>
                  <w:rPr>
                    <w:rFonts w:asciiTheme="majorHAnsi" w:hAnsiTheme="majorHAnsi"/>
                    <w:b/>
                    <w:bCs/>
                  </w:rPr>
                </w:pPr>
              </w:p>
              <w:p w:rsidR="00545272" w:rsidRPr="000B16D5" w:rsidRDefault="00545272" w:rsidP="001E42F7">
                <w:pPr>
                  <w:pStyle w:val="Bezmezer"/>
                  <w:jc w:val="center"/>
                  <w:rPr>
                    <w:rFonts w:asciiTheme="majorHAnsi" w:hAnsiTheme="majorHAnsi"/>
                    <w:b/>
                    <w:bCs/>
                  </w:rPr>
                </w:pPr>
              </w:p>
              <w:p w:rsidR="001E42F7" w:rsidRPr="000B16D5" w:rsidRDefault="00952271" w:rsidP="001E42F7">
                <w:pPr>
                  <w:pStyle w:val="Bezmezer"/>
                  <w:jc w:val="center"/>
                  <w:rPr>
                    <w:rFonts w:asciiTheme="majorHAnsi" w:hAnsiTheme="majorHAnsi"/>
                    <w:b/>
                    <w:bCs/>
                  </w:rPr>
                </w:pPr>
                <w:r w:rsidRPr="000B16D5">
                  <w:rPr>
                    <w:rFonts w:asciiTheme="majorHAnsi" w:hAnsiTheme="majorHAnsi"/>
                    <w:b/>
                    <w:bCs/>
                  </w:rPr>
                  <w:t>2014</w:t>
                </w:r>
              </w:p>
            </w:tc>
          </w:tr>
        </w:tbl>
        <w:p w:rsidR="001E42F7" w:rsidRPr="000B16D5" w:rsidRDefault="001E42F7">
          <w:pPr>
            <w:rPr>
              <w:rFonts w:asciiTheme="majorHAnsi" w:hAnsiTheme="majorHAnsi"/>
            </w:rPr>
          </w:pPr>
        </w:p>
        <w:p w:rsidR="004F7664" w:rsidRPr="000B16D5" w:rsidRDefault="004F7664">
          <w:pPr>
            <w:rPr>
              <w:rFonts w:asciiTheme="majorHAnsi" w:hAnsiTheme="majorHAnsi"/>
            </w:rPr>
          </w:pPr>
          <w:r w:rsidRPr="000B16D5">
            <w:rPr>
              <w:rFonts w:asciiTheme="majorHAnsi" w:hAnsiTheme="majorHAnsi"/>
            </w:rPr>
            <w:br w:type="page"/>
          </w:r>
        </w:p>
        <w:p w:rsidR="000B16D5" w:rsidRDefault="000B16D5" w:rsidP="004F7664">
          <w:pPr>
            <w:pStyle w:val="Nadpiskapitoly"/>
            <w:numPr>
              <w:ilvl w:val="0"/>
              <w:numId w:val="0"/>
            </w:numPr>
            <w:ind w:left="360" w:hanging="360"/>
            <w:rPr>
              <w:rFonts w:asciiTheme="majorHAnsi" w:hAnsiTheme="majorHAnsi"/>
            </w:rPr>
          </w:pPr>
          <w:bookmarkStart w:id="1" w:name="_Toc377653288"/>
          <w:bookmarkStart w:id="2" w:name="_Toc380240576"/>
        </w:p>
        <w:p w:rsidR="000B16D5" w:rsidRDefault="000B16D5" w:rsidP="004F7664">
          <w:pPr>
            <w:pStyle w:val="Nadpiskapitoly"/>
            <w:numPr>
              <w:ilvl w:val="0"/>
              <w:numId w:val="0"/>
            </w:numPr>
            <w:ind w:left="360" w:hanging="360"/>
            <w:rPr>
              <w:rFonts w:asciiTheme="majorHAnsi" w:hAnsiTheme="majorHAnsi"/>
            </w:rPr>
          </w:pPr>
        </w:p>
        <w:p w:rsidR="000B16D5" w:rsidRDefault="000B16D5" w:rsidP="004F7664">
          <w:pPr>
            <w:pStyle w:val="Nadpiskapitoly"/>
            <w:numPr>
              <w:ilvl w:val="0"/>
              <w:numId w:val="0"/>
            </w:numPr>
            <w:ind w:left="360" w:hanging="360"/>
            <w:rPr>
              <w:rFonts w:asciiTheme="majorHAnsi" w:hAnsiTheme="majorHAnsi"/>
            </w:rPr>
          </w:pPr>
        </w:p>
        <w:p w:rsidR="000B16D5" w:rsidRDefault="000B16D5" w:rsidP="004F7664">
          <w:pPr>
            <w:pStyle w:val="Nadpiskapitoly"/>
            <w:numPr>
              <w:ilvl w:val="0"/>
              <w:numId w:val="0"/>
            </w:numPr>
            <w:ind w:left="360" w:hanging="360"/>
            <w:rPr>
              <w:rFonts w:asciiTheme="majorHAnsi" w:hAnsiTheme="majorHAnsi"/>
            </w:rPr>
          </w:pPr>
        </w:p>
        <w:p w:rsidR="001E42F7" w:rsidRPr="000B16D5" w:rsidRDefault="004F7664" w:rsidP="004F7664">
          <w:pPr>
            <w:pStyle w:val="Nadpiskapitoly"/>
            <w:numPr>
              <w:ilvl w:val="0"/>
              <w:numId w:val="0"/>
            </w:numPr>
            <w:ind w:left="360" w:hanging="360"/>
            <w:rPr>
              <w:rFonts w:asciiTheme="majorHAnsi" w:hAnsiTheme="majorHAnsi"/>
            </w:rPr>
          </w:pPr>
          <w:r w:rsidRPr="000B16D5">
            <w:rPr>
              <w:rFonts w:asciiTheme="majorHAnsi" w:hAnsiTheme="majorHAnsi"/>
            </w:rPr>
            <w:t>Aut</w:t>
          </w:r>
          <w:r w:rsidR="000B16D5">
            <w:rPr>
              <w:rFonts w:asciiTheme="majorHAnsi" w:hAnsiTheme="majorHAnsi"/>
            </w:rPr>
            <w:t>oři</w:t>
          </w:r>
          <w:r w:rsidRPr="000B16D5">
            <w:rPr>
              <w:rFonts w:asciiTheme="majorHAnsi" w:hAnsiTheme="majorHAnsi"/>
            </w:rPr>
            <w:t>:</w:t>
          </w:r>
          <w:bookmarkEnd w:id="1"/>
          <w:bookmarkEnd w:id="2"/>
        </w:p>
        <w:p w:rsidR="000B16D5" w:rsidRDefault="000B16D5">
          <w:pPr>
            <w:rPr>
              <w:rFonts w:asciiTheme="majorHAnsi" w:hAnsiTheme="majorHAnsi"/>
            </w:rPr>
          </w:pPr>
        </w:p>
        <w:p w:rsidR="004F7664" w:rsidRPr="000B16D5" w:rsidRDefault="004F7664">
          <w:pPr>
            <w:rPr>
              <w:rFonts w:asciiTheme="majorHAnsi" w:hAnsiTheme="majorHAnsi"/>
            </w:rPr>
          </w:pPr>
          <w:r w:rsidRPr="000B16D5">
            <w:rPr>
              <w:rFonts w:asciiTheme="majorHAnsi" w:hAnsiTheme="majorHAnsi"/>
            </w:rPr>
            <w:t>Doc.</w:t>
          </w:r>
          <w:r w:rsidRPr="000B16D5">
            <w:rPr>
              <w:rFonts w:asciiTheme="majorHAnsi" w:hAnsiTheme="majorHAnsi"/>
            </w:rPr>
            <w:tab/>
            <w:t>MUDr.</w:t>
          </w:r>
          <w:r w:rsidR="0002282B" w:rsidRPr="000B16D5">
            <w:rPr>
              <w:rFonts w:asciiTheme="majorHAnsi" w:hAnsiTheme="majorHAnsi"/>
            </w:rPr>
            <w:tab/>
          </w:r>
          <w:r w:rsidR="00DE5851" w:rsidRPr="000B16D5">
            <w:rPr>
              <w:rFonts w:asciiTheme="majorHAnsi" w:hAnsiTheme="majorHAnsi"/>
            </w:rPr>
            <w:t xml:space="preserve"> </w:t>
          </w:r>
          <w:r w:rsidRPr="000B16D5">
            <w:rPr>
              <w:rFonts w:asciiTheme="majorHAnsi" w:hAnsiTheme="majorHAnsi"/>
            </w:rPr>
            <w:t>Julie Bienertová-Vašků</w:t>
          </w:r>
          <w:r w:rsidR="005E153D" w:rsidRPr="000B16D5">
            <w:rPr>
              <w:rFonts w:asciiTheme="majorHAnsi" w:hAnsiTheme="majorHAnsi"/>
            </w:rPr>
            <w:t>, Ph</w:t>
          </w:r>
          <w:r w:rsidR="00000F6A" w:rsidRPr="000B16D5">
            <w:rPr>
              <w:rFonts w:asciiTheme="majorHAnsi" w:hAnsiTheme="majorHAnsi"/>
            </w:rPr>
            <w:t>.</w:t>
          </w:r>
          <w:r w:rsidR="005E153D" w:rsidRPr="000B16D5">
            <w:rPr>
              <w:rFonts w:asciiTheme="majorHAnsi" w:hAnsiTheme="majorHAnsi"/>
            </w:rPr>
            <w:t>D.</w:t>
          </w:r>
        </w:p>
        <w:p w:rsidR="004F7664" w:rsidRPr="000B16D5" w:rsidRDefault="004F7664">
          <w:pPr>
            <w:rPr>
              <w:rFonts w:asciiTheme="majorHAnsi" w:hAnsiTheme="majorHAnsi"/>
            </w:rPr>
          </w:pPr>
          <w:r w:rsidRPr="000B16D5">
            <w:rPr>
              <w:rFonts w:asciiTheme="majorHAnsi" w:hAnsiTheme="majorHAnsi"/>
            </w:rPr>
            <w:tab/>
            <w:t>MUC.</w:t>
          </w:r>
          <w:r w:rsidR="0002282B" w:rsidRPr="000B16D5">
            <w:rPr>
              <w:rFonts w:asciiTheme="majorHAnsi" w:hAnsiTheme="majorHAnsi"/>
            </w:rPr>
            <w:tab/>
          </w:r>
          <w:r w:rsidRPr="000B16D5">
            <w:rPr>
              <w:rFonts w:asciiTheme="majorHAnsi" w:hAnsiTheme="majorHAnsi"/>
            </w:rPr>
            <w:t>Jan Novák</w:t>
          </w:r>
        </w:p>
        <w:p w:rsidR="004F7664" w:rsidRPr="000B16D5" w:rsidRDefault="004F7664">
          <w:pPr>
            <w:rPr>
              <w:rFonts w:asciiTheme="majorHAnsi" w:hAnsiTheme="majorHAnsi"/>
            </w:rPr>
          </w:pPr>
          <w:r w:rsidRPr="000B16D5">
            <w:rPr>
              <w:rFonts w:asciiTheme="majorHAnsi" w:hAnsiTheme="majorHAnsi"/>
            </w:rPr>
            <w:tab/>
            <w:t>MUC.</w:t>
          </w:r>
          <w:r w:rsidR="0002282B" w:rsidRPr="000B16D5">
            <w:rPr>
              <w:rFonts w:asciiTheme="majorHAnsi" w:hAnsiTheme="majorHAnsi"/>
            </w:rPr>
            <w:tab/>
          </w:r>
          <w:r w:rsidRPr="000B16D5">
            <w:rPr>
              <w:rFonts w:asciiTheme="majorHAnsi" w:hAnsiTheme="majorHAnsi"/>
            </w:rPr>
            <w:t>Jan Vinklárek</w:t>
          </w:r>
        </w:p>
        <w:p w:rsidR="004F7664" w:rsidRPr="000B16D5" w:rsidRDefault="004F7664">
          <w:pPr>
            <w:rPr>
              <w:rFonts w:asciiTheme="majorHAnsi" w:hAnsiTheme="majorHAnsi"/>
            </w:rPr>
          </w:pPr>
          <w:r w:rsidRPr="000B16D5">
            <w:rPr>
              <w:rFonts w:asciiTheme="majorHAnsi" w:hAnsiTheme="majorHAnsi"/>
            </w:rPr>
            <w:tab/>
            <w:t>MUC.</w:t>
          </w:r>
          <w:r w:rsidR="0002282B" w:rsidRPr="000B16D5">
            <w:rPr>
              <w:rFonts w:asciiTheme="majorHAnsi" w:hAnsiTheme="majorHAnsi"/>
            </w:rPr>
            <w:tab/>
          </w:r>
          <w:r w:rsidRPr="000B16D5">
            <w:rPr>
              <w:rFonts w:asciiTheme="majorHAnsi" w:hAnsiTheme="majorHAnsi"/>
            </w:rPr>
            <w:t>Ivo Nečesánek</w:t>
          </w:r>
        </w:p>
        <w:tbl>
          <w:tblPr>
            <w:tblpPr w:leftFromText="187" w:rightFromText="187" w:horzAnchor="margin" w:tblpXSpec="center" w:tblpYSpec="bottom"/>
            <w:tblW w:w="5000" w:type="pct"/>
            <w:tblLook w:val="04A0" w:firstRow="1" w:lastRow="0" w:firstColumn="1" w:lastColumn="0" w:noHBand="0" w:noVBand="1"/>
          </w:tblPr>
          <w:tblGrid>
            <w:gridCol w:w="10466"/>
          </w:tblGrid>
          <w:tr w:rsidR="001E42F7" w:rsidRPr="000B16D5">
            <w:tc>
              <w:tcPr>
                <w:tcW w:w="5000" w:type="pct"/>
              </w:tcPr>
              <w:p w:rsidR="001E42F7" w:rsidRPr="000B16D5" w:rsidRDefault="001E42F7">
                <w:pPr>
                  <w:pStyle w:val="Bezmezer"/>
                  <w:rPr>
                    <w:rFonts w:asciiTheme="majorHAnsi" w:hAnsiTheme="majorHAnsi"/>
                  </w:rPr>
                </w:pPr>
              </w:p>
            </w:tc>
          </w:tr>
        </w:tbl>
        <w:p w:rsidR="00312118" w:rsidRPr="000B16D5" w:rsidRDefault="008468D9" w:rsidP="002D0AED">
          <w:pPr>
            <w:pStyle w:val="Nadpiskapitoly"/>
            <w:numPr>
              <w:ilvl w:val="0"/>
              <w:numId w:val="0"/>
            </w:numPr>
            <w:rPr>
              <w:rFonts w:asciiTheme="majorHAnsi" w:hAnsiTheme="majorHAnsi"/>
            </w:rPr>
          </w:pPr>
        </w:p>
      </w:sdtContent>
    </w:sdt>
    <w:p w:rsidR="004F7664" w:rsidRPr="000B16D5" w:rsidRDefault="004F7664">
      <w:pPr>
        <w:rPr>
          <w:rFonts w:asciiTheme="majorHAnsi" w:hAnsiTheme="majorHAnsi"/>
          <w:b/>
          <w:smallCaps/>
          <w:sz w:val="28"/>
        </w:rPr>
      </w:pPr>
      <w:r w:rsidRPr="000B16D5">
        <w:rPr>
          <w:rFonts w:asciiTheme="majorHAnsi" w:hAnsiTheme="majorHAnsi"/>
        </w:rPr>
        <w:br w:type="page"/>
      </w:r>
    </w:p>
    <w:p w:rsidR="00A2684E" w:rsidRPr="000B16D5" w:rsidRDefault="000B16D5" w:rsidP="000B16D5">
      <w:pPr>
        <w:pStyle w:val="Obsah1"/>
        <w:tabs>
          <w:tab w:val="right" w:leader="dot" w:pos="10456"/>
        </w:tabs>
        <w:jc w:val="center"/>
        <w:rPr>
          <w:rFonts w:asciiTheme="majorHAnsi" w:hAnsiTheme="majorHAnsi"/>
          <w:noProof/>
        </w:rPr>
      </w:pPr>
      <w:bookmarkStart w:id="3" w:name="_Toc377653289"/>
      <w:bookmarkStart w:id="4" w:name="_Toc380240577"/>
      <w:r w:rsidRPr="000B16D5">
        <w:rPr>
          <w:rFonts w:asciiTheme="majorHAnsi" w:hAnsiTheme="majorHAnsi"/>
        </w:rPr>
        <w:lastRenderedPageBreak/>
        <w:t>OBSAH</w:t>
      </w:r>
      <w:bookmarkEnd w:id="3"/>
      <w:bookmarkEnd w:id="4"/>
      <w:r w:rsidR="00312118" w:rsidRPr="000B16D5">
        <w:rPr>
          <w:rFonts w:asciiTheme="majorHAnsi" w:hAnsiTheme="majorHAnsi"/>
        </w:rPr>
        <w:fldChar w:fldCharType="begin"/>
      </w:r>
      <w:r w:rsidR="00312118" w:rsidRPr="000B16D5">
        <w:rPr>
          <w:rFonts w:asciiTheme="majorHAnsi" w:hAnsiTheme="majorHAnsi"/>
        </w:rPr>
        <w:instrText xml:space="preserve"> TOC \h \z \t "Nadpis kapitoly;1;Nadpis podkapitoly;2" </w:instrText>
      </w:r>
      <w:r w:rsidR="00312118" w:rsidRPr="000B16D5">
        <w:rPr>
          <w:rFonts w:asciiTheme="majorHAnsi" w:hAnsiTheme="majorHAnsi"/>
        </w:rPr>
        <w:fldChar w:fldCharType="separate"/>
      </w:r>
    </w:p>
    <w:p w:rsidR="00A2684E" w:rsidRPr="000B16D5" w:rsidRDefault="008468D9">
      <w:pPr>
        <w:pStyle w:val="Obsah1"/>
        <w:tabs>
          <w:tab w:val="left" w:pos="440"/>
          <w:tab w:val="right" w:leader="dot" w:pos="10456"/>
        </w:tabs>
        <w:rPr>
          <w:rFonts w:asciiTheme="majorHAnsi" w:hAnsiTheme="majorHAnsi"/>
          <w:noProof/>
        </w:rPr>
      </w:pPr>
      <w:hyperlink w:anchor="_Toc380240578" w:history="1">
        <w:r w:rsidR="00A2684E" w:rsidRPr="000B16D5">
          <w:rPr>
            <w:rStyle w:val="Hypertextovodkaz"/>
            <w:rFonts w:asciiTheme="majorHAnsi" w:hAnsiTheme="majorHAnsi"/>
            <w:noProof/>
          </w:rPr>
          <w:t>1</w:t>
        </w:r>
        <w:r w:rsidR="00A2684E" w:rsidRPr="000B16D5">
          <w:rPr>
            <w:rFonts w:asciiTheme="majorHAnsi" w:hAnsiTheme="majorHAnsi"/>
            <w:noProof/>
          </w:rPr>
          <w:tab/>
        </w:r>
        <w:r w:rsidR="00A2684E" w:rsidRPr="000B16D5">
          <w:rPr>
            <w:rStyle w:val="Hypertextovodkaz"/>
            <w:rFonts w:asciiTheme="majorHAnsi" w:hAnsiTheme="majorHAnsi"/>
            <w:noProof/>
          </w:rPr>
          <w:t>Předmluva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_Toc380240578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4</w:t>
        </w:r>
        <w:r w:rsidR="00A2684E" w:rsidRPr="000B16D5">
          <w:rPr>
            <w:rFonts w:asciiTheme="majorHAnsi" w:hAnsiTheme="majorHAnsi"/>
            <w:noProof/>
            <w:webHidden/>
          </w:rPr>
          <w:fldChar w:fldCharType="end"/>
        </w:r>
      </w:hyperlink>
    </w:p>
    <w:p w:rsidR="00A2684E" w:rsidRPr="000B16D5" w:rsidRDefault="008468D9">
      <w:pPr>
        <w:pStyle w:val="Obsah1"/>
        <w:tabs>
          <w:tab w:val="left" w:pos="440"/>
          <w:tab w:val="right" w:leader="dot" w:pos="10456"/>
        </w:tabs>
        <w:rPr>
          <w:rFonts w:asciiTheme="majorHAnsi" w:hAnsiTheme="majorHAnsi"/>
          <w:noProof/>
        </w:rPr>
      </w:pPr>
      <w:hyperlink w:anchor="_Toc380240579" w:history="1">
        <w:r w:rsidR="00A2684E" w:rsidRPr="000B16D5">
          <w:rPr>
            <w:rStyle w:val="Hypertextovodkaz"/>
            <w:rFonts w:asciiTheme="majorHAnsi" w:hAnsiTheme="majorHAnsi"/>
            <w:noProof/>
          </w:rPr>
          <w:t>2</w:t>
        </w:r>
        <w:r w:rsidR="00A2684E" w:rsidRPr="000B16D5">
          <w:rPr>
            <w:rFonts w:asciiTheme="majorHAnsi" w:hAnsiTheme="majorHAnsi"/>
            <w:noProof/>
          </w:rPr>
          <w:tab/>
        </w:r>
        <w:r w:rsidR="00A2684E" w:rsidRPr="000B16D5">
          <w:rPr>
            <w:rStyle w:val="Hypertextovodkaz"/>
            <w:rFonts w:asciiTheme="majorHAnsi" w:hAnsiTheme="majorHAnsi"/>
            <w:noProof/>
          </w:rPr>
          <w:t>Projekt lidského genomu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_Toc380240579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w:t>
        </w:r>
        <w:r w:rsidR="00A2684E" w:rsidRPr="000B16D5">
          <w:rPr>
            <w:rFonts w:asciiTheme="majorHAnsi" w:hAnsiTheme="majorHAnsi"/>
            <w:noProof/>
            <w:webHidden/>
          </w:rPr>
          <w:fldChar w:fldCharType="end"/>
        </w:r>
      </w:hyperlink>
    </w:p>
    <w:p w:rsidR="00A2684E" w:rsidRPr="000B16D5" w:rsidRDefault="008468D9">
      <w:pPr>
        <w:pStyle w:val="Obsah1"/>
        <w:tabs>
          <w:tab w:val="left" w:pos="440"/>
          <w:tab w:val="right" w:leader="dot" w:pos="10456"/>
        </w:tabs>
        <w:rPr>
          <w:rFonts w:asciiTheme="majorHAnsi" w:hAnsiTheme="majorHAnsi"/>
          <w:noProof/>
        </w:rPr>
      </w:pPr>
      <w:hyperlink w:anchor="_Toc380240580" w:history="1">
        <w:r w:rsidR="00A2684E" w:rsidRPr="000B16D5">
          <w:rPr>
            <w:rStyle w:val="Hypertextovodkaz"/>
            <w:rFonts w:asciiTheme="majorHAnsi" w:hAnsiTheme="majorHAnsi"/>
            <w:noProof/>
          </w:rPr>
          <w:t>3</w:t>
        </w:r>
        <w:r w:rsidR="00A2684E" w:rsidRPr="000B16D5">
          <w:rPr>
            <w:rFonts w:asciiTheme="majorHAnsi" w:hAnsiTheme="majorHAnsi"/>
            <w:noProof/>
          </w:rPr>
          <w:tab/>
        </w:r>
        <w:r w:rsidR="00A2684E" w:rsidRPr="000B16D5">
          <w:rPr>
            <w:rStyle w:val="Hypertextovodkaz"/>
            <w:rFonts w:asciiTheme="majorHAnsi" w:hAnsiTheme="majorHAnsi"/>
            <w:noProof/>
          </w:rPr>
          <w:t>Základní biologie buňky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_Toc380240580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81" w:history="1">
        <w:r w:rsidR="00A2684E" w:rsidRPr="000B16D5">
          <w:rPr>
            <w:rStyle w:val="Hypertextovodkaz"/>
            <w:rFonts w:asciiTheme="majorHAnsi" w:hAnsiTheme="majorHAnsi"/>
            <w:noProof/>
          </w:rPr>
          <w:t>3.1</w:t>
        </w:r>
        <w:r w:rsidR="00A2684E" w:rsidRPr="000B16D5">
          <w:rPr>
            <w:rFonts w:asciiTheme="majorHAnsi" w:hAnsiTheme="majorHAnsi"/>
            <w:noProof/>
          </w:rPr>
          <w:tab/>
        </w:r>
        <w:r w:rsidR="00A2684E" w:rsidRPr="000B16D5">
          <w:rPr>
            <w:rStyle w:val="Hypertextovodkaz"/>
            <w:rFonts w:asciiTheme="majorHAnsi" w:hAnsiTheme="majorHAnsi"/>
            <w:noProof/>
          </w:rPr>
          <w:t>Úvod</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_Toc380240581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82" w:history="1">
        <w:r w:rsidR="00A2684E" w:rsidRPr="000B16D5">
          <w:rPr>
            <w:rStyle w:val="Hypertextovodkaz"/>
            <w:rFonts w:asciiTheme="majorHAnsi" w:hAnsiTheme="majorHAnsi"/>
            <w:noProof/>
          </w:rPr>
          <w:t>3.2</w:t>
        </w:r>
        <w:r w:rsidR="00A2684E" w:rsidRPr="000B16D5">
          <w:rPr>
            <w:rFonts w:asciiTheme="majorHAnsi" w:hAnsiTheme="majorHAnsi"/>
            <w:noProof/>
          </w:rPr>
          <w:tab/>
        </w:r>
        <w:r w:rsidR="00A2684E" w:rsidRPr="000B16D5">
          <w:rPr>
            <w:rStyle w:val="Hypertextovodkaz"/>
            <w:rFonts w:asciiTheme="majorHAnsi" w:hAnsiTheme="majorHAnsi"/>
            <w:noProof/>
          </w:rPr>
          <w:t>Struktura a funkce buněčných organel</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_Toc380240582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83" w:history="1">
        <w:r w:rsidR="00A2684E" w:rsidRPr="000B16D5">
          <w:rPr>
            <w:rStyle w:val="Hypertextovodkaz"/>
            <w:rFonts w:asciiTheme="majorHAnsi" w:hAnsiTheme="majorHAnsi"/>
            <w:noProof/>
          </w:rPr>
          <w:t>3.3</w:t>
        </w:r>
        <w:r w:rsidR="00A2684E" w:rsidRPr="000B16D5">
          <w:rPr>
            <w:rFonts w:asciiTheme="majorHAnsi" w:hAnsiTheme="majorHAnsi"/>
            <w:noProof/>
          </w:rPr>
          <w:tab/>
        </w:r>
        <w:r w:rsidR="00A2684E" w:rsidRPr="000B16D5">
          <w:rPr>
            <w:rStyle w:val="Hypertextovodkaz"/>
            <w:rFonts w:asciiTheme="majorHAnsi" w:hAnsiTheme="majorHAnsi"/>
            <w:noProof/>
          </w:rPr>
          <w:t>Buněčné jádro</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_Toc380240583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11</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84" w:history="1">
        <w:r w:rsidR="00A2684E" w:rsidRPr="000B16D5">
          <w:rPr>
            <w:rStyle w:val="Hypertextovodkaz"/>
            <w:rFonts w:asciiTheme="majorHAnsi" w:hAnsiTheme="majorHAnsi"/>
            <w:noProof/>
          </w:rPr>
          <w:t>3.4</w:t>
        </w:r>
        <w:r w:rsidR="00A2684E" w:rsidRPr="000B16D5">
          <w:rPr>
            <w:rFonts w:asciiTheme="majorHAnsi" w:hAnsiTheme="majorHAnsi"/>
            <w:noProof/>
          </w:rPr>
          <w:tab/>
        </w:r>
        <w:r w:rsidR="00A2684E" w:rsidRPr="000B16D5">
          <w:rPr>
            <w:rStyle w:val="Hypertextovodkaz"/>
            <w:rFonts w:asciiTheme="majorHAnsi" w:hAnsiTheme="majorHAnsi"/>
            <w:noProof/>
          </w:rPr>
          <w:t>Struktura DNA a RNA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_Toc380240584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11</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85" w:history="1">
        <w:r w:rsidR="00A2684E" w:rsidRPr="000B16D5">
          <w:rPr>
            <w:rStyle w:val="Hypertextovodkaz"/>
            <w:rFonts w:asciiTheme="majorHAnsi" w:hAnsiTheme="majorHAnsi"/>
            <w:noProof/>
          </w:rPr>
          <w:t>3.5</w:t>
        </w:r>
        <w:r w:rsidR="00A2684E" w:rsidRPr="000B16D5">
          <w:rPr>
            <w:rFonts w:asciiTheme="majorHAnsi" w:hAnsiTheme="majorHAnsi"/>
            <w:noProof/>
          </w:rPr>
          <w:tab/>
        </w:r>
        <w:r w:rsidR="00A2684E" w:rsidRPr="000B16D5">
          <w:rPr>
            <w:rStyle w:val="Hypertextovodkaz"/>
            <w:rFonts w:asciiTheme="majorHAnsi" w:hAnsiTheme="majorHAnsi"/>
            <w:noProof/>
          </w:rPr>
          <w:t>Chromozom, gen, alela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_Toc380240585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11</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86" w:history="1">
        <w:r w:rsidR="00A2684E" w:rsidRPr="000B16D5">
          <w:rPr>
            <w:rStyle w:val="Hypertextovodkaz"/>
            <w:rFonts w:asciiTheme="majorHAnsi" w:hAnsiTheme="majorHAnsi"/>
            <w:noProof/>
          </w:rPr>
          <w:t>3.6</w:t>
        </w:r>
        <w:r w:rsidR="00A2684E" w:rsidRPr="000B16D5">
          <w:rPr>
            <w:rFonts w:asciiTheme="majorHAnsi" w:hAnsiTheme="majorHAnsi"/>
            <w:noProof/>
          </w:rPr>
          <w:tab/>
        </w:r>
        <w:r w:rsidR="00A2684E" w:rsidRPr="000B16D5">
          <w:rPr>
            <w:rStyle w:val="Hypertextovodkaz"/>
            <w:rFonts w:asciiTheme="majorHAnsi" w:hAnsiTheme="majorHAnsi"/>
            <w:noProof/>
          </w:rPr>
          <w:t>Buněčný cyklus a buněčné dělení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_Toc380240586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12</w:t>
        </w:r>
        <w:r w:rsidR="00A2684E" w:rsidRPr="000B16D5">
          <w:rPr>
            <w:rFonts w:asciiTheme="majorHAnsi" w:hAnsiTheme="majorHAnsi"/>
            <w:noProof/>
            <w:webHidden/>
          </w:rPr>
          <w:fldChar w:fldCharType="end"/>
        </w:r>
      </w:hyperlink>
    </w:p>
    <w:p w:rsidR="00A2684E" w:rsidRPr="000B16D5" w:rsidRDefault="008468D9" w:rsidP="00A2684E">
      <w:pPr>
        <w:pStyle w:val="Obsah1"/>
        <w:tabs>
          <w:tab w:val="left" w:pos="440"/>
          <w:tab w:val="right" w:leader="dot" w:pos="10456"/>
        </w:tabs>
        <w:rPr>
          <w:rFonts w:asciiTheme="majorHAnsi" w:hAnsiTheme="majorHAnsi"/>
          <w:noProof/>
        </w:rPr>
      </w:pPr>
      <w:hyperlink w:anchor="_Toc380240587" w:history="1">
        <w:r w:rsidR="00A2684E" w:rsidRPr="000B16D5">
          <w:rPr>
            <w:rStyle w:val="Hypertextovodkaz"/>
            <w:rFonts w:asciiTheme="majorHAnsi" w:hAnsiTheme="majorHAnsi"/>
            <w:noProof/>
          </w:rPr>
          <w:t>4</w:t>
        </w:r>
        <w:r w:rsidR="00A2684E" w:rsidRPr="000B16D5">
          <w:rPr>
            <w:rFonts w:asciiTheme="majorHAnsi" w:hAnsiTheme="majorHAnsi"/>
            <w:noProof/>
          </w:rPr>
          <w:tab/>
        </w:r>
        <w:r w:rsidR="00A2684E" w:rsidRPr="000B16D5">
          <w:rPr>
            <w:rStyle w:val="Hypertextovodkaz"/>
            <w:rFonts w:asciiTheme="majorHAnsi" w:hAnsiTheme="majorHAnsi"/>
            <w:noProof/>
          </w:rPr>
          <w:t>Genová exprese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_Toc380240587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14</w:t>
        </w:r>
        <w:r w:rsidR="00A2684E" w:rsidRPr="000B16D5">
          <w:rPr>
            <w:rFonts w:asciiTheme="majorHAnsi" w:hAnsiTheme="majorHAnsi"/>
            <w:noProof/>
            <w:webHidden/>
          </w:rPr>
          <w:fldChar w:fldCharType="end"/>
        </w:r>
      </w:hyperlink>
      <w:r w:rsidR="00A2684E" w:rsidRPr="000B16D5">
        <w:rPr>
          <w:rFonts w:asciiTheme="majorHAnsi" w:hAnsiTheme="majorHAnsi"/>
          <w:noProof/>
        </w:rPr>
        <w:t xml:space="preserve"> </w:t>
      </w:r>
    </w:p>
    <w:p w:rsidR="00A2684E" w:rsidRPr="000B16D5" w:rsidRDefault="008468D9">
      <w:pPr>
        <w:pStyle w:val="Obsah2"/>
        <w:tabs>
          <w:tab w:val="left" w:pos="880"/>
          <w:tab w:val="right" w:leader="dot" w:pos="10456"/>
        </w:tabs>
        <w:rPr>
          <w:rFonts w:asciiTheme="majorHAnsi" w:hAnsiTheme="majorHAnsi"/>
          <w:noProof/>
        </w:rPr>
      </w:pPr>
      <w:hyperlink w:anchor="_Toc380240589" w:history="1">
        <w:r w:rsidR="00A2684E" w:rsidRPr="000B16D5">
          <w:rPr>
            <w:rStyle w:val="Hypertextovodkaz"/>
            <w:rFonts w:asciiTheme="majorHAnsi" w:hAnsiTheme="majorHAnsi"/>
            <w:noProof/>
          </w:rPr>
          <w:t>4.1</w:t>
        </w:r>
        <w:r w:rsidR="00A2684E" w:rsidRPr="000B16D5">
          <w:rPr>
            <w:rFonts w:asciiTheme="majorHAnsi" w:hAnsiTheme="majorHAnsi"/>
            <w:noProof/>
          </w:rPr>
          <w:tab/>
        </w:r>
        <w:r w:rsidR="00A2684E" w:rsidRPr="000B16D5">
          <w:rPr>
            <w:rStyle w:val="Hypertextovodkaz"/>
            <w:rFonts w:asciiTheme="majorHAnsi" w:hAnsiTheme="majorHAnsi"/>
            <w:noProof/>
          </w:rPr>
          <w:t>Co je genová exprese a jaká je její souvislost s výživou?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_Toc380240589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14</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90" w:history="1">
        <w:r w:rsidR="00A2684E" w:rsidRPr="000B16D5">
          <w:rPr>
            <w:rStyle w:val="Hypertextovodkaz"/>
            <w:rFonts w:asciiTheme="majorHAnsi" w:hAnsiTheme="majorHAnsi"/>
            <w:noProof/>
          </w:rPr>
          <w:t>4.2</w:t>
        </w:r>
        <w:r w:rsidR="00A2684E" w:rsidRPr="000B16D5">
          <w:rPr>
            <w:rFonts w:asciiTheme="majorHAnsi" w:hAnsiTheme="majorHAnsi"/>
            <w:noProof/>
          </w:rPr>
          <w:tab/>
        </w:r>
        <w:r w:rsidR="00A2684E" w:rsidRPr="000B16D5">
          <w:rPr>
            <w:rStyle w:val="Hypertextovodkaz"/>
            <w:rFonts w:asciiTheme="majorHAnsi" w:hAnsiTheme="majorHAnsi"/>
            <w:noProof/>
          </w:rPr>
          <w:t>význam a průběh exprese genu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_Toc380240590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91" w:history="1">
        <w:r w:rsidR="00A2684E" w:rsidRPr="000B16D5">
          <w:rPr>
            <w:rStyle w:val="Hypertextovodkaz"/>
            <w:rFonts w:asciiTheme="majorHAnsi" w:hAnsiTheme="majorHAnsi"/>
            <w:noProof/>
          </w:rPr>
          <w:t>4.3</w:t>
        </w:r>
        <w:r w:rsidR="00A2684E" w:rsidRPr="000B16D5">
          <w:rPr>
            <w:rFonts w:asciiTheme="majorHAnsi" w:hAnsiTheme="majorHAnsi"/>
            <w:noProof/>
          </w:rPr>
          <w:tab/>
        </w:r>
        <w:r w:rsidR="00A2684E" w:rsidRPr="000B16D5">
          <w:rPr>
            <w:rStyle w:val="Hypertextovodkaz"/>
            <w:rFonts w:asciiTheme="majorHAnsi" w:hAnsiTheme="majorHAnsi"/>
            <w:noProof/>
          </w:rPr>
          <w:t>Ovlivnění genové exprese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_Toc380240591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92" w:history="1">
        <w:r w:rsidR="00A2684E" w:rsidRPr="000B16D5">
          <w:rPr>
            <w:rStyle w:val="Hypertextovodkaz"/>
            <w:rFonts w:asciiTheme="majorHAnsi" w:hAnsiTheme="majorHAnsi"/>
            <w:noProof/>
          </w:rPr>
          <w:t>4.4</w:t>
        </w:r>
        <w:r w:rsidR="00A2684E" w:rsidRPr="000B16D5">
          <w:rPr>
            <w:rFonts w:asciiTheme="majorHAnsi" w:hAnsiTheme="majorHAnsi"/>
            <w:noProof/>
          </w:rPr>
          <w:tab/>
        </w:r>
        <w:r w:rsidR="00A2684E" w:rsidRPr="000B16D5">
          <w:rPr>
            <w:rStyle w:val="Hypertextovodkaz"/>
            <w:rFonts w:asciiTheme="majorHAnsi" w:hAnsiTheme="majorHAnsi"/>
            <w:noProof/>
          </w:rPr>
          <w:t>Příklady vlivu konkrétních nutrientů</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_Toc380240592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19</w:t>
        </w:r>
        <w:r w:rsidR="00A2684E" w:rsidRPr="000B16D5">
          <w:rPr>
            <w:rFonts w:asciiTheme="majorHAnsi" w:hAnsiTheme="majorHAnsi"/>
            <w:noProof/>
            <w:webHidden/>
          </w:rPr>
          <w:fldChar w:fldCharType="end"/>
        </w:r>
      </w:hyperlink>
    </w:p>
    <w:p w:rsidR="00A2684E" w:rsidRPr="000B16D5" w:rsidRDefault="008468D9">
      <w:pPr>
        <w:pStyle w:val="Obsah1"/>
        <w:tabs>
          <w:tab w:val="left" w:pos="440"/>
          <w:tab w:val="right" w:leader="dot" w:pos="10456"/>
        </w:tabs>
        <w:rPr>
          <w:rFonts w:asciiTheme="majorHAnsi" w:hAnsiTheme="majorHAnsi"/>
          <w:noProof/>
        </w:rPr>
      </w:pPr>
      <w:hyperlink w:anchor="_Toc380240593" w:history="1">
        <w:r w:rsidR="00A2684E" w:rsidRPr="000B16D5">
          <w:rPr>
            <w:rStyle w:val="Hypertextovodkaz"/>
            <w:rFonts w:asciiTheme="majorHAnsi" w:hAnsiTheme="majorHAnsi"/>
            <w:noProof/>
          </w:rPr>
          <w:t>5</w:t>
        </w:r>
        <w:r w:rsidR="00A2684E" w:rsidRPr="000B16D5">
          <w:rPr>
            <w:rFonts w:asciiTheme="majorHAnsi" w:hAnsiTheme="majorHAnsi"/>
            <w:noProof/>
          </w:rPr>
          <w:tab/>
        </w:r>
        <w:r w:rsidR="00A2684E" w:rsidRPr="000B16D5">
          <w:rPr>
            <w:rStyle w:val="Hypertextovodkaz"/>
            <w:rFonts w:asciiTheme="majorHAnsi" w:hAnsiTheme="majorHAnsi"/>
            <w:noProof/>
          </w:rPr>
          <w:t>Základní klasifikace genetických onemocnění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_Toc380240593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22</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94" w:history="1">
        <w:r w:rsidR="00A2684E" w:rsidRPr="000B16D5">
          <w:rPr>
            <w:rStyle w:val="Hypertextovodkaz"/>
            <w:rFonts w:asciiTheme="majorHAnsi" w:hAnsiTheme="majorHAnsi"/>
            <w:noProof/>
          </w:rPr>
          <w:t>5.1</w:t>
        </w:r>
        <w:r w:rsidR="00A2684E" w:rsidRPr="000B16D5">
          <w:rPr>
            <w:rFonts w:asciiTheme="majorHAnsi" w:hAnsiTheme="majorHAnsi"/>
            <w:noProof/>
          </w:rPr>
          <w:tab/>
        </w:r>
        <w:r w:rsidR="00A2684E" w:rsidRPr="000B16D5">
          <w:rPr>
            <w:rStyle w:val="Hypertextovodkaz"/>
            <w:rFonts w:asciiTheme="majorHAnsi" w:hAnsiTheme="majorHAnsi"/>
            <w:noProof/>
          </w:rPr>
          <w:t>Jaké typy genetických onemocnění známe?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_Toc380240594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22</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95" w:history="1">
        <w:r w:rsidR="00A2684E" w:rsidRPr="000B16D5">
          <w:rPr>
            <w:rStyle w:val="Hypertextovodkaz"/>
            <w:rFonts w:asciiTheme="majorHAnsi" w:hAnsiTheme="majorHAnsi"/>
            <w:noProof/>
          </w:rPr>
          <w:t>5.2</w:t>
        </w:r>
        <w:r w:rsidR="00A2684E" w:rsidRPr="000B16D5">
          <w:rPr>
            <w:rFonts w:asciiTheme="majorHAnsi" w:hAnsiTheme="majorHAnsi"/>
            <w:noProof/>
          </w:rPr>
          <w:tab/>
        </w:r>
        <w:r w:rsidR="00A2684E" w:rsidRPr="000B16D5">
          <w:rPr>
            <w:rStyle w:val="Hypertextovodkaz"/>
            <w:rFonts w:asciiTheme="majorHAnsi" w:hAnsiTheme="majorHAnsi"/>
            <w:noProof/>
          </w:rPr>
          <w:t>Jakým způsobem se genetická onemocnění diagnostikují?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_Toc380240595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24</w:t>
        </w:r>
        <w:r w:rsidR="00A2684E" w:rsidRPr="000B16D5">
          <w:rPr>
            <w:rFonts w:asciiTheme="majorHAnsi" w:hAnsiTheme="majorHAnsi"/>
            <w:noProof/>
            <w:webHidden/>
          </w:rPr>
          <w:fldChar w:fldCharType="end"/>
        </w:r>
      </w:hyperlink>
    </w:p>
    <w:p w:rsidR="00A2684E" w:rsidRPr="000B16D5" w:rsidRDefault="008468D9">
      <w:pPr>
        <w:pStyle w:val="Obsah1"/>
        <w:tabs>
          <w:tab w:val="left" w:pos="440"/>
          <w:tab w:val="right" w:leader="dot" w:pos="10456"/>
        </w:tabs>
        <w:rPr>
          <w:rFonts w:asciiTheme="majorHAnsi" w:hAnsiTheme="majorHAnsi"/>
          <w:noProof/>
        </w:rPr>
      </w:pPr>
      <w:hyperlink w:anchor="_Toc380240596" w:history="1">
        <w:r w:rsidR="00A2684E" w:rsidRPr="000B16D5">
          <w:rPr>
            <w:rStyle w:val="Hypertextovodkaz"/>
            <w:rFonts w:asciiTheme="majorHAnsi" w:hAnsiTheme="majorHAnsi"/>
            <w:noProof/>
          </w:rPr>
          <w:t>6</w:t>
        </w:r>
        <w:r w:rsidR="00A2684E" w:rsidRPr="000B16D5">
          <w:rPr>
            <w:rFonts w:asciiTheme="majorHAnsi" w:hAnsiTheme="majorHAnsi"/>
            <w:noProof/>
          </w:rPr>
          <w:tab/>
        </w:r>
        <w:r w:rsidR="00A2684E" w:rsidRPr="000B16D5">
          <w:rPr>
            <w:rStyle w:val="Hypertextovodkaz"/>
            <w:rFonts w:asciiTheme="majorHAnsi" w:hAnsiTheme="majorHAnsi"/>
            <w:noProof/>
          </w:rPr>
          <w:t>Princip Mendelových pokusů</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_Toc380240596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97" w:history="1">
        <w:r w:rsidR="00A2684E" w:rsidRPr="000B16D5">
          <w:rPr>
            <w:rStyle w:val="Hypertextovodkaz"/>
            <w:rFonts w:asciiTheme="majorHAnsi" w:hAnsiTheme="majorHAnsi"/>
            <w:noProof/>
          </w:rPr>
          <w:t>6.1</w:t>
        </w:r>
        <w:r w:rsidR="00A2684E" w:rsidRPr="000B16D5">
          <w:rPr>
            <w:rFonts w:asciiTheme="majorHAnsi" w:hAnsiTheme="majorHAnsi"/>
            <w:noProof/>
          </w:rPr>
          <w:tab/>
        </w:r>
        <w:r w:rsidR="00A2684E" w:rsidRPr="000B16D5">
          <w:rPr>
            <w:rStyle w:val="Hypertextovodkaz"/>
            <w:rFonts w:asciiTheme="majorHAnsi" w:hAnsiTheme="majorHAnsi"/>
            <w:noProof/>
          </w:rPr>
          <w:t>Johann Gregor Mendel</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_Toc380240597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98" w:history="1">
        <w:r w:rsidR="00A2684E" w:rsidRPr="000B16D5">
          <w:rPr>
            <w:rStyle w:val="Hypertextovodkaz"/>
            <w:rFonts w:asciiTheme="majorHAnsi" w:hAnsiTheme="majorHAnsi"/>
            <w:noProof/>
          </w:rPr>
          <w:t>6.2</w:t>
        </w:r>
        <w:r w:rsidR="00A2684E" w:rsidRPr="000B16D5">
          <w:rPr>
            <w:rFonts w:asciiTheme="majorHAnsi" w:hAnsiTheme="majorHAnsi"/>
            <w:noProof/>
          </w:rPr>
          <w:tab/>
        </w:r>
        <w:r w:rsidR="00A2684E" w:rsidRPr="000B16D5">
          <w:rPr>
            <w:rStyle w:val="Hypertextovodkaz"/>
            <w:rFonts w:asciiTheme="majorHAnsi" w:hAnsiTheme="majorHAnsi"/>
            <w:noProof/>
          </w:rPr>
          <w:t>Pokusná rostlina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_Toc380240598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599" w:history="1">
        <w:r w:rsidR="00A2684E" w:rsidRPr="000B16D5">
          <w:rPr>
            <w:rStyle w:val="Hypertextovodkaz"/>
            <w:rFonts w:asciiTheme="majorHAnsi" w:hAnsiTheme="majorHAnsi"/>
            <w:noProof/>
          </w:rPr>
          <w:t>6.3</w:t>
        </w:r>
        <w:r w:rsidR="00A2684E" w:rsidRPr="000B16D5">
          <w:rPr>
            <w:rFonts w:asciiTheme="majorHAnsi" w:hAnsiTheme="majorHAnsi"/>
            <w:noProof/>
          </w:rPr>
          <w:tab/>
        </w:r>
        <w:r w:rsidR="00A2684E" w:rsidRPr="000B16D5">
          <w:rPr>
            <w:rStyle w:val="Hypertextovodkaz"/>
            <w:rFonts w:asciiTheme="majorHAnsi" w:hAnsiTheme="majorHAnsi"/>
            <w:noProof/>
          </w:rPr>
          <w:t>Základní pojmy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_Toc380240599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00" w:history="1">
        <w:r w:rsidR="00A2684E" w:rsidRPr="000B16D5">
          <w:rPr>
            <w:rStyle w:val="Hypertextovodkaz"/>
            <w:rFonts w:asciiTheme="majorHAnsi" w:hAnsiTheme="majorHAnsi"/>
            <w:noProof/>
          </w:rPr>
          <w:t>6.4</w:t>
        </w:r>
        <w:r w:rsidR="00A2684E" w:rsidRPr="000B16D5">
          <w:rPr>
            <w:rFonts w:asciiTheme="majorHAnsi" w:hAnsiTheme="majorHAnsi"/>
            <w:noProof/>
          </w:rPr>
          <w:tab/>
        </w:r>
        <w:r w:rsidR="00A2684E" w:rsidRPr="000B16D5">
          <w:rPr>
            <w:rStyle w:val="Hypertextovodkaz"/>
            <w:rFonts w:asciiTheme="majorHAnsi" w:hAnsiTheme="majorHAnsi"/>
            <w:noProof/>
          </w:rPr>
          <w:t>První Mendelův zákon – zákon o uniformitě potomstva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_Toc380240600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26</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01" w:history="1">
        <w:r w:rsidR="00A2684E" w:rsidRPr="000B16D5">
          <w:rPr>
            <w:rStyle w:val="Hypertextovodkaz"/>
            <w:rFonts w:asciiTheme="majorHAnsi" w:hAnsiTheme="majorHAnsi"/>
            <w:noProof/>
          </w:rPr>
          <w:t>6.5</w:t>
        </w:r>
        <w:r w:rsidR="00A2684E" w:rsidRPr="000B16D5">
          <w:rPr>
            <w:rFonts w:asciiTheme="majorHAnsi" w:hAnsiTheme="majorHAnsi"/>
            <w:noProof/>
          </w:rPr>
          <w:tab/>
        </w:r>
        <w:r w:rsidR="00A2684E" w:rsidRPr="000B16D5">
          <w:rPr>
            <w:rStyle w:val="Hypertextovodkaz"/>
            <w:rFonts w:asciiTheme="majorHAnsi" w:hAnsiTheme="majorHAnsi"/>
            <w:noProof/>
          </w:rPr>
          <w:t>Druhý Mendelův zákon – zákon o náhodné segregaci alel</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_Toc380240601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26</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02" w:history="1">
        <w:r w:rsidR="00A2684E" w:rsidRPr="000B16D5">
          <w:rPr>
            <w:rStyle w:val="Hypertextovodkaz"/>
            <w:rFonts w:asciiTheme="majorHAnsi" w:hAnsiTheme="majorHAnsi"/>
            <w:noProof/>
          </w:rPr>
          <w:t>6.6</w:t>
        </w:r>
        <w:r w:rsidR="00A2684E" w:rsidRPr="000B16D5">
          <w:rPr>
            <w:rFonts w:asciiTheme="majorHAnsi" w:hAnsiTheme="majorHAnsi"/>
            <w:noProof/>
          </w:rPr>
          <w:tab/>
        </w:r>
        <w:r w:rsidR="00A2684E" w:rsidRPr="000B16D5">
          <w:rPr>
            <w:rStyle w:val="Hypertextovodkaz"/>
            <w:rFonts w:asciiTheme="majorHAnsi" w:hAnsiTheme="majorHAnsi"/>
            <w:noProof/>
          </w:rPr>
          <w:t>Třetí Mendelův zákon – zákon o nezávislosti výběru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_Toc380240602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27</w:t>
        </w:r>
        <w:r w:rsidR="00A2684E" w:rsidRPr="000B16D5">
          <w:rPr>
            <w:rFonts w:asciiTheme="majorHAnsi" w:hAnsiTheme="majorHAnsi"/>
            <w:noProof/>
            <w:webHidden/>
          </w:rPr>
          <w:fldChar w:fldCharType="end"/>
        </w:r>
      </w:hyperlink>
    </w:p>
    <w:p w:rsidR="00A2684E" w:rsidRPr="000B16D5" w:rsidRDefault="008468D9">
      <w:pPr>
        <w:pStyle w:val="Obsah1"/>
        <w:tabs>
          <w:tab w:val="left" w:pos="440"/>
          <w:tab w:val="right" w:leader="dot" w:pos="10456"/>
        </w:tabs>
        <w:rPr>
          <w:rFonts w:asciiTheme="majorHAnsi" w:hAnsiTheme="majorHAnsi"/>
          <w:noProof/>
        </w:rPr>
      </w:pPr>
      <w:hyperlink w:anchor="_Toc380240603" w:history="1">
        <w:r w:rsidR="00A2684E" w:rsidRPr="000B16D5">
          <w:rPr>
            <w:rStyle w:val="Hypertextovodkaz"/>
            <w:rFonts w:asciiTheme="majorHAnsi" w:hAnsiTheme="majorHAnsi"/>
            <w:noProof/>
          </w:rPr>
          <w:t>7</w:t>
        </w:r>
        <w:r w:rsidR="00A2684E" w:rsidRPr="000B16D5">
          <w:rPr>
            <w:rFonts w:asciiTheme="majorHAnsi" w:hAnsiTheme="majorHAnsi"/>
            <w:noProof/>
          </w:rPr>
          <w:tab/>
        </w:r>
        <w:r w:rsidR="00A2684E" w:rsidRPr="000B16D5">
          <w:rPr>
            <w:rStyle w:val="Hypertextovodkaz"/>
            <w:rFonts w:asciiTheme="majorHAnsi" w:hAnsiTheme="majorHAnsi"/>
            <w:noProof/>
          </w:rPr>
          <w:t>Nutrigenetika, nutrigenomika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_Toc380240603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29</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04" w:history="1">
        <w:r w:rsidR="00A2684E" w:rsidRPr="000B16D5">
          <w:rPr>
            <w:rStyle w:val="Hypertextovodkaz"/>
            <w:rFonts w:asciiTheme="majorHAnsi" w:hAnsiTheme="majorHAnsi"/>
            <w:noProof/>
          </w:rPr>
          <w:t>7.1</w:t>
        </w:r>
        <w:r w:rsidR="00A2684E" w:rsidRPr="000B16D5">
          <w:rPr>
            <w:rFonts w:asciiTheme="majorHAnsi" w:hAnsiTheme="majorHAnsi"/>
            <w:noProof/>
          </w:rPr>
          <w:tab/>
        </w:r>
        <w:r w:rsidR="00A2684E" w:rsidRPr="000B16D5">
          <w:rPr>
            <w:rStyle w:val="Hypertextovodkaz"/>
            <w:rFonts w:asciiTheme="majorHAnsi" w:hAnsiTheme="majorHAnsi"/>
            <w:noProof/>
          </w:rPr>
          <w:t>Nutrigenetika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_Toc380240604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30</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05" w:history="1">
        <w:r w:rsidR="00A2684E" w:rsidRPr="000B16D5">
          <w:rPr>
            <w:rStyle w:val="Hypertextovodkaz"/>
            <w:rFonts w:asciiTheme="majorHAnsi" w:hAnsiTheme="majorHAnsi"/>
            <w:noProof/>
          </w:rPr>
          <w:t>7.2</w:t>
        </w:r>
        <w:r w:rsidR="00A2684E" w:rsidRPr="000B16D5">
          <w:rPr>
            <w:rFonts w:asciiTheme="majorHAnsi" w:hAnsiTheme="majorHAnsi"/>
            <w:noProof/>
          </w:rPr>
          <w:tab/>
        </w:r>
        <w:r w:rsidR="00A2684E" w:rsidRPr="000B16D5">
          <w:rPr>
            <w:rStyle w:val="Hypertextovodkaz"/>
            <w:rFonts w:asciiTheme="majorHAnsi" w:hAnsiTheme="majorHAnsi"/>
            <w:noProof/>
          </w:rPr>
          <w:t>Nutrigenomika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_Toc380240605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30</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06" w:history="1">
        <w:r w:rsidR="00A2684E" w:rsidRPr="000B16D5">
          <w:rPr>
            <w:rStyle w:val="Hypertextovodkaz"/>
            <w:rFonts w:asciiTheme="majorHAnsi" w:hAnsiTheme="majorHAnsi"/>
            <w:noProof/>
          </w:rPr>
          <w:t>7.3</w:t>
        </w:r>
        <w:r w:rsidR="00A2684E" w:rsidRPr="000B16D5">
          <w:rPr>
            <w:rFonts w:asciiTheme="majorHAnsi" w:hAnsiTheme="majorHAnsi"/>
            <w:noProof/>
          </w:rPr>
          <w:tab/>
        </w:r>
        <w:r w:rsidR="00A2684E" w:rsidRPr="000B16D5">
          <w:rPr>
            <w:rStyle w:val="Hypertextovodkaz"/>
            <w:rFonts w:asciiTheme="majorHAnsi" w:hAnsiTheme="majorHAnsi"/>
            <w:noProof/>
          </w:rPr>
          <w:t>Vliv genetických informací na praxi nutričního terapeuta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_Toc380240606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31</w:t>
        </w:r>
        <w:r w:rsidR="00A2684E" w:rsidRPr="000B16D5">
          <w:rPr>
            <w:rFonts w:asciiTheme="majorHAnsi" w:hAnsiTheme="majorHAnsi"/>
            <w:noProof/>
            <w:webHidden/>
          </w:rPr>
          <w:fldChar w:fldCharType="end"/>
        </w:r>
      </w:hyperlink>
    </w:p>
    <w:p w:rsidR="00A2684E" w:rsidRPr="000B16D5" w:rsidRDefault="008468D9">
      <w:pPr>
        <w:pStyle w:val="Obsah1"/>
        <w:tabs>
          <w:tab w:val="left" w:pos="440"/>
          <w:tab w:val="right" w:leader="dot" w:pos="10456"/>
        </w:tabs>
        <w:rPr>
          <w:rFonts w:asciiTheme="majorHAnsi" w:hAnsiTheme="majorHAnsi"/>
          <w:noProof/>
        </w:rPr>
      </w:pPr>
      <w:hyperlink w:anchor="_Toc380240607" w:history="1">
        <w:r w:rsidR="00A2684E" w:rsidRPr="000B16D5">
          <w:rPr>
            <w:rStyle w:val="Hypertextovodkaz"/>
            <w:rFonts w:asciiTheme="majorHAnsi" w:hAnsiTheme="majorHAnsi"/>
            <w:noProof/>
          </w:rPr>
          <w:t>8</w:t>
        </w:r>
        <w:r w:rsidR="00A2684E" w:rsidRPr="000B16D5">
          <w:rPr>
            <w:rFonts w:asciiTheme="majorHAnsi" w:hAnsiTheme="majorHAnsi"/>
            <w:noProof/>
          </w:rPr>
          <w:tab/>
        </w:r>
        <w:r w:rsidR="00A2684E" w:rsidRPr="000B16D5">
          <w:rPr>
            <w:rStyle w:val="Hypertextovodkaz"/>
            <w:rFonts w:asciiTheme="majorHAnsi" w:hAnsiTheme="majorHAnsi"/>
            <w:noProof/>
          </w:rPr>
          <w:t>Genetika a výživa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_Toc380240607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34</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08" w:history="1">
        <w:r w:rsidR="00A2684E" w:rsidRPr="000B16D5">
          <w:rPr>
            <w:rStyle w:val="Hypertextovodkaz"/>
            <w:rFonts w:asciiTheme="majorHAnsi" w:hAnsiTheme="majorHAnsi"/>
            <w:noProof/>
          </w:rPr>
          <w:t>8.1</w:t>
        </w:r>
        <w:r w:rsidR="00A2684E" w:rsidRPr="000B16D5">
          <w:rPr>
            <w:rFonts w:asciiTheme="majorHAnsi" w:hAnsiTheme="majorHAnsi"/>
            <w:noProof/>
          </w:rPr>
          <w:tab/>
        </w:r>
        <w:r w:rsidR="00A2684E" w:rsidRPr="000B16D5">
          <w:rPr>
            <w:rStyle w:val="Hypertextovodkaz"/>
            <w:rFonts w:asciiTheme="majorHAnsi" w:hAnsiTheme="majorHAnsi"/>
            <w:noProof/>
          </w:rPr>
          <w:t>Strava, výživa a prevence chronických onemocnění během života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_Toc380240608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34</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09" w:history="1">
        <w:r w:rsidR="00A2684E" w:rsidRPr="000B16D5">
          <w:rPr>
            <w:rStyle w:val="Hypertextovodkaz"/>
            <w:rFonts w:asciiTheme="majorHAnsi" w:hAnsiTheme="majorHAnsi"/>
            <w:noProof/>
          </w:rPr>
          <w:t>8.2</w:t>
        </w:r>
        <w:r w:rsidR="00A2684E" w:rsidRPr="000B16D5">
          <w:rPr>
            <w:rFonts w:asciiTheme="majorHAnsi" w:hAnsiTheme="majorHAnsi"/>
            <w:noProof/>
          </w:rPr>
          <w:tab/>
        </w:r>
        <w:r w:rsidR="00A2684E" w:rsidRPr="000B16D5">
          <w:rPr>
            <w:rStyle w:val="Hypertextovodkaz"/>
            <w:rFonts w:asciiTheme="majorHAnsi" w:hAnsiTheme="majorHAnsi"/>
            <w:noProof/>
          </w:rPr>
          <w:t>Fenylketonurie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_Toc380240609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36</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0" w:history="1">
        <w:r w:rsidR="00A2684E" w:rsidRPr="000B16D5">
          <w:rPr>
            <w:rStyle w:val="Hypertextovodkaz"/>
            <w:rFonts w:asciiTheme="majorHAnsi" w:hAnsiTheme="majorHAnsi"/>
            <w:noProof/>
          </w:rPr>
          <w:t>8.3</w:t>
        </w:r>
        <w:r w:rsidR="00A2684E" w:rsidRPr="000B16D5">
          <w:rPr>
            <w:rFonts w:asciiTheme="majorHAnsi" w:hAnsiTheme="majorHAnsi"/>
            <w:noProof/>
          </w:rPr>
          <w:tab/>
        </w:r>
        <w:r w:rsidR="00A2684E" w:rsidRPr="000B16D5">
          <w:rPr>
            <w:rStyle w:val="Hypertextovodkaz"/>
            <w:rFonts w:asciiTheme="majorHAnsi" w:hAnsiTheme="majorHAnsi"/>
            <w:noProof/>
          </w:rPr>
          <w:t>Hereditární hemochromatóza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_Toc380240610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36</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1" w:history="1">
        <w:r w:rsidR="00A2684E" w:rsidRPr="000B16D5">
          <w:rPr>
            <w:rStyle w:val="Hypertextovodkaz"/>
            <w:rFonts w:asciiTheme="majorHAnsi" w:hAnsiTheme="majorHAnsi"/>
            <w:noProof/>
          </w:rPr>
          <w:t>8.4</w:t>
        </w:r>
        <w:r w:rsidR="00A2684E" w:rsidRPr="000B16D5">
          <w:rPr>
            <w:rFonts w:asciiTheme="majorHAnsi" w:hAnsiTheme="majorHAnsi"/>
            <w:noProof/>
          </w:rPr>
          <w:tab/>
        </w:r>
        <w:r w:rsidR="00A2684E" w:rsidRPr="000B16D5">
          <w:rPr>
            <w:rStyle w:val="Hypertextovodkaz"/>
            <w:rFonts w:asciiTheme="majorHAnsi" w:hAnsiTheme="majorHAnsi"/>
            <w:noProof/>
          </w:rPr>
          <w:t>Syndrom Prader-Willi</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_Toc380240611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37</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2" w:history="1">
        <w:r w:rsidR="00A2684E" w:rsidRPr="000B16D5">
          <w:rPr>
            <w:rStyle w:val="Hypertextovodkaz"/>
            <w:rFonts w:asciiTheme="majorHAnsi" w:hAnsiTheme="majorHAnsi"/>
            <w:noProof/>
          </w:rPr>
          <w:t>8.5</w:t>
        </w:r>
        <w:r w:rsidR="00A2684E" w:rsidRPr="000B16D5">
          <w:rPr>
            <w:rFonts w:asciiTheme="majorHAnsi" w:hAnsiTheme="majorHAnsi"/>
            <w:noProof/>
          </w:rPr>
          <w:tab/>
        </w:r>
        <w:r w:rsidR="00A2684E" w:rsidRPr="000B16D5">
          <w:rPr>
            <w:rStyle w:val="Hypertextovodkaz"/>
            <w:rFonts w:asciiTheme="majorHAnsi" w:hAnsiTheme="majorHAnsi"/>
            <w:noProof/>
          </w:rPr>
          <w:t>Familiární hypercholesterolémie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_Toc380240612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38</w:t>
        </w:r>
        <w:r w:rsidR="00A2684E" w:rsidRPr="000B16D5">
          <w:rPr>
            <w:rFonts w:asciiTheme="majorHAnsi" w:hAnsiTheme="majorHAnsi"/>
            <w:noProof/>
            <w:webHidden/>
          </w:rPr>
          <w:fldChar w:fldCharType="end"/>
        </w:r>
      </w:hyperlink>
    </w:p>
    <w:p w:rsidR="00A2684E" w:rsidRPr="000B16D5" w:rsidRDefault="008468D9">
      <w:pPr>
        <w:pStyle w:val="Obsah1"/>
        <w:tabs>
          <w:tab w:val="left" w:pos="440"/>
          <w:tab w:val="right" w:leader="dot" w:pos="10456"/>
        </w:tabs>
        <w:rPr>
          <w:rFonts w:asciiTheme="majorHAnsi" w:hAnsiTheme="majorHAnsi"/>
          <w:noProof/>
        </w:rPr>
      </w:pPr>
      <w:hyperlink w:anchor="_Toc380240613" w:history="1">
        <w:r w:rsidR="00A2684E" w:rsidRPr="000B16D5">
          <w:rPr>
            <w:rStyle w:val="Hypertextovodkaz"/>
            <w:rFonts w:asciiTheme="majorHAnsi" w:eastAsia="Arial Unicode MS" w:hAnsiTheme="majorHAnsi"/>
            <w:noProof/>
          </w:rPr>
          <w:t>9</w:t>
        </w:r>
        <w:r w:rsidR="00A2684E" w:rsidRPr="000B16D5">
          <w:rPr>
            <w:rFonts w:asciiTheme="majorHAnsi" w:hAnsiTheme="majorHAnsi"/>
            <w:noProof/>
          </w:rPr>
          <w:tab/>
        </w:r>
        <w:r w:rsidR="00A2684E" w:rsidRPr="000B16D5">
          <w:rPr>
            <w:rStyle w:val="Hypertextovodkaz"/>
            <w:rFonts w:asciiTheme="majorHAnsi" w:eastAsia="Arial Unicode MS" w:hAnsiTheme="majorHAnsi"/>
            <w:noProof/>
          </w:rPr>
          <w:t>Genetika obezity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_Toc380240613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40</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4" w:history="1">
        <w:r w:rsidR="00A2684E" w:rsidRPr="000B16D5">
          <w:rPr>
            <w:rStyle w:val="Hypertextovodkaz"/>
            <w:rFonts w:asciiTheme="majorHAnsi" w:hAnsiTheme="majorHAnsi"/>
            <w:noProof/>
          </w:rPr>
          <w:t>9.1</w:t>
        </w:r>
        <w:r w:rsidR="00A2684E" w:rsidRPr="000B16D5">
          <w:rPr>
            <w:rFonts w:asciiTheme="majorHAnsi" w:hAnsiTheme="majorHAnsi"/>
            <w:noProof/>
          </w:rPr>
          <w:tab/>
        </w:r>
        <w:r w:rsidR="00A2684E" w:rsidRPr="000B16D5">
          <w:rPr>
            <w:rStyle w:val="Hypertextovodkaz"/>
            <w:rFonts w:asciiTheme="majorHAnsi" w:hAnsiTheme="majorHAnsi"/>
            <w:noProof/>
          </w:rPr>
          <w:t>Úvod</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_Toc380240614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40</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5" w:history="1">
        <w:r w:rsidR="00A2684E" w:rsidRPr="000B16D5">
          <w:rPr>
            <w:rStyle w:val="Hypertextovodkaz"/>
            <w:rFonts w:asciiTheme="majorHAnsi" w:hAnsiTheme="majorHAnsi"/>
            <w:noProof/>
          </w:rPr>
          <w:t>9.2</w:t>
        </w:r>
        <w:r w:rsidR="00A2684E" w:rsidRPr="000B16D5">
          <w:rPr>
            <w:rFonts w:asciiTheme="majorHAnsi" w:hAnsiTheme="majorHAnsi"/>
            <w:noProof/>
          </w:rPr>
          <w:tab/>
        </w:r>
        <w:r w:rsidR="00A2684E" w:rsidRPr="000B16D5">
          <w:rPr>
            <w:rStyle w:val="Hypertextovodkaz"/>
            <w:rFonts w:asciiTheme="majorHAnsi" w:hAnsiTheme="majorHAnsi"/>
            <w:noProof/>
          </w:rPr>
          <w:t>Studie dvojčecí a studie adopční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_Toc380240615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40</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6" w:history="1">
        <w:r w:rsidR="00A2684E" w:rsidRPr="000B16D5">
          <w:rPr>
            <w:rStyle w:val="Hypertextovodkaz"/>
            <w:rFonts w:asciiTheme="majorHAnsi" w:eastAsia="Arial Unicode MS" w:hAnsiTheme="majorHAnsi"/>
            <w:noProof/>
          </w:rPr>
          <w:t>9.3</w:t>
        </w:r>
        <w:r w:rsidR="00A2684E" w:rsidRPr="000B16D5">
          <w:rPr>
            <w:rFonts w:asciiTheme="majorHAnsi" w:hAnsiTheme="majorHAnsi"/>
            <w:noProof/>
          </w:rPr>
          <w:tab/>
        </w:r>
        <w:r w:rsidR="00A2684E" w:rsidRPr="000B16D5">
          <w:rPr>
            <w:rStyle w:val="Hypertextovodkaz"/>
            <w:rFonts w:asciiTheme="majorHAnsi" w:eastAsia="Arial Unicode MS" w:hAnsiTheme="majorHAnsi"/>
            <w:noProof/>
          </w:rPr>
          <w:t>Studie BMI a antropometrických znaků souvisejících s obezitou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_Toc380240616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41</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7" w:history="1">
        <w:r w:rsidR="00A2684E" w:rsidRPr="000B16D5">
          <w:rPr>
            <w:rStyle w:val="Hypertextovodkaz"/>
            <w:rFonts w:asciiTheme="majorHAnsi" w:eastAsia="Arial Unicode MS" w:hAnsiTheme="majorHAnsi"/>
            <w:noProof/>
          </w:rPr>
          <w:t>9.4</w:t>
        </w:r>
        <w:r w:rsidR="00A2684E" w:rsidRPr="000B16D5">
          <w:rPr>
            <w:rFonts w:asciiTheme="majorHAnsi" w:hAnsiTheme="majorHAnsi"/>
            <w:noProof/>
          </w:rPr>
          <w:tab/>
        </w:r>
        <w:r w:rsidR="00A2684E" w:rsidRPr="000B16D5">
          <w:rPr>
            <w:rStyle w:val="Hypertextovodkaz"/>
            <w:rFonts w:asciiTheme="majorHAnsi" w:eastAsia="Arial Unicode MS" w:hAnsiTheme="majorHAnsi"/>
            <w:noProof/>
          </w:rPr>
          <w:t>Syndromické formy obezity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_Toc380240617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42</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8" w:history="1">
        <w:r w:rsidR="00A2684E" w:rsidRPr="000B16D5">
          <w:rPr>
            <w:rStyle w:val="Hypertextovodkaz"/>
            <w:rFonts w:asciiTheme="majorHAnsi" w:eastAsia="Arial Unicode MS" w:hAnsiTheme="majorHAnsi"/>
            <w:noProof/>
          </w:rPr>
          <w:t>9.5</w:t>
        </w:r>
        <w:r w:rsidR="00A2684E" w:rsidRPr="000B16D5">
          <w:rPr>
            <w:rFonts w:asciiTheme="majorHAnsi" w:hAnsiTheme="majorHAnsi"/>
            <w:noProof/>
          </w:rPr>
          <w:tab/>
        </w:r>
        <w:r w:rsidR="00A2684E" w:rsidRPr="000B16D5">
          <w:rPr>
            <w:rStyle w:val="Hypertextovodkaz"/>
            <w:rFonts w:asciiTheme="majorHAnsi" w:eastAsia="Arial Unicode MS" w:hAnsiTheme="majorHAnsi"/>
            <w:noProof/>
          </w:rPr>
          <w:t>Převážně „monogenní“ formy obezity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_Toc380240618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43</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19" w:history="1">
        <w:r w:rsidR="00A2684E" w:rsidRPr="000B16D5">
          <w:rPr>
            <w:rStyle w:val="Hypertextovodkaz"/>
            <w:rFonts w:asciiTheme="majorHAnsi" w:eastAsia="Arial Unicode MS" w:hAnsiTheme="majorHAnsi"/>
            <w:noProof/>
          </w:rPr>
          <w:t>9.6</w:t>
        </w:r>
        <w:r w:rsidR="00A2684E" w:rsidRPr="000B16D5">
          <w:rPr>
            <w:rFonts w:asciiTheme="majorHAnsi" w:hAnsiTheme="majorHAnsi"/>
            <w:noProof/>
          </w:rPr>
          <w:tab/>
        </w:r>
        <w:r w:rsidR="00A2684E" w:rsidRPr="000B16D5">
          <w:rPr>
            <w:rStyle w:val="Hypertextovodkaz"/>
            <w:rFonts w:asciiTheme="majorHAnsi" w:eastAsia="Arial Unicode MS" w:hAnsiTheme="majorHAnsi"/>
            <w:noProof/>
          </w:rPr>
          <w:t>„Chybějící dědičnost u obezity“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_Toc380240619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50</w:t>
        </w:r>
        <w:r w:rsidR="00A2684E" w:rsidRPr="000B16D5">
          <w:rPr>
            <w:rFonts w:asciiTheme="majorHAnsi" w:hAnsiTheme="majorHAnsi"/>
            <w:noProof/>
            <w:webHidden/>
          </w:rPr>
          <w:fldChar w:fldCharType="end"/>
        </w:r>
      </w:hyperlink>
    </w:p>
    <w:p w:rsidR="00A2684E" w:rsidRPr="000B16D5" w:rsidRDefault="008468D9" w:rsidP="00A2684E">
      <w:pPr>
        <w:pStyle w:val="Obsah1"/>
        <w:tabs>
          <w:tab w:val="left" w:pos="660"/>
          <w:tab w:val="right" w:leader="dot" w:pos="10456"/>
        </w:tabs>
        <w:rPr>
          <w:rFonts w:asciiTheme="majorHAnsi" w:hAnsiTheme="majorHAnsi"/>
          <w:noProof/>
        </w:rPr>
      </w:pPr>
      <w:hyperlink w:anchor="_Toc380240620" w:history="1">
        <w:r w:rsidR="00A2684E" w:rsidRPr="000B16D5">
          <w:rPr>
            <w:rStyle w:val="Hypertextovodkaz"/>
            <w:rFonts w:asciiTheme="majorHAnsi" w:hAnsiTheme="majorHAnsi"/>
            <w:noProof/>
          </w:rPr>
          <w:t>10</w:t>
        </w:r>
        <w:r w:rsidR="00A2684E" w:rsidRPr="000B16D5">
          <w:rPr>
            <w:rFonts w:asciiTheme="majorHAnsi" w:hAnsiTheme="majorHAnsi"/>
            <w:noProof/>
          </w:rPr>
          <w:tab/>
        </w:r>
        <w:r w:rsidR="00A2684E" w:rsidRPr="000B16D5">
          <w:rPr>
            <w:rStyle w:val="Hypertextovodkaz"/>
            <w:rFonts w:asciiTheme="majorHAnsi" w:hAnsiTheme="majorHAnsi"/>
            <w:noProof/>
          </w:rPr>
          <w:t>Geny, Metabolismus vitamínu D a vztah k nejrůznějším</w:t>
        </w:r>
      </w:hyperlink>
      <w:r w:rsidR="00A2684E" w:rsidRPr="000B16D5">
        <w:rPr>
          <w:rStyle w:val="Hypertextovodkaz"/>
          <w:rFonts w:asciiTheme="majorHAnsi" w:hAnsiTheme="majorHAnsi"/>
          <w:noProof/>
        </w:rPr>
        <w:t xml:space="preserve"> </w:t>
      </w:r>
      <w:hyperlink w:anchor="_Toc380240621" w:history="1">
        <w:r w:rsidR="00A2684E" w:rsidRPr="000B16D5">
          <w:rPr>
            <w:rStyle w:val="Hypertextovodkaz"/>
            <w:rFonts w:asciiTheme="majorHAnsi" w:hAnsiTheme="majorHAnsi"/>
            <w:noProof/>
          </w:rPr>
          <w:t>patologiím</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_Toc380240621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55</w:t>
        </w:r>
        <w:r w:rsidR="00A2684E" w:rsidRPr="000B16D5">
          <w:rPr>
            <w:rFonts w:asciiTheme="majorHAnsi" w:hAnsiTheme="majorHAnsi"/>
            <w:noProof/>
            <w:webHidden/>
          </w:rPr>
          <w:fldChar w:fldCharType="end"/>
        </w:r>
      </w:hyperlink>
    </w:p>
    <w:p w:rsidR="00A2684E" w:rsidRPr="000B16D5" w:rsidRDefault="008468D9">
      <w:pPr>
        <w:pStyle w:val="Obsah1"/>
        <w:tabs>
          <w:tab w:val="left" w:pos="660"/>
          <w:tab w:val="right" w:leader="dot" w:pos="10456"/>
        </w:tabs>
        <w:rPr>
          <w:rFonts w:asciiTheme="majorHAnsi" w:hAnsiTheme="majorHAnsi"/>
          <w:noProof/>
        </w:rPr>
      </w:pPr>
      <w:hyperlink w:anchor="_Toc380240622" w:history="1">
        <w:r w:rsidR="00A2684E" w:rsidRPr="000B16D5">
          <w:rPr>
            <w:rStyle w:val="Hypertextovodkaz"/>
            <w:rFonts w:asciiTheme="majorHAnsi" w:hAnsiTheme="majorHAnsi"/>
            <w:noProof/>
          </w:rPr>
          <w:t>11</w:t>
        </w:r>
        <w:r w:rsidR="00A2684E" w:rsidRPr="000B16D5">
          <w:rPr>
            <w:rFonts w:asciiTheme="majorHAnsi" w:hAnsiTheme="majorHAnsi"/>
            <w:noProof/>
          </w:rPr>
          <w:tab/>
        </w:r>
        <w:r w:rsidR="00A2684E" w:rsidRPr="000B16D5">
          <w:rPr>
            <w:rStyle w:val="Hypertextovodkaz"/>
            <w:rFonts w:asciiTheme="majorHAnsi" w:hAnsiTheme="majorHAnsi"/>
            <w:noProof/>
          </w:rPr>
          <w:t>Intolerance laktózy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_Toc380240622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58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23" w:history="1">
        <w:r w:rsidR="00A2684E" w:rsidRPr="000B16D5">
          <w:rPr>
            <w:rStyle w:val="Hypertextovodkaz"/>
            <w:rFonts w:asciiTheme="majorHAnsi" w:hAnsiTheme="majorHAnsi"/>
            <w:noProof/>
          </w:rPr>
          <w:t>11.1</w:t>
        </w:r>
        <w:r w:rsidR="00A2684E" w:rsidRPr="000B16D5">
          <w:rPr>
            <w:rFonts w:asciiTheme="majorHAnsi" w:hAnsiTheme="majorHAnsi"/>
            <w:noProof/>
          </w:rPr>
          <w:tab/>
        </w:r>
        <w:r w:rsidR="00A2684E" w:rsidRPr="000B16D5">
          <w:rPr>
            <w:rStyle w:val="Hypertextovodkaz"/>
            <w:rFonts w:asciiTheme="majorHAnsi" w:hAnsiTheme="majorHAnsi"/>
            <w:noProof/>
          </w:rPr>
          <w:t>Laktóza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_Toc380240623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58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24" w:history="1">
        <w:r w:rsidR="00A2684E" w:rsidRPr="000B16D5">
          <w:rPr>
            <w:rStyle w:val="Hypertextovodkaz"/>
            <w:rFonts w:asciiTheme="majorHAnsi" w:hAnsiTheme="majorHAnsi"/>
            <w:noProof/>
          </w:rPr>
          <w:t>11.2</w:t>
        </w:r>
        <w:r w:rsidR="00A2684E" w:rsidRPr="000B16D5">
          <w:rPr>
            <w:rFonts w:asciiTheme="majorHAnsi" w:hAnsiTheme="majorHAnsi"/>
            <w:noProof/>
          </w:rPr>
          <w:tab/>
        </w:r>
        <w:r w:rsidR="00A2684E" w:rsidRPr="000B16D5">
          <w:rPr>
            <w:rStyle w:val="Hypertextovodkaz"/>
            <w:rFonts w:asciiTheme="majorHAnsi" w:hAnsiTheme="majorHAnsi"/>
            <w:noProof/>
          </w:rPr>
          <w:t>Patofyziologie laktózové intolerance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_Toc380240624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58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25" w:history="1">
        <w:r w:rsidR="00A2684E" w:rsidRPr="000B16D5">
          <w:rPr>
            <w:rStyle w:val="Hypertextovodkaz"/>
            <w:rFonts w:asciiTheme="majorHAnsi" w:hAnsiTheme="majorHAnsi"/>
            <w:noProof/>
          </w:rPr>
          <w:t>11.3</w:t>
        </w:r>
        <w:r w:rsidR="00A2684E" w:rsidRPr="000B16D5">
          <w:rPr>
            <w:rFonts w:asciiTheme="majorHAnsi" w:hAnsiTheme="majorHAnsi"/>
            <w:noProof/>
          </w:rPr>
          <w:tab/>
        </w:r>
        <w:r w:rsidR="00A2684E" w:rsidRPr="000B16D5">
          <w:rPr>
            <w:rStyle w:val="Hypertextovodkaz"/>
            <w:rFonts w:asciiTheme="majorHAnsi" w:hAnsiTheme="majorHAnsi"/>
            <w:noProof/>
          </w:rPr>
          <w:t>Prevalence v kontextu geografie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_Toc380240625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58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26" w:history="1">
        <w:r w:rsidR="00A2684E" w:rsidRPr="000B16D5">
          <w:rPr>
            <w:rStyle w:val="Hypertextovodkaz"/>
            <w:rFonts w:asciiTheme="majorHAnsi" w:hAnsiTheme="majorHAnsi"/>
            <w:noProof/>
          </w:rPr>
          <w:t>11.4</w:t>
        </w:r>
        <w:r w:rsidR="00A2684E" w:rsidRPr="000B16D5">
          <w:rPr>
            <w:rFonts w:asciiTheme="majorHAnsi" w:hAnsiTheme="majorHAnsi"/>
            <w:noProof/>
          </w:rPr>
          <w:tab/>
        </w:r>
        <w:r w:rsidR="00A2684E" w:rsidRPr="000B16D5">
          <w:rPr>
            <w:rStyle w:val="Hypertextovodkaz"/>
            <w:rFonts w:asciiTheme="majorHAnsi" w:hAnsiTheme="majorHAnsi"/>
            <w:noProof/>
          </w:rPr>
          <w:t>Diagnostika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_Toc380240626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58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27" w:history="1">
        <w:r w:rsidR="00A2684E" w:rsidRPr="000B16D5">
          <w:rPr>
            <w:rStyle w:val="Hypertextovodkaz"/>
            <w:rFonts w:asciiTheme="majorHAnsi" w:hAnsiTheme="majorHAnsi"/>
            <w:noProof/>
          </w:rPr>
          <w:t>11.5</w:t>
        </w:r>
        <w:r w:rsidR="00A2684E" w:rsidRPr="000B16D5">
          <w:rPr>
            <w:rFonts w:asciiTheme="majorHAnsi" w:hAnsiTheme="majorHAnsi"/>
            <w:noProof/>
          </w:rPr>
          <w:tab/>
        </w:r>
        <w:r w:rsidR="00A2684E" w:rsidRPr="000B16D5">
          <w:rPr>
            <w:rStyle w:val="Hypertextovodkaz"/>
            <w:rFonts w:asciiTheme="majorHAnsi" w:hAnsiTheme="majorHAnsi"/>
            <w:noProof/>
          </w:rPr>
          <w:t>Terapie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_Toc380240627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59</w:t>
        </w:r>
        <w:r w:rsidR="00A2684E" w:rsidRPr="000B16D5">
          <w:rPr>
            <w:rFonts w:asciiTheme="majorHAnsi" w:hAnsiTheme="majorHAnsi"/>
            <w:noProof/>
            <w:webHidden/>
          </w:rPr>
          <w:fldChar w:fldCharType="end"/>
        </w:r>
      </w:hyperlink>
    </w:p>
    <w:p w:rsidR="00A2684E" w:rsidRPr="000B16D5" w:rsidRDefault="008468D9">
      <w:pPr>
        <w:pStyle w:val="Obsah1"/>
        <w:tabs>
          <w:tab w:val="left" w:pos="660"/>
          <w:tab w:val="right" w:leader="dot" w:pos="10456"/>
        </w:tabs>
        <w:rPr>
          <w:rFonts w:asciiTheme="majorHAnsi" w:hAnsiTheme="majorHAnsi"/>
          <w:noProof/>
        </w:rPr>
      </w:pPr>
      <w:hyperlink w:anchor="_Toc380240628" w:history="1">
        <w:r w:rsidR="00A2684E" w:rsidRPr="000B16D5">
          <w:rPr>
            <w:rStyle w:val="Hypertextovodkaz"/>
            <w:rFonts w:asciiTheme="majorHAnsi" w:hAnsiTheme="majorHAnsi"/>
            <w:noProof/>
          </w:rPr>
          <w:t>12</w:t>
        </w:r>
        <w:r w:rsidR="00A2684E" w:rsidRPr="000B16D5">
          <w:rPr>
            <w:rFonts w:asciiTheme="majorHAnsi" w:hAnsiTheme="majorHAnsi"/>
            <w:noProof/>
          </w:rPr>
          <w:tab/>
        </w:r>
        <w:r w:rsidR="00A2684E" w:rsidRPr="000B16D5">
          <w:rPr>
            <w:rStyle w:val="Hypertextovodkaz"/>
            <w:rFonts w:asciiTheme="majorHAnsi" w:hAnsiTheme="majorHAnsi"/>
            <w:noProof/>
          </w:rPr>
          <w:t>Nutrienty a mozkové funkce u člověka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_Toc380240628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60</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29" w:history="1">
        <w:r w:rsidR="00A2684E" w:rsidRPr="000B16D5">
          <w:rPr>
            <w:rStyle w:val="Hypertextovodkaz"/>
            <w:rFonts w:asciiTheme="majorHAnsi" w:hAnsiTheme="majorHAnsi"/>
            <w:noProof/>
          </w:rPr>
          <w:t>12.1</w:t>
        </w:r>
        <w:r w:rsidR="00A2684E" w:rsidRPr="000B16D5">
          <w:rPr>
            <w:rFonts w:asciiTheme="majorHAnsi" w:hAnsiTheme="majorHAnsi"/>
            <w:noProof/>
          </w:rPr>
          <w:tab/>
        </w:r>
        <w:r w:rsidR="00A2684E" w:rsidRPr="000B16D5">
          <w:rPr>
            <w:rStyle w:val="Hypertextovodkaz"/>
            <w:rFonts w:asciiTheme="majorHAnsi" w:hAnsiTheme="majorHAnsi"/>
            <w:noProof/>
          </w:rPr>
          <w:t>Vliv výživy na CNS</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_Toc380240629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60</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0" w:history="1">
        <w:r w:rsidR="00A2684E" w:rsidRPr="000B16D5">
          <w:rPr>
            <w:rStyle w:val="Hypertextovodkaz"/>
            <w:rFonts w:asciiTheme="majorHAnsi" w:hAnsiTheme="majorHAnsi"/>
            <w:noProof/>
          </w:rPr>
          <w:t>12.2</w:t>
        </w:r>
        <w:r w:rsidR="00A2684E" w:rsidRPr="000B16D5">
          <w:rPr>
            <w:rFonts w:asciiTheme="majorHAnsi" w:hAnsiTheme="majorHAnsi"/>
            <w:noProof/>
          </w:rPr>
          <w:tab/>
        </w:r>
        <w:r w:rsidR="00A2684E" w:rsidRPr="000B16D5">
          <w:rPr>
            <w:rStyle w:val="Hypertextovodkaz"/>
            <w:rFonts w:asciiTheme="majorHAnsi" w:hAnsiTheme="majorHAnsi"/>
            <w:noProof/>
          </w:rPr>
          <w:t>význam věku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_Toc380240630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62</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1" w:history="1">
        <w:r w:rsidR="00A2684E" w:rsidRPr="000B16D5">
          <w:rPr>
            <w:rStyle w:val="Hypertextovodkaz"/>
            <w:rFonts w:asciiTheme="majorHAnsi" w:hAnsiTheme="majorHAnsi"/>
            <w:noProof/>
          </w:rPr>
          <w:t>12.3</w:t>
        </w:r>
        <w:r w:rsidR="00A2684E" w:rsidRPr="000B16D5">
          <w:rPr>
            <w:rFonts w:asciiTheme="majorHAnsi" w:hAnsiTheme="majorHAnsi"/>
            <w:noProof/>
          </w:rPr>
          <w:tab/>
        </w:r>
        <w:r w:rsidR="00A2684E" w:rsidRPr="000B16D5">
          <w:rPr>
            <w:rStyle w:val="Hypertextovodkaz"/>
            <w:rFonts w:asciiTheme="majorHAnsi" w:hAnsiTheme="majorHAnsi"/>
            <w:noProof/>
          </w:rPr>
          <w:t>význam genových polymorfizmů pro cns: role bdnf</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_Toc380240631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63</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2" w:history="1">
        <w:r w:rsidR="00A2684E" w:rsidRPr="000B16D5">
          <w:rPr>
            <w:rStyle w:val="Hypertextovodkaz"/>
            <w:rFonts w:asciiTheme="majorHAnsi" w:hAnsiTheme="majorHAnsi"/>
            <w:noProof/>
          </w:rPr>
          <w:t>12.4</w:t>
        </w:r>
        <w:r w:rsidR="00A2684E" w:rsidRPr="000B16D5">
          <w:rPr>
            <w:rFonts w:asciiTheme="majorHAnsi" w:hAnsiTheme="majorHAnsi"/>
            <w:noProof/>
          </w:rPr>
          <w:tab/>
        </w:r>
        <w:r w:rsidR="00A2684E" w:rsidRPr="000B16D5">
          <w:rPr>
            <w:rStyle w:val="Hypertextovodkaz"/>
            <w:rFonts w:asciiTheme="majorHAnsi" w:hAnsiTheme="majorHAnsi"/>
            <w:noProof/>
          </w:rPr>
          <w:t>Možnosti dietetického ovlivnění/ prevence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_Toc380240632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63</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3" w:history="1">
        <w:r w:rsidR="00A2684E" w:rsidRPr="000B16D5">
          <w:rPr>
            <w:rStyle w:val="Hypertextovodkaz"/>
            <w:rFonts w:asciiTheme="majorHAnsi" w:hAnsiTheme="majorHAnsi"/>
            <w:bCs/>
            <w:noProof/>
          </w:rPr>
          <w:t>12.5</w:t>
        </w:r>
        <w:r w:rsidR="00A2684E" w:rsidRPr="000B16D5">
          <w:rPr>
            <w:rFonts w:asciiTheme="majorHAnsi" w:hAnsiTheme="majorHAnsi"/>
            <w:noProof/>
          </w:rPr>
          <w:tab/>
        </w:r>
        <w:r w:rsidR="00A2684E" w:rsidRPr="000B16D5">
          <w:rPr>
            <w:rStyle w:val="Hypertextovodkaz"/>
            <w:rFonts w:asciiTheme="majorHAnsi" w:hAnsiTheme="majorHAnsi"/>
            <w:noProof/>
          </w:rPr>
          <w:t xml:space="preserve">konkrétní </w:t>
        </w:r>
        <w:r w:rsidR="00A2684E" w:rsidRPr="000B16D5">
          <w:rPr>
            <w:rStyle w:val="Hypertextovodkaz"/>
            <w:rFonts w:asciiTheme="majorHAnsi" w:hAnsiTheme="majorHAnsi"/>
            <w:bCs/>
            <w:noProof/>
          </w:rPr>
          <w:t>Nutrienty</w:t>
        </w:r>
        <w:r w:rsidR="00A2684E" w:rsidRPr="000B16D5">
          <w:rPr>
            <w:rStyle w:val="Hypertextovodkaz"/>
            <w:rFonts w:asciiTheme="majorHAnsi" w:hAnsiTheme="majorHAnsi"/>
            <w:noProof/>
          </w:rPr>
          <w:t xml:space="preserve"> ovlivňující funkce Cns </w:t>
        </w:r>
        <w:r w:rsidR="00A2684E" w:rsidRPr="000B16D5">
          <w:rPr>
            <w:rStyle w:val="Hypertextovodkaz"/>
            <w:rFonts w:asciiTheme="majorHAnsi" w:hAnsiTheme="majorHAnsi"/>
            <w:bCs/>
            <w:noProof/>
          </w:rPr>
          <w:t>a jejich výskyt</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_Toc380240633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63</w:t>
        </w:r>
        <w:r w:rsidR="00A2684E" w:rsidRPr="000B16D5">
          <w:rPr>
            <w:rFonts w:asciiTheme="majorHAnsi" w:hAnsiTheme="majorHAnsi"/>
            <w:noProof/>
            <w:webHidden/>
          </w:rPr>
          <w:fldChar w:fldCharType="end"/>
        </w:r>
      </w:hyperlink>
    </w:p>
    <w:p w:rsidR="00A2684E" w:rsidRPr="000B16D5" w:rsidRDefault="008468D9">
      <w:pPr>
        <w:pStyle w:val="Obsah1"/>
        <w:tabs>
          <w:tab w:val="left" w:pos="660"/>
          <w:tab w:val="right" w:leader="dot" w:pos="10456"/>
        </w:tabs>
        <w:rPr>
          <w:rFonts w:asciiTheme="majorHAnsi" w:hAnsiTheme="majorHAnsi"/>
          <w:noProof/>
        </w:rPr>
      </w:pPr>
      <w:hyperlink w:anchor="_Toc380240634" w:history="1">
        <w:r w:rsidR="00A2684E" w:rsidRPr="000B16D5">
          <w:rPr>
            <w:rStyle w:val="Hypertextovodkaz"/>
            <w:rFonts w:asciiTheme="majorHAnsi" w:hAnsiTheme="majorHAnsi"/>
            <w:noProof/>
          </w:rPr>
          <w:t>13</w:t>
        </w:r>
        <w:r w:rsidR="00A2684E" w:rsidRPr="000B16D5">
          <w:rPr>
            <w:rFonts w:asciiTheme="majorHAnsi" w:hAnsiTheme="majorHAnsi"/>
            <w:noProof/>
          </w:rPr>
          <w:tab/>
        </w:r>
        <w:r w:rsidR="00A2684E" w:rsidRPr="000B16D5">
          <w:rPr>
            <w:rStyle w:val="Hypertextovodkaz"/>
            <w:rFonts w:asciiTheme="majorHAnsi" w:hAnsiTheme="majorHAnsi"/>
            <w:noProof/>
          </w:rPr>
          <w:t>Genetika, výživa a kardiovaskulární choroby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_Toc380240634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5" w:history="1">
        <w:r w:rsidR="00A2684E" w:rsidRPr="000B16D5">
          <w:rPr>
            <w:rStyle w:val="Hypertextovodkaz"/>
            <w:rFonts w:asciiTheme="majorHAnsi" w:hAnsiTheme="majorHAnsi"/>
            <w:noProof/>
          </w:rPr>
          <w:t>13.1</w:t>
        </w:r>
        <w:r w:rsidR="00A2684E" w:rsidRPr="000B16D5">
          <w:rPr>
            <w:rFonts w:asciiTheme="majorHAnsi" w:hAnsiTheme="majorHAnsi"/>
            <w:noProof/>
          </w:rPr>
          <w:tab/>
        </w:r>
        <w:r w:rsidR="00A2684E" w:rsidRPr="000B16D5">
          <w:rPr>
            <w:rStyle w:val="Hypertextovodkaz"/>
            <w:rFonts w:asciiTheme="majorHAnsi" w:hAnsiTheme="majorHAnsi"/>
            <w:noProof/>
          </w:rPr>
          <w:t>Úvod</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_Toc380240635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6" w:history="1">
        <w:r w:rsidR="00A2684E" w:rsidRPr="000B16D5">
          <w:rPr>
            <w:rStyle w:val="Hypertextovodkaz"/>
            <w:rFonts w:asciiTheme="majorHAnsi" w:hAnsiTheme="majorHAnsi"/>
            <w:noProof/>
          </w:rPr>
          <w:t>13.2</w:t>
        </w:r>
        <w:r w:rsidR="00A2684E" w:rsidRPr="000B16D5">
          <w:rPr>
            <w:rFonts w:asciiTheme="majorHAnsi" w:hAnsiTheme="majorHAnsi"/>
            <w:noProof/>
          </w:rPr>
          <w:tab/>
        </w:r>
        <w:r w:rsidR="00A2684E" w:rsidRPr="000B16D5">
          <w:rPr>
            <w:rStyle w:val="Hypertextovodkaz"/>
            <w:rFonts w:asciiTheme="majorHAnsi" w:hAnsiTheme="majorHAnsi"/>
            <w:noProof/>
          </w:rPr>
          <w:t>Kardiovaskulární rizikové faktory a genetická variabilita</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_Toc380240636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7" w:history="1">
        <w:r w:rsidR="00A2684E" w:rsidRPr="000B16D5">
          <w:rPr>
            <w:rStyle w:val="Hypertextovodkaz"/>
            <w:rFonts w:asciiTheme="majorHAnsi" w:hAnsiTheme="majorHAnsi"/>
            <w:noProof/>
          </w:rPr>
          <w:t>13.3</w:t>
        </w:r>
        <w:r w:rsidR="00A2684E" w:rsidRPr="000B16D5">
          <w:rPr>
            <w:rFonts w:asciiTheme="majorHAnsi" w:hAnsiTheme="majorHAnsi"/>
            <w:noProof/>
          </w:rPr>
          <w:tab/>
        </w:r>
        <w:r w:rsidR="00A2684E" w:rsidRPr="000B16D5">
          <w:rPr>
            <w:rStyle w:val="Hypertextovodkaz"/>
            <w:rFonts w:asciiTheme="majorHAnsi" w:hAnsiTheme="majorHAnsi"/>
            <w:noProof/>
          </w:rPr>
          <w:t>Ovlivnění kardiovaskulárního rizika v časném vývoji jedince</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_Toc380240637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67</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8" w:history="1">
        <w:r w:rsidR="00A2684E" w:rsidRPr="000B16D5">
          <w:rPr>
            <w:rStyle w:val="Hypertextovodkaz"/>
            <w:rFonts w:asciiTheme="majorHAnsi" w:hAnsiTheme="majorHAnsi"/>
            <w:noProof/>
          </w:rPr>
          <w:t>13.4</w:t>
        </w:r>
        <w:r w:rsidR="00A2684E" w:rsidRPr="000B16D5">
          <w:rPr>
            <w:rFonts w:asciiTheme="majorHAnsi" w:hAnsiTheme="majorHAnsi"/>
            <w:noProof/>
          </w:rPr>
          <w:tab/>
        </w:r>
        <w:r w:rsidR="00A2684E" w:rsidRPr="000B16D5">
          <w:rPr>
            <w:rStyle w:val="Hypertextovodkaz"/>
            <w:rFonts w:asciiTheme="majorHAnsi" w:hAnsiTheme="majorHAnsi"/>
            <w:noProof/>
          </w:rPr>
          <w:t>Monogenní nemoci</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_Toc380240638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39" w:history="1">
        <w:r w:rsidR="00A2684E" w:rsidRPr="000B16D5">
          <w:rPr>
            <w:rStyle w:val="Hypertextovodkaz"/>
            <w:rFonts w:asciiTheme="majorHAnsi" w:hAnsiTheme="majorHAnsi"/>
            <w:noProof/>
          </w:rPr>
          <w:t>13.5</w:t>
        </w:r>
        <w:r w:rsidR="00A2684E" w:rsidRPr="000B16D5">
          <w:rPr>
            <w:rFonts w:asciiTheme="majorHAnsi" w:hAnsiTheme="majorHAnsi"/>
            <w:noProof/>
          </w:rPr>
          <w:tab/>
        </w:r>
        <w:r w:rsidR="00A2684E" w:rsidRPr="000B16D5">
          <w:rPr>
            <w:rStyle w:val="Hypertextovodkaz"/>
            <w:rFonts w:asciiTheme="majorHAnsi" w:hAnsiTheme="majorHAnsi"/>
            <w:noProof/>
          </w:rPr>
          <w:t>Polygenní nemoci</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_Toc380240639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68</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40" w:history="1">
        <w:r w:rsidR="00A2684E" w:rsidRPr="000B16D5">
          <w:rPr>
            <w:rStyle w:val="Hypertextovodkaz"/>
            <w:rFonts w:asciiTheme="majorHAnsi" w:hAnsiTheme="majorHAnsi"/>
            <w:noProof/>
          </w:rPr>
          <w:t>13.6</w:t>
        </w:r>
        <w:r w:rsidR="00A2684E" w:rsidRPr="000B16D5">
          <w:rPr>
            <w:rFonts w:asciiTheme="majorHAnsi" w:hAnsiTheme="majorHAnsi"/>
            <w:noProof/>
          </w:rPr>
          <w:tab/>
        </w:r>
        <w:r w:rsidR="00A2684E" w:rsidRPr="000B16D5">
          <w:rPr>
            <w:rStyle w:val="Hypertextovodkaz"/>
            <w:rFonts w:asciiTheme="majorHAnsi" w:hAnsiTheme="majorHAnsi"/>
            <w:noProof/>
          </w:rPr>
          <w:t>Trombembolická nemoc (žilní trombóza; TEN)</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_Toc380240640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73</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41" w:history="1">
        <w:r w:rsidR="00A2684E" w:rsidRPr="000B16D5">
          <w:rPr>
            <w:rStyle w:val="Hypertextovodkaz"/>
            <w:rFonts w:asciiTheme="majorHAnsi" w:hAnsiTheme="majorHAnsi"/>
            <w:noProof/>
          </w:rPr>
          <w:t>13.7</w:t>
        </w:r>
        <w:r w:rsidR="00A2684E" w:rsidRPr="000B16D5">
          <w:rPr>
            <w:rFonts w:asciiTheme="majorHAnsi" w:hAnsiTheme="majorHAnsi"/>
            <w:noProof/>
          </w:rPr>
          <w:tab/>
        </w:r>
        <w:r w:rsidR="00A2684E" w:rsidRPr="000B16D5">
          <w:rPr>
            <w:rStyle w:val="Hypertextovodkaz"/>
            <w:rFonts w:asciiTheme="majorHAnsi" w:hAnsiTheme="majorHAnsi"/>
            <w:noProof/>
          </w:rPr>
          <w:t>Závěr – výživa v prevenci a terapii monogenních a polygenních kardiovaskulárních nemocí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_Toc380240641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73</w:t>
        </w:r>
        <w:r w:rsidR="00A2684E" w:rsidRPr="000B16D5">
          <w:rPr>
            <w:rFonts w:asciiTheme="majorHAnsi" w:hAnsiTheme="majorHAnsi"/>
            <w:noProof/>
            <w:webHidden/>
          </w:rPr>
          <w:fldChar w:fldCharType="end"/>
        </w:r>
      </w:hyperlink>
    </w:p>
    <w:p w:rsidR="00A2684E" w:rsidRPr="000B16D5" w:rsidRDefault="008468D9">
      <w:pPr>
        <w:pStyle w:val="Obsah1"/>
        <w:tabs>
          <w:tab w:val="left" w:pos="660"/>
          <w:tab w:val="right" w:leader="dot" w:pos="10456"/>
        </w:tabs>
        <w:rPr>
          <w:rFonts w:asciiTheme="majorHAnsi" w:hAnsiTheme="majorHAnsi"/>
          <w:noProof/>
        </w:rPr>
      </w:pPr>
      <w:hyperlink w:anchor="_Toc380240642" w:history="1">
        <w:r w:rsidR="00A2684E" w:rsidRPr="000B16D5">
          <w:rPr>
            <w:rStyle w:val="Hypertextovodkaz"/>
            <w:rFonts w:asciiTheme="majorHAnsi" w:hAnsiTheme="majorHAnsi"/>
            <w:noProof/>
          </w:rPr>
          <w:t>14</w:t>
        </w:r>
        <w:r w:rsidR="00A2684E" w:rsidRPr="000B16D5">
          <w:rPr>
            <w:rFonts w:asciiTheme="majorHAnsi" w:hAnsiTheme="majorHAnsi"/>
            <w:noProof/>
          </w:rPr>
          <w:tab/>
        </w:r>
        <w:r w:rsidR="00A2684E" w:rsidRPr="000B16D5">
          <w:rPr>
            <w:rStyle w:val="Hypertextovodkaz"/>
            <w:rFonts w:asciiTheme="majorHAnsi" w:hAnsiTheme="majorHAnsi"/>
            <w:noProof/>
          </w:rPr>
          <w:t>Genetika, výživa a diabetes</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_Toc380240642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75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43" w:history="1">
        <w:r w:rsidR="00A2684E" w:rsidRPr="000B16D5">
          <w:rPr>
            <w:rStyle w:val="Hypertextovodkaz"/>
            <w:rFonts w:asciiTheme="majorHAnsi" w:hAnsiTheme="majorHAnsi"/>
            <w:noProof/>
          </w:rPr>
          <w:t>14.1</w:t>
        </w:r>
        <w:r w:rsidR="00A2684E" w:rsidRPr="000B16D5">
          <w:rPr>
            <w:rFonts w:asciiTheme="majorHAnsi" w:hAnsiTheme="majorHAnsi"/>
            <w:noProof/>
          </w:rPr>
          <w:tab/>
        </w:r>
        <w:r w:rsidR="00A2684E" w:rsidRPr="000B16D5">
          <w:rPr>
            <w:rStyle w:val="Hypertextovodkaz"/>
            <w:rFonts w:asciiTheme="majorHAnsi" w:hAnsiTheme="majorHAnsi"/>
            <w:noProof/>
          </w:rPr>
          <w:t>Monogenní formy diabetu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_Toc380240643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75</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44" w:history="1">
        <w:r w:rsidR="00A2684E" w:rsidRPr="000B16D5">
          <w:rPr>
            <w:rStyle w:val="Hypertextovodkaz"/>
            <w:rFonts w:asciiTheme="majorHAnsi" w:hAnsiTheme="majorHAnsi"/>
            <w:noProof/>
          </w:rPr>
          <w:t>14.2</w:t>
        </w:r>
        <w:r w:rsidR="00A2684E" w:rsidRPr="000B16D5">
          <w:rPr>
            <w:rFonts w:asciiTheme="majorHAnsi" w:hAnsiTheme="majorHAnsi"/>
            <w:noProof/>
          </w:rPr>
          <w:tab/>
        </w:r>
        <w:r w:rsidR="00A2684E" w:rsidRPr="000B16D5">
          <w:rPr>
            <w:rStyle w:val="Hypertextovodkaz"/>
            <w:rFonts w:asciiTheme="majorHAnsi" w:hAnsiTheme="majorHAnsi"/>
            <w:noProof/>
          </w:rPr>
          <w:t>Polygenní formy diabetu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_Toc380240644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76</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45" w:history="1">
        <w:r w:rsidR="00A2684E" w:rsidRPr="000B16D5">
          <w:rPr>
            <w:rStyle w:val="Hypertextovodkaz"/>
            <w:rFonts w:asciiTheme="majorHAnsi" w:hAnsiTheme="majorHAnsi"/>
            <w:noProof/>
          </w:rPr>
          <w:t>14.3</w:t>
        </w:r>
        <w:r w:rsidR="00A2684E" w:rsidRPr="000B16D5">
          <w:rPr>
            <w:rFonts w:asciiTheme="majorHAnsi" w:hAnsiTheme="majorHAnsi"/>
            <w:noProof/>
          </w:rPr>
          <w:tab/>
        </w:r>
        <w:r w:rsidR="00A2684E" w:rsidRPr="000B16D5">
          <w:rPr>
            <w:rStyle w:val="Hypertextovodkaz"/>
            <w:rFonts w:asciiTheme="majorHAnsi" w:hAnsiTheme="majorHAnsi"/>
            <w:noProof/>
          </w:rPr>
          <w:t>Diabetes a složení stravy</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_Toc380240645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77</w:t>
        </w:r>
        <w:r w:rsidR="00A2684E" w:rsidRPr="000B16D5">
          <w:rPr>
            <w:rFonts w:asciiTheme="majorHAnsi" w:hAnsiTheme="majorHAnsi"/>
            <w:noProof/>
            <w:webHidden/>
          </w:rPr>
          <w:fldChar w:fldCharType="end"/>
        </w:r>
      </w:hyperlink>
    </w:p>
    <w:p w:rsidR="00A2684E" w:rsidRPr="000B16D5" w:rsidRDefault="008468D9">
      <w:pPr>
        <w:pStyle w:val="Obsah1"/>
        <w:tabs>
          <w:tab w:val="left" w:pos="660"/>
          <w:tab w:val="right" w:leader="dot" w:pos="10456"/>
        </w:tabs>
        <w:rPr>
          <w:rFonts w:asciiTheme="majorHAnsi" w:hAnsiTheme="majorHAnsi"/>
          <w:noProof/>
        </w:rPr>
      </w:pPr>
      <w:hyperlink w:anchor="_Toc380240646" w:history="1">
        <w:r w:rsidR="00A2684E" w:rsidRPr="000B16D5">
          <w:rPr>
            <w:rStyle w:val="Hypertextovodkaz"/>
            <w:rFonts w:asciiTheme="majorHAnsi" w:hAnsiTheme="majorHAnsi"/>
            <w:noProof/>
          </w:rPr>
          <w:t>15</w:t>
        </w:r>
        <w:r w:rsidR="00A2684E" w:rsidRPr="000B16D5">
          <w:rPr>
            <w:rFonts w:asciiTheme="majorHAnsi" w:hAnsiTheme="majorHAnsi"/>
            <w:noProof/>
          </w:rPr>
          <w:tab/>
        </w:r>
        <w:r w:rsidR="00A2684E" w:rsidRPr="000B16D5">
          <w:rPr>
            <w:rStyle w:val="Hypertextovodkaz"/>
            <w:rFonts w:asciiTheme="majorHAnsi" w:hAnsiTheme="majorHAnsi"/>
            <w:noProof/>
          </w:rPr>
          <w:t>Genetika, výživa a nádorová onemocnění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_Toc380240646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79</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47" w:history="1">
        <w:r w:rsidR="00A2684E" w:rsidRPr="000B16D5">
          <w:rPr>
            <w:rStyle w:val="Hypertextovodkaz"/>
            <w:rFonts w:asciiTheme="majorHAnsi" w:hAnsiTheme="majorHAnsi"/>
            <w:noProof/>
          </w:rPr>
          <w:t>15.1</w:t>
        </w:r>
        <w:r w:rsidR="00A2684E" w:rsidRPr="000B16D5">
          <w:rPr>
            <w:rFonts w:asciiTheme="majorHAnsi" w:hAnsiTheme="majorHAnsi"/>
            <w:noProof/>
          </w:rPr>
          <w:tab/>
        </w:r>
        <w:r w:rsidR="00A2684E" w:rsidRPr="000B16D5">
          <w:rPr>
            <w:rStyle w:val="Hypertextovodkaz"/>
            <w:rFonts w:asciiTheme="majorHAnsi" w:hAnsiTheme="majorHAnsi"/>
            <w:noProof/>
          </w:rPr>
          <w:t>Co je nádorové onemocnění?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_Toc380240647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79</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48" w:history="1">
        <w:r w:rsidR="00A2684E" w:rsidRPr="000B16D5">
          <w:rPr>
            <w:rStyle w:val="Hypertextovodkaz"/>
            <w:rFonts w:asciiTheme="majorHAnsi" w:hAnsiTheme="majorHAnsi"/>
            <w:noProof/>
          </w:rPr>
          <w:t>15.2</w:t>
        </w:r>
        <w:r w:rsidR="00A2684E" w:rsidRPr="000B16D5">
          <w:rPr>
            <w:rFonts w:asciiTheme="majorHAnsi" w:hAnsiTheme="majorHAnsi"/>
            <w:noProof/>
          </w:rPr>
          <w:tab/>
        </w:r>
        <w:r w:rsidR="00A2684E" w:rsidRPr="000B16D5">
          <w:rPr>
            <w:rStyle w:val="Hypertextovodkaz"/>
            <w:rFonts w:asciiTheme="majorHAnsi" w:hAnsiTheme="majorHAnsi"/>
            <w:noProof/>
          </w:rPr>
          <w:t>Rozdělení nádorových onemocnění (dle genetického podkladu a dědičnosti) a souvislost s výživou</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_Toc380240648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81</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49" w:history="1">
        <w:r w:rsidR="00A2684E" w:rsidRPr="000B16D5">
          <w:rPr>
            <w:rStyle w:val="Hypertextovodkaz"/>
            <w:rFonts w:asciiTheme="majorHAnsi" w:hAnsiTheme="majorHAnsi"/>
            <w:noProof/>
          </w:rPr>
          <w:t>15.3</w:t>
        </w:r>
        <w:r w:rsidR="00A2684E" w:rsidRPr="000B16D5">
          <w:rPr>
            <w:rFonts w:asciiTheme="majorHAnsi" w:hAnsiTheme="majorHAnsi"/>
            <w:noProof/>
          </w:rPr>
          <w:tab/>
        </w:r>
        <w:r w:rsidR="00A2684E" w:rsidRPr="000B16D5">
          <w:rPr>
            <w:rStyle w:val="Hypertextovodkaz"/>
            <w:rFonts w:asciiTheme="majorHAnsi" w:hAnsiTheme="majorHAnsi"/>
            <w:noProof/>
          </w:rPr>
          <w:t>Vybraná nádorová onemocnění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_Toc380240649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82</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50" w:history="1">
        <w:r w:rsidR="00A2684E" w:rsidRPr="000B16D5">
          <w:rPr>
            <w:rStyle w:val="Hypertextovodkaz"/>
            <w:rFonts w:asciiTheme="majorHAnsi" w:hAnsiTheme="majorHAnsi"/>
            <w:noProof/>
          </w:rPr>
          <w:t>15.4</w:t>
        </w:r>
        <w:r w:rsidR="00A2684E" w:rsidRPr="000B16D5">
          <w:rPr>
            <w:rFonts w:asciiTheme="majorHAnsi" w:hAnsiTheme="majorHAnsi"/>
            <w:noProof/>
          </w:rPr>
          <w:tab/>
        </w:r>
        <w:r w:rsidR="00A2684E" w:rsidRPr="000B16D5">
          <w:rPr>
            <w:rStyle w:val="Hypertextovodkaz"/>
            <w:rFonts w:asciiTheme="majorHAnsi" w:hAnsiTheme="majorHAnsi"/>
            <w:noProof/>
          </w:rPr>
          <w:t>Protektivní dietní faktory nádorových onemocnění</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_Toc380240650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84</w:t>
        </w:r>
        <w:r w:rsidR="00A2684E" w:rsidRPr="000B16D5">
          <w:rPr>
            <w:rFonts w:asciiTheme="majorHAnsi" w:hAnsiTheme="majorHAnsi"/>
            <w:noProof/>
            <w:webHidden/>
          </w:rPr>
          <w:fldChar w:fldCharType="end"/>
        </w:r>
      </w:hyperlink>
    </w:p>
    <w:p w:rsidR="00A2684E" w:rsidRPr="000B16D5" w:rsidRDefault="008468D9">
      <w:pPr>
        <w:pStyle w:val="Obsah2"/>
        <w:tabs>
          <w:tab w:val="left" w:pos="880"/>
          <w:tab w:val="right" w:leader="dot" w:pos="10456"/>
        </w:tabs>
        <w:rPr>
          <w:rFonts w:asciiTheme="majorHAnsi" w:hAnsiTheme="majorHAnsi"/>
          <w:noProof/>
        </w:rPr>
      </w:pPr>
      <w:hyperlink w:anchor="_Toc380240651" w:history="1">
        <w:r w:rsidR="00A2684E" w:rsidRPr="000B16D5">
          <w:rPr>
            <w:rStyle w:val="Hypertextovodkaz"/>
            <w:rFonts w:asciiTheme="majorHAnsi" w:hAnsiTheme="majorHAnsi"/>
            <w:noProof/>
          </w:rPr>
          <w:t>15.5</w:t>
        </w:r>
        <w:r w:rsidR="00A2684E" w:rsidRPr="000B16D5">
          <w:rPr>
            <w:rFonts w:asciiTheme="majorHAnsi" w:hAnsiTheme="majorHAnsi"/>
            <w:noProof/>
          </w:rPr>
          <w:tab/>
        </w:r>
        <w:r w:rsidR="00A2684E" w:rsidRPr="000B16D5">
          <w:rPr>
            <w:rStyle w:val="Hypertextovodkaz"/>
            <w:rFonts w:asciiTheme="majorHAnsi" w:hAnsiTheme="majorHAnsi"/>
            <w:noProof/>
          </w:rPr>
          <w:t>Xenobiotika v potravě</w:t>
        </w:r>
        <w:r w:rsidR="00A2684E" w:rsidRPr="000B16D5">
          <w:rPr>
            <w:rFonts w:asciiTheme="majorHAnsi" w:hAnsiTheme="majorHAnsi"/>
            <w:noProof/>
            <w:webHidden/>
          </w:rPr>
          <w:tab/>
        </w:r>
        <w:r w:rsidR="00A2684E" w:rsidRPr="000B16D5">
          <w:rPr>
            <w:rFonts w:asciiTheme="majorHAnsi" w:hAnsiTheme="majorHAnsi"/>
            <w:noProof/>
            <w:webHidden/>
          </w:rPr>
          <w:fldChar w:fldCharType="begin"/>
        </w:r>
        <w:r w:rsidR="00A2684E" w:rsidRPr="000B16D5">
          <w:rPr>
            <w:rFonts w:asciiTheme="majorHAnsi" w:hAnsiTheme="majorHAnsi"/>
            <w:noProof/>
            <w:webHidden/>
          </w:rPr>
          <w:instrText xml:space="preserve"> PAGEREF _Toc380240651 \h </w:instrText>
        </w:r>
        <w:r w:rsidR="00A2684E" w:rsidRPr="000B16D5">
          <w:rPr>
            <w:rFonts w:asciiTheme="majorHAnsi" w:hAnsiTheme="majorHAnsi"/>
            <w:noProof/>
            <w:webHidden/>
          </w:rPr>
        </w:r>
        <w:r w:rsidR="00A2684E" w:rsidRPr="000B16D5">
          <w:rPr>
            <w:rFonts w:asciiTheme="majorHAnsi" w:hAnsiTheme="majorHAnsi"/>
            <w:noProof/>
            <w:webHidden/>
          </w:rPr>
          <w:fldChar w:fldCharType="separate"/>
        </w:r>
        <w:r w:rsidR="008378F9" w:rsidRPr="000B16D5">
          <w:rPr>
            <w:rFonts w:asciiTheme="majorHAnsi" w:hAnsiTheme="majorHAnsi"/>
            <w:noProof/>
            <w:webHidden/>
          </w:rPr>
          <w:t>85</w:t>
        </w:r>
        <w:r w:rsidR="00A2684E" w:rsidRPr="000B16D5">
          <w:rPr>
            <w:rFonts w:asciiTheme="majorHAnsi" w:hAnsiTheme="majorHAnsi"/>
            <w:noProof/>
            <w:webHidden/>
          </w:rPr>
          <w:fldChar w:fldCharType="end"/>
        </w:r>
      </w:hyperlink>
    </w:p>
    <w:p w:rsidR="00A2684E" w:rsidRPr="000B16D5" w:rsidRDefault="00312118" w:rsidP="00A2684E">
      <w:pPr>
        <w:pStyle w:val="Nadpiskapitoly"/>
        <w:numPr>
          <w:ilvl w:val="0"/>
          <w:numId w:val="0"/>
        </w:numPr>
        <w:ind w:left="360" w:hanging="360"/>
        <w:rPr>
          <w:rFonts w:asciiTheme="majorHAnsi" w:hAnsiTheme="majorHAnsi"/>
          <w:sz w:val="30"/>
        </w:rPr>
      </w:pPr>
      <w:r w:rsidRPr="000B16D5">
        <w:rPr>
          <w:rFonts w:asciiTheme="majorHAnsi" w:hAnsiTheme="majorHAnsi"/>
        </w:rPr>
        <w:fldChar w:fldCharType="end"/>
      </w:r>
      <w:bookmarkStart w:id="5" w:name="_Toc380240578"/>
    </w:p>
    <w:p w:rsidR="00A2684E" w:rsidRPr="000B16D5" w:rsidRDefault="00A2684E">
      <w:pPr>
        <w:rPr>
          <w:rFonts w:asciiTheme="majorHAnsi" w:hAnsiTheme="majorHAnsi"/>
          <w:b/>
          <w:smallCaps/>
          <w:sz w:val="30"/>
        </w:rPr>
      </w:pPr>
    </w:p>
    <w:p w:rsidR="00312118" w:rsidRPr="000B16D5" w:rsidRDefault="00100C72" w:rsidP="00A2684E">
      <w:pPr>
        <w:pStyle w:val="Nadpiskapitoly"/>
        <w:rPr>
          <w:rFonts w:asciiTheme="majorHAnsi" w:hAnsiTheme="majorHAnsi"/>
        </w:rPr>
      </w:pPr>
      <w:r w:rsidRPr="000B16D5">
        <w:rPr>
          <w:rFonts w:asciiTheme="majorHAnsi" w:hAnsiTheme="majorHAnsi"/>
          <w:i/>
          <w:noProof/>
        </w:rPr>
        <w:lastRenderedPageBreak/>
        <mc:AlternateContent>
          <mc:Choice Requires="wps">
            <w:drawing>
              <wp:anchor distT="0" distB="0" distL="114300" distR="114300" simplePos="0" relativeHeight="251662336" behindDoc="0" locked="0" layoutInCell="1" allowOverlap="1" wp14:anchorId="2CA3B2B9" wp14:editId="1F0C279E">
                <wp:simplePos x="0" y="0"/>
                <wp:positionH relativeFrom="column">
                  <wp:posOffset>5191760</wp:posOffset>
                </wp:positionH>
                <wp:positionV relativeFrom="paragraph">
                  <wp:posOffset>-74930</wp:posOffset>
                </wp:positionV>
                <wp:extent cx="1303655" cy="1416685"/>
                <wp:effectExtent l="635" t="77470" r="76835" b="1270"/>
                <wp:wrapNone/>
                <wp:docPr id="1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4F7664">
                            <w:pPr>
                              <w:spacing w:after="0"/>
                              <w:jc w:val="center"/>
                              <w:rPr>
                                <w:rFonts w:ascii="Palatino Linotype" w:hAnsi="Palatino Linotype"/>
                                <w:b/>
                                <w:sz w:val="160"/>
                              </w:rPr>
                            </w:pPr>
                            <w:r>
                              <w:rPr>
                                <w:rFonts w:ascii="Palatino Linotype" w:hAnsi="Palatino Linotype"/>
                                <w:b/>
                                <w:sz w:val="16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A3B2B9" id="_x0000_t202" coordsize="21600,21600" o:spt="202" path="m,l,21600r21600,l21600,xe">
                <v:stroke joinstyle="miter"/>
                <v:path gradientshapeok="t" o:connecttype="rect"/>
              </v:shapetype>
              <v:shape id="Text Box 5" o:spid="_x0000_s1026" type="#_x0000_t202" style="position:absolute;left:0;text-align:left;margin-left:408.8pt;margin-top:-5.9pt;width:102.65pt;height:1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" stroked="f">
                <v:shadow on="t" opacity=".5" offset="6pt,-6pt"/>
                <v:textbox>
                  <w:txbxContent>
                    <w:p w:rsidR="00440FD1" w:rsidRPr="008202AD" w:rsidRDefault="00440FD1" w:rsidP="004F7664">
                      <w:pPr>
                        <w:spacing w:after="0"/>
                        <w:jc w:val="center"/>
                        <w:rPr>
                          <w:rFonts w:ascii="Palatino Linotype" w:hAnsi="Palatino Linotype"/>
                          <w:b/>
                          <w:sz w:val="160"/>
                        </w:rPr>
                      </w:pPr>
                      <w:r>
                        <w:rPr>
                          <w:rFonts w:ascii="Palatino Linotype" w:hAnsi="Palatino Linotype"/>
                          <w:b/>
                          <w:sz w:val="160"/>
                        </w:rPr>
                        <w:t>1</w:t>
                      </w:r>
                    </w:p>
                  </w:txbxContent>
                </v:textbox>
              </v:shape>
            </w:pict>
          </mc:Fallback>
        </mc:AlternateContent>
      </w:r>
      <w:r w:rsidR="00892461" w:rsidRPr="000B16D5">
        <w:rPr>
          <w:rFonts w:asciiTheme="majorHAnsi" w:hAnsiTheme="majorHAnsi"/>
        </w:rPr>
        <w:t>Předmluva</w:t>
      </w:r>
      <w:bookmarkEnd w:id="5"/>
    </w:p>
    <w:p w:rsidR="00236F03" w:rsidRPr="000B16D5" w:rsidRDefault="00236F03" w:rsidP="00236F03">
      <w:pPr>
        <w:jc w:val="both"/>
        <w:rPr>
          <w:rFonts w:asciiTheme="majorHAnsi" w:hAnsiTheme="majorHAnsi"/>
          <w:i/>
        </w:rPr>
      </w:pPr>
      <w:r w:rsidRPr="000B16D5">
        <w:rPr>
          <w:rFonts w:asciiTheme="majorHAnsi" w:hAnsiTheme="majorHAnsi"/>
          <w:i/>
        </w:rPr>
        <w:t>Julie Bienertová-Vašků</w:t>
      </w:r>
    </w:p>
    <w:p w:rsidR="004F7664" w:rsidRPr="000B16D5" w:rsidRDefault="004F7664" w:rsidP="00236F03">
      <w:pPr>
        <w:jc w:val="both"/>
        <w:rPr>
          <w:rFonts w:asciiTheme="majorHAnsi" w:hAnsiTheme="majorHAnsi"/>
          <w:i/>
        </w:rPr>
      </w:pPr>
    </w:p>
    <w:p w:rsidR="00892461" w:rsidRPr="000B16D5" w:rsidRDefault="00892461" w:rsidP="00892461">
      <w:pPr>
        <w:jc w:val="both"/>
        <w:rPr>
          <w:rFonts w:asciiTheme="majorHAnsi" w:hAnsiTheme="majorHAnsi"/>
        </w:rPr>
      </w:pPr>
    </w:p>
    <w:p w:rsidR="000B16D5" w:rsidRDefault="000B16D5" w:rsidP="00892461">
      <w:pPr>
        <w:jc w:val="both"/>
        <w:rPr>
          <w:rFonts w:asciiTheme="majorHAnsi" w:hAnsiTheme="majorHAnsi"/>
        </w:rPr>
      </w:pPr>
    </w:p>
    <w:p w:rsidR="00892461" w:rsidRPr="000B16D5" w:rsidRDefault="00892461" w:rsidP="00892461">
      <w:pPr>
        <w:jc w:val="both"/>
        <w:rPr>
          <w:rFonts w:asciiTheme="majorHAnsi" w:hAnsiTheme="majorHAnsi"/>
        </w:rPr>
      </w:pPr>
      <w:r w:rsidRPr="000B16D5">
        <w:rPr>
          <w:rFonts w:asciiTheme="majorHAnsi" w:hAnsiTheme="majorHAnsi"/>
        </w:rPr>
        <w:t xml:space="preserve">Ohromný rozvoj na poli nutričních věd i molekulární biologie a z nich odvozených technologií vedl mimo jiné k tomu, že </w:t>
      </w:r>
      <w:r w:rsidR="00E335CB" w:rsidRPr="000B16D5">
        <w:rPr>
          <w:rFonts w:asciiTheme="majorHAnsi" w:hAnsiTheme="majorHAnsi"/>
        </w:rPr>
        <w:t xml:space="preserve">se </w:t>
      </w:r>
      <w:r w:rsidRPr="000B16D5">
        <w:rPr>
          <w:rFonts w:asciiTheme="majorHAnsi" w:hAnsiTheme="majorHAnsi"/>
        </w:rPr>
        <w:t>vědní obory, které byly ještě nedávno založeny spíše na pozorování jevů, jejich fenomenologickém popisu a na rozsáhlém využití empirie, začaly pohybovat směrem k vědě „založené na důkazech“. Empirická pozorování souvislostí mezi některými aspekty výživy a vznikem onemocnění tak dostávají zcela jasný a konkrétní základ</w:t>
      </w:r>
      <w:r w:rsidR="00423E85" w:rsidRPr="000B16D5">
        <w:rPr>
          <w:rFonts w:asciiTheme="majorHAnsi" w:hAnsiTheme="majorHAnsi"/>
        </w:rPr>
        <w:t>, přičemž</w:t>
      </w:r>
      <w:r w:rsidRPr="000B16D5">
        <w:rPr>
          <w:rFonts w:asciiTheme="majorHAnsi" w:hAnsiTheme="majorHAnsi"/>
        </w:rPr>
        <w:t xml:space="preserve"> dochází k odklonu od prostých pozorování bez další </w:t>
      </w:r>
      <w:r w:rsidR="00F51D77" w:rsidRPr="000B16D5">
        <w:rPr>
          <w:rFonts w:asciiTheme="majorHAnsi" w:hAnsiTheme="majorHAnsi"/>
        </w:rPr>
        <w:t xml:space="preserve">interpretace </w:t>
      </w:r>
      <w:r w:rsidRPr="000B16D5">
        <w:rPr>
          <w:rFonts w:asciiTheme="majorHAnsi" w:hAnsiTheme="majorHAnsi"/>
        </w:rPr>
        <w:t>směrem k</w:t>
      </w:r>
      <w:r w:rsidR="00107BE0" w:rsidRPr="000B16D5">
        <w:rPr>
          <w:rFonts w:asciiTheme="majorHAnsi" w:hAnsiTheme="majorHAnsi"/>
        </w:rPr>
        <w:t>e snaze lépe pochopit jednotlivé mechanismy</w:t>
      </w:r>
      <w:r w:rsidRPr="000B16D5">
        <w:rPr>
          <w:rFonts w:asciiTheme="majorHAnsi" w:hAnsiTheme="majorHAnsi"/>
        </w:rPr>
        <w:t>.</w:t>
      </w:r>
    </w:p>
    <w:p w:rsidR="00892461" w:rsidRPr="000B16D5" w:rsidRDefault="00892461" w:rsidP="00892461">
      <w:pPr>
        <w:jc w:val="both"/>
        <w:rPr>
          <w:rFonts w:asciiTheme="majorHAnsi" w:hAnsiTheme="majorHAnsi"/>
        </w:rPr>
      </w:pPr>
    </w:p>
    <w:p w:rsidR="00892461" w:rsidRPr="000B16D5" w:rsidRDefault="00892461" w:rsidP="00892461">
      <w:pPr>
        <w:jc w:val="both"/>
        <w:rPr>
          <w:rFonts w:asciiTheme="majorHAnsi" w:hAnsiTheme="majorHAnsi"/>
        </w:rPr>
      </w:pPr>
      <w:r w:rsidRPr="000B16D5">
        <w:rPr>
          <w:rFonts w:asciiTheme="majorHAnsi" w:hAnsiTheme="majorHAnsi"/>
        </w:rPr>
        <w:t>Tento pokrok má samozřejmě i negativní aspekty, zejména přílišné zaměření na detaily, které někdy označujeme pojmem „atomizace“ výzkumu či medicíny. Abychom dokázali zvládnout stále náročnější výzkumné i aplikační úkoly, více a více se specializujeme</w:t>
      </w:r>
      <w:r w:rsidR="00BF6975" w:rsidRPr="000B16D5">
        <w:rPr>
          <w:rFonts w:asciiTheme="majorHAnsi" w:hAnsiTheme="majorHAnsi"/>
        </w:rPr>
        <w:t xml:space="preserve"> a </w:t>
      </w:r>
      <w:r w:rsidRPr="000B16D5">
        <w:rPr>
          <w:rFonts w:asciiTheme="majorHAnsi" w:hAnsiTheme="majorHAnsi"/>
        </w:rPr>
        <w:t xml:space="preserve">stále méně se rozhlížíme </w:t>
      </w:r>
      <w:r w:rsidR="00264DDD" w:rsidRPr="000B16D5">
        <w:rPr>
          <w:rFonts w:asciiTheme="majorHAnsi" w:hAnsiTheme="majorHAnsi"/>
        </w:rPr>
        <w:t xml:space="preserve">po </w:t>
      </w:r>
      <w:r w:rsidRPr="000B16D5">
        <w:rPr>
          <w:rFonts w:asciiTheme="majorHAnsi" w:hAnsiTheme="majorHAnsi"/>
        </w:rPr>
        <w:t>okolí</w:t>
      </w:r>
      <w:r w:rsidR="00BF6975" w:rsidRPr="000B16D5">
        <w:rPr>
          <w:rFonts w:asciiTheme="majorHAnsi" w:hAnsiTheme="majorHAnsi"/>
        </w:rPr>
        <w:t>;</w:t>
      </w:r>
      <w:r w:rsidRPr="000B16D5">
        <w:rPr>
          <w:rFonts w:asciiTheme="majorHAnsi" w:hAnsiTheme="majorHAnsi"/>
        </w:rPr>
        <w:t xml:space="preserve"> jednotlivé vědní obory spolu komunikují</w:t>
      </w:r>
      <w:r w:rsidR="0048041A" w:rsidRPr="000B16D5">
        <w:rPr>
          <w:rFonts w:asciiTheme="majorHAnsi" w:hAnsiTheme="majorHAnsi"/>
        </w:rPr>
        <w:t xml:space="preserve"> jen zří</w:t>
      </w:r>
      <w:r w:rsidR="00FC6A68" w:rsidRPr="000B16D5">
        <w:rPr>
          <w:rFonts w:asciiTheme="majorHAnsi" w:hAnsiTheme="majorHAnsi"/>
        </w:rPr>
        <w:t>dka</w:t>
      </w:r>
      <w:r w:rsidRPr="000B16D5">
        <w:rPr>
          <w:rFonts w:asciiTheme="majorHAnsi" w:hAnsiTheme="majorHAnsi"/>
        </w:rPr>
        <w:t xml:space="preserve">. </w:t>
      </w:r>
      <w:r w:rsidR="0046741D" w:rsidRPr="000B16D5">
        <w:rPr>
          <w:rFonts w:asciiTheme="majorHAnsi" w:hAnsiTheme="majorHAnsi"/>
        </w:rPr>
        <w:t xml:space="preserve">Interdisciplinární </w:t>
      </w:r>
      <w:r w:rsidRPr="000B16D5">
        <w:rPr>
          <w:rFonts w:asciiTheme="majorHAnsi" w:hAnsiTheme="majorHAnsi"/>
        </w:rPr>
        <w:t>spolupráce se tak</w:t>
      </w:r>
      <w:r w:rsidR="00C506A9" w:rsidRPr="000B16D5">
        <w:rPr>
          <w:rFonts w:asciiTheme="majorHAnsi" w:hAnsiTheme="majorHAnsi"/>
        </w:rPr>
        <w:t xml:space="preserve"> pro své aktéry</w:t>
      </w:r>
      <w:r w:rsidRPr="000B16D5">
        <w:rPr>
          <w:rFonts w:asciiTheme="majorHAnsi" w:hAnsiTheme="majorHAnsi"/>
        </w:rPr>
        <w:t xml:space="preserve"> stává velmi náročnou </w:t>
      </w:r>
      <w:r w:rsidR="00AF5E92" w:rsidRPr="000B16D5">
        <w:rPr>
          <w:rFonts w:asciiTheme="majorHAnsi" w:hAnsiTheme="majorHAnsi"/>
        </w:rPr>
        <w:t>jak</w:t>
      </w:r>
      <w:r w:rsidRPr="000B16D5">
        <w:rPr>
          <w:rFonts w:asciiTheme="majorHAnsi" w:hAnsiTheme="majorHAnsi"/>
        </w:rPr>
        <w:t xml:space="preserve"> z hlediska odborných </w:t>
      </w:r>
      <w:r w:rsidR="00194084" w:rsidRPr="000B16D5">
        <w:rPr>
          <w:rFonts w:asciiTheme="majorHAnsi" w:hAnsiTheme="majorHAnsi"/>
        </w:rPr>
        <w:t>znalostí, tak</w:t>
      </w:r>
      <w:r w:rsidR="00123CB3" w:rsidRPr="000B16D5">
        <w:rPr>
          <w:rFonts w:asciiTheme="majorHAnsi" w:hAnsiTheme="majorHAnsi"/>
        </w:rPr>
        <w:t xml:space="preserve"> pro nutnost</w:t>
      </w:r>
      <w:r w:rsidRPr="000B16D5">
        <w:rPr>
          <w:rFonts w:asciiTheme="majorHAnsi" w:hAnsiTheme="majorHAnsi"/>
        </w:rPr>
        <w:t xml:space="preserve"> </w:t>
      </w:r>
      <w:r w:rsidR="00FC6FDD" w:rsidRPr="000B16D5">
        <w:rPr>
          <w:rFonts w:asciiTheme="majorHAnsi" w:hAnsiTheme="majorHAnsi"/>
        </w:rPr>
        <w:t>z</w:t>
      </w:r>
      <w:r w:rsidR="008D7FE6" w:rsidRPr="000B16D5">
        <w:rPr>
          <w:rFonts w:asciiTheme="majorHAnsi" w:hAnsiTheme="majorHAnsi"/>
        </w:rPr>
        <w:t>ů</w:t>
      </w:r>
      <w:r w:rsidR="00FC6FDD" w:rsidRPr="000B16D5">
        <w:rPr>
          <w:rFonts w:asciiTheme="majorHAnsi" w:hAnsiTheme="majorHAnsi"/>
        </w:rPr>
        <w:t>stat</w:t>
      </w:r>
      <w:r w:rsidR="007C0E8F" w:rsidRPr="000B16D5">
        <w:rPr>
          <w:rFonts w:asciiTheme="majorHAnsi" w:hAnsiTheme="majorHAnsi"/>
        </w:rPr>
        <w:t xml:space="preserve"> neustále otevřen</w:t>
      </w:r>
      <w:r w:rsidRPr="000B16D5">
        <w:rPr>
          <w:rFonts w:asciiTheme="majorHAnsi" w:hAnsiTheme="majorHAnsi"/>
        </w:rPr>
        <w:t xml:space="preserve"> názorům kolegů z jiných oborů.</w:t>
      </w:r>
    </w:p>
    <w:p w:rsidR="00892461" w:rsidRPr="000B16D5" w:rsidRDefault="00892461" w:rsidP="00892461">
      <w:pPr>
        <w:jc w:val="both"/>
        <w:rPr>
          <w:rFonts w:asciiTheme="majorHAnsi" w:hAnsiTheme="majorHAnsi"/>
        </w:rPr>
      </w:pPr>
    </w:p>
    <w:p w:rsidR="00892461" w:rsidRPr="000B16D5" w:rsidRDefault="00892461" w:rsidP="00892461">
      <w:pPr>
        <w:jc w:val="both"/>
        <w:rPr>
          <w:rFonts w:asciiTheme="majorHAnsi" w:hAnsiTheme="majorHAnsi"/>
        </w:rPr>
      </w:pPr>
      <w:r w:rsidRPr="000B16D5">
        <w:rPr>
          <w:rFonts w:asciiTheme="majorHAnsi" w:hAnsiTheme="majorHAnsi"/>
        </w:rPr>
        <w:t xml:space="preserve">Úkolem těchto skript je poskytnout informace o současném stavu genetiky ve výživě, přičemž zájmová oblast skript stojí na pomezí více oborů: genetiky, nutričních věd a molekulární biologie. Genetika ve výživě tedy představuje typický příklad oboru stojícího na </w:t>
      </w:r>
      <w:r w:rsidR="0039489D" w:rsidRPr="000B16D5">
        <w:rPr>
          <w:rFonts w:asciiTheme="majorHAnsi" w:hAnsiTheme="majorHAnsi"/>
        </w:rPr>
        <w:t xml:space="preserve">hranici </w:t>
      </w:r>
      <w:r w:rsidRPr="000B16D5">
        <w:rPr>
          <w:rFonts w:asciiTheme="majorHAnsi" w:hAnsiTheme="majorHAnsi"/>
        </w:rPr>
        <w:t>řady speciálních odvětví, přičemž jediným jednotícím prvkem v tomto kontextu je výživa. K výživě člověka lze přistupovat z</w:t>
      </w:r>
      <w:r w:rsidR="00C76192" w:rsidRPr="000B16D5">
        <w:rPr>
          <w:rFonts w:asciiTheme="majorHAnsi" w:hAnsiTheme="majorHAnsi"/>
        </w:rPr>
        <w:t> mnoha stran</w:t>
      </w:r>
      <w:r w:rsidR="00517392" w:rsidRPr="000B16D5">
        <w:rPr>
          <w:rFonts w:asciiTheme="majorHAnsi" w:hAnsiTheme="majorHAnsi"/>
        </w:rPr>
        <w:t>;</w:t>
      </w:r>
      <w:r w:rsidRPr="000B16D5">
        <w:rPr>
          <w:rFonts w:asciiTheme="majorHAnsi" w:hAnsiTheme="majorHAnsi"/>
        </w:rPr>
        <w:t xml:space="preserve"> úkolem těchto skript je </w:t>
      </w:r>
      <w:r w:rsidR="00D639D5" w:rsidRPr="000B16D5">
        <w:rPr>
          <w:rFonts w:asciiTheme="majorHAnsi" w:hAnsiTheme="majorHAnsi"/>
        </w:rPr>
        <w:t>p</w:t>
      </w:r>
      <w:r w:rsidR="004E3817" w:rsidRPr="000B16D5">
        <w:rPr>
          <w:rFonts w:asciiTheme="majorHAnsi" w:hAnsiTheme="majorHAnsi"/>
        </w:rPr>
        <w:t>ř</w:t>
      </w:r>
      <w:r w:rsidR="00D639D5" w:rsidRPr="000B16D5">
        <w:rPr>
          <w:rFonts w:asciiTheme="majorHAnsi" w:hAnsiTheme="majorHAnsi"/>
        </w:rPr>
        <w:t xml:space="preserve">iblížit čtenáři </w:t>
      </w:r>
      <w:r w:rsidRPr="000B16D5">
        <w:rPr>
          <w:rFonts w:asciiTheme="majorHAnsi" w:hAnsiTheme="majorHAnsi"/>
        </w:rPr>
        <w:t xml:space="preserve">mezioborový kontext výživy, který mu možná dosud nebyl blízký nebo mu </w:t>
      </w:r>
      <w:r w:rsidR="00800E87" w:rsidRPr="000B16D5">
        <w:rPr>
          <w:rFonts w:asciiTheme="majorHAnsi" w:hAnsiTheme="majorHAnsi"/>
        </w:rPr>
        <w:t xml:space="preserve">snad </w:t>
      </w:r>
      <w:r w:rsidRPr="000B16D5">
        <w:rPr>
          <w:rFonts w:asciiTheme="majorHAnsi" w:hAnsiTheme="majorHAnsi"/>
        </w:rPr>
        <w:t>ani nebyl představen.</w:t>
      </w:r>
    </w:p>
    <w:p w:rsidR="00892461" w:rsidRPr="000B16D5" w:rsidRDefault="00892461" w:rsidP="00892461">
      <w:pPr>
        <w:jc w:val="both"/>
        <w:rPr>
          <w:rFonts w:asciiTheme="majorHAnsi" w:hAnsiTheme="majorHAnsi"/>
        </w:rPr>
      </w:pPr>
    </w:p>
    <w:p w:rsidR="00892461" w:rsidRPr="000B16D5" w:rsidRDefault="00892461" w:rsidP="00892461">
      <w:pPr>
        <w:jc w:val="both"/>
        <w:rPr>
          <w:rFonts w:asciiTheme="majorHAnsi" w:hAnsiTheme="majorHAnsi"/>
        </w:rPr>
      </w:pPr>
      <w:r w:rsidRPr="000B16D5">
        <w:rPr>
          <w:rFonts w:asciiTheme="majorHAnsi" w:hAnsiTheme="majorHAnsi"/>
        </w:rPr>
        <w:t xml:space="preserve">Doufáme, že tato skripta splní svůj účel a kromě nabízených faktických informací </w:t>
      </w:r>
      <w:r w:rsidR="00D54EFD" w:rsidRPr="000B16D5">
        <w:rPr>
          <w:rFonts w:asciiTheme="majorHAnsi" w:hAnsiTheme="majorHAnsi"/>
        </w:rPr>
        <w:t>p</w:t>
      </w:r>
      <w:r w:rsidR="008329DF" w:rsidRPr="000B16D5">
        <w:rPr>
          <w:rFonts w:asciiTheme="majorHAnsi" w:hAnsiTheme="majorHAnsi"/>
        </w:rPr>
        <w:t>ř</w:t>
      </w:r>
      <w:r w:rsidR="00D54EFD" w:rsidRPr="000B16D5">
        <w:rPr>
          <w:rFonts w:asciiTheme="majorHAnsi" w:hAnsiTheme="majorHAnsi"/>
        </w:rPr>
        <w:t>imějí</w:t>
      </w:r>
      <w:r w:rsidRPr="000B16D5">
        <w:rPr>
          <w:rFonts w:asciiTheme="majorHAnsi" w:hAnsiTheme="majorHAnsi"/>
        </w:rPr>
        <w:t xml:space="preserve"> čtenáře k tomu, aby si samostatně kladli otázky a</w:t>
      </w:r>
      <w:r w:rsidR="00153A96" w:rsidRPr="000B16D5">
        <w:rPr>
          <w:rFonts w:asciiTheme="majorHAnsi" w:hAnsiTheme="majorHAnsi"/>
        </w:rPr>
        <w:t xml:space="preserve"> aktivně</w:t>
      </w:r>
      <w:r w:rsidRPr="000B16D5">
        <w:rPr>
          <w:rFonts w:asciiTheme="majorHAnsi" w:hAnsiTheme="majorHAnsi"/>
        </w:rPr>
        <w:t xml:space="preserve"> na ně </w:t>
      </w:r>
      <w:r w:rsidR="00153A96" w:rsidRPr="000B16D5">
        <w:rPr>
          <w:rFonts w:asciiTheme="majorHAnsi" w:hAnsiTheme="majorHAnsi"/>
        </w:rPr>
        <w:t xml:space="preserve">hledali </w:t>
      </w:r>
      <w:r w:rsidRPr="000B16D5">
        <w:rPr>
          <w:rFonts w:asciiTheme="majorHAnsi" w:hAnsiTheme="majorHAnsi"/>
        </w:rPr>
        <w:t>odpovědi.</w:t>
      </w:r>
    </w:p>
    <w:p w:rsidR="00892461" w:rsidRPr="000B16D5" w:rsidRDefault="00892461" w:rsidP="00892461">
      <w:pPr>
        <w:jc w:val="both"/>
        <w:rPr>
          <w:rFonts w:asciiTheme="majorHAnsi" w:hAnsiTheme="majorHAnsi"/>
        </w:rPr>
      </w:pPr>
    </w:p>
    <w:p w:rsidR="00892461" w:rsidRPr="000B16D5" w:rsidRDefault="00892461" w:rsidP="00892461">
      <w:pPr>
        <w:jc w:val="both"/>
        <w:rPr>
          <w:rFonts w:asciiTheme="majorHAnsi" w:hAnsiTheme="majorHAnsi"/>
        </w:rPr>
      </w:pPr>
      <w:r w:rsidRPr="000B16D5">
        <w:rPr>
          <w:rFonts w:asciiTheme="majorHAnsi" w:hAnsiTheme="majorHAnsi"/>
        </w:rPr>
        <w:t>Tato skripta vznikla pro potřeby kur</w:t>
      </w:r>
      <w:r w:rsidR="00585B3F" w:rsidRPr="000B16D5">
        <w:rPr>
          <w:rFonts w:asciiTheme="majorHAnsi" w:hAnsiTheme="majorHAnsi"/>
        </w:rPr>
        <w:t>z</w:t>
      </w:r>
      <w:r w:rsidRPr="000B16D5">
        <w:rPr>
          <w:rFonts w:asciiTheme="majorHAnsi" w:hAnsiTheme="majorHAnsi"/>
        </w:rPr>
        <w:t xml:space="preserve">u </w:t>
      </w:r>
      <w:r w:rsidRPr="000B16D5">
        <w:rPr>
          <w:rFonts w:asciiTheme="majorHAnsi" w:hAnsiTheme="majorHAnsi"/>
          <w:i/>
        </w:rPr>
        <w:t>Genetika</w:t>
      </w:r>
      <w:r w:rsidRPr="000B16D5">
        <w:rPr>
          <w:rFonts w:asciiTheme="majorHAnsi" w:hAnsiTheme="majorHAnsi"/>
        </w:rPr>
        <w:t xml:space="preserve">, vyučovaného v rámci výuky oboru </w:t>
      </w:r>
      <w:r w:rsidRPr="000B16D5">
        <w:rPr>
          <w:rFonts w:asciiTheme="majorHAnsi" w:hAnsiTheme="majorHAnsi"/>
          <w:i/>
        </w:rPr>
        <w:t>Nutriční terapeut</w:t>
      </w:r>
      <w:r w:rsidRPr="000B16D5">
        <w:rPr>
          <w:rFonts w:asciiTheme="majorHAnsi" w:hAnsiTheme="majorHAnsi"/>
        </w:rPr>
        <w:t xml:space="preserve"> na Lékařské fakultě Masarykovy univerzity</w:t>
      </w:r>
      <w:r w:rsidR="00BD7907" w:rsidRPr="000B16D5">
        <w:rPr>
          <w:rFonts w:asciiTheme="majorHAnsi" w:hAnsiTheme="majorHAnsi"/>
        </w:rPr>
        <w:t>,</w:t>
      </w:r>
      <w:r w:rsidRPr="000B16D5">
        <w:rPr>
          <w:rFonts w:asciiTheme="majorHAnsi" w:hAnsiTheme="majorHAnsi"/>
        </w:rPr>
        <w:t xml:space="preserve"> za přispění projektů MZMOU2005 a RECAMO CZ.1.05/2.1.00/03.0101.</w:t>
      </w:r>
    </w:p>
    <w:p w:rsidR="00892461" w:rsidRPr="000B16D5" w:rsidRDefault="00892461" w:rsidP="00892461">
      <w:pPr>
        <w:jc w:val="both"/>
        <w:rPr>
          <w:rFonts w:asciiTheme="majorHAnsi" w:hAnsiTheme="majorHAnsi"/>
        </w:rPr>
      </w:pPr>
    </w:p>
    <w:p w:rsidR="00312118" w:rsidRPr="000B16D5" w:rsidRDefault="00892461" w:rsidP="00892461">
      <w:pPr>
        <w:jc w:val="both"/>
        <w:rPr>
          <w:rFonts w:asciiTheme="majorHAnsi" w:hAnsiTheme="majorHAnsi"/>
          <w:i/>
        </w:rPr>
      </w:pPr>
      <w:r w:rsidRPr="000B16D5">
        <w:rPr>
          <w:rFonts w:asciiTheme="majorHAnsi" w:hAnsiTheme="majorHAnsi"/>
          <w:i/>
        </w:rPr>
        <w:t>Doc. MUDr. Julie Bienertová-Vašků, Ph.D.</w:t>
      </w:r>
    </w:p>
    <w:p w:rsidR="00236F03" w:rsidRPr="000B16D5" w:rsidRDefault="00312118" w:rsidP="004F7664">
      <w:pPr>
        <w:jc w:val="both"/>
        <w:rPr>
          <w:rFonts w:asciiTheme="majorHAnsi" w:hAnsiTheme="majorHAnsi"/>
          <w:b/>
          <w:sz w:val="80"/>
          <w:szCs w:val="80"/>
        </w:rPr>
      </w:pPr>
      <w:r w:rsidRPr="000B16D5">
        <w:rPr>
          <w:rFonts w:asciiTheme="majorHAnsi" w:hAnsiTheme="majorHAnsi"/>
        </w:rPr>
        <w:t xml:space="preserve"> </w:t>
      </w:r>
    </w:p>
    <w:p w:rsidR="000B16D5" w:rsidRDefault="000B16D5" w:rsidP="00236F03">
      <w:pPr>
        <w:pBdr>
          <w:bottom w:val="single" w:sz="6" w:space="1" w:color="auto"/>
        </w:pBdr>
        <w:spacing w:before="4000"/>
        <w:jc w:val="center"/>
        <w:rPr>
          <w:rFonts w:asciiTheme="majorHAnsi" w:hAnsiTheme="majorHAnsi"/>
          <w:b/>
          <w:sz w:val="80"/>
          <w:szCs w:val="80"/>
        </w:rPr>
      </w:pPr>
    </w:p>
    <w:p w:rsidR="00312118" w:rsidRPr="000B16D5" w:rsidRDefault="00312118" w:rsidP="00236F03">
      <w:pPr>
        <w:pBdr>
          <w:bottom w:val="single" w:sz="6" w:space="1" w:color="auto"/>
        </w:pBdr>
        <w:spacing w:before="4000"/>
        <w:jc w:val="center"/>
        <w:rPr>
          <w:rFonts w:asciiTheme="majorHAnsi" w:hAnsiTheme="majorHAnsi"/>
          <w:b/>
          <w:sz w:val="80"/>
          <w:szCs w:val="80"/>
        </w:rPr>
      </w:pPr>
      <w:r w:rsidRPr="000B16D5">
        <w:rPr>
          <w:rFonts w:asciiTheme="majorHAnsi" w:hAnsiTheme="majorHAnsi"/>
          <w:b/>
          <w:sz w:val="80"/>
          <w:szCs w:val="80"/>
        </w:rPr>
        <w:t>Č</w:t>
      </w:r>
      <w:r w:rsidR="00A22F24" w:rsidRPr="000B16D5">
        <w:rPr>
          <w:rFonts w:asciiTheme="majorHAnsi" w:hAnsiTheme="majorHAnsi"/>
          <w:b/>
          <w:sz w:val="80"/>
          <w:szCs w:val="80"/>
        </w:rPr>
        <w:t>ást</w:t>
      </w:r>
      <w:r w:rsidRPr="000B16D5">
        <w:rPr>
          <w:rFonts w:asciiTheme="majorHAnsi" w:hAnsiTheme="majorHAnsi"/>
          <w:b/>
          <w:sz w:val="80"/>
          <w:szCs w:val="80"/>
        </w:rPr>
        <w:t xml:space="preserve"> 1</w:t>
      </w:r>
    </w:p>
    <w:p w:rsidR="00312118" w:rsidRPr="000B16D5" w:rsidRDefault="00A22F24" w:rsidP="00236F03">
      <w:pPr>
        <w:jc w:val="center"/>
        <w:rPr>
          <w:rFonts w:asciiTheme="majorHAnsi" w:hAnsiTheme="majorHAnsi"/>
          <w:sz w:val="56"/>
        </w:rPr>
      </w:pPr>
      <w:r w:rsidRPr="000B16D5">
        <w:rPr>
          <w:rFonts w:asciiTheme="majorHAnsi" w:hAnsiTheme="majorHAnsi"/>
          <w:sz w:val="56"/>
        </w:rPr>
        <w:t>- Z</w:t>
      </w:r>
      <w:r w:rsidR="00312118" w:rsidRPr="000B16D5">
        <w:rPr>
          <w:rFonts w:asciiTheme="majorHAnsi" w:hAnsiTheme="majorHAnsi"/>
          <w:sz w:val="56"/>
        </w:rPr>
        <w:t>ákladní genetika</w:t>
      </w:r>
      <w:r w:rsidRPr="000B16D5">
        <w:rPr>
          <w:rFonts w:asciiTheme="majorHAnsi" w:hAnsiTheme="majorHAnsi"/>
          <w:sz w:val="56"/>
        </w:rPr>
        <w:t xml:space="preserve"> -</w:t>
      </w:r>
      <w:r w:rsidR="00312118" w:rsidRPr="000B16D5">
        <w:rPr>
          <w:rFonts w:asciiTheme="majorHAnsi" w:hAnsiTheme="majorHAnsi"/>
          <w:highlight w:val="cyan"/>
        </w:rPr>
        <w:br w:type="page"/>
      </w:r>
    </w:p>
    <w:bookmarkStart w:id="6" w:name="_Toc380240579"/>
    <w:p w:rsidR="008202AD" w:rsidRPr="000B16D5" w:rsidRDefault="00100C72" w:rsidP="00236F03">
      <w:pPr>
        <w:pStyle w:val="Nadpiskapitoly"/>
        <w:rPr>
          <w:rFonts w:asciiTheme="majorHAnsi" w:hAnsiTheme="majorHAnsi"/>
        </w:rPr>
      </w:pPr>
      <w:r w:rsidRPr="000B16D5">
        <w:rPr>
          <w:rFonts w:asciiTheme="majorHAnsi" w:hAnsiTheme="majorHAnsi"/>
          <w:noProof/>
        </w:rPr>
        <w:lastRenderedPageBreak/>
        <mc:AlternateContent>
          <mc:Choice Requires="wps">
            <w:drawing>
              <wp:anchor distT="0" distB="0" distL="114300" distR="114300" simplePos="0" relativeHeight="251661312" behindDoc="0" locked="0" layoutInCell="1" allowOverlap="1">
                <wp:simplePos x="0" y="0"/>
                <wp:positionH relativeFrom="column">
                  <wp:posOffset>5215890</wp:posOffset>
                </wp:positionH>
                <wp:positionV relativeFrom="paragraph">
                  <wp:posOffset>9525</wp:posOffset>
                </wp:positionV>
                <wp:extent cx="1303655" cy="1416685"/>
                <wp:effectExtent l="0" t="76200" r="71755" b="2540"/>
                <wp:wrapNone/>
                <wp:docPr id="1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202AD">
                            <w:pPr>
                              <w:spacing w:after="0"/>
                              <w:jc w:val="center"/>
                              <w:rPr>
                                <w:rFonts w:ascii="Palatino Linotype" w:hAnsi="Palatino Linotype"/>
                                <w:b/>
                                <w:sz w:val="160"/>
                              </w:rPr>
                            </w:pPr>
                            <w:r w:rsidRPr="008202AD">
                              <w:rPr>
                                <w:rFonts w:ascii="Palatino Linotype" w:hAnsi="Palatino Linotype"/>
                                <w:b/>
                                <w:sz w:val="16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7" type="#_x0000_t202" style="position:absolute;left:0;text-align:left;margin-left:410.7pt;margin-top:.75pt;width:102.65pt;height:1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" stroked="f">
                <v:shadow on="t" opacity=".5" offset="6pt,-6pt"/>
                <v:textbox>
                  <w:txbxContent>
                    <w:p w:rsidR="00440FD1" w:rsidRPr="008202AD" w:rsidRDefault="00440FD1" w:rsidP="008202AD">
                      <w:pPr>
                        <w:spacing w:after="0"/>
                        <w:jc w:val="center"/>
                        <w:rPr>
                          <w:rFonts w:ascii="Palatino Linotype" w:hAnsi="Palatino Linotype"/>
                          <w:b/>
                          <w:sz w:val="160"/>
                        </w:rPr>
                      </w:pPr>
                      <w:r w:rsidRPr="008202AD">
                        <w:rPr>
                          <w:rFonts w:ascii="Palatino Linotype" w:hAnsi="Palatino Linotype"/>
                          <w:b/>
                          <w:sz w:val="160"/>
                        </w:rPr>
                        <w:t>2</w:t>
                      </w:r>
                    </w:p>
                  </w:txbxContent>
                </v:textbox>
              </v:shape>
            </w:pict>
          </mc:Fallback>
        </mc:AlternateContent>
      </w:r>
      <w:r w:rsidR="008202AD" w:rsidRPr="000B16D5">
        <w:rPr>
          <w:rFonts w:asciiTheme="majorHAnsi" w:hAnsiTheme="majorHAnsi"/>
        </w:rPr>
        <w:t>Projekt lidského genomu</w:t>
      </w:r>
      <w:bookmarkEnd w:id="6"/>
    </w:p>
    <w:p w:rsidR="00D56167" w:rsidRPr="000B16D5" w:rsidRDefault="00312118" w:rsidP="008202AD">
      <w:pPr>
        <w:spacing w:after="0"/>
        <w:rPr>
          <w:rFonts w:asciiTheme="majorHAnsi" w:hAnsiTheme="majorHAnsi"/>
          <w:sz w:val="20"/>
        </w:rPr>
      </w:pPr>
      <w:r w:rsidRPr="000B16D5">
        <w:rPr>
          <w:rFonts w:asciiTheme="majorHAnsi" w:hAnsiTheme="majorHAnsi"/>
          <w:sz w:val="20"/>
        </w:rPr>
        <w:t>Projekt HuGo</w:t>
      </w:r>
    </w:p>
    <w:p w:rsidR="00D56167" w:rsidRPr="000B16D5" w:rsidRDefault="00312118" w:rsidP="008202AD">
      <w:pPr>
        <w:spacing w:after="0"/>
        <w:rPr>
          <w:rFonts w:asciiTheme="majorHAnsi" w:hAnsiTheme="majorHAnsi"/>
          <w:sz w:val="20"/>
        </w:rPr>
      </w:pPr>
      <w:r w:rsidRPr="000B16D5">
        <w:rPr>
          <w:rFonts w:asciiTheme="majorHAnsi" w:hAnsiTheme="majorHAnsi"/>
          <w:sz w:val="20"/>
        </w:rPr>
        <w:t>Variabilita DNA a její význam v patogenezi onemocnění</w:t>
      </w:r>
    </w:p>
    <w:p w:rsidR="00312118" w:rsidRPr="000B16D5" w:rsidRDefault="00312118" w:rsidP="008202AD">
      <w:pPr>
        <w:spacing w:after="0"/>
        <w:rPr>
          <w:rFonts w:asciiTheme="majorHAnsi" w:hAnsiTheme="majorHAnsi"/>
          <w:sz w:val="20"/>
        </w:rPr>
      </w:pPr>
      <w:r w:rsidRPr="000B16D5">
        <w:rPr>
          <w:rFonts w:asciiTheme="majorHAnsi" w:hAnsiTheme="majorHAnsi"/>
          <w:sz w:val="20"/>
        </w:rPr>
        <w:t>Základní paradigma molekulární biologie</w:t>
      </w:r>
    </w:p>
    <w:p w:rsidR="008202AD" w:rsidRPr="000B16D5" w:rsidRDefault="008202AD" w:rsidP="008202AD">
      <w:pPr>
        <w:spacing w:after="0"/>
        <w:jc w:val="both"/>
        <w:rPr>
          <w:rFonts w:asciiTheme="majorHAnsi" w:hAnsiTheme="majorHAnsi"/>
          <w:i/>
        </w:rPr>
      </w:pPr>
    </w:p>
    <w:p w:rsidR="008202AD" w:rsidRPr="000B16D5" w:rsidRDefault="008202AD" w:rsidP="008202AD">
      <w:pPr>
        <w:spacing w:after="0"/>
        <w:jc w:val="both"/>
        <w:rPr>
          <w:rFonts w:asciiTheme="majorHAnsi" w:hAnsiTheme="majorHAnsi"/>
          <w:i/>
        </w:rPr>
      </w:pPr>
      <w:r w:rsidRPr="000B16D5">
        <w:rPr>
          <w:rFonts w:asciiTheme="majorHAnsi" w:hAnsiTheme="majorHAnsi"/>
          <w:i/>
        </w:rPr>
        <w:t>Jan Vinklárek</w:t>
      </w:r>
    </w:p>
    <w:p w:rsidR="008202AD" w:rsidRPr="000B16D5" w:rsidRDefault="008202AD" w:rsidP="008202AD">
      <w:pPr>
        <w:spacing w:after="0"/>
        <w:jc w:val="both"/>
        <w:rPr>
          <w:rFonts w:asciiTheme="majorHAnsi" w:hAnsiTheme="majorHAnsi"/>
        </w:rPr>
      </w:pPr>
    </w:p>
    <w:p w:rsidR="00312118" w:rsidRPr="000B16D5" w:rsidRDefault="00312118" w:rsidP="004F7664">
      <w:pPr>
        <w:jc w:val="both"/>
        <w:rPr>
          <w:rFonts w:asciiTheme="majorHAnsi" w:hAnsiTheme="majorHAnsi"/>
        </w:rPr>
      </w:pPr>
      <w:r w:rsidRPr="000B16D5">
        <w:rPr>
          <w:rFonts w:asciiTheme="majorHAnsi" w:hAnsiTheme="majorHAnsi"/>
          <w:b/>
        </w:rPr>
        <w:t>Projekt lidského genomu (Human Genome Project, HGP)</w:t>
      </w:r>
      <w:r w:rsidRPr="000B16D5">
        <w:rPr>
          <w:rFonts w:asciiTheme="majorHAnsi" w:hAnsiTheme="majorHAnsi"/>
        </w:rPr>
        <w:t xml:space="preserve"> je mezinárodním vědeckým projektem s cílem kompletního zmapování lidského genomu a porozumění významu jednotlivých genů. Výzkum započal pod vedením Jamese D. Watsona v říjnu roku 1990. První výsledky, asi z 90 procent kompletní, zveřejněné Mezinárodním konsorciem</w:t>
      </w:r>
      <w:r w:rsidR="004F7664" w:rsidRPr="000B16D5">
        <w:rPr>
          <w:rFonts w:asciiTheme="majorHAnsi" w:hAnsiTheme="majorHAnsi"/>
        </w:rPr>
        <w:t xml:space="preserve"> </w:t>
      </w:r>
      <w:r w:rsidRPr="000B16D5">
        <w:rPr>
          <w:rFonts w:asciiTheme="majorHAnsi" w:hAnsiTheme="majorHAnsi"/>
        </w:rPr>
        <w:t>sekvenace lidského genomu byly publikovány začátkem roku 2001 ve vědeckém časopi</w:t>
      </w:r>
      <w:r w:rsidR="004F7664" w:rsidRPr="000B16D5">
        <w:rPr>
          <w:rFonts w:asciiTheme="majorHAnsi" w:hAnsiTheme="majorHAnsi"/>
        </w:rPr>
        <w:t>s</w:t>
      </w:r>
      <w:r w:rsidRPr="000B16D5">
        <w:rPr>
          <w:rFonts w:asciiTheme="majorHAnsi" w:hAnsiTheme="majorHAnsi"/>
        </w:rPr>
        <w:t>e Nature. Už tehdy první data vzbudila senzaci</w:t>
      </w:r>
      <w:r w:rsidR="004302D9" w:rsidRPr="000B16D5">
        <w:rPr>
          <w:rFonts w:asciiTheme="majorHAnsi" w:hAnsiTheme="majorHAnsi"/>
        </w:rPr>
        <w:t xml:space="preserve"> </w:t>
      </w:r>
      <w:r w:rsidRPr="000B16D5">
        <w:rPr>
          <w:rFonts w:asciiTheme="majorHAnsi" w:hAnsiTheme="majorHAnsi"/>
        </w:rPr>
        <w:t xml:space="preserve">tím, že bylo popsáno daleko menší </w:t>
      </w:r>
      <w:r w:rsidR="004F7664" w:rsidRPr="000B16D5">
        <w:rPr>
          <w:rFonts w:asciiTheme="majorHAnsi" w:hAnsiTheme="majorHAnsi"/>
        </w:rPr>
        <w:t>množství</w:t>
      </w:r>
      <w:r w:rsidRPr="000B16D5">
        <w:rPr>
          <w:rFonts w:asciiTheme="majorHAnsi" w:hAnsiTheme="majorHAnsi"/>
        </w:rPr>
        <w:t xml:space="preserve"> genů, než se </w:t>
      </w:r>
      <w:r w:rsidR="00244837" w:rsidRPr="000B16D5">
        <w:rPr>
          <w:rFonts w:asciiTheme="majorHAnsi" w:hAnsiTheme="majorHAnsi"/>
        </w:rPr>
        <w:t>o</w:t>
      </w:r>
      <w:r w:rsidR="005834D4" w:rsidRPr="000B16D5">
        <w:rPr>
          <w:rFonts w:asciiTheme="majorHAnsi" w:hAnsiTheme="majorHAnsi"/>
        </w:rPr>
        <w:t>č</w:t>
      </w:r>
      <w:r w:rsidR="00244837" w:rsidRPr="000B16D5">
        <w:rPr>
          <w:rFonts w:asciiTheme="majorHAnsi" w:hAnsiTheme="majorHAnsi"/>
        </w:rPr>
        <w:t>ekávalo</w:t>
      </w:r>
      <w:r w:rsidRPr="000B16D5">
        <w:rPr>
          <w:rFonts w:asciiTheme="majorHAnsi" w:hAnsiTheme="majorHAnsi"/>
        </w:rPr>
        <w:t>. Kompletní rozkódování sekvence lidské DNA bylo známo na jaře 2003. Zmapovány byly i jednotlivé pozice většiny genů na chromozomech; bylo zjištěno na 20 500 lidských genů. Dnes je díky HGP známo více než 1800 genů</w:t>
      </w:r>
      <w:r w:rsidR="00266EE1" w:rsidRPr="000B16D5">
        <w:rPr>
          <w:rFonts w:asciiTheme="majorHAnsi" w:hAnsiTheme="majorHAnsi"/>
        </w:rPr>
        <w:t xml:space="preserve">, které mohou mít souvislost </w:t>
      </w:r>
      <w:r w:rsidRPr="000B16D5">
        <w:rPr>
          <w:rFonts w:asciiTheme="majorHAnsi" w:hAnsiTheme="majorHAnsi"/>
        </w:rPr>
        <w:t>s lidskými nemocemi. Projekt umožnil zdokonalení a zrychlení detekce vadného genu u dědičných onemocnění a nejméně 350 na biotechnologii založených produktů vychází z jeho poznatků. Užitečným výstupem je HapMap, katalog genetické variability nebo haplotypů v lidském genomu, přispívající při hledání genetických faktorů zodpovědných za patologie. Uplatnění je i ve farmakogenomice, oboru zabývajícím se působením lék</w:t>
      </w:r>
      <w:r w:rsidR="00362355" w:rsidRPr="000B16D5">
        <w:rPr>
          <w:rFonts w:asciiTheme="majorHAnsi" w:hAnsiTheme="majorHAnsi"/>
        </w:rPr>
        <w:t>ů</w:t>
      </w:r>
      <w:r w:rsidRPr="000B16D5">
        <w:rPr>
          <w:rFonts w:asciiTheme="majorHAnsi" w:hAnsiTheme="majorHAnsi"/>
        </w:rPr>
        <w:t xml:space="preserve"> na organismus na základě individuální genetické výbavy. Do budoucna se od Human Genome Project </w:t>
      </w:r>
      <w:r w:rsidR="00261EB7" w:rsidRPr="000B16D5">
        <w:rPr>
          <w:rFonts w:asciiTheme="majorHAnsi" w:hAnsiTheme="majorHAnsi"/>
        </w:rPr>
        <w:t xml:space="preserve">očekává, že pomůže identifikovat </w:t>
      </w:r>
      <w:r w:rsidRPr="000B16D5">
        <w:rPr>
          <w:rFonts w:asciiTheme="majorHAnsi" w:hAnsiTheme="majorHAnsi"/>
        </w:rPr>
        <w:t>všechny genetické abnormality vyskytující se u 50 hlavních typů rakovin, tzv. Cancer Genome Atlas</w:t>
      </w:r>
      <w:r w:rsidR="00261EB7" w:rsidRPr="000B16D5">
        <w:rPr>
          <w:rFonts w:asciiTheme="majorHAnsi" w:hAnsiTheme="majorHAnsi"/>
        </w:rPr>
        <w:t xml:space="preserve">, a že urychlí </w:t>
      </w:r>
      <w:r w:rsidRPr="000B16D5">
        <w:rPr>
          <w:rFonts w:asciiTheme="majorHAnsi" w:hAnsiTheme="majorHAnsi"/>
        </w:rPr>
        <w:t>vývoj nových a lepších léčiv a</w:t>
      </w:r>
      <w:r w:rsidR="008309B5" w:rsidRPr="000B16D5">
        <w:rPr>
          <w:rFonts w:asciiTheme="majorHAnsi" w:hAnsiTheme="majorHAnsi"/>
        </w:rPr>
        <w:t xml:space="preserve"> umožní</w:t>
      </w:r>
      <w:r w:rsidRPr="000B16D5">
        <w:rPr>
          <w:rFonts w:asciiTheme="majorHAnsi" w:hAnsiTheme="majorHAnsi"/>
        </w:rPr>
        <w:t xml:space="preserve"> provádění cílenějších zásahů vedoucích k zlepšení stavu pacienta či jeho vyléčení. V zorném poli je i získávání užitečných informací pro oblast právní, sociální nebo etickou.</w:t>
      </w:r>
    </w:p>
    <w:p w:rsidR="00312118" w:rsidRPr="000B16D5" w:rsidRDefault="00312118" w:rsidP="00236F03">
      <w:pPr>
        <w:jc w:val="both"/>
        <w:rPr>
          <w:rFonts w:asciiTheme="majorHAnsi" w:hAnsiTheme="majorHAnsi"/>
        </w:rPr>
      </w:pPr>
      <w:r w:rsidRPr="000B16D5">
        <w:rPr>
          <w:rFonts w:asciiTheme="majorHAnsi" w:hAnsiTheme="majorHAnsi"/>
        </w:rPr>
        <w:t xml:space="preserve">Každý člověk se </w:t>
      </w:r>
      <w:r w:rsidR="00FA0AF9" w:rsidRPr="000B16D5">
        <w:rPr>
          <w:rFonts w:asciiTheme="majorHAnsi" w:hAnsiTheme="majorHAnsi"/>
        </w:rPr>
        <w:t xml:space="preserve">vyznačuje jedinečnou </w:t>
      </w:r>
      <w:r w:rsidRPr="000B16D5">
        <w:rPr>
          <w:rFonts w:asciiTheme="majorHAnsi" w:hAnsiTheme="majorHAnsi"/>
        </w:rPr>
        <w:t xml:space="preserve">genetickou výbavou, která mu propůjčuje mnohé charakteristiky, ať už pozitivní či negativní. Dokonce i jednovaječná dvojčata mají </w:t>
      </w:r>
      <w:r w:rsidR="004F7664" w:rsidRPr="000B16D5">
        <w:rPr>
          <w:rFonts w:asciiTheme="majorHAnsi" w:hAnsiTheme="majorHAnsi"/>
        </w:rPr>
        <w:t xml:space="preserve">drobné </w:t>
      </w:r>
      <w:r w:rsidRPr="000B16D5">
        <w:rPr>
          <w:rFonts w:asciiTheme="majorHAnsi" w:hAnsiTheme="majorHAnsi"/>
        </w:rPr>
        <w:t xml:space="preserve">rozdíly ve svých genomech. Základním mechanismem této skutečnosti je výměna genů během meiózy a náhodné mutace. A dnes stále častěji diskutovaným tématem je i role epigenetiky. Je známo několik forem změn v DNA. </w:t>
      </w:r>
      <w:r w:rsidRPr="000B16D5">
        <w:rPr>
          <w:rFonts w:asciiTheme="majorHAnsi" w:hAnsiTheme="majorHAnsi"/>
          <w:b/>
        </w:rPr>
        <w:t>Single nucleotid polymorphism (SNP)</w:t>
      </w:r>
      <w:r w:rsidRPr="000B16D5">
        <w:rPr>
          <w:rFonts w:asciiTheme="majorHAnsi" w:hAnsiTheme="majorHAnsi"/>
        </w:rPr>
        <w:t xml:space="preserve"> je rozdíl vyskytující se v jediném nukleotidu alespoň </w:t>
      </w:r>
      <w:r w:rsidR="004F7664" w:rsidRPr="000B16D5">
        <w:rPr>
          <w:rFonts w:asciiTheme="majorHAnsi" w:hAnsiTheme="majorHAnsi"/>
        </w:rPr>
        <w:t>u</w:t>
      </w:r>
      <w:r w:rsidRPr="000B16D5">
        <w:rPr>
          <w:rFonts w:asciiTheme="majorHAnsi" w:hAnsiTheme="majorHAnsi"/>
        </w:rPr>
        <w:t xml:space="preserve"> 1</w:t>
      </w:r>
      <w:r w:rsidR="00FA0AF9" w:rsidRPr="000B16D5">
        <w:rPr>
          <w:rFonts w:asciiTheme="majorHAnsi" w:hAnsiTheme="majorHAnsi"/>
        </w:rPr>
        <w:t xml:space="preserve"> </w:t>
      </w:r>
      <w:r w:rsidRPr="000B16D5">
        <w:rPr>
          <w:rFonts w:asciiTheme="majorHAnsi" w:hAnsiTheme="majorHAnsi"/>
        </w:rPr>
        <w:t xml:space="preserve">% populace. Mezi strukturální změny u chromozomů patří </w:t>
      </w:r>
      <w:r w:rsidRPr="000B16D5">
        <w:rPr>
          <w:rFonts w:asciiTheme="majorHAnsi" w:hAnsiTheme="majorHAnsi"/>
          <w:b/>
        </w:rPr>
        <w:t>delece</w:t>
      </w:r>
      <w:r w:rsidRPr="000B16D5">
        <w:rPr>
          <w:rFonts w:asciiTheme="majorHAnsi" w:hAnsiTheme="majorHAnsi"/>
        </w:rPr>
        <w:t xml:space="preserve">, </w:t>
      </w:r>
      <w:r w:rsidRPr="000B16D5">
        <w:rPr>
          <w:rFonts w:asciiTheme="majorHAnsi" w:hAnsiTheme="majorHAnsi"/>
          <w:b/>
        </w:rPr>
        <w:t>inzerce</w:t>
      </w:r>
      <w:r w:rsidRPr="000B16D5">
        <w:rPr>
          <w:rFonts w:asciiTheme="majorHAnsi" w:hAnsiTheme="majorHAnsi"/>
        </w:rPr>
        <w:t xml:space="preserve">, </w:t>
      </w:r>
      <w:r w:rsidRPr="000B16D5">
        <w:rPr>
          <w:rFonts w:asciiTheme="majorHAnsi" w:hAnsiTheme="majorHAnsi"/>
          <w:b/>
        </w:rPr>
        <w:t>inverze</w:t>
      </w:r>
      <w:r w:rsidRPr="000B16D5">
        <w:rPr>
          <w:rFonts w:asciiTheme="majorHAnsi" w:hAnsiTheme="majorHAnsi"/>
        </w:rPr>
        <w:t xml:space="preserve">, </w:t>
      </w:r>
      <w:r w:rsidRPr="000B16D5">
        <w:rPr>
          <w:rFonts w:asciiTheme="majorHAnsi" w:hAnsiTheme="majorHAnsi"/>
          <w:b/>
        </w:rPr>
        <w:t>duplikace</w:t>
      </w:r>
      <w:r w:rsidRPr="000B16D5">
        <w:rPr>
          <w:rFonts w:asciiTheme="majorHAnsi" w:hAnsiTheme="majorHAnsi"/>
        </w:rPr>
        <w:t xml:space="preserve">. Znalost těchto skutečností nám umožňuje </w:t>
      </w:r>
      <w:r w:rsidR="00FA0AF9" w:rsidRPr="000B16D5">
        <w:rPr>
          <w:rFonts w:asciiTheme="majorHAnsi" w:hAnsiTheme="majorHAnsi"/>
        </w:rPr>
        <w:t>adekvátněji individualizovat</w:t>
      </w:r>
      <w:r w:rsidRPr="000B16D5">
        <w:rPr>
          <w:rFonts w:asciiTheme="majorHAnsi" w:hAnsiTheme="majorHAnsi"/>
        </w:rPr>
        <w:t xml:space="preserve"> léčebn</w:t>
      </w:r>
      <w:r w:rsidR="00FA0AF9" w:rsidRPr="000B16D5">
        <w:rPr>
          <w:rFonts w:asciiTheme="majorHAnsi" w:hAnsiTheme="majorHAnsi"/>
        </w:rPr>
        <w:t>é</w:t>
      </w:r>
      <w:r w:rsidRPr="000B16D5">
        <w:rPr>
          <w:rFonts w:asciiTheme="majorHAnsi" w:hAnsiTheme="majorHAnsi"/>
        </w:rPr>
        <w:t xml:space="preserve"> postup</w:t>
      </w:r>
      <w:r w:rsidR="00FA0AF9" w:rsidRPr="000B16D5">
        <w:rPr>
          <w:rFonts w:asciiTheme="majorHAnsi" w:hAnsiTheme="majorHAnsi"/>
        </w:rPr>
        <w:t>y</w:t>
      </w:r>
      <w:r w:rsidRPr="000B16D5">
        <w:rPr>
          <w:rFonts w:asciiTheme="majorHAnsi" w:hAnsiTheme="majorHAnsi"/>
        </w:rPr>
        <w:t>, zpřesn</w:t>
      </w:r>
      <w:r w:rsidR="00EB7640" w:rsidRPr="000B16D5">
        <w:rPr>
          <w:rFonts w:asciiTheme="majorHAnsi" w:hAnsiTheme="majorHAnsi"/>
        </w:rPr>
        <w:t>it</w:t>
      </w:r>
      <w:r w:rsidRPr="000B16D5">
        <w:rPr>
          <w:rFonts w:asciiTheme="majorHAnsi" w:hAnsiTheme="majorHAnsi"/>
        </w:rPr>
        <w:t xml:space="preserve"> diagnostik</w:t>
      </w:r>
      <w:r w:rsidR="00EB7640" w:rsidRPr="000B16D5">
        <w:rPr>
          <w:rFonts w:asciiTheme="majorHAnsi" w:hAnsiTheme="majorHAnsi"/>
        </w:rPr>
        <w:t>u</w:t>
      </w:r>
      <w:r w:rsidRPr="000B16D5">
        <w:rPr>
          <w:rFonts w:asciiTheme="majorHAnsi" w:hAnsiTheme="majorHAnsi"/>
        </w:rPr>
        <w:t xml:space="preserve"> či </w:t>
      </w:r>
      <w:r w:rsidR="006728B9" w:rsidRPr="000B16D5">
        <w:rPr>
          <w:rFonts w:asciiTheme="majorHAnsi" w:hAnsiTheme="majorHAnsi"/>
        </w:rPr>
        <w:t>urychlit terapeutický</w:t>
      </w:r>
      <w:r w:rsidRPr="000B16D5">
        <w:rPr>
          <w:rFonts w:asciiTheme="majorHAnsi" w:hAnsiTheme="majorHAnsi"/>
        </w:rPr>
        <w:t xml:space="preserve"> zásah. </w:t>
      </w:r>
      <w:r w:rsidR="005834D4" w:rsidRPr="000B16D5">
        <w:rPr>
          <w:rFonts w:asciiTheme="majorHAnsi" w:hAnsiTheme="majorHAnsi"/>
        </w:rPr>
        <w:t>Příkladem z oblasti onkologie je</w:t>
      </w:r>
      <w:r w:rsidRPr="000B16D5">
        <w:rPr>
          <w:rFonts w:asciiTheme="majorHAnsi" w:hAnsiTheme="majorHAnsi"/>
        </w:rPr>
        <w:t xml:space="preserve"> zevrubné studium specifických inhibitorů tyrozinkinázy BCR-ABL v léčbě chronické myeloidní leukemie (CML) či prognosticky významný protoonkogen MYCN u neuroblastomu. Analýza genetické variability plní svůj význam i v multifaktoriálně podmíněných formách onemocnění jako je Crohnova choroba a nalezení k ní příslušného rizikového genu NOD2. Geneticky podmíněné aktivity enzymů rozhodují o efektivnosti terapie, například varianta genu TPMT ovlivňuje účinnost 6-merkaptopurinů používaných k léčbě onkologických pacientů. Znalost variability DNA dokáže určit i náchylnost jedince k virovým a bakteriálním nákazám a zpřesnit cílení nových farmak na jejich léčbu.</w:t>
      </w:r>
    </w:p>
    <w:p w:rsidR="00312118" w:rsidRPr="000B16D5" w:rsidRDefault="00312118" w:rsidP="00236F03">
      <w:pPr>
        <w:jc w:val="both"/>
        <w:rPr>
          <w:rFonts w:asciiTheme="majorHAnsi" w:hAnsiTheme="majorHAnsi"/>
        </w:rPr>
      </w:pPr>
      <w:r w:rsidRPr="000B16D5">
        <w:rPr>
          <w:rFonts w:asciiTheme="majorHAnsi" w:hAnsiTheme="majorHAnsi"/>
          <w:b/>
        </w:rPr>
        <w:t>Základní paradigma molekulární biologie</w:t>
      </w:r>
      <w:r w:rsidRPr="000B16D5">
        <w:rPr>
          <w:rFonts w:asciiTheme="majorHAnsi" w:hAnsiTheme="majorHAnsi"/>
        </w:rPr>
        <w:t xml:space="preserve"> ustanovil Francis Crick. V principu může být informace nesena ve třech biopolymerech (DNA, RNA a proteiny), které mezi sebou mají úzký funkční vztah. Tento vztah je charakterizován tzv. běžnými, obvyklými cestami</w:t>
      </w:r>
      <w:r w:rsidR="000E274D" w:rsidRPr="000B16D5">
        <w:rPr>
          <w:rFonts w:asciiTheme="majorHAnsi" w:hAnsiTheme="majorHAnsi"/>
        </w:rPr>
        <w:t>,</w:t>
      </w:r>
      <w:r w:rsidRPr="000B16D5">
        <w:rPr>
          <w:rFonts w:asciiTheme="majorHAnsi" w:hAnsiTheme="majorHAnsi"/>
        </w:rPr>
        <w:t xml:space="preserve"> jako je replikace DNA (nutné pro přenos informace z buněk mateřských na dceřiné), transkripce (přepsání DNA do mRNA) a translace (překlad mRNA do proteinu). A cestami vzácnými, mezi které patří reverzní transkripce (retroviry mohou přepsat svou RNA do DNA pomocí enzymu reverzní transkriptázy), přepis z RNA do RNA (RNA viry) a in vitro popsaný přepis z DNA přímo do proteinu.</w:t>
      </w:r>
    </w:p>
    <w:p w:rsidR="004F7664" w:rsidRDefault="004F7664" w:rsidP="00236F03">
      <w:pPr>
        <w:jc w:val="both"/>
        <w:rPr>
          <w:rFonts w:asciiTheme="majorHAnsi" w:hAnsiTheme="majorHAnsi"/>
        </w:rPr>
      </w:pPr>
    </w:p>
    <w:p w:rsidR="000B16D5" w:rsidRDefault="000B16D5" w:rsidP="00236F03">
      <w:pPr>
        <w:jc w:val="both"/>
        <w:rPr>
          <w:rFonts w:asciiTheme="majorHAnsi" w:hAnsiTheme="majorHAnsi"/>
        </w:rPr>
      </w:pPr>
    </w:p>
    <w:p w:rsidR="000B16D5" w:rsidRPr="000B16D5" w:rsidRDefault="000B16D5" w:rsidP="00236F03">
      <w:pPr>
        <w:jc w:val="both"/>
        <w:rPr>
          <w:rFonts w:asciiTheme="majorHAnsi" w:hAnsiTheme="majorHAnsi"/>
        </w:rPr>
      </w:pPr>
    </w:p>
    <w:p w:rsidR="004F7664" w:rsidRPr="000B16D5" w:rsidRDefault="004F7664" w:rsidP="00236F03">
      <w:pPr>
        <w:jc w:val="both"/>
        <w:rPr>
          <w:rFonts w:asciiTheme="majorHAnsi" w:hAnsiTheme="majorHAnsi"/>
        </w:rPr>
      </w:pPr>
      <w:r w:rsidRPr="000B16D5">
        <w:rPr>
          <w:rFonts w:asciiTheme="majorHAnsi" w:hAnsiTheme="majorHAnsi"/>
        </w:rPr>
        <w:lastRenderedPageBreak/>
        <w:t>____________________________________________</w:t>
      </w:r>
    </w:p>
    <w:p w:rsidR="00312118" w:rsidRPr="000B16D5" w:rsidRDefault="004F7664" w:rsidP="004F7664">
      <w:pPr>
        <w:spacing w:after="0"/>
        <w:jc w:val="both"/>
        <w:rPr>
          <w:rFonts w:asciiTheme="majorHAnsi" w:hAnsiTheme="majorHAnsi"/>
          <w:b/>
          <w:sz w:val="20"/>
        </w:rPr>
      </w:pPr>
      <w:r w:rsidRPr="000B16D5">
        <w:rPr>
          <w:rFonts w:asciiTheme="majorHAnsi" w:hAnsiTheme="majorHAnsi"/>
          <w:b/>
          <w:sz w:val="20"/>
        </w:rPr>
        <w:t>Zdroje:</w:t>
      </w:r>
    </w:p>
    <w:p w:rsidR="00D56167" w:rsidRPr="000B16D5" w:rsidRDefault="00D56167" w:rsidP="004F7664">
      <w:pPr>
        <w:spacing w:after="0"/>
        <w:jc w:val="both"/>
        <w:rPr>
          <w:rFonts w:asciiTheme="majorHAnsi" w:hAnsiTheme="majorHAnsi"/>
          <w:sz w:val="16"/>
        </w:rPr>
        <w:sectPr w:rsidR="00D56167" w:rsidRPr="000B16D5" w:rsidSect="001E42F7">
          <w:footerReference w:type="default" r:id="rId8"/>
          <w:pgSz w:w="11906" w:h="16838"/>
          <w:pgMar w:top="720" w:right="720" w:bottom="720" w:left="720" w:header="708" w:footer="708" w:gutter="0"/>
          <w:pgNumType w:start="0"/>
          <w:cols w:space="708"/>
          <w:titlePg/>
          <w:docGrid w:linePitch="360"/>
        </w:sectPr>
      </w:pPr>
    </w:p>
    <w:p w:rsidR="00312118" w:rsidRPr="000B16D5" w:rsidRDefault="00312118" w:rsidP="00291461">
      <w:pPr>
        <w:pStyle w:val="Odstavecseseznamem"/>
        <w:numPr>
          <w:ilvl w:val="0"/>
          <w:numId w:val="19"/>
        </w:numPr>
        <w:spacing w:after="0"/>
        <w:jc w:val="both"/>
        <w:rPr>
          <w:rFonts w:asciiTheme="majorHAnsi" w:hAnsiTheme="majorHAnsi"/>
          <w:sz w:val="16"/>
        </w:rPr>
      </w:pPr>
      <w:r w:rsidRPr="000B16D5">
        <w:rPr>
          <w:rFonts w:asciiTheme="majorHAnsi" w:hAnsiTheme="majorHAnsi"/>
          <w:sz w:val="16"/>
        </w:rPr>
        <w:lastRenderedPageBreak/>
        <w:t>http://www.genome.gov/12011238</w:t>
      </w:r>
    </w:p>
    <w:p w:rsidR="00312118" w:rsidRPr="000B16D5" w:rsidRDefault="00312118" w:rsidP="00291461">
      <w:pPr>
        <w:pStyle w:val="Odstavecseseznamem"/>
        <w:numPr>
          <w:ilvl w:val="0"/>
          <w:numId w:val="19"/>
        </w:numPr>
        <w:spacing w:after="0"/>
        <w:jc w:val="both"/>
        <w:rPr>
          <w:rFonts w:asciiTheme="majorHAnsi" w:hAnsiTheme="majorHAnsi"/>
          <w:sz w:val="16"/>
        </w:rPr>
      </w:pPr>
      <w:r w:rsidRPr="000B16D5">
        <w:rPr>
          <w:rFonts w:asciiTheme="majorHAnsi" w:hAnsiTheme="majorHAnsi"/>
          <w:sz w:val="16"/>
        </w:rPr>
        <w:t>http://report.nih.gov/NIHfactsheets/ViewFactSheet.aspx?csid=45&amp;key=H#H</w:t>
      </w:r>
    </w:p>
    <w:p w:rsidR="00312118" w:rsidRPr="000B16D5" w:rsidRDefault="00312118" w:rsidP="00291461">
      <w:pPr>
        <w:pStyle w:val="Odstavecseseznamem"/>
        <w:numPr>
          <w:ilvl w:val="0"/>
          <w:numId w:val="19"/>
        </w:numPr>
        <w:spacing w:after="0"/>
        <w:jc w:val="both"/>
        <w:rPr>
          <w:rFonts w:asciiTheme="majorHAnsi" w:hAnsiTheme="majorHAnsi"/>
          <w:sz w:val="16"/>
        </w:rPr>
      </w:pPr>
      <w:r w:rsidRPr="000B16D5">
        <w:rPr>
          <w:rFonts w:asciiTheme="majorHAnsi" w:hAnsiTheme="majorHAnsi"/>
          <w:sz w:val="16"/>
        </w:rPr>
        <w:t>http://www.nature.com/nature/focus/crick/pdf/crick227.pdf</w:t>
      </w:r>
    </w:p>
    <w:p w:rsidR="00312118" w:rsidRPr="000B16D5" w:rsidRDefault="00312118" w:rsidP="00291461">
      <w:pPr>
        <w:pStyle w:val="Odstavecseseznamem"/>
        <w:numPr>
          <w:ilvl w:val="0"/>
          <w:numId w:val="19"/>
        </w:numPr>
        <w:spacing w:after="0"/>
        <w:jc w:val="both"/>
        <w:rPr>
          <w:rFonts w:asciiTheme="majorHAnsi" w:hAnsiTheme="majorHAnsi"/>
          <w:sz w:val="16"/>
        </w:rPr>
      </w:pPr>
      <w:r w:rsidRPr="000B16D5">
        <w:rPr>
          <w:rFonts w:asciiTheme="majorHAnsi" w:hAnsiTheme="majorHAnsi"/>
          <w:sz w:val="16"/>
        </w:rPr>
        <w:lastRenderedPageBreak/>
        <w:t>http://en.wikipedia.org/wiki/Central_dogma_of_molecular_biology</w:t>
      </w:r>
    </w:p>
    <w:p w:rsidR="00D56167" w:rsidRPr="000B16D5" w:rsidRDefault="00312118" w:rsidP="00291461">
      <w:pPr>
        <w:pStyle w:val="Odstavecseseznamem"/>
        <w:numPr>
          <w:ilvl w:val="0"/>
          <w:numId w:val="19"/>
        </w:numPr>
        <w:spacing w:after="0"/>
        <w:jc w:val="both"/>
        <w:rPr>
          <w:rFonts w:asciiTheme="majorHAnsi" w:hAnsiTheme="majorHAnsi"/>
          <w:sz w:val="16"/>
        </w:rPr>
        <w:sectPr w:rsidR="00D56167" w:rsidRPr="000B16D5" w:rsidSect="00D56167">
          <w:type w:val="continuous"/>
          <w:pgSz w:w="11906" w:h="16838"/>
          <w:pgMar w:top="720" w:right="720" w:bottom="720" w:left="720" w:header="708" w:footer="708" w:gutter="0"/>
          <w:pgNumType w:start="0"/>
          <w:cols w:num="2" w:space="708"/>
          <w:titlePg/>
          <w:docGrid w:linePitch="360"/>
        </w:sectPr>
      </w:pPr>
      <w:r w:rsidRPr="000B16D5">
        <w:rPr>
          <w:rFonts w:asciiTheme="majorHAnsi" w:hAnsiTheme="majorHAnsi"/>
          <w:sz w:val="16"/>
        </w:rPr>
        <w:t>http://zdravi.e15.cz/clanek/postgradualni-medicina/sekvence-lidskeho-genomu-a-medicina-146695</w:t>
      </w:r>
    </w:p>
    <w:p w:rsidR="00312118" w:rsidRPr="000B16D5" w:rsidRDefault="00312118" w:rsidP="004F7664">
      <w:pPr>
        <w:spacing w:after="0"/>
        <w:jc w:val="both"/>
        <w:rPr>
          <w:rFonts w:asciiTheme="majorHAnsi" w:hAnsiTheme="majorHAnsi"/>
          <w:b/>
          <w:smallCaps/>
          <w:sz w:val="18"/>
          <w:highlight w:val="red"/>
        </w:rPr>
      </w:pPr>
      <w:r w:rsidRPr="000B16D5">
        <w:rPr>
          <w:rFonts w:asciiTheme="majorHAnsi" w:hAnsiTheme="majorHAnsi"/>
          <w:sz w:val="16"/>
          <w:highlight w:val="red"/>
        </w:rPr>
        <w:lastRenderedPageBreak/>
        <w:br w:type="page"/>
      </w:r>
    </w:p>
    <w:bookmarkStart w:id="7" w:name="_Toc380240580"/>
    <w:p w:rsidR="00D56167" w:rsidRPr="000B16D5" w:rsidRDefault="00100C72" w:rsidP="00236F03">
      <w:pPr>
        <w:pStyle w:val="Nadpiskapitoly"/>
        <w:rPr>
          <w:rFonts w:asciiTheme="majorHAnsi" w:hAnsiTheme="majorHAnsi"/>
        </w:rPr>
      </w:pPr>
      <w:r w:rsidRPr="000B16D5">
        <w:rPr>
          <w:rFonts w:asciiTheme="majorHAnsi" w:hAnsiTheme="majorHAnsi"/>
          <w:b w:val="0"/>
          <w:noProof/>
        </w:rPr>
        <w:lastRenderedPageBreak/>
        <mc:AlternateContent>
          <mc:Choice Requires="wps">
            <w:drawing>
              <wp:anchor distT="0" distB="0" distL="114300" distR="114300" simplePos="0" relativeHeight="251663360" behindDoc="0" locked="0" layoutInCell="1" allowOverlap="1">
                <wp:simplePos x="0" y="0"/>
                <wp:positionH relativeFrom="column">
                  <wp:posOffset>5210175</wp:posOffset>
                </wp:positionH>
                <wp:positionV relativeFrom="paragraph">
                  <wp:posOffset>37465</wp:posOffset>
                </wp:positionV>
                <wp:extent cx="1303655" cy="1416685"/>
                <wp:effectExtent l="0" t="75565" r="77470" b="3175"/>
                <wp:wrapNone/>
                <wp:docPr id="1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D56167">
                            <w:pPr>
                              <w:spacing w:after="0"/>
                              <w:jc w:val="center"/>
                              <w:rPr>
                                <w:rFonts w:ascii="Palatino Linotype" w:hAnsi="Palatino Linotype"/>
                                <w:b/>
                                <w:sz w:val="160"/>
                              </w:rPr>
                            </w:pPr>
                            <w:r>
                              <w:rPr>
                                <w:rFonts w:ascii="Palatino Linotype" w:hAnsi="Palatino Linotype"/>
                                <w:b/>
                                <w:sz w:val="16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410.25pt;margin-top:2.95pt;width:102.65pt;height:1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" stroked="f">
                <v:shadow on="t" opacity=".5" offset="6pt,-6pt"/>
                <v:textbox>
                  <w:txbxContent>
                    <w:p w:rsidR="00440FD1" w:rsidRPr="008202AD" w:rsidRDefault="00440FD1" w:rsidP="00D56167">
                      <w:pPr>
                        <w:spacing w:after="0"/>
                        <w:jc w:val="center"/>
                        <w:rPr>
                          <w:rFonts w:ascii="Palatino Linotype" w:hAnsi="Palatino Linotype"/>
                          <w:b/>
                          <w:sz w:val="160"/>
                        </w:rPr>
                      </w:pPr>
                      <w:r>
                        <w:rPr>
                          <w:rFonts w:ascii="Palatino Linotype" w:hAnsi="Palatino Linotype"/>
                          <w:b/>
                          <w:sz w:val="160"/>
                        </w:rPr>
                        <w:t>3</w:t>
                      </w:r>
                    </w:p>
                  </w:txbxContent>
                </v:textbox>
              </v:shape>
            </w:pict>
          </mc:Fallback>
        </mc:AlternateContent>
      </w:r>
      <w:r w:rsidR="00312118" w:rsidRPr="000B16D5">
        <w:rPr>
          <w:rFonts w:asciiTheme="majorHAnsi" w:hAnsiTheme="majorHAnsi"/>
        </w:rPr>
        <w:t>Základní biologie buňky</w:t>
      </w:r>
      <w:bookmarkEnd w:id="7"/>
    </w:p>
    <w:p w:rsidR="00D56167" w:rsidRPr="000B16D5" w:rsidRDefault="00312118" w:rsidP="000B16D5">
      <w:pPr>
        <w:spacing w:after="0"/>
        <w:rPr>
          <w:rFonts w:asciiTheme="majorHAnsi" w:hAnsiTheme="majorHAnsi"/>
        </w:rPr>
      </w:pPr>
      <w:r w:rsidRPr="000B16D5">
        <w:rPr>
          <w:rFonts w:asciiTheme="majorHAnsi" w:hAnsiTheme="majorHAnsi"/>
        </w:rPr>
        <w:t xml:space="preserve">Struktura </w:t>
      </w:r>
      <w:r w:rsidR="00D56167" w:rsidRPr="000B16D5">
        <w:rPr>
          <w:rFonts w:asciiTheme="majorHAnsi" w:hAnsiTheme="majorHAnsi"/>
        </w:rPr>
        <w:t xml:space="preserve">a funkce buněčných organel, struktura </w:t>
      </w:r>
      <w:r w:rsidRPr="000B16D5">
        <w:rPr>
          <w:rFonts w:asciiTheme="majorHAnsi" w:hAnsiTheme="majorHAnsi"/>
        </w:rPr>
        <w:t>DNA</w:t>
      </w:r>
      <w:r w:rsidR="00D56167" w:rsidRPr="000B16D5">
        <w:rPr>
          <w:rFonts w:asciiTheme="majorHAnsi" w:hAnsiTheme="majorHAnsi"/>
        </w:rPr>
        <w:t xml:space="preserve"> a</w:t>
      </w:r>
      <w:r w:rsidRPr="000B16D5">
        <w:rPr>
          <w:rFonts w:asciiTheme="majorHAnsi" w:hAnsiTheme="majorHAnsi"/>
        </w:rPr>
        <w:t xml:space="preserve"> RNA</w:t>
      </w:r>
    </w:p>
    <w:p w:rsidR="00D56167" w:rsidRPr="000B16D5" w:rsidRDefault="00312118" w:rsidP="00D56167">
      <w:pPr>
        <w:spacing w:after="0"/>
        <w:rPr>
          <w:rFonts w:asciiTheme="majorHAnsi" w:hAnsiTheme="majorHAnsi"/>
        </w:rPr>
      </w:pPr>
      <w:r w:rsidRPr="000B16D5">
        <w:rPr>
          <w:rFonts w:asciiTheme="majorHAnsi" w:hAnsiTheme="majorHAnsi"/>
        </w:rPr>
        <w:t>Definice chromo</w:t>
      </w:r>
      <w:r w:rsidR="000E274D" w:rsidRPr="000B16D5">
        <w:rPr>
          <w:rFonts w:asciiTheme="majorHAnsi" w:hAnsiTheme="majorHAnsi"/>
        </w:rPr>
        <w:t>z</w:t>
      </w:r>
      <w:r w:rsidRPr="000B16D5">
        <w:rPr>
          <w:rFonts w:asciiTheme="majorHAnsi" w:hAnsiTheme="majorHAnsi"/>
        </w:rPr>
        <w:t>omu, genu, polymorfismu</w:t>
      </w:r>
    </w:p>
    <w:p w:rsidR="00D56167" w:rsidRPr="000B16D5" w:rsidRDefault="00312118" w:rsidP="00D56167">
      <w:pPr>
        <w:spacing w:after="0"/>
        <w:rPr>
          <w:rFonts w:asciiTheme="majorHAnsi" w:hAnsiTheme="majorHAnsi"/>
        </w:rPr>
      </w:pPr>
      <w:r w:rsidRPr="000B16D5">
        <w:rPr>
          <w:rFonts w:asciiTheme="majorHAnsi" w:hAnsiTheme="majorHAnsi"/>
        </w:rPr>
        <w:t>Buněčné dělení</w:t>
      </w:r>
      <w:r w:rsidR="00D56167" w:rsidRPr="000B16D5">
        <w:rPr>
          <w:rFonts w:asciiTheme="majorHAnsi" w:hAnsiTheme="majorHAnsi"/>
        </w:rPr>
        <w:t xml:space="preserve"> a </w:t>
      </w:r>
      <w:r w:rsidR="000E274D" w:rsidRPr="000B16D5">
        <w:rPr>
          <w:rFonts w:asciiTheme="majorHAnsi" w:hAnsiTheme="majorHAnsi"/>
        </w:rPr>
        <w:t>b</w:t>
      </w:r>
      <w:r w:rsidR="00D56167" w:rsidRPr="000B16D5">
        <w:rPr>
          <w:rFonts w:asciiTheme="majorHAnsi" w:hAnsiTheme="majorHAnsi"/>
        </w:rPr>
        <w:t>uněčný cyklus</w:t>
      </w:r>
    </w:p>
    <w:p w:rsidR="00D56167" w:rsidRPr="000B16D5" w:rsidRDefault="00D56167" w:rsidP="00D56167">
      <w:pPr>
        <w:spacing w:after="0"/>
        <w:rPr>
          <w:rFonts w:asciiTheme="majorHAnsi" w:hAnsiTheme="majorHAnsi"/>
          <w:i/>
        </w:rPr>
      </w:pPr>
    </w:p>
    <w:p w:rsidR="00312118" w:rsidRPr="000B16D5" w:rsidRDefault="00312118" w:rsidP="00D56167">
      <w:pPr>
        <w:spacing w:after="0"/>
        <w:rPr>
          <w:rFonts w:asciiTheme="majorHAnsi" w:hAnsiTheme="majorHAnsi"/>
          <w:i/>
        </w:rPr>
      </w:pPr>
      <w:r w:rsidRPr="000B16D5">
        <w:rPr>
          <w:rFonts w:asciiTheme="majorHAnsi" w:hAnsiTheme="majorHAnsi"/>
          <w:i/>
        </w:rPr>
        <w:t xml:space="preserve">Jan </w:t>
      </w:r>
      <w:r w:rsidR="00D56167" w:rsidRPr="000B16D5">
        <w:rPr>
          <w:rFonts w:asciiTheme="majorHAnsi" w:hAnsiTheme="majorHAnsi"/>
          <w:i/>
        </w:rPr>
        <w:t>N</w:t>
      </w:r>
      <w:r w:rsidRPr="000B16D5">
        <w:rPr>
          <w:rFonts w:asciiTheme="majorHAnsi" w:hAnsiTheme="majorHAnsi"/>
          <w:i/>
        </w:rPr>
        <w:t>ov</w:t>
      </w:r>
      <w:r w:rsidR="00D56167" w:rsidRPr="000B16D5">
        <w:rPr>
          <w:rFonts w:asciiTheme="majorHAnsi" w:hAnsiTheme="majorHAnsi"/>
          <w:i/>
        </w:rPr>
        <w:t>á</w:t>
      </w:r>
      <w:r w:rsidRPr="000B16D5">
        <w:rPr>
          <w:rFonts w:asciiTheme="majorHAnsi" w:hAnsiTheme="majorHAnsi"/>
          <w:i/>
        </w:rPr>
        <w:t>k</w:t>
      </w:r>
    </w:p>
    <w:p w:rsidR="00312118" w:rsidRPr="000B16D5" w:rsidRDefault="00312118" w:rsidP="00236F03">
      <w:pPr>
        <w:spacing w:after="0"/>
        <w:jc w:val="both"/>
        <w:rPr>
          <w:rFonts w:asciiTheme="majorHAnsi" w:hAnsiTheme="majorHAnsi"/>
          <w:b/>
        </w:rPr>
      </w:pPr>
    </w:p>
    <w:p w:rsidR="00312118" w:rsidRPr="000B16D5" w:rsidRDefault="00312118" w:rsidP="00236F03">
      <w:pPr>
        <w:pStyle w:val="Nadpispodkapitoly"/>
        <w:jc w:val="both"/>
        <w:rPr>
          <w:rFonts w:asciiTheme="majorHAnsi" w:hAnsiTheme="majorHAnsi"/>
        </w:rPr>
      </w:pPr>
      <w:bookmarkStart w:id="8" w:name="_Toc380240581"/>
      <w:r w:rsidRPr="000B16D5">
        <w:rPr>
          <w:rFonts w:asciiTheme="majorHAnsi" w:hAnsiTheme="majorHAnsi"/>
        </w:rPr>
        <w:t>Úvod</w:t>
      </w:r>
      <w:bookmarkEnd w:id="8"/>
    </w:p>
    <w:p w:rsidR="00312118" w:rsidRPr="000B16D5" w:rsidRDefault="00312118" w:rsidP="00236F03">
      <w:pPr>
        <w:spacing w:after="0"/>
        <w:jc w:val="both"/>
        <w:rPr>
          <w:rFonts w:asciiTheme="majorHAnsi" w:hAnsiTheme="majorHAnsi"/>
        </w:rPr>
      </w:pPr>
      <w:r w:rsidRPr="000B16D5">
        <w:rPr>
          <w:rFonts w:asciiTheme="majorHAnsi" w:hAnsiTheme="majorHAnsi"/>
          <w:b/>
        </w:rPr>
        <w:t>Buňka</w:t>
      </w:r>
      <w:r w:rsidRPr="000B16D5">
        <w:rPr>
          <w:rFonts w:asciiTheme="majorHAnsi" w:hAnsiTheme="majorHAnsi"/>
        </w:rPr>
        <w:t xml:space="preserve"> je základní stavební a funkční jednotkou lidského těla. Existují organismy, které jsou tvořeny jedinou buňkou (např. některé patogenní bakterie či bakterie nacházející se v </w:t>
      </w:r>
      <w:r w:rsidR="001F7607" w:rsidRPr="000B16D5">
        <w:rPr>
          <w:rFonts w:asciiTheme="majorHAnsi" w:hAnsiTheme="majorHAnsi"/>
        </w:rPr>
        <w:t xml:space="preserve">lidském </w:t>
      </w:r>
      <w:r w:rsidRPr="000B16D5">
        <w:rPr>
          <w:rFonts w:asciiTheme="majorHAnsi" w:hAnsiTheme="majorHAnsi"/>
        </w:rPr>
        <w:t xml:space="preserve">střevě), a tato buňka je pak uzpůsobena k tomu, aby vykonávala veškeré funkce nutné ke svému přežití. V mnohobuněčných organismech, jako je ten lidský, dochází k funkční specializaci buněk a jejich vzájemné komunikaci, která pak umožňuje přežití organismu jako celku. Platí zde tzv. </w:t>
      </w:r>
      <w:r w:rsidRPr="000B16D5">
        <w:rPr>
          <w:rFonts w:asciiTheme="majorHAnsi" w:hAnsiTheme="majorHAnsi"/>
          <w:b/>
        </w:rPr>
        <w:t>holistický</w:t>
      </w:r>
      <w:r w:rsidRPr="000B16D5">
        <w:rPr>
          <w:rFonts w:asciiTheme="majorHAnsi" w:hAnsiTheme="majorHAnsi"/>
        </w:rPr>
        <w:t xml:space="preserve"> </w:t>
      </w:r>
      <w:r w:rsidRPr="000B16D5">
        <w:rPr>
          <w:rFonts w:asciiTheme="majorHAnsi" w:hAnsiTheme="majorHAnsi"/>
          <w:b/>
        </w:rPr>
        <w:t>princip</w:t>
      </w:r>
      <w:r w:rsidRPr="000B16D5">
        <w:rPr>
          <w:rFonts w:asciiTheme="majorHAnsi" w:hAnsiTheme="majorHAnsi"/>
        </w:rPr>
        <w:t>, který říká, že celek není pouze součtem svých jednotlivých částí, nýbrž něčím víc.</w:t>
      </w:r>
    </w:p>
    <w:p w:rsidR="00312118" w:rsidRPr="000B16D5" w:rsidRDefault="00312118" w:rsidP="00236F03">
      <w:pPr>
        <w:spacing w:after="0"/>
        <w:jc w:val="both"/>
        <w:rPr>
          <w:rFonts w:asciiTheme="majorHAnsi" w:hAnsiTheme="majorHAnsi"/>
        </w:rPr>
      </w:pPr>
      <w:r w:rsidRPr="000B16D5">
        <w:rPr>
          <w:rFonts w:asciiTheme="majorHAnsi" w:hAnsiTheme="majorHAnsi"/>
        </w:rPr>
        <w:t>Byť se mezi sebou jednotlivé buňky do značné míry liší svou stavbou i funkcí (buňka nervová vypadá a funguje jinak, než buňka srdečního svalu), existují určité struktury, které se nacházejí ve většině buněčných typů a stejně tak existují procesy, které jsou pro všechny buňky do určité míry obecně platné.</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V této kapitole se seznámíme se základní biologií buňky. Stručně probereme strukturu a funkci jednotlivých buněčných organel, </w:t>
      </w:r>
      <w:r w:rsidR="00515EA1" w:rsidRPr="000B16D5">
        <w:rPr>
          <w:rFonts w:asciiTheme="majorHAnsi" w:hAnsiTheme="majorHAnsi"/>
        </w:rPr>
        <w:t xml:space="preserve">a </w:t>
      </w:r>
      <w:r w:rsidRPr="000B16D5">
        <w:rPr>
          <w:rFonts w:asciiTheme="majorHAnsi" w:hAnsiTheme="majorHAnsi"/>
        </w:rPr>
        <w:t>zaměříme</w:t>
      </w:r>
      <w:r w:rsidR="00515EA1" w:rsidRPr="000B16D5">
        <w:rPr>
          <w:rFonts w:asciiTheme="majorHAnsi" w:hAnsiTheme="majorHAnsi"/>
        </w:rPr>
        <w:t xml:space="preserve"> se</w:t>
      </w:r>
      <w:r w:rsidRPr="000B16D5">
        <w:rPr>
          <w:rFonts w:asciiTheme="majorHAnsi" w:hAnsiTheme="majorHAnsi"/>
        </w:rPr>
        <w:t xml:space="preserve"> na buněčné jádro (a v něm uloženou DNA), problematiku buněčného cyklu a buněčného dělení.</w:t>
      </w:r>
    </w:p>
    <w:p w:rsidR="00312118" w:rsidRPr="000B16D5" w:rsidRDefault="00312118" w:rsidP="00236F03">
      <w:pPr>
        <w:spacing w:after="0"/>
        <w:jc w:val="both"/>
        <w:rPr>
          <w:rFonts w:asciiTheme="majorHAnsi" w:hAnsiTheme="majorHAnsi"/>
        </w:rPr>
      </w:pPr>
    </w:p>
    <w:p w:rsidR="00312118" w:rsidRPr="000B16D5" w:rsidRDefault="00312118" w:rsidP="00236F03">
      <w:pPr>
        <w:pStyle w:val="Nadpispodkapitoly"/>
        <w:jc w:val="both"/>
        <w:rPr>
          <w:rFonts w:asciiTheme="majorHAnsi" w:hAnsiTheme="majorHAnsi"/>
        </w:rPr>
      </w:pPr>
      <w:bookmarkStart w:id="9" w:name="_Toc380240582"/>
      <w:r w:rsidRPr="000B16D5">
        <w:rPr>
          <w:rFonts w:asciiTheme="majorHAnsi" w:hAnsiTheme="majorHAnsi"/>
        </w:rPr>
        <w:t>Struktura a funkce buněčných organel</w:t>
      </w:r>
      <w:bookmarkEnd w:id="9"/>
    </w:p>
    <w:p w:rsidR="00312118" w:rsidRPr="000B16D5" w:rsidRDefault="00312118" w:rsidP="00236F03">
      <w:pPr>
        <w:spacing w:after="0"/>
        <w:jc w:val="both"/>
        <w:rPr>
          <w:rFonts w:asciiTheme="majorHAnsi" w:hAnsiTheme="majorHAnsi"/>
        </w:rPr>
      </w:pPr>
      <w:r w:rsidRPr="000B16D5">
        <w:rPr>
          <w:rFonts w:asciiTheme="majorHAnsi" w:hAnsiTheme="majorHAnsi"/>
        </w:rPr>
        <w:t xml:space="preserve">Každá buňka v našem těle je od okolí oddělena </w:t>
      </w:r>
      <w:r w:rsidRPr="000B16D5">
        <w:rPr>
          <w:rFonts w:asciiTheme="majorHAnsi" w:hAnsiTheme="majorHAnsi"/>
          <w:b/>
        </w:rPr>
        <w:t>buněčnou</w:t>
      </w:r>
      <w:r w:rsidRPr="000B16D5">
        <w:rPr>
          <w:rFonts w:asciiTheme="majorHAnsi" w:hAnsiTheme="majorHAnsi"/>
        </w:rPr>
        <w:t xml:space="preserve"> </w:t>
      </w:r>
      <w:r w:rsidRPr="000B16D5">
        <w:rPr>
          <w:rFonts w:asciiTheme="majorHAnsi" w:hAnsiTheme="majorHAnsi"/>
          <w:b/>
        </w:rPr>
        <w:t>membránou</w:t>
      </w:r>
      <w:r w:rsidRPr="000B16D5">
        <w:rPr>
          <w:rFonts w:asciiTheme="majorHAnsi" w:hAnsiTheme="majorHAnsi"/>
        </w:rPr>
        <w:t xml:space="preserve">, nitro buňky pak tvoří </w:t>
      </w:r>
      <w:r w:rsidRPr="000B16D5">
        <w:rPr>
          <w:rFonts w:asciiTheme="majorHAnsi" w:hAnsiTheme="majorHAnsi"/>
          <w:b/>
        </w:rPr>
        <w:t>cytosol/cytoplazma</w:t>
      </w:r>
      <w:r w:rsidRPr="000B16D5">
        <w:rPr>
          <w:rFonts w:asciiTheme="majorHAnsi" w:hAnsiTheme="majorHAnsi"/>
        </w:rPr>
        <w:t xml:space="preserve"> („buněčná tekutina“) a v něm se nacházející </w:t>
      </w:r>
      <w:r w:rsidRPr="000B16D5">
        <w:rPr>
          <w:rFonts w:asciiTheme="majorHAnsi" w:hAnsiTheme="majorHAnsi"/>
          <w:b/>
        </w:rPr>
        <w:t>buněčné organely</w:t>
      </w:r>
      <w:r w:rsidRPr="000B16D5">
        <w:rPr>
          <w:rFonts w:asciiTheme="majorHAnsi" w:hAnsiTheme="majorHAnsi"/>
        </w:rPr>
        <w:t xml:space="preserve">. Některé buněčné organely jsou </w:t>
      </w:r>
      <w:r w:rsidRPr="000B16D5">
        <w:rPr>
          <w:rFonts w:asciiTheme="majorHAnsi" w:hAnsiTheme="majorHAnsi"/>
          <w:b/>
        </w:rPr>
        <w:t>obaleny membránou</w:t>
      </w:r>
      <w:r w:rsidRPr="000B16D5">
        <w:rPr>
          <w:rFonts w:asciiTheme="majorHAnsi" w:hAnsiTheme="majorHAnsi"/>
        </w:rPr>
        <w:t xml:space="preserve">, která svým složením připomíná buněčnou membránu (ty pak označujeme jako </w:t>
      </w:r>
      <w:r w:rsidRPr="000B16D5">
        <w:rPr>
          <w:rFonts w:asciiTheme="majorHAnsi" w:hAnsiTheme="majorHAnsi"/>
          <w:b/>
        </w:rPr>
        <w:t>membránové buněčné organely</w:t>
      </w:r>
      <w:r w:rsidRPr="000B16D5">
        <w:rPr>
          <w:rFonts w:asciiTheme="majorHAnsi" w:hAnsiTheme="majorHAnsi"/>
        </w:rPr>
        <w:t xml:space="preserve">), jiné tuto </w:t>
      </w:r>
      <w:r w:rsidRPr="000B16D5">
        <w:rPr>
          <w:rFonts w:asciiTheme="majorHAnsi" w:hAnsiTheme="majorHAnsi"/>
          <w:b/>
        </w:rPr>
        <w:t xml:space="preserve">membránu nemají </w:t>
      </w:r>
      <w:r w:rsidRPr="000B16D5">
        <w:rPr>
          <w:rFonts w:asciiTheme="majorHAnsi" w:hAnsiTheme="majorHAnsi"/>
        </w:rPr>
        <w:t xml:space="preserve">(označujeme je jako buněčné organely bez membrány). Specifickou strukturou je pak </w:t>
      </w:r>
      <w:r w:rsidRPr="000B16D5">
        <w:rPr>
          <w:rFonts w:asciiTheme="majorHAnsi" w:hAnsiTheme="majorHAnsi"/>
          <w:b/>
        </w:rPr>
        <w:t>buněčné jádro</w:t>
      </w:r>
      <w:r w:rsidRPr="000B16D5">
        <w:rPr>
          <w:rFonts w:asciiTheme="majorHAnsi" w:hAnsiTheme="majorHAnsi"/>
        </w:rPr>
        <w:t xml:space="preserve">, které je od okolí ohraničeno </w:t>
      </w:r>
      <w:r w:rsidRPr="000B16D5">
        <w:rPr>
          <w:rFonts w:asciiTheme="majorHAnsi" w:hAnsiTheme="majorHAnsi"/>
          <w:b/>
        </w:rPr>
        <w:t>jaderným obalem</w:t>
      </w:r>
      <w:r w:rsidRPr="000B16D5">
        <w:rPr>
          <w:rFonts w:asciiTheme="majorHAnsi" w:hAnsiTheme="majorHAnsi"/>
        </w:rPr>
        <w:t>.</w:t>
      </w:r>
    </w:p>
    <w:p w:rsidR="00312118" w:rsidRPr="000B16D5" w:rsidRDefault="00312118" w:rsidP="00236F03">
      <w:pPr>
        <w:spacing w:after="0"/>
        <w:jc w:val="both"/>
        <w:rPr>
          <w:rFonts w:asciiTheme="majorHAnsi" w:hAnsiTheme="majorHAnsi"/>
        </w:rPr>
      </w:pPr>
    </w:p>
    <w:p w:rsidR="00D56167" w:rsidRPr="000B16D5" w:rsidRDefault="00312118" w:rsidP="00D56167">
      <w:pPr>
        <w:keepNext/>
        <w:spacing w:after="0"/>
        <w:jc w:val="center"/>
        <w:rPr>
          <w:rFonts w:asciiTheme="majorHAnsi" w:hAnsiTheme="majorHAnsi"/>
        </w:rPr>
      </w:pPr>
      <w:r w:rsidRPr="000B16D5">
        <w:rPr>
          <w:rFonts w:asciiTheme="majorHAnsi" w:hAnsiTheme="majorHAnsi"/>
          <w:noProof/>
        </w:rPr>
        <w:drawing>
          <wp:inline distT="0" distB="0" distL="0" distR="0" wp14:anchorId="679D5AE2" wp14:editId="1AB48943">
            <wp:extent cx="4150724" cy="230325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6924" cy="2306693"/>
                    </a:xfrm>
                    <a:prstGeom prst="rect">
                      <a:avLst/>
                    </a:prstGeom>
                    <a:noFill/>
                  </pic:spPr>
                </pic:pic>
              </a:graphicData>
            </a:graphic>
          </wp:inline>
        </w:drawing>
      </w:r>
    </w:p>
    <w:p w:rsidR="00D56167" w:rsidRPr="000B16D5" w:rsidRDefault="00D56167" w:rsidP="00D56167">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1</w:t>
      </w:r>
      <w:r w:rsidRPr="000B16D5">
        <w:rPr>
          <w:rFonts w:asciiTheme="majorHAnsi" w:hAnsiTheme="majorHAnsi"/>
          <w:i/>
          <w:color w:val="808080" w:themeColor="background1" w:themeShade="80"/>
        </w:rPr>
        <w:fldChar w:fldCharType="end"/>
      </w:r>
      <w:r w:rsidRPr="000B16D5">
        <w:rPr>
          <w:rFonts w:asciiTheme="majorHAnsi" w:hAnsiTheme="majorHAnsi"/>
          <w:i/>
          <w:color w:val="808080" w:themeColor="background1" w:themeShade="80"/>
        </w:rPr>
        <w:t xml:space="preserve"> </w:t>
      </w:r>
      <w:r w:rsidR="00F17D84" w:rsidRPr="000B16D5">
        <w:rPr>
          <w:rFonts w:asciiTheme="majorHAnsi" w:hAnsiTheme="majorHAnsi"/>
          <w:i/>
          <w:color w:val="808080" w:themeColor="background1" w:themeShade="80"/>
        </w:rPr>
        <w:t>–</w:t>
      </w:r>
      <w:r w:rsidRPr="000B16D5">
        <w:rPr>
          <w:rFonts w:asciiTheme="majorHAnsi" w:hAnsiTheme="majorHAnsi"/>
          <w:i/>
          <w:color w:val="808080" w:themeColor="background1" w:themeShade="80"/>
        </w:rPr>
        <w:t xml:space="preserve"> Buněčné organely</w:t>
      </w:r>
    </w:p>
    <w:p w:rsidR="00D56167" w:rsidRPr="000B16D5" w:rsidRDefault="00D56167" w:rsidP="00D56167">
      <w:pPr>
        <w:rPr>
          <w:rFonts w:asciiTheme="majorHAnsi" w:hAnsiTheme="majorHAnsi"/>
        </w:rPr>
      </w:pPr>
    </w:p>
    <w:p w:rsidR="00312118" w:rsidRPr="000B16D5" w:rsidRDefault="00312118" w:rsidP="00AC32F9">
      <w:pPr>
        <w:pStyle w:val="Podpodnadpis"/>
        <w:rPr>
          <w:rFonts w:asciiTheme="majorHAnsi" w:hAnsiTheme="majorHAnsi"/>
        </w:rPr>
      </w:pPr>
      <w:r w:rsidRPr="000B16D5">
        <w:rPr>
          <w:rFonts w:asciiTheme="majorHAnsi" w:hAnsiTheme="majorHAnsi"/>
        </w:rPr>
        <w:t>Buněčná membrána</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Buňky jsou od svého okolí ohraničeny </w:t>
      </w:r>
      <w:r w:rsidRPr="000B16D5">
        <w:rPr>
          <w:rFonts w:asciiTheme="majorHAnsi" w:hAnsiTheme="majorHAnsi"/>
          <w:b/>
        </w:rPr>
        <w:t>buněčnou</w:t>
      </w:r>
      <w:r w:rsidRPr="000B16D5">
        <w:rPr>
          <w:rFonts w:asciiTheme="majorHAnsi" w:hAnsiTheme="majorHAnsi"/>
        </w:rPr>
        <w:t xml:space="preserve"> </w:t>
      </w:r>
      <w:r w:rsidRPr="000B16D5">
        <w:rPr>
          <w:rFonts w:asciiTheme="majorHAnsi" w:hAnsiTheme="majorHAnsi"/>
          <w:b/>
        </w:rPr>
        <w:t>membránou</w:t>
      </w:r>
      <w:r w:rsidRPr="000B16D5">
        <w:rPr>
          <w:rFonts w:asciiTheme="majorHAnsi" w:hAnsiTheme="majorHAnsi"/>
        </w:rPr>
        <w:t xml:space="preserve">. Buněčná membrána buňky od svého okolí </w:t>
      </w:r>
      <w:r w:rsidR="000B16A1" w:rsidRPr="000B16D5">
        <w:rPr>
          <w:rFonts w:asciiTheme="majorHAnsi" w:hAnsiTheme="majorHAnsi"/>
        </w:rPr>
        <w:t xml:space="preserve">nejen </w:t>
      </w:r>
      <w:r w:rsidRPr="000B16D5">
        <w:rPr>
          <w:rFonts w:asciiTheme="majorHAnsi" w:hAnsiTheme="majorHAnsi"/>
        </w:rPr>
        <w:t xml:space="preserve">odděluje, </w:t>
      </w:r>
      <w:r w:rsidR="000B16A1" w:rsidRPr="000B16D5">
        <w:rPr>
          <w:rFonts w:asciiTheme="majorHAnsi" w:hAnsiTheme="majorHAnsi"/>
        </w:rPr>
        <w:t xml:space="preserve">ale </w:t>
      </w:r>
      <w:r w:rsidRPr="000B16D5">
        <w:rPr>
          <w:rFonts w:asciiTheme="majorHAnsi" w:hAnsiTheme="majorHAnsi"/>
        </w:rPr>
        <w:t xml:space="preserve">umožňuje jim </w:t>
      </w:r>
      <w:r w:rsidR="000B16A1" w:rsidRPr="000B16D5">
        <w:rPr>
          <w:rFonts w:asciiTheme="majorHAnsi" w:hAnsiTheme="majorHAnsi"/>
        </w:rPr>
        <w:t xml:space="preserve">také </w:t>
      </w:r>
      <w:r w:rsidR="000B16A1" w:rsidRPr="000B16D5">
        <w:rPr>
          <w:rFonts w:asciiTheme="majorHAnsi" w:hAnsiTheme="majorHAnsi"/>
          <w:b/>
        </w:rPr>
        <w:t>komunikovat</w:t>
      </w:r>
      <w:r w:rsidR="000B16A1" w:rsidRPr="000B16D5">
        <w:rPr>
          <w:rFonts w:asciiTheme="majorHAnsi" w:hAnsiTheme="majorHAnsi"/>
        </w:rPr>
        <w:t xml:space="preserve"> </w:t>
      </w:r>
      <w:r w:rsidRPr="000B16D5">
        <w:rPr>
          <w:rFonts w:asciiTheme="majorHAnsi" w:hAnsiTheme="majorHAnsi"/>
        </w:rPr>
        <w:t xml:space="preserve">se svým okolím (mj. dalšími buňkami), </w:t>
      </w:r>
      <w:r w:rsidRPr="000B16D5">
        <w:rPr>
          <w:rFonts w:asciiTheme="majorHAnsi" w:hAnsiTheme="majorHAnsi"/>
          <w:b/>
        </w:rPr>
        <w:t>vyměňovat</w:t>
      </w:r>
      <w:r w:rsidRPr="000B16D5">
        <w:rPr>
          <w:rFonts w:asciiTheme="majorHAnsi" w:hAnsiTheme="majorHAnsi"/>
        </w:rPr>
        <w:t xml:space="preserve"> </w:t>
      </w:r>
      <w:r w:rsidR="000B16A1" w:rsidRPr="000B16D5">
        <w:rPr>
          <w:rFonts w:asciiTheme="majorHAnsi" w:hAnsiTheme="majorHAnsi"/>
        </w:rPr>
        <w:t xml:space="preserve">si </w:t>
      </w:r>
      <w:r w:rsidRPr="000B16D5">
        <w:rPr>
          <w:rFonts w:asciiTheme="majorHAnsi" w:hAnsiTheme="majorHAnsi"/>
        </w:rPr>
        <w:t>s n</w:t>
      </w:r>
      <w:r w:rsidR="000B16A1" w:rsidRPr="000B16D5">
        <w:rPr>
          <w:rFonts w:asciiTheme="majorHAnsi" w:hAnsiTheme="majorHAnsi"/>
        </w:rPr>
        <w:t>ím</w:t>
      </w:r>
      <w:r w:rsidRPr="000B16D5">
        <w:rPr>
          <w:rFonts w:asciiTheme="majorHAnsi" w:hAnsiTheme="majorHAnsi"/>
        </w:rPr>
        <w:t xml:space="preserve"> různé </w:t>
      </w:r>
      <w:r w:rsidRPr="000B16D5">
        <w:rPr>
          <w:rFonts w:asciiTheme="majorHAnsi" w:hAnsiTheme="majorHAnsi"/>
          <w:b/>
        </w:rPr>
        <w:t>látky</w:t>
      </w:r>
      <w:r w:rsidRPr="000B16D5">
        <w:rPr>
          <w:rFonts w:asciiTheme="majorHAnsi" w:hAnsiTheme="majorHAnsi"/>
        </w:rPr>
        <w:t xml:space="preserve"> </w:t>
      </w:r>
      <w:r w:rsidRPr="000B16D5">
        <w:rPr>
          <w:rFonts w:asciiTheme="majorHAnsi" w:hAnsiTheme="majorHAnsi"/>
          <w:b/>
        </w:rPr>
        <w:t>a</w:t>
      </w:r>
      <w:r w:rsidRPr="000B16D5">
        <w:rPr>
          <w:rFonts w:asciiTheme="majorHAnsi" w:hAnsiTheme="majorHAnsi"/>
        </w:rPr>
        <w:t xml:space="preserve"> </w:t>
      </w:r>
      <w:r w:rsidRPr="000B16D5">
        <w:rPr>
          <w:rFonts w:asciiTheme="majorHAnsi" w:hAnsiTheme="majorHAnsi"/>
          <w:b/>
        </w:rPr>
        <w:t>energii</w:t>
      </w:r>
      <w:r w:rsidRPr="000B16D5">
        <w:rPr>
          <w:rFonts w:asciiTheme="majorHAnsi" w:hAnsiTheme="majorHAnsi"/>
        </w:rPr>
        <w:t xml:space="preserve">. Je tvořena </w:t>
      </w:r>
      <w:r w:rsidRPr="000B16D5">
        <w:rPr>
          <w:rFonts w:asciiTheme="majorHAnsi" w:hAnsiTheme="majorHAnsi"/>
          <w:b/>
        </w:rPr>
        <w:t>dvojvrstvou fosfolipidů</w:t>
      </w:r>
      <w:r w:rsidRPr="000B16D5">
        <w:rPr>
          <w:rFonts w:asciiTheme="majorHAnsi" w:hAnsiTheme="majorHAnsi"/>
        </w:rPr>
        <w:t xml:space="preserve">, tedy molekul tvořených z hydrofilní hlavy (odpovídá </w:t>
      </w:r>
      <w:r w:rsidRPr="000B16D5">
        <w:rPr>
          <w:rFonts w:asciiTheme="majorHAnsi" w:hAnsiTheme="majorHAnsi"/>
        </w:rPr>
        <w:lastRenderedPageBreak/>
        <w:t xml:space="preserve">fosfátu; odtud </w:t>
      </w:r>
      <w:r w:rsidRPr="000B16D5">
        <w:rPr>
          <w:rFonts w:asciiTheme="majorHAnsi" w:hAnsiTheme="majorHAnsi"/>
          <w:i/>
        </w:rPr>
        <w:t>fosfo-</w:t>
      </w:r>
      <w:r w:rsidRPr="000B16D5">
        <w:rPr>
          <w:rFonts w:asciiTheme="majorHAnsi" w:hAnsiTheme="majorHAnsi"/>
        </w:rPr>
        <w:t>), na kterou je napojen lipofilní ocas (tvořený molekulou mastné kyseliny, tedy lipidu; odtud -</w:t>
      </w:r>
      <w:r w:rsidRPr="000B16D5">
        <w:rPr>
          <w:rFonts w:asciiTheme="majorHAnsi" w:hAnsiTheme="majorHAnsi"/>
          <w:i/>
        </w:rPr>
        <w:t>lipidy</w:t>
      </w:r>
      <w:r w:rsidRPr="000B16D5">
        <w:rPr>
          <w:rFonts w:asciiTheme="majorHAnsi" w:hAnsiTheme="majorHAnsi"/>
        </w:rPr>
        <w:t xml:space="preserve">). Hydrofilní znamená, že daná část molekuly má, doslova přeloženo, „ráda vodu“, zatímco lipofilní část „má ráda tuk“. Lipofilní můžeme také nahradit pojmem hydrofobní („bojící se vody“). Voda je základní stavební molekulou tvořící živé organismy a molekuly fosfolipidů se v ní na základě výše popsaných fyzikálních interakcí shlukují do podoby </w:t>
      </w:r>
      <w:r w:rsidRPr="000B16D5">
        <w:rPr>
          <w:rFonts w:asciiTheme="majorHAnsi" w:hAnsiTheme="majorHAnsi"/>
          <w:b/>
        </w:rPr>
        <w:t>micel</w:t>
      </w:r>
      <w:r w:rsidRPr="000B16D5">
        <w:rPr>
          <w:rFonts w:asciiTheme="majorHAnsi" w:hAnsiTheme="majorHAnsi"/>
        </w:rPr>
        <w:t xml:space="preserve">, případně vytvářejí již zmíněnou </w:t>
      </w:r>
      <w:r w:rsidRPr="000B16D5">
        <w:rPr>
          <w:rFonts w:asciiTheme="majorHAnsi" w:hAnsiTheme="majorHAnsi"/>
          <w:b/>
        </w:rPr>
        <w:t>dvojvrstvu</w:t>
      </w:r>
      <w:r w:rsidRPr="000B16D5">
        <w:rPr>
          <w:rFonts w:asciiTheme="majorHAnsi" w:hAnsiTheme="majorHAnsi"/>
        </w:rPr>
        <w:t xml:space="preserve">, v níž se hydrofobní ocasy shlukují do nitra dvojvrstvy („schovávají se před vodou“) a hydrofilní hlavy ční ven („natáčí se k vodě, kterou mají rády“). Vše je znázorněno na obrázku </w:t>
      </w:r>
      <w:r w:rsidR="00D56167" w:rsidRPr="000B16D5">
        <w:rPr>
          <w:rFonts w:asciiTheme="majorHAnsi" w:hAnsiTheme="majorHAnsi"/>
        </w:rPr>
        <w:t>2</w:t>
      </w:r>
      <w:r w:rsidRPr="000B16D5">
        <w:rPr>
          <w:rFonts w:asciiTheme="majorHAnsi" w:hAnsiTheme="majorHAnsi"/>
        </w:rPr>
        <w:t>.</w:t>
      </w:r>
    </w:p>
    <w:p w:rsidR="00312118" w:rsidRPr="000B16D5" w:rsidRDefault="00312118" w:rsidP="00236F03">
      <w:pPr>
        <w:spacing w:after="0"/>
        <w:jc w:val="both"/>
        <w:rPr>
          <w:rFonts w:asciiTheme="majorHAnsi" w:hAnsiTheme="majorHAnsi"/>
        </w:rPr>
      </w:pPr>
    </w:p>
    <w:p w:rsidR="00D56167" w:rsidRPr="000B16D5" w:rsidRDefault="00312118" w:rsidP="00D56167">
      <w:pPr>
        <w:keepNext/>
        <w:spacing w:after="0"/>
        <w:jc w:val="center"/>
        <w:rPr>
          <w:rFonts w:asciiTheme="majorHAnsi" w:hAnsiTheme="majorHAnsi"/>
        </w:rPr>
      </w:pPr>
      <w:r w:rsidRPr="000B16D5">
        <w:rPr>
          <w:rFonts w:asciiTheme="majorHAnsi" w:hAnsiTheme="majorHAnsi"/>
          <w:noProof/>
        </w:rPr>
        <w:drawing>
          <wp:inline distT="0" distB="0" distL="0" distR="0" wp14:anchorId="46EF9D16" wp14:editId="716A3246">
            <wp:extent cx="4749627" cy="143539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0929" cy="1438812"/>
                    </a:xfrm>
                    <a:prstGeom prst="rect">
                      <a:avLst/>
                    </a:prstGeom>
                    <a:noFill/>
                  </pic:spPr>
                </pic:pic>
              </a:graphicData>
            </a:graphic>
          </wp:inline>
        </w:drawing>
      </w:r>
    </w:p>
    <w:p w:rsidR="00312118" w:rsidRPr="000B16D5" w:rsidRDefault="00D56167" w:rsidP="00D56167">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2</w:t>
      </w:r>
      <w:r w:rsidRPr="000B16D5">
        <w:rPr>
          <w:rFonts w:asciiTheme="majorHAnsi" w:hAnsiTheme="majorHAnsi"/>
          <w:i/>
          <w:color w:val="808080" w:themeColor="background1" w:themeShade="80"/>
        </w:rPr>
        <w:fldChar w:fldCharType="end"/>
      </w:r>
      <w:r w:rsidRPr="000B16D5">
        <w:rPr>
          <w:rFonts w:asciiTheme="majorHAnsi" w:hAnsiTheme="majorHAnsi"/>
          <w:i/>
          <w:noProof/>
          <w:color w:val="808080" w:themeColor="background1" w:themeShade="80"/>
        </w:rPr>
        <w:t xml:space="preserve"> </w:t>
      </w:r>
      <w:r w:rsidR="00F17D84" w:rsidRPr="000B16D5">
        <w:rPr>
          <w:rFonts w:asciiTheme="majorHAnsi" w:hAnsiTheme="majorHAnsi"/>
          <w:i/>
          <w:noProof/>
          <w:color w:val="808080" w:themeColor="background1" w:themeShade="80"/>
        </w:rPr>
        <w:t>–</w:t>
      </w:r>
      <w:r w:rsidRPr="000B16D5">
        <w:rPr>
          <w:rFonts w:asciiTheme="majorHAnsi" w:hAnsiTheme="majorHAnsi"/>
          <w:i/>
          <w:noProof/>
          <w:color w:val="808080" w:themeColor="background1" w:themeShade="80"/>
        </w:rPr>
        <w:t xml:space="preserve"> Buněčná membrána</w:t>
      </w:r>
    </w:p>
    <w:p w:rsidR="00312118" w:rsidRPr="000B16D5" w:rsidRDefault="00312118" w:rsidP="00236F03">
      <w:pPr>
        <w:spacing w:after="0"/>
        <w:jc w:val="both"/>
        <w:rPr>
          <w:rFonts w:asciiTheme="majorHAnsi" w:hAnsiTheme="majorHAnsi"/>
        </w:rPr>
      </w:pP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Do fosfolipidové dvojvrstvy jsou dále vsazeny další molekuly </w:t>
      </w:r>
      <w:r w:rsidRPr="000B16D5">
        <w:rPr>
          <w:rFonts w:asciiTheme="majorHAnsi" w:hAnsiTheme="majorHAnsi"/>
          <w:b/>
        </w:rPr>
        <w:t>bílkovin</w:t>
      </w:r>
      <w:r w:rsidRPr="000B16D5">
        <w:rPr>
          <w:rFonts w:asciiTheme="majorHAnsi" w:hAnsiTheme="majorHAnsi"/>
        </w:rPr>
        <w:t xml:space="preserve">, </w:t>
      </w:r>
      <w:r w:rsidRPr="000B16D5">
        <w:rPr>
          <w:rFonts w:asciiTheme="majorHAnsi" w:hAnsiTheme="majorHAnsi"/>
          <w:b/>
        </w:rPr>
        <w:t>glykoproteinů</w:t>
      </w:r>
      <w:r w:rsidRPr="000B16D5">
        <w:rPr>
          <w:rFonts w:asciiTheme="majorHAnsi" w:hAnsiTheme="majorHAnsi"/>
        </w:rPr>
        <w:t xml:space="preserve"> (tj. molekul tvořených bílkovinou a cukrem), </w:t>
      </w:r>
      <w:r w:rsidRPr="000B16D5">
        <w:rPr>
          <w:rFonts w:asciiTheme="majorHAnsi" w:hAnsiTheme="majorHAnsi"/>
          <w:b/>
        </w:rPr>
        <w:t>glykolipidů</w:t>
      </w:r>
      <w:r w:rsidRPr="000B16D5">
        <w:rPr>
          <w:rFonts w:asciiTheme="majorHAnsi" w:hAnsiTheme="majorHAnsi"/>
        </w:rPr>
        <w:t xml:space="preserve">, </w:t>
      </w:r>
      <w:r w:rsidRPr="000B16D5">
        <w:rPr>
          <w:rFonts w:asciiTheme="majorHAnsi" w:hAnsiTheme="majorHAnsi"/>
          <w:b/>
        </w:rPr>
        <w:t>lipoproteinů</w:t>
      </w:r>
      <w:r w:rsidRPr="000B16D5">
        <w:rPr>
          <w:rFonts w:asciiTheme="majorHAnsi" w:hAnsiTheme="majorHAnsi"/>
        </w:rPr>
        <w:t xml:space="preserve"> a dalších. Tyto molekuly v membráně fungují jako </w:t>
      </w:r>
      <w:r w:rsidRPr="000B16D5">
        <w:rPr>
          <w:rFonts w:asciiTheme="majorHAnsi" w:hAnsiTheme="majorHAnsi"/>
          <w:b/>
        </w:rPr>
        <w:t>receptory</w:t>
      </w:r>
      <w:r w:rsidRPr="000B16D5">
        <w:rPr>
          <w:rFonts w:asciiTheme="majorHAnsi" w:hAnsiTheme="majorHAnsi"/>
        </w:rPr>
        <w:t xml:space="preserve">, </w:t>
      </w:r>
      <w:r w:rsidRPr="000B16D5">
        <w:rPr>
          <w:rFonts w:asciiTheme="majorHAnsi" w:hAnsiTheme="majorHAnsi"/>
          <w:b/>
        </w:rPr>
        <w:t>kanály</w:t>
      </w:r>
      <w:r w:rsidRPr="000B16D5">
        <w:rPr>
          <w:rFonts w:asciiTheme="majorHAnsi" w:hAnsiTheme="majorHAnsi"/>
        </w:rPr>
        <w:t xml:space="preserve">, </w:t>
      </w:r>
      <w:r w:rsidRPr="000B16D5">
        <w:rPr>
          <w:rFonts w:asciiTheme="majorHAnsi" w:hAnsiTheme="majorHAnsi"/>
          <w:b/>
        </w:rPr>
        <w:t>přenašeče</w:t>
      </w:r>
      <w:r w:rsidRPr="000B16D5">
        <w:rPr>
          <w:rFonts w:asciiTheme="majorHAnsi" w:hAnsiTheme="majorHAnsi"/>
        </w:rPr>
        <w:t xml:space="preserve">, </w:t>
      </w:r>
      <w:r w:rsidRPr="000B16D5">
        <w:rPr>
          <w:rFonts w:asciiTheme="majorHAnsi" w:hAnsiTheme="majorHAnsi"/>
          <w:b/>
        </w:rPr>
        <w:t>enzymy</w:t>
      </w:r>
      <w:r w:rsidR="007716B0" w:rsidRPr="000B16D5">
        <w:rPr>
          <w:rFonts w:asciiTheme="majorHAnsi" w:hAnsiTheme="majorHAnsi"/>
        </w:rPr>
        <w:t xml:space="preserve"> apod., přičemž se </w:t>
      </w:r>
      <w:r w:rsidRPr="000B16D5">
        <w:rPr>
          <w:rFonts w:asciiTheme="majorHAnsi" w:hAnsiTheme="majorHAnsi"/>
        </w:rPr>
        <w:t>množství a přesné složení v membráně mezi jednotlivými buněčnými typy</w:t>
      </w:r>
      <w:r w:rsidR="001A224A" w:rsidRPr="000B16D5">
        <w:rPr>
          <w:rFonts w:asciiTheme="majorHAnsi" w:hAnsiTheme="majorHAnsi"/>
        </w:rPr>
        <w:t xml:space="preserve"> výrazně liší</w:t>
      </w:r>
      <w:r w:rsidRPr="000B16D5">
        <w:rPr>
          <w:rFonts w:asciiTheme="majorHAnsi" w:hAnsiTheme="majorHAnsi"/>
        </w:rPr>
        <w:t xml:space="preserve">. Přesný výklad jejich funkce je rovněž nad možnostmi tohoto textu, proto můžeme uzavřít, že buněčná membrána je </w:t>
      </w:r>
      <w:r w:rsidRPr="000B16D5">
        <w:rPr>
          <w:rFonts w:asciiTheme="majorHAnsi" w:hAnsiTheme="majorHAnsi"/>
          <w:b/>
        </w:rPr>
        <w:t>komplexní struktura, která zajišťuje tok informací, látek a energií mezi buňkou a jejím okolím</w:t>
      </w:r>
      <w:r w:rsidRPr="000B16D5">
        <w:rPr>
          <w:rFonts w:asciiTheme="majorHAnsi" w:hAnsiTheme="majorHAnsi"/>
        </w:rPr>
        <w:t>.</w:t>
      </w:r>
    </w:p>
    <w:p w:rsidR="00312118" w:rsidRPr="000B16D5" w:rsidRDefault="00312118" w:rsidP="00236F03">
      <w:pPr>
        <w:spacing w:after="0"/>
        <w:jc w:val="both"/>
        <w:rPr>
          <w:rFonts w:asciiTheme="majorHAnsi" w:hAnsiTheme="majorHAnsi"/>
          <w:b/>
        </w:rPr>
      </w:pPr>
    </w:p>
    <w:p w:rsidR="00312118" w:rsidRPr="000B16D5" w:rsidRDefault="00312118" w:rsidP="00AC32F9">
      <w:pPr>
        <w:pStyle w:val="Podpodnadpis"/>
        <w:rPr>
          <w:rFonts w:asciiTheme="majorHAnsi" w:hAnsiTheme="majorHAnsi"/>
        </w:rPr>
      </w:pPr>
      <w:r w:rsidRPr="000B16D5">
        <w:rPr>
          <w:rFonts w:asciiTheme="majorHAnsi" w:hAnsiTheme="majorHAnsi"/>
        </w:rPr>
        <w:t>Membránové buněčné organely</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Mezi membránové buněčné organely řadíme </w:t>
      </w:r>
      <w:r w:rsidRPr="000B16D5">
        <w:rPr>
          <w:rFonts w:asciiTheme="majorHAnsi" w:hAnsiTheme="majorHAnsi"/>
          <w:b/>
        </w:rPr>
        <w:t>mitochondrie, endoplazmatické retikulum, Golgiho aparát</w:t>
      </w:r>
      <w:r w:rsidRPr="000B16D5">
        <w:rPr>
          <w:rFonts w:asciiTheme="majorHAnsi" w:hAnsiTheme="majorHAnsi"/>
        </w:rPr>
        <w:t xml:space="preserve"> a různé </w:t>
      </w:r>
      <w:r w:rsidRPr="000B16D5">
        <w:rPr>
          <w:rFonts w:asciiTheme="majorHAnsi" w:hAnsiTheme="majorHAnsi"/>
          <w:b/>
        </w:rPr>
        <w:t>membránové váčky</w:t>
      </w:r>
      <w:r w:rsidRPr="000B16D5">
        <w:rPr>
          <w:rFonts w:asciiTheme="majorHAnsi" w:hAnsiTheme="majorHAnsi"/>
        </w:rPr>
        <w:t xml:space="preserve"> (např. peroxisomy, fagosomy apod.).</w:t>
      </w:r>
    </w:p>
    <w:p w:rsidR="00312118" w:rsidRPr="000B16D5" w:rsidRDefault="00312118" w:rsidP="00236F03">
      <w:pPr>
        <w:spacing w:after="0"/>
        <w:jc w:val="both"/>
        <w:rPr>
          <w:rFonts w:asciiTheme="majorHAnsi" w:hAnsiTheme="majorHAnsi"/>
          <w:b/>
          <w:u w:val="single"/>
        </w:rPr>
      </w:pPr>
    </w:p>
    <w:p w:rsidR="00312118" w:rsidRPr="000B16D5" w:rsidRDefault="00312118" w:rsidP="00236F03">
      <w:pPr>
        <w:spacing w:after="0"/>
        <w:jc w:val="both"/>
        <w:rPr>
          <w:rFonts w:asciiTheme="majorHAnsi" w:hAnsiTheme="majorHAnsi"/>
        </w:rPr>
      </w:pPr>
      <w:r w:rsidRPr="000B16D5">
        <w:rPr>
          <w:rFonts w:asciiTheme="majorHAnsi" w:hAnsiTheme="majorHAnsi"/>
          <w:b/>
          <w:u w:val="single"/>
        </w:rPr>
        <w:t>Mitochondrie</w:t>
      </w:r>
      <w:r w:rsidRPr="000B16D5">
        <w:rPr>
          <w:rFonts w:asciiTheme="majorHAnsi" w:hAnsiTheme="majorHAnsi"/>
        </w:rPr>
        <w:t xml:space="preserve"> patří mezi tzv. semiautonomní organely (t</w:t>
      </w:r>
      <w:r w:rsidR="00C03650" w:rsidRPr="000B16D5">
        <w:rPr>
          <w:rFonts w:asciiTheme="majorHAnsi" w:hAnsiTheme="majorHAnsi"/>
        </w:rPr>
        <w:t>zn.</w:t>
      </w:r>
      <w:r w:rsidR="00C36FFE" w:rsidRPr="000B16D5">
        <w:rPr>
          <w:rFonts w:asciiTheme="majorHAnsi" w:hAnsiTheme="majorHAnsi"/>
        </w:rPr>
        <w:t>,</w:t>
      </w:r>
      <w:r w:rsidR="00C03650" w:rsidRPr="000B16D5">
        <w:rPr>
          <w:rFonts w:asciiTheme="majorHAnsi" w:hAnsiTheme="majorHAnsi"/>
        </w:rPr>
        <w:t xml:space="preserve"> že</w:t>
      </w:r>
      <w:r w:rsidRPr="000B16D5">
        <w:rPr>
          <w:rFonts w:asciiTheme="majorHAnsi" w:hAnsiTheme="majorHAnsi"/>
        </w:rPr>
        <w:t xml:space="preserve"> jsou schopny se replikovat částečně nezávisle na replikaci buňky). Od okolí je odděluje dvojitá membrána, přičemž ta vnější je poměrně hladká a vysoce propustná, zato druhá je výrazně zvrásněná (tvořená tzv. kristami) a je vysoce selektivní. Hmota, která mitochondrie vyplňuje, se nazývá mitochondriální matrix a v ní za účasti enzymů vnitřní membrány probíhá velká řada dějů energetického metabolismu, mj. </w:t>
      </w:r>
      <w:r w:rsidRPr="000B16D5">
        <w:rPr>
          <w:rFonts w:asciiTheme="majorHAnsi" w:hAnsiTheme="majorHAnsi"/>
          <w:b/>
        </w:rPr>
        <w:t>oxidativní</w:t>
      </w:r>
      <w:r w:rsidRPr="000B16D5">
        <w:rPr>
          <w:rFonts w:asciiTheme="majorHAnsi" w:hAnsiTheme="majorHAnsi"/>
        </w:rPr>
        <w:t xml:space="preserve"> </w:t>
      </w:r>
      <w:r w:rsidRPr="000B16D5">
        <w:rPr>
          <w:rFonts w:asciiTheme="majorHAnsi" w:hAnsiTheme="majorHAnsi"/>
          <w:b/>
        </w:rPr>
        <w:t>fosforylace</w:t>
      </w:r>
      <w:r w:rsidRPr="000B16D5">
        <w:rPr>
          <w:rFonts w:asciiTheme="majorHAnsi" w:hAnsiTheme="majorHAnsi"/>
        </w:rPr>
        <w:t xml:space="preserve">, při které vzniká velké množství univerzálního energetického platidla – </w:t>
      </w:r>
      <w:r w:rsidRPr="000B16D5">
        <w:rPr>
          <w:rFonts w:asciiTheme="majorHAnsi" w:hAnsiTheme="majorHAnsi"/>
          <w:b/>
        </w:rPr>
        <w:t>ATP</w:t>
      </w:r>
      <w:r w:rsidR="00D56167" w:rsidRPr="000B16D5">
        <w:rPr>
          <w:rFonts w:asciiTheme="majorHAnsi" w:hAnsiTheme="majorHAnsi"/>
          <w:b/>
        </w:rPr>
        <w:t xml:space="preserve"> (adenosintrisfosfátu)</w:t>
      </w:r>
      <w:r w:rsidRPr="000B16D5">
        <w:rPr>
          <w:rFonts w:asciiTheme="majorHAnsi" w:hAnsiTheme="majorHAnsi"/>
        </w:rPr>
        <w:t>.</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Se semiautonomií se </w:t>
      </w:r>
      <w:r w:rsidR="00602FB9" w:rsidRPr="000B16D5">
        <w:rPr>
          <w:rFonts w:asciiTheme="majorHAnsi" w:hAnsiTheme="majorHAnsi"/>
        </w:rPr>
        <w:t xml:space="preserve">úzce </w:t>
      </w:r>
      <w:r w:rsidRPr="000B16D5">
        <w:rPr>
          <w:rFonts w:asciiTheme="majorHAnsi" w:hAnsiTheme="majorHAnsi"/>
        </w:rPr>
        <w:t xml:space="preserve">pojí pojem </w:t>
      </w:r>
      <w:r w:rsidRPr="000B16D5">
        <w:rPr>
          <w:rFonts w:asciiTheme="majorHAnsi" w:hAnsiTheme="majorHAnsi"/>
          <w:b/>
        </w:rPr>
        <w:t>mitochondriální</w:t>
      </w:r>
      <w:r w:rsidRPr="000B16D5">
        <w:rPr>
          <w:rFonts w:asciiTheme="majorHAnsi" w:hAnsiTheme="majorHAnsi"/>
        </w:rPr>
        <w:t xml:space="preserve"> </w:t>
      </w:r>
      <w:r w:rsidRPr="000B16D5">
        <w:rPr>
          <w:rFonts w:asciiTheme="majorHAnsi" w:hAnsiTheme="majorHAnsi"/>
          <w:b/>
        </w:rPr>
        <w:t>DNA</w:t>
      </w:r>
      <w:r w:rsidRPr="000B16D5">
        <w:rPr>
          <w:rFonts w:asciiTheme="majorHAnsi" w:hAnsiTheme="majorHAnsi"/>
        </w:rPr>
        <w:t>. Mitochondrie mají své vlastní úseky DNA (</w:t>
      </w:r>
      <w:r w:rsidRPr="000B16D5">
        <w:rPr>
          <w:rFonts w:asciiTheme="majorHAnsi" w:hAnsiTheme="majorHAnsi"/>
          <w:b/>
        </w:rPr>
        <w:t>mitDNA</w:t>
      </w:r>
      <w:r w:rsidRPr="000B16D5">
        <w:rPr>
          <w:rFonts w:asciiTheme="majorHAnsi" w:hAnsiTheme="majorHAnsi"/>
        </w:rPr>
        <w:t xml:space="preserve">), které kódují některé geny potřebné pro metabolismus (např. podjednotky enzymu ATP-syntázy). Naše soužití s mitochondriemi je již tak </w:t>
      </w:r>
      <w:r w:rsidR="001E59A8" w:rsidRPr="000B16D5">
        <w:rPr>
          <w:rFonts w:asciiTheme="majorHAnsi" w:hAnsiTheme="majorHAnsi"/>
        </w:rPr>
        <w:t>intenzivní</w:t>
      </w:r>
      <w:r w:rsidRPr="000B16D5">
        <w:rPr>
          <w:rFonts w:asciiTheme="majorHAnsi" w:hAnsiTheme="majorHAnsi"/>
        </w:rPr>
        <w:t xml:space="preserve">, že jimi kódované geny potřebujeme pro správný průběh metabolických dějů a různé mutace a polymorfismy v nich mohou být příčinou </w:t>
      </w:r>
      <w:r w:rsidR="00602FB9" w:rsidRPr="000B16D5">
        <w:rPr>
          <w:rFonts w:asciiTheme="majorHAnsi" w:hAnsiTheme="majorHAnsi"/>
        </w:rPr>
        <w:t xml:space="preserve">mnohých </w:t>
      </w:r>
      <w:r w:rsidR="00144BED" w:rsidRPr="000B16D5">
        <w:rPr>
          <w:rFonts w:asciiTheme="majorHAnsi" w:hAnsiTheme="majorHAnsi"/>
        </w:rPr>
        <w:t xml:space="preserve">(avšak </w:t>
      </w:r>
      <w:r w:rsidRPr="000B16D5">
        <w:rPr>
          <w:rFonts w:asciiTheme="majorHAnsi" w:hAnsiTheme="majorHAnsi"/>
        </w:rPr>
        <w:t>vzácných</w:t>
      </w:r>
      <w:r w:rsidR="00144BED" w:rsidRPr="000B16D5">
        <w:rPr>
          <w:rFonts w:asciiTheme="majorHAnsi" w:hAnsiTheme="majorHAnsi"/>
        </w:rPr>
        <w:t>)</w:t>
      </w:r>
      <w:r w:rsidRPr="000B16D5">
        <w:rPr>
          <w:rFonts w:asciiTheme="majorHAnsi" w:hAnsiTheme="majorHAnsi"/>
        </w:rPr>
        <w:t xml:space="preserve"> chorob. Společným znakem těchto chorob je často nedostatek ATP, který se projeví ve tkáních, které jsou na ATP závislé (např. svaly a nervy) – příkladem může být </w:t>
      </w:r>
      <w:r w:rsidRPr="000B16D5">
        <w:rPr>
          <w:rFonts w:asciiTheme="majorHAnsi" w:hAnsiTheme="majorHAnsi"/>
          <w:b/>
        </w:rPr>
        <w:t>mitochondriální</w:t>
      </w:r>
      <w:r w:rsidRPr="000B16D5">
        <w:rPr>
          <w:rFonts w:asciiTheme="majorHAnsi" w:hAnsiTheme="majorHAnsi"/>
        </w:rPr>
        <w:t xml:space="preserve"> </w:t>
      </w:r>
      <w:r w:rsidRPr="000B16D5">
        <w:rPr>
          <w:rFonts w:asciiTheme="majorHAnsi" w:hAnsiTheme="majorHAnsi"/>
          <w:b/>
        </w:rPr>
        <w:t>myopatie</w:t>
      </w:r>
      <w:r w:rsidRPr="000B16D5">
        <w:rPr>
          <w:rFonts w:asciiTheme="majorHAnsi" w:hAnsiTheme="majorHAnsi"/>
        </w:rPr>
        <w:t xml:space="preserve"> (bolestivost svalů), postižení jedinci vykazují zpomalený růst a svalovou slabost. Vzácnými onemocnění jsou např. </w:t>
      </w:r>
      <w:r w:rsidRPr="000B16D5">
        <w:rPr>
          <w:rFonts w:asciiTheme="majorHAnsi" w:hAnsiTheme="majorHAnsi"/>
          <w:b/>
        </w:rPr>
        <w:t>Leberova dědičná optická neuropatie</w:t>
      </w:r>
      <w:r w:rsidRPr="000B16D5">
        <w:rPr>
          <w:rFonts w:asciiTheme="majorHAnsi" w:hAnsiTheme="majorHAnsi"/>
        </w:rPr>
        <w:t xml:space="preserve"> (je postižen zejména optický nerv a dochází k postupné degeneraci sítnice s rozvojem úplné ztráty zraku) či </w:t>
      </w:r>
      <w:r w:rsidRPr="000B16D5">
        <w:rPr>
          <w:rFonts w:asciiTheme="majorHAnsi" w:hAnsiTheme="majorHAnsi"/>
          <w:b/>
        </w:rPr>
        <w:t>Leighův</w:t>
      </w:r>
      <w:r w:rsidRPr="000B16D5">
        <w:rPr>
          <w:rFonts w:asciiTheme="majorHAnsi" w:hAnsiTheme="majorHAnsi"/>
        </w:rPr>
        <w:t xml:space="preserve"> </w:t>
      </w:r>
      <w:r w:rsidRPr="000B16D5">
        <w:rPr>
          <w:rFonts w:asciiTheme="majorHAnsi" w:hAnsiTheme="majorHAnsi"/>
          <w:b/>
        </w:rPr>
        <w:t>syndrom</w:t>
      </w:r>
      <w:r w:rsidRPr="000B16D5">
        <w:rPr>
          <w:rFonts w:asciiTheme="majorHAnsi" w:hAnsiTheme="majorHAnsi"/>
        </w:rPr>
        <w:t xml:space="preserve"> (též známý jako </w:t>
      </w:r>
      <w:r w:rsidRPr="000B16D5">
        <w:rPr>
          <w:rFonts w:asciiTheme="majorHAnsi" w:hAnsiTheme="majorHAnsi"/>
          <w:b/>
        </w:rPr>
        <w:t>subakutní sklerozující encefalitida</w:t>
      </w:r>
      <w:r w:rsidRPr="000B16D5">
        <w:rPr>
          <w:rFonts w:asciiTheme="majorHAnsi" w:hAnsiTheme="majorHAnsi"/>
        </w:rPr>
        <w:t>, která se projevuje zhruba v prvním roce věku, kdy po normálním vývoji mozkových funkcí dochází k jejich náhlému zhoršení, demenci</w:t>
      </w:r>
      <w:r w:rsidR="00616B0C" w:rsidRPr="000B16D5">
        <w:rPr>
          <w:rFonts w:asciiTheme="majorHAnsi" w:hAnsiTheme="majorHAnsi"/>
        </w:rPr>
        <w:t>;</w:t>
      </w:r>
      <w:r w:rsidRPr="000B16D5">
        <w:rPr>
          <w:rFonts w:asciiTheme="majorHAnsi" w:hAnsiTheme="majorHAnsi"/>
        </w:rPr>
        <w:t xml:space="preserve"> mohou se objevit různé záchvaty typu epileptických, křeče a další).</w:t>
      </w:r>
    </w:p>
    <w:p w:rsidR="00312118" w:rsidRPr="000B16D5" w:rsidRDefault="00312118" w:rsidP="00236F03">
      <w:pPr>
        <w:spacing w:after="0"/>
        <w:jc w:val="both"/>
        <w:rPr>
          <w:rFonts w:asciiTheme="majorHAnsi" w:hAnsiTheme="majorHAnsi"/>
        </w:rPr>
      </w:pPr>
      <w:r w:rsidRPr="000B16D5">
        <w:rPr>
          <w:rFonts w:asciiTheme="majorHAnsi" w:hAnsiTheme="majorHAnsi"/>
        </w:rPr>
        <w:t>Zajímavostí může být i to, že mitDNA se dědí po mateřské linii (při oplození se ze spermie do vajíčka mitochondrie nepředávají), což umožňuje identifikaci tzv. mitochondriální Evy, tedy skupiny žen, které stály „na počátku“ stvoření lidského druhu.</w:t>
      </w:r>
    </w:p>
    <w:p w:rsidR="00312118" w:rsidRPr="000B16D5" w:rsidRDefault="00312118" w:rsidP="00236F03">
      <w:pPr>
        <w:spacing w:after="0"/>
        <w:jc w:val="both"/>
        <w:rPr>
          <w:rFonts w:asciiTheme="majorHAnsi" w:hAnsiTheme="majorHAnsi"/>
        </w:rPr>
      </w:pPr>
    </w:p>
    <w:p w:rsidR="00312118" w:rsidRPr="000B16D5" w:rsidRDefault="00312118" w:rsidP="00236F03">
      <w:pPr>
        <w:spacing w:after="0"/>
        <w:jc w:val="both"/>
        <w:rPr>
          <w:rFonts w:asciiTheme="majorHAnsi" w:hAnsiTheme="majorHAnsi"/>
        </w:rPr>
      </w:pPr>
      <w:r w:rsidRPr="000B16D5">
        <w:rPr>
          <w:rFonts w:asciiTheme="majorHAnsi" w:hAnsiTheme="majorHAnsi"/>
          <w:b/>
          <w:u w:val="single"/>
        </w:rPr>
        <w:lastRenderedPageBreak/>
        <w:t>Endoplazmatické retikulum</w:t>
      </w:r>
      <w:r w:rsidRPr="000B16D5">
        <w:rPr>
          <w:rFonts w:asciiTheme="majorHAnsi" w:hAnsiTheme="majorHAnsi"/>
        </w:rPr>
        <w:t xml:space="preserve"> se v buňkách vyskytuje ve dvou podobách</w:t>
      </w:r>
      <w:r w:rsidR="00616B0C" w:rsidRPr="000B16D5">
        <w:rPr>
          <w:rFonts w:asciiTheme="majorHAnsi" w:hAnsiTheme="majorHAnsi"/>
        </w:rPr>
        <w:t>.</w:t>
      </w:r>
      <w:r w:rsidRPr="000B16D5">
        <w:rPr>
          <w:rFonts w:asciiTheme="majorHAnsi" w:hAnsiTheme="majorHAnsi"/>
        </w:rPr>
        <w:t xml:space="preserve"> </w:t>
      </w:r>
      <w:r w:rsidR="00616B0C" w:rsidRPr="000B16D5">
        <w:rPr>
          <w:rFonts w:asciiTheme="majorHAnsi" w:hAnsiTheme="majorHAnsi"/>
        </w:rPr>
        <w:t>H</w:t>
      </w:r>
      <w:r w:rsidRPr="000B16D5">
        <w:rPr>
          <w:rFonts w:asciiTheme="majorHAnsi" w:hAnsiTheme="majorHAnsi"/>
        </w:rPr>
        <w:t xml:space="preserve">ladké endoplazmatické retikulum (HER), které slouží jako zásobárna různých enzymů a iontů (ve svalových buňkách střádá HER vápníkové ionty; v buňkách produkujících steroidní hormony obsahuje HER potřebné enzymy) a je tvořeno systémem tubulů a váčků. </w:t>
      </w:r>
      <w:r w:rsidR="00616B0C" w:rsidRPr="000B16D5">
        <w:rPr>
          <w:rFonts w:asciiTheme="majorHAnsi" w:hAnsiTheme="majorHAnsi"/>
        </w:rPr>
        <w:t>Drsné</w:t>
      </w:r>
      <w:r w:rsidRPr="000B16D5">
        <w:rPr>
          <w:rFonts w:asciiTheme="majorHAnsi" w:hAnsiTheme="majorHAnsi"/>
        </w:rPr>
        <w:t xml:space="preserve"> endoplazmatické retikulum (DER)</w:t>
      </w:r>
      <w:r w:rsidR="00616B0C" w:rsidRPr="000B16D5">
        <w:rPr>
          <w:rFonts w:asciiTheme="majorHAnsi" w:hAnsiTheme="majorHAnsi"/>
        </w:rPr>
        <w:t xml:space="preserve"> </w:t>
      </w:r>
      <w:r w:rsidRPr="000B16D5">
        <w:rPr>
          <w:rFonts w:asciiTheme="majorHAnsi" w:hAnsiTheme="majorHAnsi"/>
        </w:rPr>
        <w:t>je</w:t>
      </w:r>
      <w:r w:rsidR="00616B0C" w:rsidRPr="000B16D5">
        <w:rPr>
          <w:rFonts w:asciiTheme="majorHAnsi" w:hAnsiTheme="majorHAnsi"/>
        </w:rPr>
        <w:t xml:space="preserve"> naopak</w:t>
      </w:r>
      <w:r w:rsidRPr="000B16D5">
        <w:rPr>
          <w:rFonts w:asciiTheme="majorHAnsi" w:hAnsiTheme="majorHAnsi"/>
        </w:rPr>
        <w:t xml:space="preserve"> soustava cisteren a váčků, na jejichž povrchu jsou (reverzibilně) připoutány ribozomy a tento typ endoplazmatického retikula zajišťuje syntézu proteinů a jejich posttranslační modifikaci (viz příslušné kapitoly). Na DER úzce navazuje další soustava cisteren a váčků – Golgiho aparát (GA), který se dále podílí na posttranslačních modifikacích a tzv. sortingu, tj. třídění proteinů (modifikuje jejich strukturu a dle této modifikace pak buňka „pozná“, kam daný protein patří).</w:t>
      </w:r>
    </w:p>
    <w:p w:rsidR="00312118" w:rsidRPr="000B16D5" w:rsidRDefault="00312118" w:rsidP="00236F03">
      <w:pPr>
        <w:spacing w:after="0"/>
        <w:jc w:val="both"/>
        <w:rPr>
          <w:rFonts w:asciiTheme="majorHAnsi" w:hAnsiTheme="majorHAnsi"/>
        </w:rPr>
      </w:pP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Mezi </w:t>
      </w:r>
      <w:r w:rsidRPr="000B16D5">
        <w:rPr>
          <w:rFonts w:asciiTheme="majorHAnsi" w:hAnsiTheme="majorHAnsi"/>
          <w:b/>
          <w:u w:val="single"/>
        </w:rPr>
        <w:t>membránové váčky</w:t>
      </w:r>
      <w:r w:rsidRPr="000B16D5">
        <w:rPr>
          <w:rFonts w:asciiTheme="majorHAnsi" w:hAnsiTheme="majorHAnsi"/>
        </w:rPr>
        <w:t xml:space="preserve"> patří např. </w:t>
      </w:r>
      <w:r w:rsidRPr="000B16D5">
        <w:rPr>
          <w:rFonts w:asciiTheme="majorHAnsi" w:hAnsiTheme="majorHAnsi"/>
          <w:b/>
        </w:rPr>
        <w:t>primární</w:t>
      </w:r>
      <w:r w:rsidRPr="000B16D5">
        <w:rPr>
          <w:rFonts w:asciiTheme="majorHAnsi" w:hAnsiTheme="majorHAnsi"/>
        </w:rPr>
        <w:t xml:space="preserve"> </w:t>
      </w:r>
      <w:r w:rsidRPr="000B16D5">
        <w:rPr>
          <w:rFonts w:asciiTheme="majorHAnsi" w:hAnsiTheme="majorHAnsi"/>
          <w:b/>
        </w:rPr>
        <w:t>lysozomy</w:t>
      </w:r>
      <w:r w:rsidRPr="000B16D5">
        <w:rPr>
          <w:rFonts w:asciiTheme="majorHAnsi" w:hAnsiTheme="majorHAnsi"/>
        </w:rPr>
        <w:t xml:space="preserve"> obsahující tzv. lysozomální (trávicí enzymy), které se podílejí na buněčném trávení. Větší částice jsou z okolí přijímány v procesu fagocytózy, při kterém se vytváří další váček – </w:t>
      </w:r>
      <w:r w:rsidRPr="000B16D5">
        <w:rPr>
          <w:rFonts w:asciiTheme="majorHAnsi" w:hAnsiTheme="majorHAnsi"/>
          <w:b/>
        </w:rPr>
        <w:t>fagosom</w:t>
      </w:r>
      <w:r w:rsidR="004E55FE" w:rsidRPr="000B16D5">
        <w:rPr>
          <w:rFonts w:asciiTheme="majorHAnsi" w:hAnsiTheme="majorHAnsi"/>
        </w:rPr>
        <w:t>.</w:t>
      </w:r>
      <w:r w:rsidRPr="000B16D5">
        <w:rPr>
          <w:rFonts w:asciiTheme="majorHAnsi" w:hAnsiTheme="majorHAnsi"/>
        </w:rPr>
        <w:t xml:space="preserve"> </w:t>
      </w:r>
      <w:r w:rsidR="004E55FE" w:rsidRPr="000B16D5">
        <w:rPr>
          <w:rFonts w:asciiTheme="majorHAnsi" w:hAnsiTheme="majorHAnsi"/>
        </w:rPr>
        <w:t>P</w:t>
      </w:r>
      <w:r w:rsidRPr="000B16D5">
        <w:rPr>
          <w:rFonts w:asciiTheme="majorHAnsi" w:hAnsiTheme="majorHAnsi"/>
        </w:rPr>
        <w:t xml:space="preserve">okud buňka potřebuje strávit svůj vnitřní obsah, vytvoří se </w:t>
      </w:r>
      <w:r w:rsidRPr="000B16D5">
        <w:rPr>
          <w:rFonts w:asciiTheme="majorHAnsi" w:hAnsiTheme="majorHAnsi"/>
          <w:b/>
        </w:rPr>
        <w:t>autofagická</w:t>
      </w:r>
      <w:r w:rsidRPr="000B16D5">
        <w:rPr>
          <w:rFonts w:asciiTheme="majorHAnsi" w:hAnsiTheme="majorHAnsi"/>
        </w:rPr>
        <w:t xml:space="preserve"> </w:t>
      </w:r>
      <w:r w:rsidRPr="000B16D5">
        <w:rPr>
          <w:rFonts w:asciiTheme="majorHAnsi" w:hAnsiTheme="majorHAnsi"/>
          <w:b/>
        </w:rPr>
        <w:t>vakuola</w:t>
      </w:r>
      <w:r w:rsidRPr="000B16D5">
        <w:rPr>
          <w:rFonts w:asciiTheme="majorHAnsi" w:hAnsiTheme="majorHAnsi"/>
        </w:rPr>
        <w:t xml:space="preserve">. Když se spojí primární lysozom s autofagickou vakuolou/fagosomem, mohou enzymy původně uložené v primárním lysozomu zahájit trávení částic </w:t>
      </w:r>
      <w:r w:rsidR="005F739F" w:rsidRPr="000B16D5">
        <w:rPr>
          <w:rFonts w:asciiTheme="majorHAnsi" w:hAnsiTheme="majorHAnsi"/>
        </w:rPr>
        <w:t>uložených v uvedených strukturách</w:t>
      </w:r>
      <w:r w:rsidRPr="000B16D5">
        <w:rPr>
          <w:rFonts w:asciiTheme="majorHAnsi" w:hAnsiTheme="majorHAnsi"/>
        </w:rPr>
        <w:t xml:space="preserve">, a takto vzniklý váček se označuje jako </w:t>
      </w:r>
      <w:r w:rsidRPr="000B16D5">
        <w:rPr>
          <w:rFonts w:asciiTheme="majorHAnsi" w:hAnsiTheme="majorHAnsi"/>
          <w:b/>
        </w:rPr>
        <w:t>sekundární</w:t>
      </w:r>
      <w:r w:rsidRPr="000B16D5">
        <w:rPr>
          <w:rFonts w:asciiTheme="majorHAnsi" w:hAnsiTheme="majorHAnsi"/>
        </w:rPr>
        <w:t xml:space="preserve"> </w:t>
      </w:r>
      <w:r w:rsidRPr="000B16D5">
        <w:rPr>
          <w:rFonts w:asciiTheme="majorHAnsi" w:hAnsiTheme="majorHAnsi"/>
          <w:b/>
        </w:rPr>
        <w:t>lysozom</w:t>
      </w:r>
      <w:r w:rsidRPr="000B16D5">
        <w:rPr>
          <w:rFonts w:asciiTheme="majorHAnsi" w:hAnsiTheme="majorHAnsi"/>
        </w:rPr>
        <w:t xml:space="preserve"> (fagolysozom). Část potravy, kterou není možno strávit, zůstává obalen</w:t>
      </w:r>
      <w:r w:rsidR="002753A4" w:rsidRPr="000B16D5">
        <w:rPr>
          <w:rFonts w:asciiTheme="majorHAnsi" w:hAnsiTheme="majorHAnsi"/>
        </w:rPr>
        <w:t>a</w:t>
      </w:r>
      <w:r w:rsidRPr="000B16D5">
        <w:rPr>
          <w:rFonts w:asciiTheme="majorHAnsi" w:hAnsiTheme="majorHAnsi"/>
        </w:rPr>
        <w:t xml:space="preserve"> v sekundárním lysozomu, který se pak označuje jako </w:t>
      </w:r>
      <w:r w:rsidRPr="000B16D5">
        <w:rPr>
          <w:rFonts w:asciiTheme="majorHAnsi" w:hAnsiTheme="majorHAnsi"/>
          <w:b/>
        </w:rPr>
        <w:t>terciární</w:t>
      </w:r>
      <w:r w:rsidRPr="000B16D5">
        <w:rPr>
          <w:rFonts w:asciiTheme="majorHAnsi" w:hAnsiTheme="majorHAnsi"/>
        </w:rPr>
        <w:t xml:space="preserve"> </w:t>
      </w:r>
      <w:r w:rsidRPr="000B16D5">
        <w:rPr>
          <w:rFonts w:asciiTheme="majorHAnsi" w:hAnsiTheme="majorHAnsi"/>
          <w:b/>
        </w:rPr>
        <w:t>lysozom</w:t>
      </w:r>
      <w:r w:rsidRPr="000B16D5">
        <w:rPr>
          <w:rFonts w:asciiTheme="majorHAnsi" w:hAnsiTheme="majorHAnsi"/>
        </w:rPr>
        <w:t xml:space="preserve"> (obsahuje již jen nestravitelné zbytky). Mezi další membránové váčky patří např. </w:t>
      </w:r>
      <w:r w:rsidRPr="000B16D5">
        <w:rPr>
          <w:rFonts w:asciiTheme="majorHAnsi" w:hAnsiTheme="majorHAnsi"/>
          <w:b/>
        </w:rPr>
        <w:t>peroxisomy</w:t>
      </w:r>
      <w:r w:rsidRPr="000B16D5">
        <w:rPr>
          <w:rFonts w:asciiTheme="majorHAnsi" w:hAnsiTheme="majorHAnsi"/>
        </w:rPr>
        <w:t>.</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Existuje asi padesátka metabolických onemocnění, které vznikají na podkladě </w:t>
      </w:r>
      <w:r w:rsidRPr="000B16D5">
        <w:rPr>
          <w:rFonts w:asciiTheme="majorHAnsi" w:hAnsiTheme="majorHAnsi"/>
          <w:b/>
        </w:rPr>
        <w:t>lysozomální</w:t>
      </w:r>
      <w:r w:rsidRPr="000B16D5">
        <w:rPr>
          <w:rFonts w:asciiTheme="majorHAnsi" w:hAnsiTheme="majorHAnsi"/>
        </w:rPr>
        <w:t xml:space="preserve"> </w:t>
      </w:r>
      <w:r w:rsidRPr="000B16D5">
        <w:rPr>
          <w:rFonts w:asciiTheme="majorHAnsi" w:hAnsiTheme="majorHAnsi"/>
          <w:b/>
        </w:rPr>
        <w:t xml:space="preserve">dysfunkce </w:t>
      </w:r>
      <w:r w:rsidRPr="000B16D5">
        <w:rPr>
          <w:rFonts w:asciiTheme="majorHAnsi" w:hAnsiTheme="majorHAnsi"/>
        </w:rPr>
        <w:t xml:space="preserve">deficitem některého z lysozomálních enzymů, což vede k tomu, že substrát tohoto enzymu není možné odbourat a v buňce se tak hromadí (střádá) – dané choroby se označují jako </w:t>
      </w:r>
      <w:r w:rsidRPr="000B16D5">
        <w:rPr>
          <w:rFonts w:asciiTheme="majorHAnsi" w:hAnsiTheme="majorHAnsi"/>
          <w:b/>
        </w:rPr>
        <w:t>choroby</w:t>
      </w:r>
      <w:r w:rsidRPr="000B16D5">
        <w:rPr>
          <w:rFonts w:asciiTheme="majorHAnsi" w:hAnsiTheme="majorHAnsi"/>
        </w:rPr>
        <w:t xml:space="preserve"> </w:t>
      </w:r>
      <w:r w:rsidRPr="000B16D5">
        <w:rPr>
          <w:rFonts w:asciiTheme="majorHAnsi" w:hAnsiTheme="majorHAnsi"/>
          <w:b/>
        </w:rPr>
        <w:t>lysozomální</w:t>
      </w:r>
      <w:r w:rsidRPr="000B16D5">
        <w:rPr>
          <w:rFonts w:asciiTheme="majorHAnsi" w:hAnsiTheme="majorHAnsi"/>
        </w:rPr>
        <w:t xml:space="preserve"> nebo také </w:t>
      </w:r>
      <w:r w:rsidRPr="000B16D5">
        <w:rPr>
          <w:rFonts w:asciiTheme="majorHAnsi" w:hAnsiTheme="majorHAnsi"/>
          <w:b/>
        </w:rPr>
        <w:t>střádavé</w:t>
      </w:r>
      <w:r w:rsidRPr="000B16D5">
        <w:rPr>
          <w:rFonts w:asciiTheme="majorHAnsi" w:hAnsiTheme="majorHAnsi"/>
        </w:rPr>
        <w:t xml:space="preserve">. Příkladem mohou být tzv. </w:t>
      </w:r>
      <w:r w:rsidRPr="000B16D5">
        <w:rPr>
          <w:rFonts w:asciiTheme="majorHAnsi" w:hAnsiTheme="majorHAnsi"/>
          <w:b/>
        </w:rPr>
        <w:t>mukopolysacharidózy</w:t>
      </w:r>
      <w:r w:rsidRPr="000B16D5">
        <w:rPr>
          <w:rFonts w:asciiTheme="majorHAnsi" w:hAnsiTheme="majorHAnsi"/>
        </w:rPr>
        <w:t xml:space="preserve"> (defekty v odbourávání mukopolysacharidů), </w:t>
      </w:r>
      <w:r w:rsidRPr="000B16D5">
        <w:rPr>
          <w:rFonts w:asciiTheme="majorHAnsi" w:hAnsiTheme="majorHAnsi"/>
          <w:b/>
        </w:rPr>
        <w:t>Gaucherova</w:t>
      </w:r>
      <w:r w:rsidRPr="000B16D5">
        <w:rPr>
          <w:rFonts w:asciiTheme="majorHAnsi" w:hAnsiTheme="majorHAnsi"/>
        </w:rPr>
        <w:t xml:space="preserve"> </w:t>
      </w:r>
      <w:r w:rsidRPr="000B16D5">
        <w:rPr>
          <w:rFonts w:asciiTheme="majorHAnsi" w:hAnsiTheme="majorHAnsi"/>
          <w:b/>
        </w:rPr>
        <w:t>chorova</w:t>
      </w:r>
      <w:r w:rsidRPr="000B16D5">
        <w:rPr>
          <w:rFonts w:asciiTheme="majorHAnsi" w:hAnsiTheme="majorHAnsi"/>
        </w:rPr>
        <w:t xml:space="preserve"> či </w:t>
      </w:r>
      <w:r w:rsidRPr="000B16D5">
        <w:rPr>
          <w:rFonts w:asciiTheme="majorHAnsi" w:hAnsiTheme="majorHAnsi"/>
          <w:b/>
        </w:rPr>
        <w:t>Fabryho</w:t>
      </w:r>
      <w:r w:rsidRPr="000B16D5">
        <w:rPr>
          <w:rFonts w:asciiTheme="majorHAnsi" w:hAnsiTheme="majorHAnsi"/>
        </w:rPr>
        <w:t xml:space="preserve"> </w:t>
      </w:r>
      <w:r w:rsidRPr="000B16D5">
        <w:rPr>
          <w:rFonts w:asciiTheme="majorHAnsi" w:hAnsiTheme="majorHAnsi"/>
          <w:b/>
        </w:rPr>
        <w:t>choroba</w:t>
      </w:r>
      <w:r w:rsidRPr="000B16D5">
        <w:rPr>
          <w:rFonts w:asciiTheme="majorHAnsi" w:hAnsiTheme="majorHAnsi"/>
        </w:rPr>
        <w:t xml:space="preserve"> (obě dvě patří mezi tzv. sfingolipidózy – je narušeno odbourávání sfingolipidů).</w:t>
      </w:r>
    </w:p>
    <w:p w:rsidR="00312118" w:rsidRPr="000B16D5" w:rsidRDefault="00312118" w:rsidP="00236F03">
      <w:pPr>
        <w:spacing w:after="0"/>
        <w:jc w:val="both"/>
        <w:rPr>
          <w:rFonts w:asciiTheme="majorHAnsi" w:hAnsiTheme="majorHAnsi"/>
        </w:rPr>
      </w:pPr>
    </w:p>
    <w:p w:rsidR="00312118" w:rsidRPr="000B16D5" w:rsidRDefault="00312118" w:rsidP="00AC32F9">
      <w:pPr>
        <w:pStyle w:val="Podpodnadpis"/>
        <w:rPr>
          <w:rFonts w:asciiTheme="majorHAnsi" w:hAnsiTheme="majorHAnsi"/>
        </w:rPr>
      </w:pPr>
      <w:r w:rsidRPr="000B16D5">
        <w:rPr>
          <w:rFonts w:asciiTheme="majorHAnsi" w:hAnsiTheme="majorHAnsi"/>
        </w:rPr>
        <w:t>Buněčné organely bez membrány</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Jak již název vypovídá, tyto organely nejsou obaleny membránou a mezi tyto organely řadíme centriol a ribozomy. </w:t>
      </w:r>
      <w:r w:rsidRPr="000B16D5">
        <w:rPr>
          <w:rFonts w:asciiTheme="majorHAnsi" w:hAnsiTheme="majorHAnsi"/>
          <w:b/>
          <w:u w:val="single"/>
        </w:rPr>
        <w:t>Centriol</w:t>
      </w:r>
      <w:r w:rsidRPr="000B16D5">
        <w:rPr>
          <w:rFonts w:asciiTheme="majorHAnsi" w:hAnsiTheme="majorHAnsi"/>
        </w:rPr>
        <w:t xml:space="preserve"> je důležitý pro buněčné dělení – jedná se o strukturu složenou z mikrotubulů, která dává při mitóze i meióze základ pro dělící vřeténko umožňující rozestup chromozomů do dceřiných buněk.</w:t>
      </w:r>
    </w:p>
    <w:p w:rsidR="00312118" w:rsidRPr="000B16D5" w:rsidRDefault="00312118" w:rsidP="00236F03">
      <w:pPr>
        <w:spacing w:after="0"/>
        <w:jc w:val="both"/>
        <w:rPr>
          <w:rFonts w:asciiTheme="majorHAnsi" w:hAnsiTheme="majorHAnsi"/>
        </w:rPr>
      </w:pPr>
      <w:r w:rsidRPr="000B16D5">
        <w:rPr>
          <w:rFonts w:asciiTheme="majorHAnsi" w:hAnsiTheme="majorHAnsi"/>
          <w:b/>
          <w:u w:val="single"/>
        </w:rPr>
        <w:t>Ribozomy</w:t>
      </w:r>
      <w:r w:rsidRPr="000B16D5">
        <w:rPr>
          <w:rFonts w:asciiTheme="majorHAnsi" w:hAnsiTheme="majorHAnsi"/>
        </w:rPr>
        <w:t xml:space="preserve"> jsou pak malé struktury tvořené z velké a malé podjednotky, které se podílejí na syntéze proteinů. </w:t>
      </w:r>
      <w:r w:rsidR="00025CD5" w:rsidRPr="000B16D5">
        <w:rPr>
          <w:rFonts w:asciiTheme="majorHAnsi" w:hAnsiTheme="majorHAnsi"/>
        </w:rPr>
        <w:t>Detailněji jsou jejich funkce popsány v kapitole</w:t>
      </w:r>
      <w:r w:rsidRPr="000B16D5">
        <w:rPr>
          <w:rFonts w:asciiTheme="majorHAnsi" w:hAnsiTheme="majorHAnsi"/>
        </w:rPr>
        <w:t xml:space="preserve"> týkající se genové exprese.</w:t>
      </w:r>
    </w:p>
    <w:p w:rsidR="00312118" w:rsidRPr="000B16D5" w:rsidRDefault="00312118" w:rsidP="00236F03">
      <w:pPr>
        <w:spacing w:after="0"/>
        <w:jc w:val="both"/>
        <w:rPr>
          <w:rFonts w:asciiTheme="majorHAnsi" w:hAnsiTheme="majorHAnsi"/>
        </w:rPr>
      </w:pPr>
    </w:p>
    <w:p w:rsidR="00312118" w:rsidRPr="000B16D5" w:rsidRDefault="00312118" w:rsidP="00236F03">
      <w:pPr>
        <w:pStyle w:val="Nadpispodkapitoly"/>
        <w:jc w:val="both"/>
        <w:rPr>
          <w:rFonts w:asciiTheme="majorHAnsi" w:hAnsiTheme="majorHAnsi"/>
        </w:rPr>
      </w:pPr>
      <w:bookmarkStart w:id="10" w:name="_Toc380240583"/>
      <w:r w:rsidRPr="000B16D5">
        <w:rPr>
          <w:rFonts w:asciiTheme="majorHAnsi" w:hAnsiTheme="majorHAnsi"/>
        </w:rPr>
        <w:t>Buněčné jádro</w:t>
      </w:r>
      <w:bookmarkEnd w:id="10"/>
    </w:p>
    <w:p w:rsidR="00312118" w:rsidRPr="000B16D5" w:rsidRDefault="00312118" w:rsidP="00236F03">
      <w:pPr>
        <w:spacing w:after="0"/>
        <w:jc w:val="both"/>
        <w:rPr>
          <w:rFonts w:asciiTheme="majorHAnsi" w:hAnsiTheme="majorHAnsi"/>
        </w:rPr>
      </w:pPr>
      <w:r w:rsidRPr="000B16D5">
        <w:rPr>
          <w:rFonts w:asciiTheme="majorHAnsi" w:hAnsiTheme="majorHAnsi"/>
        </w:rPr>
        <w:t>Buněčn</w:t>
      </w:r>
      <w:r w:rsidR="0068539C" w:rsidRPr="000B16D5">
        <w:rPr>
          <w:rFonts w:asciiTheme="majorHAnsi" w:hAnsiTheme="majorHAnsi"/>
        </w:rPr>
        <w:t>é</w:t>
      </w:r>
      <w:r w:rsidRPr="000B16D5">
        <w:rPr>
          <w:rFonts w:asciiTheme="majorHAnsi" w:hAnsiTheme="majorHAnsi"/>
        </w:rPr>
        <w:t xml:space="preserve"> jádro má mezi buněčnými organelami výsadní postavení. Je v něm uložena genetická informace buňky, která zajišťuje její přežití a fungování. Není obaleno klasickou membránou, nýbrž modifikovaným </w:t>
      </w:r>
      <w:r w:rsidRPr="000B16D5">
        <w:rPr>
          <w:rFonts w:asciiTheme="majorHAnsi" w:hAnsiTheme="majorHAnsi"/>
          <w:b/>
        </w:rPr>
        <w:t>dvouvrstevným jaderným obalem</w:t>
      </w:r>
      <w:r w:rsidRPr="000B16D5">
        <w:rPr>
          <w:rFonts w:asciiTheme="majorHAnsi" w:hAnsiTheme="majorHAnsi"/>
        </w:rPr>
        <w:t xml:space="preserve">, v jehož nitru se nachází tzv. </w:t>
      </w:r>
      <w:r w:rsidRPr="000B16D5">
        <w:rPr>
          <w:rFonts w:asciiTheme="majorHAnsi" w:hAnsiTheme="majorHAnsi"/>
          <w:b/>
        </w:rPr>
        <w:t>karyoplazma</w:t>
      </w:r>
      <w:r w:rsidRPr="000B16D5">
        <w:rPr>
          <w:rFonts w:asciiTheme="majorHAnsi" w:hAnsiTheme="majorHAnsi"/>
        </w:rPr>
        <w:t xml:space="preserve"> tvořená především molekulami DNA a RNA. S okolní cytoplazmou komunikuje jádro pomocí </w:t>
      </w:r>
      <w:r w:rsidRPr="000B16D5">
        <w:rPr>
          <w:rFonts w:asciiTheme="majorHAnsi" w:hAnsiTheme="majorHAnsi"/>
          <w:b/>
        </w:rPr>
        <w:t>jaderných pórů</w:t>
      </w:r>
      <w:r w:rsidRPr="000B16D5">
        <w:rPr>
          <w:rFonts w:asciiTheme="majorHAnsi" w:hAnsiTheme="majorHAnsi"/>
        </w:rPr>
        <w:t>.</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Jak již bylo řečeno, představuje jádro </w:t>
      </w:r>
      <w:r w:rsidRPr="000B16D5">
        <w:rPr>
          <w:rFonts w:asciiTheme="majorHAnsi" w:hAnsiTheme="majorHAnsi"/>
          <w:b/>
        </w:rPr>
        <w:t>genetickou knihovnu buňky</w:t>
      </w:r>
      <w:r w:rsidRPr="000B16D5">
        <w:rPr>
          <w:rFonts w:asciiTheme="majorHAnsi" w:hAnsiTheme="majorHAnsi"/>
        </w:rPr>
        <w:t xml:space="preserve">. Můžeme si jej představit skutečně jako knihovnu, ve které jsou uloženy svazky (v podobě DNA), které není možné z knihovny odnést. Je však nutné tyto svazky uchovávat a obnovovat – to se děje v procesu </w:t>
      </w:r>
      <w:r w:rsidRPr="000B16D5">
        <w:rPr>
          <w:rFonts w:asciiTheme="majorHAnsi" w:hAnsiTheme="majorHAnsi"/>
          <w:b/>
        </w:rPr>
        <w:t>replikace DNA</w:t>
      </w:r>
      <w:r w:rsidRPr="000B16D5">
        <w:rPr>
          <w:rFonts w:asciiTheme="majorHAnsi" w:hAnsiTheme="majorHAnsi"/>
        </w:rPr>
        <w:t xml:space="preserve">, kdy se z mateřské molekuly DNA tvoří molekuly dceřiné, které jsou pak předány mateřským buňkám. Aby však bylo možno informaci v jádře uloženou využít, je </w:t>
      </w:r>
      <w:r w:rsidR="0068539C" w:rsidRPr="000B16D5">
        <w:rPr>
          <w:rFonts w:asciiTheme="majorHAnsi" w:hAnsiTheme="majorHAnsi"/>
        </w:rPr>
        <w:t xml:space="preserve">nutné </w:t>
      </w:r>
      <w:r w:rsidRPr="000B16D5">
        <w:rPr>
          <w:rFonts w:asciiTheme="majorHAnsi" w:hAnsiTheme="majorHAnsi"/>
        </w:rPr>
        <w:t xml:space="preserve">do knihovny přijít a </w:t>
      </w:r>
      <w:r w:rsidRPr="000B16D5">
        <w:rPr>
          <w:rFonts w:asciiTheme="majorHAnsi" w:hAnsiTheme="majorHAnsi"/>
          <w:b/>
        </w:rPr>
        <w:t>přepsat</w:t>
      </w:r>
      <w:r w:rsidRPr="000B16D5">
        <w:rPr>
          <w:rFonts w:asciiTheme="majorHAnsi" w:hAnsiTheme="majorHAnsi"/>
        </w:rPr>
        <w:t xml:space="preserve"> </w:t>
      </w:r>
      <w:r w:rsidRPr="000B16D5">
        <w:rPr>
          <w:rFonts w:asciiTheme="majorHAnsi" w:hAnsiTheme="majorHAnsi"/>
          <w:b/>
        </w:rPr>
        <w:t>si</w:t>
      </w:r>
      <w:r w:rsidRPr="000B16D5">
        <w:rPr>
          <w:rFonts w:asciiTheme="majorHAnsi" w:hAnsiTheme="majorHAnsi"/>
        </w:rPr>
        <w:t xml:space="preserve"> (v procesu </w:t>
      </w:r>
      <w:r w:rsidRPr="000B16D5">
        <w:rPr>
          <w:rFonts w:asciiTheme="majorHAnsi" w:hAnsiTheme="majorHAnsi"/>
          <w:b/>
        </w:rPr>
        <w:t>transkripce = přepisu</w:t>
      </w:r>
      <w:r w:rsidRPr="000B16D5">
        <w:rPr>
          <w:rFonts w:asciiTheme="majorHAnsi" w:hAnsiTheme="majorHAnsi"/>
        </w:rPr>
        <w:t xml:space="preserve">) tuto informaci do podoby </w:t>
      </w:r>
      <w:r w:rsidRPr="000B16D5">
        <w:rPr>
          <w:rFonts w:asciiTheme="majorHAnsi" w:hAnsiTheme="majorHAnsi"/>
          <w:b/>
        </w:rPr>
        <w:t>RNA</w:t>
      </w:r>
      <w:r w:rsidRPr="000B16D5">
        <w:rPr>
          <w:rFonts w:asciiTheme="majorHAnsi" w:hAnsiTheme="majorHAnsi"/>
        </w:rPr>
        <w:t>. V podobě RNA může být informace vynesena z jádra</w:t>
      </w:r>
      <w:r w:rsidR="008F356C" w:rsidRPr="000B16D5">
        <w:rPr>
          <w:rFonts w:asciiTheme="majorHAnsi" w:hAnsiTheme="majorHAnsi"/>
        </w:rPr>
        <w:t xml:space="preserve"> ven</w:t>
      </w:r>
      <w:r w:rsidRPr="000B16D5">
        <w:rPr>
          <w:rFonts w:asciiTheme="majorHAnsi" w:hAnsiTheme="majorHAnsi"/>
        </w:rPr>
        <w:t xml:space="preserve">, kde se pak realizuje a je </w:t>
      </w:r>
      <w:r w:rsidRPr="000B16D5">
        <w:rPr>
          <w:rFonts w:asciiTheme="majorHAnsi" w:hAnsiTheme="majorHAnsi"/>
          <w:b/>
        </w:rPr>
        <w:t xml:space="preserve">překládána </w:t>
      </w:r>
      <w:r w:rsidRPr="000B16D5">
        <w:rPr>
          <w:rFonts w:asciiTheme="majorHAnsi" w:hAnsiTheme="majorHAnsi"/>
        </w:rPr>
        <w:t xml:space="preserve">(proces </w:t>
      </w:r>
      <w:r w:rsidRPr="000B16D5">
        <w:rPr>
          <w:rFonts w:asciiTheme="majorHAnsi" w:hAnsiTheme="majorHAnsi"/>
          <w:b/>
        </w:rPr>
        <w:t>translace</w:t>
      </w:r>
      <w:r w:rsidRPr="000B16D5">
        <w:rPr>
          <w:rFonts w:asciiTheme="majorHAnsi" w:hAnsiTheme="majorHAnsi"/>
        </w:rPr>
        <w:t xml:space="preserve">) do </w:t>
      </w:r>
      <w:r w:rsidRPr="000B16D5">
        <w:rPr>
          <w:rFonts w:asciiTheme="majorHAnsi" w:hAnsiTheme="majorHAnsi"/>
          <w:b/>
        </w:rPr>
        <w:t>struktury proteinů</w:t>
      </w:r>
      <w:r w:rsidRPr="000B16D5">
        <w:rPr>
          <w:rFonts w:asciiTheme="majorHAnsi" w:hAnsiTheme="majorHAnsi"/>
        </w:rPr>
        <w:t>.</w:t>
      </w:r>
    </w:p>
    <w:p w:rsidR="00312118" w:rsidRPr="000B16D5" w:rsidRDefault="00312118" w:rsidP="00236F03">
      <w:pPr>
        <w:spacing w:after="0"/>
        <w:jc w:val="both"/>
        <w:rPr>
          <w:rFonts w:asciiTheme="majorHAnsi" w:hAnsiTheme="majorHAnsi"/>
          <w:b/>
        </w:rPr>
      </w:pPr>
    </w:p>
    <w:p w:rsidR="00312118" w:rsidRPr="000B16D5" w:rsidRDefault="00312118" w:rsidP="00236F03">
      <w:pPr>
        <w:pStyle w:val="Nadpispodkapitoly"/>
        <w:jc w:val="both"/>
        <w:rPr>
          <w:rFonts w:asciiTheme="majorHAnsi" w:hAnsiTheme="majorHAnsi"/>
        </w:rPr>
      </w:pPr>
      <w:bookmarkStart w:id="11" w:name="_Toc380240584"/>
      <w:r w:rsidRPr="000B16D5">
        <w:rPr>
          <w:rFonts w:asciiTheme="majorHAnsi" w:hAnsiTheme="majorHAnsi"/>
        </w:rPr>
        <w:t>Struktura DNA a RNA</w:t>
      </w:r>
      <w:bookmarkEnd w:id="11"/>
    </w:p>
    <w:p w:rsidR="00312118" w:rsidRPr="000B16D5" w:rsidRDefault="00312118" w:rsidP="00236F03">
      <w:pPr>
        <w:spacing w:after="0"/>
        <w:jc w:val="both"/>
        <w:rPr>
          <w:rFonts w:asciiTheme="majorHAnsi" w:hAnsiTheme="majorHAnsi"/>
        </w:rPr>
      </w:pPr>
      <w:r w:rsidRPr="000B16D5">
        <w:rPr>
          <w:rFonts w:asciiTheme="majorHAnsi" w:hAnsiTheme="majorHAnsi"/>
        </w:rPr>
        <w:t xml:space="preserve">DNA (deoxyribonukleová kyselina) i RNA (ribonukleová kyselina) jsou polymerní struktury vzniklé spojením monomerů, které v tomto případě označujeme jako </w:t>
      </w:r>
      <w:r w:rsidRPr="000B16D5">
        <w:rPr>
          <w:rFonts w:asciiTheme="majorHAnsi" w:hAnsiTheme="majorHAnsi"/>
          <w:b/>
        </w:rPr>
        <w:t>nukleotidy</w:t>
      </w:r>
      <w:r w:rsidRPr="000B16D5">
        <w:rPr>
          <w:rFonts w:asciiTheme="majorHAnsi" w:hAnsiTheme="majorHAnsi"/>
        </w:rPr>
        <w:t>. Každý nukleotid se skládá z </w:t>
      </w:r>
      <w:r w:rsidRPr="000B16D5">
        <w:rPr>
          <w:rFonts w:asciiTheme="majorHAnsi" w:hAnsiTheme="majorHAnsi"/>
          <w:b/>
        </w:rPr>
        <w:t>pentosy</w:t>
      </w:r>
      <w:r w:rsidRPr="000B16D5">
        <w:rPr>
          <w:rFonts w:asciiTheme="majorHAnsi" w:hAnsiTheme="majorHAnsi"/>
        </w:rPr>
        <w:t xml:space="preserve"> (ribosy nebo deoxyribosy), </w:t>
      </w:r>
      <w:r w:rsidRPr="000B16D5">
        <w:rPr>
          <w:rFonts w:asciiTheme="majorHAnsi" w:hAnsiTheme="majorHAnsi"/>
          <w:b/>
        </w:rPr>
        <w:t>fosfátu</w:t>
      </w:r>
      <w:r w:rsidRPr="000B16D5">
        <w:rPr>
          <w:rFonts w:asciiTheme="majorHAnsi" w:hAnsiTheme="majorHAnsi"/>
        </w:rPr>
        <w:t xml:space="preserve"> a </w:t>
      </w:r>
      <w:r w:rsidRPr="000B16D5">
        <w:rPr>
          <w:rFonts w:asciiTheme="majorHAnsi" w:hAnsiTheme="majorHAnsi"/>
          <w:b/>
        </w:rPr>
        <w:t>báze</w:t>
      </w:r>
      <w:r w:rsidRPr="000B16D5">
        <w:rPr>
          <w:rFonts w:asciiTheme="majorHAnsi" w:hAnsiTheme="majorHAnsi"/>
        </w:rPr>
        <w:t xml:space="preserve"> (purinové nebo pyrimidinové). Pomocí fosfátů se jednotlivé molekuly pentosy spojují a vytvářejí „kostru“, ze které následně do prostoru „trčí“ volné dusíkaté báze.</w:t>
      </w:r>
    </w:p>
    <w:p w:rsidR="00312118" w:rsidRPr="000B16D5" w:rsidRDefault="00312118" w:rsidP="00236F03">
      <w:pPr>
        <w:spacing w:after="0"/>
        <w:jc w:val="both"/>
        <w:rPr>
          <w:rFonts w:asciiTheme="majorHAnsi" w:hAnsiTheme="majorHAnsi"/>
        </w:rPr>
      </w:pPr>
      <w:r w:rsidRPr="000B16D5">
        <w:rPr>
          <w:rFonts w:asciiTheme="majorHAnsi" w:hAnsiTheme="majorHAnsi"/>
          <w:b/>
        </w:rPr>
        <w:lastRenderedPageBreak/>
        <w:t>Dusíkaté báze</w:t>
      </w:r>
      <w:r w:rsidRPr="000B16D5">
        <w:rPr>
          <w:rFonts w:asciiTheme="majorHAnsi" w:hAnsiTheme="majorHAnsi"/>
        </w:rPr>
        <w:t xml:space="preserve"> mohou být </w:t>
      </w:r>
      <w:r w:rsidRPr="000B16D5">
        <w:rPr>
          <w:rFonts w:asciiTheme="majorHAnsi" w:hAnsiTheme="majorHAnsi"/>
          <w:b/>
        </w:rPr>
        <w:t>pyrimidinové</w:t>
      </w:r>
      <w:r w:rsidRPr="000B16D5">
        <w:rPr>
          <w:rFonts w:asciiTheme="majorHAnsi" w:hAnsiTheme="majorHAnsi"/>
        </w:rPr>
        <w:t xml:space="preserve"> (cytosin C, thymin T a uracil U) nebo purinové (adenin A, guanin G). V molekule DNA se nacházejí báze A, C, T, G, přičemž A-T a C-G se vzájemně párují pomocí vodíkových můstků. V molekule RNA se místo thyminu nachází uracil (strukturální rozdíl mezi U a T je v jediném –CH3 </w:t>
      </w:r>
      <w:r w:rsidR="008F356C" w:rsidRPr="000B16D5">
        <w:rPr>
          <w:rFonts w:asciiTheme="majorHAnsi" w:hAnsiTheme="majorHAnsi"/>
        </w:rPr>
        <w:t>[</w:t>
      </w:r>
      <w:r w:rsidRPr="000B16D5">
        <w:rPr>
          <w:rFonts w:asciiTheme="majorHAnsi" w:hAnsiTheme="majorHAnsi"/>
        </w:rPr>
        <w:t>methylu</w:t>
      </w:r>
      <w:r w:rsidR="008F356C" w:rsidRPr="000B16D5">
        <w:rPr>
          <w:rFonts w:asciiTheme="majorHAnsi" w:hAnsiTheme="majorHAnsi"/>
        </w:rPr>
        <w:t>]</w:t>
      </w:r>
      <w:r w:rsidRPr="000B16D5">
        <w:rPr>
          <w:rFonts w:asciiTheme="majorHAnsi" w:hAnsiTheme="majorHAnsi"/>
        </w:rPr>
        <w:t>, kter</w:t>
      </w:r>
      <w:r w:rsidR="008F356C" w:rsidRPr="000B16D5">
        <w:rPr>
          <w:rFonts w:asciiTheme="majorHAnsi" w:hAnsiTheme="majorHAnsi"/>
        </w:rPr>
        <w:t>ý</w:t>
      </w:r>
      <w:r w:rsidRPr="000B16D5">
        <w:rPr>
          <w:rFonts w:asciiTheme="majorHAnsi" w:hAnsiTheme="majorHAnsi"/>
        </w:rPr>
        <w:t xml:space="preserve"> se nachází v thyminu) a párování bází je tak následující: A-U, G-C.</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Pořadí nukleotidů v DNA odpovídá tzv. </w:t>
      </w:r>
      <w:r w:rsidRPr="000B16D5">
        <w:rPr>
          <w:rFonts w:asciiTheme="majorHAnsi" w:hAnsiTheme="majorHAnsi"/>
          <w:b/>
        </w:rPr>
        <w:t>primární</w:t>
      </w:r>
      <w:r w:rsidRPr="000B16D5">
        <w:rPr>
          <w:rFonts w:asciiTheme="majorHAnsi" w:hAnsiTheme="majorHAnsi"/>
        </w:rPr>
        <w:t xml:space="preserve"> struktuře a při transkripci se přepisuje do pořadí nukleotidů v RNA. Molekula DNA se vyskytuje v podobě </w:t>
      </w:r>
      <w:r w:rsidRPr="000B16D5">
        <w:rPr>
          <w:rFonts w:asciiTheme="majorHAnsi" w:hAnsiTheme="majorHAnsi"/>
          <w:b/>
        </w:rPr>
        <w:t>dvoušroubovice</w:t>
      </w:r>
      <w:r w:rsidRPr="000B16D5">
        <w:rPr>
          <w:rFonts w:asciiTheme="majorHAnsi" w:hAnsiTheme="majorHAnsi"/>
        </w:rPr>
        <w:t xml:space="preserve"> (dvouvláknová struktura je mnohem stabilnější a více odolná než jednovláknová), na které můžeme rozlišit velké a malé žlábky (</w:t>
      </w:r>
      <w:r w:rsidRPr="000B16D5">
        <w:rPr>
          <w:rFonts w:asciiTheme="majorHAnsi" w:hAnsiTheme="majorHAnsi"/>
          <w:b/>
        </w:rPr>
        <w:t>sekundární struktura</w:t>
      </w:r>
      <w:r w:rsidRPr="000B16D5">
        <w:rPr>
          <w:rFonts w:asciiTheme="majorHAnsi" w:hAnsiTheme="majorHAnsi"/>
        </w:rPr>
        <w:t xml:space="preserve">). V průběhu buněčného dělení pak DNA kondenzuje do složitějších struktur spolu s různými proteiny (histony), které odpovídají </w:t>
      </w:r>
      <w:r w:rsidRPr="000B16D5">
        <w:rPr>
          <w:rFonts w:asciiTheme="majorHAnsi" w:hAnsiTheme="majorHAnsi"/>
          <w:b/>
        </w:rPr>
        <w:t>terciární</w:t>
      </w:r>
      <w:r w:rsidRPr="000B16D5">
        <w:rPr>
          <w:rFonts w:asciiTheme="majorHAnsi" w:hAnsiTheme="majorHAnsi"/>
        </w:rPr>
        <w:t xml:space="preserve"> </w:t>
      </w:r>
      <w:r w:rsidRPr="000B16D5">
        <w:rPr>
          <w:rFonts w:asciiTheme="majorHAnsi" w:hAnsiTheme="majorHAnsi"/>
          <w:b/>
        </w:rPr>
        <w:t>struktuře</w:t>
      </w:r>
      <w:r w:rsidRPr="000B16D5">
        <w:rPr>
          <w:rFonts w:asciiTheme="majorHAnsi" w:hAnsiTheme="majorHAnsi"/>
        </w:rPr>
        <w:t>.</w:t>
      </w:r>
    </w:p>
    <w:p w:rsidR="00312118" w:rsidRPr="000B16D5" w:rsidRDefault="00312118" w:rsidP="00236F03">
      <w:pPr>
        <w:spacing w:after="0"/>
        <w:jc w:val="both"/>
        <w:rPr>
          <w:rFonts w:asciiTheme="majorHAnsi" w:hAnsiTheme="majorHAnsi"/>
        </w:rPr>
      </w:pPr>
      <w:r w:rsidRPr="000B16D5">
        <w:rPr>
          <w:rFonts w:asciiTheme="majorHAnsi" w:hAnsiTheme="majorHAnsi"/>
        </w:rPr>
        <w:t>RNA se oproti DNA vyskytuje jako jednovláknová struktura, avšak v rámci tohoto vlákna může docházet k různým párováním na podkladě komplementarity bází, čímž mohou molekuly RNA nabrat různého vzhledu (např. tRNA má tvar trojlístku).</w:t>
      </w:r>
    </w:p>
    <w:p w:rsidR="00312118" w:rsidRPr="000B16D5" w:rsidRDefault="00312118" w:rsidP="00236F03">
      <w:pPr>
        <w:spacing w:after="0"/>
        <w:jc w:val="both"/>
        <w:rPr>
          <w:rFonts w:asciiTheme="majorHAnsi" w:hAnsiTheme="majorHAnsi"/>
          <w:b/>
        </w:rPr>
      </w:pPr>
    </w:p>
    <w:p w:rsidR="00312118" w:rsidRPr="000B16D5" w:rsidRDefault="00312118" w:rsidP="00236F03">
      <w:pPr>
        <w:pStyle w:val="Nadpispodkapitoly"/>
        <w:jc w:val="both"/>
        <w:rPr>
          <w:rFonts w:asciiTheme="majorHAnsi" w:hAnsiTheme="majorHAnsi"/>
        </w:rPr>
      </w:pPr>
      <w:bookmarkStart w:id="12" w:name="_Toc380240585"/>
      <w:r w:rsidRPr="000B16D5">
        <w:rPr>
          <w:rFonts w:asciiTheme="majorHAnsi" w:hAnsiTheme="majorHAnsi"/>
        </w:rPr>
        <w:t>Chromozom, gen, alela</w:t>
      </w:r>
      <w:bookmarkEnd w:id="12"/>
    </w:p>
    <w:p w:rsidR="00312118" w:rsidRPr="000B16D5" w:rsidRDefault="00F9611B" w:rsidP="00236F03">
      <w:pPr>
        <w:spacing w:after="0"/>
        <w:jc w:val="both"/>
        <w:rPr>
          <w:rFonts w:asciiTheme="majorHAnsi" w:hAnsiTheme="majorHAnsi"/>
        </w:rPr>
      </w:pPr>
      <w:r w:rsidRPr="000B16D5">
        <w:rPr>
          <w:rFonts w:asciiTheme="majorHAnsi" w:hAnsiTheme="majorHAnsi"/>
        </w:rPr>
        <w:t>V předchozích kapitolách</w:t>
      </w:r>
      <w:r w:rsidR="00312118" w:rsidRPr="000B16D5">
        <w:rPr>
          <w:rFonts w:asciiTheme="majorHAnsi" w:hAnsiTheme="majorHAnsi"/>
        </w:rPr>
        <w:t xml:space="preserve"> jsme popsali, jaká je struktura buňky a jejího jádra. Řekli jsme, že v jádře se nachází DNA, genetická knihovna buňky. DNA se v jádře nenachází volně –</w:t>
      </w:r>
      <w:r w:rsidRPr="000B16D5">
        <w:rPr>
          <w:rFonts w:asciiTheme="majorHAnsi" w:hAnsiTheme="majorHAnsi"/>
        </w:rPr>
        <w:t xml:space="preserve"> vyskytuje se</w:t>
      </w:r>
      <w:r w:rsidR="00312118" w:rsidRPr="000B16D5">
        <w:rPr>
          <w:rFonts w:asciiTheme="majorHAnsi" w:hAnsiTheme="majorHAnsi"/>
        </w:rPr>
        <w:t xml:space="preserve"> v komplexu s proteiny zvanými </w:t>
      </w:r>
      <w:r w:rsidR="00312118" w:rsidRPr="000B16D5">
        <w:rPr>
          <w:rFonts w:asciiTheme="majorHAnsi" w:hAnsiTheme="majorHAnsi"/>
          <w:b/>
        </w:rPr>
        <w:t>histony</w:t>
      </w:r>
      <w:r w:rsidR="00312118" w:rsidRPr="000B16D5">
        <w:rPr>
          <w:rFonts w:asciiTheme="majorHAnsi" w:hAnsiTheme="majorHAnsi"/>
        </w:rPr>
        <w:t xml:space="preserve">, které se podílejí na regulaci transkripce a zároveň DNA chrání před vnějšími vlivy. Histony si můžeme představit jako válce, na které je DNA namotaná – tento komplex DNA a histonů pak označujeme jako </w:t>
      </w:r>
      <w:r w:rsidR="00312118" w:rsidRPr="000B16D5">
        <w:rPr>
          <w:rFonts w:asciiTheme="majorHAnsi" w:hAnsiTheme="majorHAnsi"/>
          <w:b/>
        </w:rPr>
        <w:t>chromozom</w:t>
      </w:r>
      <w:r w:rsidR="00312118" w:rsidRPr="000B16D5">
        <w:rPr>
          <w:rFonts w:asciiTheme="majorHAnsi" w:hAnsiTheme="majorHAnsi"/>
        </w:rPr>
        <w:t xml:space="preserve"> (doslova „barvitelné tělísko“). Vzhled chromozomu se odvíjí od toho, v jaké fázi buněčného cyklu se buňka nachází – v interfázi je tvořen jedním vláknem DNA, v mitóze (po S fázi) je tvořen již dvěma vlákny. </w:t>
      </w:r>
    </w:p>
    <w:p w:rsidR="00312118" w:rsidRPr="000B16D5" w:rsidRDefault="00312118" w:rsidP="00236F03">
      <w:pPr>
        <w:spacing w:after="0"/>
        <w:jc w:val="both"/>
        <w:rPr>
          <w:rFonts w:asciiTheme="majorHAnsi" w:hAnsiTheme="majorHAnsi"/>
        </w:rPr>
      </w:pPr>
      <w:r w:rsidRPr="000B16D5">
        <w:rPr>
          <w:rFonts w:asciiTheme="majorHAnsi" w:hAnsiTheme="majorHAnsi"/>
        </w:rPr>
        <w:t>Na většině chromozomů se popisuje tzv. krátké (p</w:t>
      </w:r>
      <w:r w:rsidR="005F739F" w:rsidRPr="000B16D5">
        <w:rPr>
          <w:rFonts w:asciiTheme="majorHAnsi" w:hAnsiTheme="majorHAnsi"/>
        </w:rPr>
        <w:t xml:space="preserve">; </w:t>
      </w:r>
      <w:r w:rsidR="005F739F" w:rsidRPr="000B16D5">
        <w:rPr>
          <w:rFonts w:asciiTheme="majorHAnsi" w:hAnsiTheme="majorHAnsi"/>
          <w:i/>
        </w:rPr>
        <w:t>petit</w:t>
      </w:r>
      <w:r w:rsidRPr="000B16D5">
        <w:rPr>
          <w:rFonts w:asciiTheme="majorHAnsi" w:hAnsiTheme="majorHAnsi"/>
        </w:rPr>
        <w:t xml:space="preserve">) a dlouhé (q) raménko, které se spojují v oblasti tzv. </w:t>
      </w:r>
      <w:r w:rsidRPr="000B16D5">
        <w:rPr>
          <w:rFonts w:asciiTheme="majorHAnsi" w:hAnsiTheme="majorHAnsi"/>
          <w:b/>
        </w:rPr>
        <w:t>centromery</w:t>
      </w:r>
      <w:r w:rsidRPr="000B16D5">
        <w:rPr>
          <w:rFonts w:asciiTheme="majorHAnsi" w:hAnsiTheme="majorHAnsi"/>
        </w:rPr>
        <w:t xml:space="preserve">. Pokud se centromera nachází zhruba uprostřed chromozomu, hovoříme o tzv. </w:t>
      </w:r>
      <w:r w:rsidRPr="000B16D5">
        <w:rPr>
          <w:rFonts w:asciiTheme="majorHAnsi" w:hAnsiTheme="majorHAnsi"/>
          <w:b/>
        </w:rPr>
        <w:t>metacentrických</w:t>
      </w:r>
      <w:r w:rsidRPr="000B16D5">
        <w:rPr>
          <w:rFonts w:asciiTheme="majorHAnsi" w:hAnsiTheme="majorHAnsi"/>
        </w:rPr>
        <w:t xml:space="preserve"> chromozomech (v mitóze mají tvar písmene X). Existují i chromozomy </w:t>
      </w:r>
      <w:r w:rsidRPr="000B16D5">
        <w:rPr>
          <w:rFonts w:asciiTheme="majorHAnsi" w:hAnsiTheme="majorHAnsi"/>
          <w:b/>
        </w:rPr>
        <w:t>submetacentrické</w:t>
      </w:r>
      <w:r w:rsidRPr="000B16D5">
        <w:rPr>
          <w:rFonts w:asciiTheme="majorHAnsi" w:hAnsiTheme="majorHAnsi"/>
        </w:rPr>
        <w:t xml:space="preserve"> (centromera je blíže jednomu konci), akrocentrické (centromera je téměř na konci, jedno rameno je velmi malé) a telocentrické (centromera je umístěna na konci, v mitóze vypadají jako písmeno V). Všechny varianty jsou znázorněny na obrázku níže.</w:t>
      </w:r>
    </w:p>
    <w:p w:rsidR="00312118" w:rsidRPr="000B16D5" w:rsidRDefault="00312118" w:rsidP="00236F03">
      <w:pPr>
        <w:spacing w:after="0"/>
        <w:jc w:val="both"/>
        <w:rPr>
          <w:rFonts w:asciiTheme="majorHAnsi" w:hAnsiTheme="majorHAnsi"/>
        </w:rPr>
      </w:pPr>
      <w:r w:rsidRPr="000B16D5">
        <w:rPr>
          <w:rFonts w:asciiTheme="majorHAnsi" w:hAnsiTheme="majorHAnsi"/>
          <w:highlight w:val="red"/>
        </w:rPr>
        <w:t xml:space="preserve"> </w:t>
      </w:r>
    </w:p>
    <w:p w:rsidR="00D56167" w:rsidRPr="000B16D5" w:rsidRDefault="00312118" w:rsidP="00D56167">
      <w:pPr>
        <w:keepNext/>
        <w:spacing w:after="0"/>
        <w:jc w:val="center"/>
        <w:rPr>
          <w:rFonts w:asciiTheme="majorHAnsi" w:hAnsiTheme="majorHAnsi"/>
        </w:rPr>
      </w:pPr>
      <w:r w:rsidRPr="000B16D5">
        <w:rPr>
          <w:rFonts w:asciiTheme="majorHAnsi" w:hAnsiTheme="majorHAnsi"/>
          <w:noProof/>
        </w:rPr>
        <w:drawing>
          <wp:inline distT="0" distB="0" distL="0" distR="0" wp14:anchorId="1217AD1B" wp14:editId="31589A15">
            <wp:extent cx="3859619" cy="155836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1706" cy="1559212"/>
                    </a:xfrm>
                    <a:prstGeom prst="rect">
                      <a:avLst/>
                    </a:prstGeom>
                    <a:noFill/>
                  </pic:spPr>
                </pic:pic>
              </a:graphicData>
            </a:graphic>
          </wp:inline>
        </w:drawing>
      </w:r>
    </w:p>
    <w:p w:rsidR="00312118" w:rsidRPr="000B16D5" w:rsidRDefault="00D56167" w:rsidP="00D56167">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3</w:t>
      </w:r>
      <w:r w:rsidRPr="000B16D5">
        <w:rPr>
          <w:rFonts w:asciiTheme="majorHAnsi" w:hAnsiTheme="majorHAnsi"/>
          <w:i/>
          <w:color w:val="808080" w:themeColor="background1" w:themeShade="80"/>
        </w:rPr>
        <w:fldChar w:fldCharType="end"/>
      </w:r>
      <w:r w:rsidRPr="000B16D5">
        <w:rPr>
          <w:rFonts w:asciiTheme="majorHAnsi" w:hAnsiTheme="majorHAnsi"/>
          <w:i/>
          <w:color w:val="808080" w:themeColor="background1" w:themeShade="80"/>
        </w:rPr>
        <w:t xml:space="preserve"> </w:t>
      </w:r>
      <w:r w:rsidR="00F17D84" w:rsidRPr="000B16D5">
        <w:rPr>
          <w:rFonts w:asciiTheme="majorHAnsi" w:hAnsiTheme="majorHAnsi"/>
          <w:i/>
          <w:color w:val="808080" w:themeColor="background1" w:themeShade="80"/>
        </w:rPr>
        <w:t>–</w:t>
      </w:r>
      <w:r w:rsidRPr="000B16D5">
        <w:rPr>
          <w:rFonts w:asciiTheme="majorHAnsi" w:hAnsiTheme="majorHAnsi"/>
          <w:i/>
          <w:color w:val="808080" w:themeColor="background1" w:themeShade="80"/>
        </w:rPr>
        <w:t xml:space="preserve"> Typy chromozomů</w:t>
      </w:r>
    </w:p>
    <w:p w:rsidR="00312118" w:rsidRPr="000B16D5" w:rsidRDefault="00312118" w:rsidP="00236F03">
      <w:pPr>
        <w:spacing w:after="0"/>
        <w:jc w:val="both"/>
        <w:rPr>
          <w:rFonts w:asciiTheme="majorHAnsi" w:hAnsiTheme="majorHAnsi"/>
        </w:rPr>
      </w:pP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V lidské buňce se nachází 23 párů chromozomů a všechny chromozomy dohromady tvoří tzv. </w:t>
      </w:r>
      <w:r w:rsidRPr="000B16D5">
        <w:rPr>
          <w:rFonts w:asciiTheme="majorHAnsi" w:hAnsiTheme="majorHAnsi"/>
          <w:b/>
        </w:rPr>
        <w:t>karyotyp</w:t>
      </w:r>
      <w:r w:rsidRPr="000B16D5">
        <w:rPr>
          <w:rFonts w:asciiTheme="majorHAnsi" w:hAnsiTheme="majorHAnsi"/>
        </w:rPr>
        <w:t>. V rámci páru pochází jeden chromozom od otce a druhý od matky. Existuje 22 párů tzv. autosomů (chromo</w:t>
      </w:r>
      <w:r w:rsidR="000E274D" w:rsidRPr="000B16D5">
        <w:rPr>
          <w:rFonts w:asciiTheme="majorHAnsi" w:hAnsiTheme="majorHAnsi"/>
        </w:rPr>
        <w:t>z</w:t>
      </w:r>
      <w:r w:rsidRPr="000B16D5">
        <w:rPr>
          <w:rFonts w:asciiTheme="majorHAnsi" w:hAnsiTheme="majorHAnsi"/>
        </w:rPr>
        <w:t>omy 1</w:t>
      </w:r>
      <w:r w:rsidR="00A175C1" w:rsidRPr="000B16D5">
        <w:rPr>
          <w:rFonts w:asciiTheme="majorHAnsi" w:hAnsiTheme="majorHAnsi"/>
        </w:rPr>
        <w:t>–</w:t>
      </w:r>
      <w:r w:rsidRPr="000B16D5">
        <w:rPr>
          <w:rFonts w:asciiTheme="majorHAnsi" w:hAnsiTheme="majorHAnsi"/>
        </w:rPr>
        <w:t>22) a jeden pár tzv. gonosomů (pohlavních chromozomů označovaných písmeny X a Y; kombinace XX určuje ženu a kombinace XY určuje muže).</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Na chromozomu pak můžeme rozlišit úseky DNA, které jsou tzv. </w:t>
      </w:r>
      <w:r w:rsidRPr="000B16D5">
        <w:rPr>
          <w:rFonts w:asciiTheme="majorHAnsi" w:hAnsiTheme="majorHAnsi"/>
          <w:b/>
        </w:rPr>
        <w:t>kódující</w:t>
      </w:r>
      <w:r w:rsidRPr="000B16D5">
        <w:rPr>
          <w:rFonts w:asciiTheme="majorHAnsi" w:hAnsiTheme="majorHAnsi"/>
        </w:rPr>
        <w:t xml:space="preserve"> a jejich produktem je buď molekula proteinu</w:t>
      </w:r>
      <w:r w:rsidR="00601929" w:rsidRPr="000B16D5">
        <w:rPr>
          <w:rFonts w:asciiTheme="majorHAnsi" w:hAnsiTheme="majorHAnsi"/>
        </w:rPr>
        <w:t>,</w:t>
      </w:r>
      <w:r w:rsidRPr="000B16D5">
        <w:rPr>
          <w:rFonts w:asciiTheme="majorHAnsi" w:hAnsiTheme="majorHAnsi"/>
        </w:rPr>
        <w:t xml:space="preserve"> nebo molekula RNA (rRNA, tRNA, microRNA…), anebo nekódující, dříve nesprávně označované jako balastní (dnes se ukazuje, že tyto úseky se podílejí na regulaci transkripce genů a plní celou řadu dalších regulačních funkcí). Kódující úseky DNA se také označují </w:t>
      </w:r>
      <w:r w:rsidRPr="000B16D5">
        <w:rPr>
          <w:rFonts w:asciiTheme="majorHAnsi" w:hAnsiTheme="majorHAnsi"/>
          <w:b/>
        </w:rPr>
        <w:t>geny</w:t>
      </w:r>
      <w:r w:rsidRPr="000B16D5">
        <w:rPr>
          <w:rFonts w:asciiTheme="majorHAnsi" w:hAnsiTheme="majorHAnsi"/>
        </w:rPr>
        <w:t xml:space="preserve">. Gen je možno vnímat jako konkrétní úsek DNA (též </w:t>
      </w:r>
      <w:r w:rsidRPr="000B16D5">
        <w:rPr>
          <w:rFonts w:asciiTheme="majorHAnsi" w:hAnsiTheme="majorHAnsi"/>
          <w:b/>
        </w:rPr>
        <w:t>lokus</w:t>
      </w:r>
      <w:r w:rsidRPr="000B16D5">
        <w:rPr>
          <w:rFonts w:asciiTheme="majorHAnsi" w:hAnsiTheme="majorHAnsi"/>
        </w:rPr>
        <w:t>), nebo je možno na něj nahlížet jako na jednotku informace – dle tohoto genu se ve výsledném vzhledu jedince („fenotypu“) projeví určitá vlastnost (např. máme gen pro barvu očí).</w:t>
      </w:r>
    </w:p>
    <w:p w:rsidR="00312118" w:rsidRPr="000B16D5" w:rsidRDefault="00312118" w:rsidP="00236F03">
      <w:pPr>
        <w:spacing w:after="0"/>
        <w:jc w:val="both"/>
        <w:rPr>
          <w:rFonts w:asciiTheme="majorHAnsi" w:hAnsiTheme="majorHAnsi"/>
        </w:rPr>
      </w:pPr>
      <w:r w:rsidRPr="000B16D5">
        <w:rPr>
          <w:rFonts w:asciiTheme="majorHAnsi" w:hAnsiTheme="majorHAnsi"/>
        </w:rPr>
        <w:lastRenderedPageBreak/>
        <w:t xml:space="preserve">Konkrétní </w:t>
      </w:r>
      <w:r w:rsidRPr="000B16D5">
        <w:rPr>
          <w:rFonts w:asciiTheme="majorHAnsi" w:hAnsiTheme="majorHAnsi"/>
          <w:b/>
        </w:rPr>
        <w:t>varianta genu</w:t>
      </w:r>
      <w:r w:rsidRPr="000B16D5">
        <w:rPr>
          <w:rFonts w:asciiTheme="majorHAnsi" w:hAnsiTheme="majorHAnsi"/>
        </w:rPr>
        <w:t xml:space="preserve">, kterou nese konkrétní jedinec, se pak označuje jako </w:t>
      </w:r>
      <w:r w:rsidRPr="000B16D5">
        <w:rPr>
          <w:rFonts w:asciiTheme="majorHAnsi" w:hAnsiTheme="majorHAnsi"/>
          <w:b/>
        </w:rPr>
        <w:t>alela</w:t>
      </w:r>
      <w:r w:rsidRPr="000B16D5">
        <w:rPr>
          <w:rFonts w:asciiTheme="majorHAnsi" w:hAnsiTheme="majorHAnsi"/>
        </w:rPr>
        <w:t xml:space="preserve"> (např. alela pro modrou barvu očí, hnědou barvu očí apod.). Při existenci více alel jednoho genu můžeme hovořit o tzv. </w:t>
      </w:r>
      <w:r w:rsidRPr="000B16D5">
        <w:rPr>
          <w:rFonts w:asciiTheme="majorHAnsi" w:hAnsiTheme="majorHAnsi"/>
          <w:b/>
        </w:rPr>
        <w:t>genetickém polymorfismu</w:t>
      </w:r>
      <w:r w:rsidRPr="000B16D5">
        <w:rPr>
          <w:rFonts w:asciiTheme="majorHAnsi" w:hAnsiTheme="majorHAnsi"/>
        </w:rPr>
        <w:t xml:space="preserve"> („mnohotvárnosti“), který je jednou z příčin rozdílů mezi lidmi.</w:t>
      </w:r>
    </w:p>
    <w:p w:rsidR="00312118" w:rsidRPr="000B16D5" w:rsidRDefault="00312118" w:rsidP="00236F03">
      <w:pPr>
        <w:spacing w:after="0"/>
        <w:jc w:val="both"/>
        <w:rPr>
          <w:rFonts w:asciiTheme="majorHAnsi" w:hAnsiTheme="majorHAnsi"/>
        </w:rPr>
      </w:pPr>
      <w:r w:rsidRPr="000B16D5">
        <w:rPr>
          <w:rFonts w:asciiTheme="majorHAnsi" w:hAnsiTheme="majorHAnsi"/>
        </w:rPr>
        <w:t>Existují i mnohem menší polymorfismy – tzv. jednonukleotidové polymorfismy (SNP – single nucleotide polymorphism), které odpovídají záměně jediného nukleotidu v DNA, přičemž za polymorfismus je označovaná taková změna v DNA, která se vyskytuje u více než 1</w:t>
      </w:r>
      <w:r w:rsidR="00D871DC" w:rsidRPr="000B16D5">
        <w:rPr>
          <w:rFonts w:asciiTheme="majorHAnsi" w:hAnsiTheme="majorHAnsi"/>
        </w:rPr>
        <w:t xml:space="preserve"> </w:t>
      </w:r>
      <w:r w:rsidRPr="000B16D5">
        <w:rPr>
          <w:rFonts w:asciiTheme="majorHAnsi" w:hAnsiTheme="majorHAnsi"/>
        </w:rPr>
        <w:t>% populace. Pokud by se daná varianta genu vyskytovala u méně než 1</w:t>
      </w:r>
      <w:r w:rsidR="00D871DC" w:rsidRPr="000B16D5">
        <w:rPr>
          <w:rFonts w:asciiTheme="majorHAnsi" w:hAnsiTheme="majorHAnsi"/>
        </w:rPr>
        <w:t xml:space="preserve"> </w:t>
      </w:r>
      <w:r w:rsidRPr="000B16D5">
        <w:rPr>
          <w:rFonts w:asciiTheme="majorHAnsi" w:hAnsiTheme="majorHAnsi"/>
        </w:rPr>
        <w:t>% populace, hovoříme o mutaci. SNP se v našem genomu nachází nepřeberná množství – některé se vyskytují častěji, jiné méně často, všechny však s frekvencí nad 1</w:t>
      </w:r>
      <w:r w:rsidR="00D871DC" w:rsidRPr="000B16D5">
        <w:rPr>
          <w:rFonts w:asciiTheme="majorHAnsi" w:hAnsiTheme="majorHAnsi"/>
        </w:rPr>
        <w:t xml:space="preserve"> </w:t>
      </w:r>
      <w:r w:rsidRPr="000B16D5">
        <w:rPr>
          <w:rFonts w:asciiTheme="majorHAnsi" w:hAnsiTheme="majorHAnsi"/>
        </w:rPr>
        <w:t>%. Některé jsou neutrální (nemají pro svého nositele žádný význam), jiné jsou nevýhodné (např. znamenají pro svého nositele vyšší riziko určitého onemocnění), jiné mohou být neutrální, ale za určitých podmínek mohou přinést výhodu nebo škodit (některé SNP značí pro pacienta vyšší riziko ischemické choroby srdeční, ale pouze za předpokladu, že dotyčný kouří; pokud kouřit nebude, vliv polymorfismu se neprojeví).</w:t>
      </w:r>
    </w:p>
    <w:p w:rsidR="00312118" w:rsidRPr="000B16D5" w:rsidRDefault="00312118" w:rsidP="00236F03">
      <w:pPr>
        <w:spacing w:after="0"/>
        <w:jc w:val="both"/>
        <w:rPr>
          <w:rFonts w:asciiTheme="majorHAnsi" w:hAnsiTheme="majorHAnsi"/>
        </w:rPr>
      </w:pPr>
    </w:p>
    <w:p w:rsidR="00312118" w:rsidRPr="000B16D5" w:rsidRDefault="00312118" w:rsidP="00236F03">
      <w:pPr>
        <w:pStyle w:val="Nadpispodkapitoly"/>
        <w:jc w:val="both"/>
        <w:rPr>
          <w:rFonts w:asciiTheme="majorHAnsi" w:hAnsiTheme="majorHAnsi"/>
        </w:rPr>
      </w:pPr>
      <w:bookmarkStart w:id="13" w:name="_Toc380240586"/>
      <w:r w:rsidRPr="000B16D5">
        <w:rPr>
          <w:rFonts w:asciiTheme="majorHAnsi" w:hAnsiTheme="majorHAnsi"/>
        </w:rPr>
        <w:t>Buněčný cyklus a buněčné dělení</w:t>
      </w:r>
      <w:bookmarkEnd w:id="13"/>
    </w:p>
    <w:p w:rsidR="00312118" w:rsidRPr="000B16D5" w:rsidRDefault="00312118" w:rsidP="00236F03">
      <w:pPr>
        <w:spacing w:after="0"/>
        <w:jc w:val="both"/>
        <w:rPr>
          <w:rFonts w:asciiTheme="majorHAnsi" w:hAnsiTheme="majorHAnsi"/>
        </w:rPr>
      </w:pPr>
      <w:r w:rsidRPr="000B16D5">
        <w:rPr>
          <w:rFonts w:asciiTheme="majorHAnsi" w:hAnsiTheme="majorHAnsi"/>
        </w:rPr>
        <w:t xml:space="preserve">Období od vzniku nové buňky z buňky mateřské po její rozdělení na buňky dceřiné se označuje jako </w:t>
      </w:r>
      <w:r w:rsidRPr="000B16D5">
        <w:rPr>
          <w:rFonts w:asciiTheme="majorHAnsi" w:hAnsiTheme="majorHAnsi"/>
          <w:b/>
        </w:rPr>
        <w:t>buněčný cyklus</w:t>
      </w:r>
      <w:r w:rsidRPr="000B16D5">
        <w:rPr>
          <w:rFonts w:asciiTheme="majorHAnsi" w:hAnsiTheme="majorHAnsi"/>
        </w:rPr>
        <w:t xml:space="preserve">. Během tohoto období prochází buňka různými </w:t>
      </w:r>
      <w:r w:rsidRPr="000B16D5">
        <w:rPr>
          <w:rFonts w:asciiTheme="majorHAnsi" w:hAnsiTheme="majorHAnsi"/>
          <w:b/>
        </w:rPr>
        <w:t>fázemi buněčného cyklu</w:t>
      </w:r>
      <w:r w:rsidRPr="000B16D5">
        <w:rPr>
          <w:rFonts w:asciiTheme="majorHAnsi" w:hAnsiTheme="majorHAnsi"/>
        </w:rPr>
        <w:t xml:space="preserve">, přičemž těmi základními jsou </w:t>
      </w:r>
      <w:r w:rsidRPr="000B16D5">
        <w:rPr>
          <w:rFonts w:asciiTheme="majorHAnsi" w:hAnsiTheme="majorHAnsi"/>
          <w:b/>
        </w:rPr>
        <w:t>interfáze</w:t>
      </w:r>
      <w:r w:rsidRPr="000B16D5">
        <w:rPr>
          <w:rFonts w:asciiTheme="majorHAnsi" w:hAnsiTheme="majorHAnsi"/>
        </w:rPr>
        <w:t xml:space="preserve"> (období mezi děleními) a </w:t>
      </w:r>
      <w:r w:rsidRPr="000B16D5">
        <w:rPr>
          <w:rFonts w:asciiTheme="majorHAnsi" w:hAnsiTheme="majorHAnsi"/>
          <w:b/>
        </w:rPr>
        <w:t>mitóza</w:t>
      </w:r>
      <w:r w:rsidRPr="000B16D5">
        <w:rPr>
          <w:rFonts w:asciiTheme="majorHAnsi" w:hAnsiTheme="majorHAnsi"/>
        </w:rPr>
        <w:t xml:space="preserve"> (buněčné dělení).</w:t>
      </w:r>
    </w:p>
    <w:p w:rsidR="00312118" w:rsidRPr="000B16D5" w:rsidRDefault="00312118" w:rsidP="00236F03">
      <w:pPr>
        <w:spacing w:after="0"/>
        <w:jc w:val="both"/>
        <w:rPr>
          <w:rFonts w:asciiTheme="majorHAnsi" w:hAnsiTheme="majorHAnsi"/>
        </w:rPr>
      </w:pPr>
      <w:r w:rsidRPr="000B16D5">
        <w:rPr>
          <w:rFonts w:asciiTheme="majorHAnsi" w:hAnsiTheme="majorHAnsi"/>
          <w:b/>
          <w:u w:val="single"/>
        </w:rPr>
        <w:t>Interfázi</w:t>
      </w:r>
      <w:r w:rsidRPr="000B16D5">
        <w:rPr>
          <w:rFonts w:asciiTheme="majorHAnsi" w:hAnsiTheme="majorHAnsi"/>
        </w:rPr>
        <w:t xml:space="preserve"> je dále možné rozdělit na G1 fázi, S fázi a G2 fázi.</w:t>
      </w:r>
    </w:p>
    <w:p w:rsidR="00312118" w:rsidRPr="000B16D5" w:rsidRDefault="00312118" w:rsidP="00236F03">
      <w:pPr>
        <w:pStyle w:val="Odstavecseseznamem"/>
        <w:numPr>
          <w:ilvl w:val="0"/>
          <w:numId w:val="3"/>
        </w:numPr>
        <w:spacing w:after="0"/>
        <w:jc w:val="both"/>
        <w:rPr>
          <w:rFonts w:asciiTheme="majorHAnsi" w:hAnsiTheme="majorHAnsi"/>
        </w:rPr>
      </w:pPr>
      <w:r w:rsidRPr="000B16D5">
        <w:rPr>
          <w:rFonts w:asciiTheme="majorHAnsi" w:hAnsiTheme="majorHAnsi"/>
          <w:b/>
        </w:rPr>
        <w:t>G1 fáze</w:t>
      </w:r>
      <w:r w:rsidRPr="000B16D5">
        <w:rPr>
          <w:rFonts w:asciiTheme="majorHAnsi" w:hAnsiTheme="majorHAnsi"/>
        </w:rPr>
        <w:t xml:space="preserve"> (G pochází buď z anglického growth = růst nebo gap = mezera, ve smyslu mezera mezi S a M fázemi) je období, které následuje ihned po ukončení mitózy. Buňka v tomto období roste, nabírá na objemu a probíhá v ní intenzivní metabolismus. Na konci G1 fáze se nachází tzv. </w:t>
      </w:r>
      <w:r w:rsidRPr="000B16D5">
        <w:rPr>
          <w:rFonts w:asciiTheme="majorHAnsi" w:hAnsiTheme="majorHAnsi"/>
          <w:b/>
        </w:rPr>
        <w:t>kontrolní bod</w:t>
      </w:r>
      <w:r w:rsidRPr="000B16D5">
        <w:rPr>
          <w:rFonts w:asciiTheme="majorHAnsi" w:hAnsiTheme="majorHAnsi"/>
        </w:rPr>
        <w:t xml:space="preserve">. Jedná se o okamžik, ve kterém se rozhoduje, zda se buňka v dalších hodinách rozdělí, nebo zda vstoupí do </w:t>
      </w:r>
      <w:r w:rsidRPr="000B16D5">
        <w:rPr>
          <w:rFonts w:asciiTheme="majorHAnsi" w:hAnsiTheme="majorHAnsi"/>
          <w:b/>
        </w:rPr>
        <w:t>klidové</w:t>
      </w:r>
      <w:r w:rsidRPr="000B16D5">
        <w:rPr>
          <w:rFonts w:asciiTheme="majorHAnsi" w:hAnsiTheme="majorHAnsi"/>
        </w:rPr>
        <w:t xml:space="preserve"> </w:t>
      </w:r>
      <w:r w:rsidRPr="000B16D5">
        <w:rPr>
          <w:rFonts w:asciiTheme="majorHAnsi" w:hAnsiTheme="majorHAnsi"/>
          <w:b/>
        </w:rPr>
        <w:t>fáze</w:t>
      </w:r>
      <w:r w:rsidRPr="000B16D5">
        <w:rPr>
          <w:rFonts w:asciiTheme="majorHAnsi" w:hAnsiTheme="majorHAnsi"/>
        </w:rPr>
        <w:t xml:space="preserve"> (</w:t>
      </w:r>
      <w:r w:rsidRPr="000B16D5">
        <w:rPr>
          <w:rFonts w:asciiTheme="majorHAnsi" w:hAnsiTheme="majorHAnsi"/>
          <w:b/>
        </w:rPr>
        <w:t>G0</w:t>
      </w:r>
      <w:r w:rsidRPr="000B16D5">
        <w:rPr>
          <w:rFonts w:asciiTheme="majorHAnsi" w:hAnsiTheme="majorHAnsi"/>
        </w:rPr>
        <w:t>), která může nastat i natrvalo</w:t>
      </w:r>
      <w:r w:rsidR="005B79D4" w:rsidRPr="000B16D5">
        <w:rPr>
          <w:rFonts w:asciiTheme="majorHAnsi" w:hAnsiTheme="majorHAnsi"/>
        </w:rPr>
        <w:t xml:space="preserve"> (= buňka se již nebude více dělit)</w:t>
      </w:r>
      <w:r w:rsidRPr="000B16D5">
        <w:rPr>
          <w:rFonts w:asciiTheme="majorHAnsi" w:hAnsiTheme="majorHAnsi"/>
        </w:rPr>
        <w:t>.</w:t>
      </w:r>
    </w:p>
    <w:p w:rsidR="00312118" w:rsidRPr="000B16D5" w:rsidRDefault="00312118" w:rsidP="00236F03">
      <w:pPr>
        <w:pStyle w:val="Odstavecseseznamem"/>
        <w:numPr>
          <w:ilvl w:val="0"/>
          <w:numId w:val="3"/>
        </w:numPr>
        <w:spacing w:after="0"/>
        <w:jc w:val="both"/>
        <w:rPr>
          <w:rFonts w:asciiTheme="majorHAnsi" w:hAnsiTheme="majorHAnsi"/>
        </w:rPr>
      </w:pPr>
      <w:r w:rsidRPr="000B16D5">
        <w:rPr>
          <w:rFonts w:asciiTheme="majorHAnsi" w:hAnsiTheme="majorHAnsi"/>
        </w:rPr>
        <w:t xml:space="preserve">Pokud se buňka rozhodne dělit, vstupuje do </w:t>
      </w:r>
      <w:r w:rsidRPr="000B16D5">
        <w:rPr>
          <w:rFonts w:asciiTheme="majorHAnsi" w:hAnsiTheme="majorHAnsi"/>
          <w:b/>
        </w:rPr>
        <w:t>S</w:t>
      </w:r>
      <w:r w:rsidR="008F56B9" w:rsidRPr="000B16D5">
        <w:rPr>
          <w:rFonts w:asciiTheme="majorHAnsi" w:hAnsiTheme="majorHAnsi"/>
          <w:b/>
        </w:rPr>
        <w:t xml:space="preserve"> </w:t>
      </w:r>
      <w:r w:rsidRPr="000B16D5">
        <w:rPr>
          <w:rFonts w:asciiTheme="majorHAnsi" w:hAnsiTheme="majorHAnsi"/>
          <w:b/>
        </w:rPr>
        <w:t>fáze</w:t>
      </w:r>
      <w:r w:rsidRPr="000B16D5">
        <w:rPr>
          <w:rFonts w:asciiTheme="majorHAnsi" w:hAnsiTheme="majorHAnsi"/>
        </w:rPr>
        <w:t>, během které dochází k zdvojnásobení množství DNA (počet chromozomů na konci S</w:t>
      </w:r>
      <w:r w:rsidR="008F56B9" w:rsidRPr="000B16D5">
        <w:rPr>
          <w:rFonts w:asciiTheme="majorHAnsi" w:hAnsiTheme="majorHAnsi"/>
        </w:rPr>
        <w:t xml:space="preserve"> </w:t>
      </w:r>
      <w:r w:rsidRPr="000B16D5">
        <w:rPr>
          <w:rFonts w:asciiTheme="majorHAnsi" w:hAnsiTheme="majorHAnsi"/>
        </w:rPr>
        <w:t>fáze je 92).</w:t>
      </w:r>
    </w:p>
    <w:p w:rsidR="00312118" w:rsidRPr="000B16D5" w:rsidRDefault="00312118" w:rsidP="00236F03">
      <w:pPr>
        <w:pStyle w:val="Odstavecseseznamem"/>
        <w:numPr>
          <w:ilvl w:val="0"/>
          <w:numId w:val="3"/>
        </w:numPr>
        <w:spacing w:after="0"/>
        <w:jc w:val="both"/>
        <w:rPr>
          <w:rFonts w:asciiTheme="majorHAnsi" w:hAnsiTheme="majorHAnsi"/>
        </w:rPr>
      </w:pPr>
      <w:r w:rsidRPr="000B16D5">
        <w:rPr>
          <w:rFonts w:asciiTheme="majorHAnsi" w:hAnsiTheme="majorHAnsi"/>
        </w:rPr>
        <w:t xml:space="preserve">Následně vstupuje buňka do </w:t>
      </w:r>
      <w:r w:rsidRPr="000B16D5">
        <w:rPr>
          <w:rFonts w:asciiTheme="majorHAnsi" w:hAnsiTheme="majorHAnsi"/>
          <w:b/>
        </w:rPr>
        <w:t>G2 fáze</w:t>
      </w:r>
      <w:r w:rsidRPr="000B16D5">
        <w:rPr>
          <w:rFonts w:asciiTheme="majorHAnsi" w:hAnsiTheme="majorHAnsi"/>
        </w:rPr>
        <w:t>, během níž se připravuje na vstup do mitózy (probíhá syntéza proteinů, vytváří se dělící vřeténko</w:t>
      </w:r>
      <w:r w:rsidR="00D871DC" w:rsidRPr="000B16D5">
        <w:rPr>
          <w:rFonts w:asciiTheme="majorHAnsi" w:hAnsiTheme="majorHAnsi"/>
        </w:rPr>
        <w:t xml:space="preserve"> atd.). </w:t>
      </w:r>
      <w:r w:rsidRPr="000B16D5">
        <w:rPr>
          <w:rFonts w:asciiTheme="majorHAnsi" w:hAnsiTheme="majorHAnsi"/>
        </w:rPr>
        <w:t xml:space="preserve">Na konci G2 fáze se nachází další </w:t>
      </w:r>
      <w:r w:rsidRPr="000B16D5">
        <w:rPr>
          <w:rFonts w:asciiTheme="majorHAnsi" w:hAnsiTheme="majorHAnsi"/>
          <w:b/>
        </w:rPr>
        <w:t>kontrolní</w:t>
      </w:r>
      <w:r w:rsidRPr="000B16D5">
        <w:rPr>
          <w:rFonts w:asciiTheme="majorHAnsi" w:hAnsiTheme="majorHAnsi"/>
        </w:rPr>
        <w:t xml:space="preserve"> </w:t>
      </w:r>
      <w:r w:rsidRPr="000B16D5">
        <w:rPr>
          <w:rFonts w:asciiTheme="majorHAnsi" w:hAnsiTheme="majorHAnsi"/>
          <w:b/>
        </w:rPr>
        <w:t>bod</w:t>
      </w:r>
      <w:r w:rsidRPr="000B16D5">
        <w:rPr>
          <w:rFonts w:asciiTheme="majorHAnsi" w:hAnsiTheme="majorHAnsi"/>
        </w:rPr>
        <w:t>, ve kterém se kontroluje, zda došlo ke správné replikaci DNA a zda je buňka schopna zahájit buněčné dělení. Pokud je i tento bod překonán, buňka zahajuje mitózu.</w:t>
      </w:r>
    </w:p>
    <w:p w:rsidR="00312118" w:rsidRPr="000B16D5" w:rsidRDefault="00312118" w:rsidP="00236F03">
      <w:pPr>
        <w:spacing w:after="0"/>
        <w:jc w:val="both"/>
        <w:rPr>
          <w:rFonts w:asciiTheme="majorHAnsi" w:hAnsiTheme="majorHAnsi"/>
        </w:rPr>
      </w:pPr>
    </w:p>
    <w:p w:rsidR="00312118" w:rsidRPr="000B16D5" w:rsidRDefault="00312118" w:rsidP="00236F03">
      <w:pPr>
        <w:spacing w:after="0"/>
        <w:jc w:val="both"/>
        <w:rPr>
          <w:rFonts w:asciiTheme="majorHAnsi" w:hAnsiTheme="majorHAnsi"/>
        </w:rPr>
      </w:pPr>
      <w:r w:rsidRPr="000B16D5">
        <w:rPr>
          <w:rFonts w:asciiTheme="majorHAnsi" w:hAnsiTheme="majorHAnsi"/>
          <w:b/>
          <w:u w:val="single"/>
        </w:rPr>
        <w:t>Mitóza</w:t>
      </w:r>
      <w:r w:rsidRPr="000B16D5">
        <w:rPr>
          <w:rFonts w:asciiTheme="majorHAnsi" w:hAnsiTheme="majorHAnsi"/>
        </w:rPr>
        <w:t xml:space="preserve"> je proces, během kterého se z jedné buňky stanou dvě buňky dceřiné. Je možné ji rozdělit na několik na sebe navazujících fází:</w:t>
      </w:r>
    </w:p>
    <w:p w:rsidR="00312118" w:rsidRPr="000B16D5" w:rsidRDefault="00312118" w:rsidP="00236F03">
      <w:pPr>
        <w:pStyle w:val="Odstavecseseznamem"/>
        <w:numPr>
          <w:ilvl w:val="0"/>
          <w:numId w:val="2"/>
        </w:numPr>
        <w:spacing w:after="0"/>
        <w:jc w:val="both"/>
        <w:rPr>
          <w:rFonts w:asciiTheme="majorHAnsi" w:hAnsiTheme="majorHAnsi"/>
        </w:rPr>
      </w:pPr>
      <w:r w:rsidRPr="000B16D5">
        <w:rPr>
          <w:rFonts w:asciiTheme="majorHAnsi" w:hAnsiTheme="majorHAnsi"/>
          <w:b/>
        </w:rPr>
        <w:t>profáze</w:t>
      </w:r>
      <w:r w:rsidRPr="000B16D5">
        <w:rPr>
          <w:rFonts w:asciiTheme="majorHAnsi" w:hAnsiTheme="majorHAnsi"/>
        </w:rPr>
        <w:t>: interfázní jádro, ve kterém není možné pozorovat chromozomy (neboť nejsou kondenzované) se postupně kondenzuje a chromozomy se stávají viditelnými, jaderný obal se rozpadá</w:t>
      </w:r>
      <w:r w:rsidR="008F56B9" w:rsidRPr="000B16D5">
        <w:rPr>
          <w:rFonts w:asciiTheme="majorHAnsi" w:hAnsiTheme="majorHAnsi"/>
        </w:rPr>
        <w:t>,</w:t>
      </w:r>
    </w:p>
    <w:p w:rsidR="005B79D4" w:rsidRPr="000B16D5" w:rsidRDefault="00312118" w:rsidP="005B79D4">
      <w:pPr>
        <w:pStyle w:val="Odstavecseseznamem"/>
        <w:numPr>
          <w:ilvl w:val="0"/>
          <w:numId w:val="2"/>
        </w:numPr>
        <w:spacing w:after="0"/>
        <w:jc w:val="both"/>
        <w:rPr>
          <w:rFonts w:asciiTheme="majorHAnsi" w:hAnsiTheme="majorHAnsi"/>
        </w:rPr>
      </w:pPr>
      <w:r w:rsidRPr="000B16D5">
        <w:rPr>
          <w:rFonts w:asciiTheme="majorHAnsi" w:hAnsiTheme="majorHAnsi"/>
          <w:b/>
        </w:rPr>
        <w:t>metafáze</w:t>
      </w:r>
      <w:r w:rsidRPr="000B16D5">
        <w:rPr>
          <w:rFonts w:asciiTheme="majorHAnsi" w:hAnsiTheme="majorHAnsi"/>
        </w:rPr>
        <w:t>: v metafázním jádře pozorujeme 46 zdvojených chromozomů (spojený</w:t>
      </w:r>
      <w:r w:rsidR="005B79D4" w:rsidRPr="000B16D5">
        <w:rPr>
          <w:rFonts w:asciiTheme="majorHAnsi" w:hAnsiTheme="majorHAnsi"/>
        </w:rPr>
        <w:t>ch</w:t>
      </w:r>
      <w:r w:rsidRPr="000B16D5">
        <w:rPr>
          <w:rFonts w:asciiTheme="majorHAnsi" w:hAnsiTheme="majorHAnsi"/>
        </w:rPr>
        <w:t xml:space="preserve"> </w:t>
      </w:r>
      <w:r w:rsidR="005B79D4" w:rsidRPr="000B16D5">
        <w:rPr>
          <w:rFonts w:asciiTheme="majorHAnsi" w:hAnsiTheme="majorHAnsi"/>
        </w:rPr>
        <w:t>v místě</w:t>
      </w:r>
      <w:r w:rsidR="00F80A5C" w:rsidRPr="000B16D5" w:rsidDel="00F80A5C">
        <w:rPr>
          <w:rFonts w:asciiTheme="majorHAnsi" w:hAnsiTheme="majorHAnsi"/>
        </w:rPr>
        <w:t xml:space="preserve"> </w:t>
      </w:r>
      <w:r w:rsidRPr="000B16D5">
        <w:rPr>
          <w:rFonts w:asciiTheme="majorHAnsi" w:hAnsiTheme="majorHAnsi"/>
        </w:rPr>
        <w:t>centromery), chromozomy se seskupují v centrální rovině</w:t>
      </w:r>
      <w:r w:rsidR="005B79D4" w:rsidRPr="000B16D5">
        <w:rPr>
          <w:rFonts w:asciiTheme="majorHAnsi" w:hAnsiTheme="majorHAnsi"/>
        </w:rPr>
        <w:t xml:space="preserve"> buňky,</w:t>
      </w:r>
    </w:p>
    <w:p w:rsidR="00312118" w:rsidRPr="000B16D5" w:rsidRDefault="00312118" w:rsidP="005B79D4">
      <w:pPr>
        <w:pStyle w:val="Odstavecseseznamem"/>
        <w:numPr>
          <w:ilvl w:val="0"/>
          <w:numId w:val="2"/>
        </w:numPr>
        <w:spacing w:after="0"/>
        <w:jc w:val="both"/>
        <w:rPr>
          <w:rFonts w:asciiTheme="majorHAnsi" w:hAnsiTheme="majorHAnsi"/>
        </w:rPr>
      </w:pPr>
      <w:r w:rsidRPr="000B16D5">
        <w:rPr>
          <w:rFonts w:asciiTheme="majorHAnsi" w:hAnsiTheme="majorHAnsi"/>
          <w:b/>
        </w:rPr>
        <w:t>anafáze</w:t>
      </w:r>
      <w:r w:rsidRPr="000B16D5">
        <w:rPr>
          <w:rFonts w:asciiTheme="majorHAnsi" w:hAnsiTheme="majorHAnsi"/>
        </w:rPr>
        <w:t xml:space="preserve"> (anafázní rozestup): na centromery chromozomů se napojují mikrotubuly dělícího vřeténka, jednotlivá vlákna DNA se od sebe oddělují</w:t>
      </w:r>
      <w:r w:rsidR="008F56B9" w:rsidRPr="000B16D5">
        <w:rPr>
          <w:rFonts w:asciiTheme="majorHAnsi" w:hAnsiTheme="majorHAnsi"/>
        </w:rPr>
        <w:t>,</w:t>
      </w:r>
    </w:p>
    <w:p w:rsidR="00312118" w:rsidRPr="000B16D5" w:rsidRDefault="00312118" w:rsidP="00236F03">
      <w:pPr>
        <w:pStyle w:val="Odstavecseseznamem"/>
        <w:numPr>
          <w:ilvl w:val="0"/>
          <w:numId w:val="2"/>
        </w:numPr>
        <w:spacing w:after="0"/>
        <w:jc w:val="both"/>
        <w:rPr>
          <w:rFonts w:asciiTheme="majorHAnsi" w:hAnsiTheme="majorHAnsi"/>
        </w:rPr>
      </w:pPr>
      <w:r w:rsidRPr="000B16D5">
        <w:rPr>
          <w:rFonts w:asciiTheme="majorHAnsi" w:hAnsiTheme="majorHAnsi"/>
          <w:b/>
        </w:rPr>
        <w:t>telofáze</w:t>
      </w:r>
      <w:r w:rsidRPr="000B16D5">
        <w:rPr>
          <w:rFonts w:asciiTheme="majorHAnsi" w:hAnsiTheme="majorHAnsi"/>
        </w:rPr>
        <w:t>: dochází k dekondenzaci chromozomů, znovuutvoření jaderného obalu</w:t>
      </w:r>
      <w:r w:rsidR="006C14F1" w:rsidRPr="000B16D5">
        <w:rPr>
          <w:rFonts w:asciiTheme="majorHAnsi" w:hAnsiTheme="majorHAnsi"/>
        </w:rPr>
        <w:t>,</w:t>
      </w:r>
    </w:p>
    <w:p w:rsidR="00312118" w:rsidRPr="000B16D5" w:rsidRDefault="00312118" w:rsidP="00236F03">
      <w:pPr>
        <w:pStyle w:val="Odstavecseseznamem"/>
        <w:numPr>
          <w:ilvl w:val="0"/>
          <w:numId w:val="2"/>
        </w:numPr>
        <w:spacing w:after="0"/>
        <w:jc w:val="both"/>
        <w:rPr>
          <w:rFonts w:asciiTheme="majorHAnsi" w:hAnsiTheme="majorHAnsi"/>
        </w:rPr>
      </w:pPr>
      <w:r w:rsidRPr="000B16D5">
        <w:rPr>
          <w:rFonts w:asciiTheme="majorHAnsi" w:hAnsiTheme="majorHAnsi"/>
          <w:b/>
        </w:rPr>
        <w:t>cytokineze</w:t>
      </w:r>
      <w:r w:rsidRPr="000B16D5">
        <w:rPr>
          <w:rFonts w:asciiTheme="majorHAnsi" w:hAnsiTheme="majorHAnsi"/>
        </w:rPr>
        <w:t>: dochází k dělení buňky příčným nebo podélným dělením (oddělením cytoplazem vznikají dvě dceřiné buňky).</w:t>
      </w:r>
    </w:p>
    <w:p w:rsidR="00312118" w:rsidRPr="000B16D5" w:rsidRDefault="00312118" w:rsidP="00236F03">
      <w:pPr>
        <w:pStyle w:val="Nadpispodkapitoly"/>
        <w:numPr>
          <w:ilvl w:val="0"/>
          <w:numId w:val="0"/>
        </w:numPr>
        <w:jc w:val="both"/>
        <w:rPr>
          <w:rFonts w:asciiTheme="majorHAnsi" w:hAnsiTheme="majorHAnsi"/>
          <w:highlight w:val="cyan"/>
        </w:rPr>
      </w:pPr>
    </w:p>
    <w:p w:rsidR="00291461" w:rsidRPr="000B16D5" w:rsidRDefault="00291461" w:rsidP="00291461">
      <w:pPr>
        <w:jc w:val="both"/>
        <w:rPr>
          <w:rFonts w:asciiTheme="majorHAnsi" w:hAnsiTheme="majorHAnsi"/>
        </w:rPr>
      </w:pPr>
      <w:r w:rsidRPr="000B16D5">
        <w:rPr>
          <w:rFonts w:asciiTheme="majorHAnsi" w:hAnsiTheme="majorHAnsi"/>
        </w:rPr>
        <w:t>____________________________________________</w:t>
      </w:r>
    </w:p>
    <w:p w:rsidR="00291461" w:rsidRPr="000B16D5" w:rsidRDefault="00291461" w:rsidP="00291461">
      <w:pPr>
        <w:spacing w:after="0"/>
        <w:jc w:val="both"/>
        <w:rPr>
          <w:rFonts w:asciiTheme="majorHAnsi" w:hAnsiTheme="majorHAnsi"/>
          <w:b/>
          <w:sz w:val="20"/>
        </w:rPr>
      </w:pPr>
      <w:r w:rsidRPr="000B16D5">
        <w:rPr>
          <w:rFonts w:asciiTheme="majorHAnsi" w:hAnsiTheme="majorHAnsi"/>
          <w:b/>
          <w:sz w:val="20"/>
        </w:rPr>
        <w:t>Zdroje:</w:t>
      </w:r>
    </w:p>
    <w:p w:rsidR="00291461" w:rsidRPr="000B16D5" w:rsidRDefault="00291461" w:rsidP="00291461">
      <w:pPr>
        <w:spacing w:after="0"/>
        <w:jc w:val="both"/>
        <w:rPr>
          <w:rFonts w:asciiTheme="majorHAnsi" w:hAnsiTheme="majorHAnsi"/>
          <w:sz w:val="16"/>
        </w:rPr>
        <w:sectPr w:rsidR="00291461" w:rsidRPr="000B16D5" w:rsidSect="00A2684E">
          <w:footerReference w:type="default" r:id="rId12"/>
          <w:type w:val="continuous"/>
          <w:pgSz w:w="11906" w:h="16838"/>
          <w:pgMar w:top="720" w:right="720" w:bottom="720" w:left="720" w:header="708" w:footer="708" w:gutter="0"/>
          <w:pgNumType w:start="7"/>
          <w:cols w:space="708"/>
          <w:titlePg/>
          <w:docGrid w:linePitch="360"/>
        </w:sectPr>
      </w:pPr>
    </w:p>
    <w:p w:rsidR="00291461" w:rsidRPr="000B16D5" w:rsidRDefault="00291461" w:rsidP="00291461">
      <w:pPr>
        <w:pStyle w:val="Odstavecseseznamem"/>
        <w:numPr>
          <w:ilvl w:val="0"/>
          <w:numId w:val="18"/>
        </w:numPr>
        <w:spacing w:after="0"/>
        <w:jc w:val="both"/>
        <w:rPr>
          <w:rFonts w:asciiTheme="majorHAnsi" w:hAnsiTheme="majorHAnsi"/>
          <w:sz w:val="16"/>
        </w:rPr>
      </w:pPr>
      <w:r w:rsidRPr="000B16D5">
        <w:rPr>
          <w:rFonts w:asciiTheme="majorHAnsi" w:hAnsiTheme="majorHAnsi"/>
          <w:sz w:val="16"/>
        </w:rPr>
        <w:lastRenderedPageBreak/>
        <w:t xml:space="preserve">D. Peter Snustad, Michael J. Simmons, Jiřina Relichová, Jiří Doškař, Jiří Fajkus, Petr Hořín, Aleš Knoll, Petr Kuglík, Jan Šmarda, Jana Šmardová, Renata Veselská, Boris Vyskot, </w:t>
      </w:r>
      <w:r w:rsidRPr="000B16D5">
        <w:rPr>
          <w:rFonts w:asciiTheme="majorHAnsi" w:hAnsiTheme="majorHAnsi"/>
          <w:b/>
          <w:sz w:val="16"/>
        </w:rPr>
        <w:t>Genetika</w:t>
      </w:r>
      <w:r w:rsidRPr="000B16D5">
        <w:rPr>
          <w:rFonts w:asciiTheme="majorHAnsi" w:hAnsiTheme="majorHAnsi"/>
          <w:sz w:val="16"/>
        </w:rPr>
        <w:t>, 2009, Brno – Masarykova univerzita, ISBN 978-80-210-4852-2</w:t>
      </w:r>
    </w:p>
    <w:p w:rsidR="00291461" w:rsidRPr="000B16D5" w:rsidRDefault="00291461" w:rsidP="00291461">
      <w:pPr>
        <w:pStyle w:val="Odstavecseseznamem"/>
        <w:numPr>
          <w:ilvl w:val="0"/>
          <w:numId w:val="18"/>
        </w:numPr>
        <w:spacing w:after="0"/>
        <w:jc w:val="both"/>
        <w:rPr>
          <w:rFonts w:asciiTheme="majorHAnsi" w:hAnsiTheme="majorHAnsi"/>
          <w:sz w:val="16"/>
        </w:rPr>
      </w:pPr>
      <w:r w:rsidRPr="000B16D5">
        <w:rPr>
          <w:rFonts w:asciiTheme="majorHAnsi" w:hAnsiTheme="majorHAnsi"/>
          <w:sz w:val="16"/>
        </w:rPr>
        <w:lastRenderedPageBreak/>
        <w:t xml:space="preserve">Eduard Kočárek, </w:t>
      </w:r>
      <w:r w:rsidRPr="000B16D5">
        <w:rPr>
          <w:rFonts w:asciiTheme="majorHAnsi" w:hAnsiTheme="majorHAnsi"/>
          <w:b/>
          <w:sz w:val="16"/>
        </w:rPr>
        <w:t>Genetika</w:t>
      </w:r>
      <w:r w:rsidRPr="000B16D5">
        <w:rPr>
          <w:rFonts w:asciiTheme="majorHAnsi" w:hAnsiTheme="majorHAnsi"/>
          <w:sz w:val="16"/>
        </w:rPr>
        <w:t>, 2005, Praha – Scientia, ISBN: 978-80-86960-36-4</w:t>
      </w:r>
    </w:p>
    <w:p w:rsidR="00291461" w:rsidRPr="000B16D5" w:rsidRDefault="00291461" w:rsidP="00291461">
      <w:pPr>
        <w:pStyle w:val="Odstavecseseznamem"/>
        <w:numPr>
          <w:ilvl w:val="0"/>
          <w:numId w:val="18"/>
        </w:numPr>
        <w:spacing w:after="0"/>
        <w:jc w:val="both"/>
        <w:rPr>
          <w:rFonts w:asciiTheme="majorHAnsi" w:hAnsiTheme="majorHAnsi"/>
          <w:sz w:val="16"/>
        </w:rPr>
      </w:pPr>
      <w:r w:rsidRPr="000B16D5">
        <w:rPr>
          <w:rFonts w:asciiTheme="majorHAnsi" w:hAnsiTheme="majorHAnsi"/>
          <w:sz w:val="16"/>
        </w:rPr>
        <w:t xml:space="preserve">Stefan Silbernagl, Agamemnon Despopoulos, </w:t>
      </w:r>
      <w:r w:rsidRPr="000B16D5">
        <w:rPr>
          <w:rFonts w:asciiTheme="majorHAnsi" w:hAnsiTheme="majorHAnsi"/>
          <w:b/>
          <w:sz w:val="16"/>
        </w:rPr>
        <w:t>Atlas</w:t>
      </w:r>
      <w:r w:rsidRPr="000B16D5">
        <w:rPr>
          <w:rFonts w:asciiTheme="majorHAnsi" w:hAnsiTheme="majorHAnsi"/>
          <w:sz w:val="16"/>
        </w:rPr>
        <w:t xml:space="preserve"> </w:t>
      </w:r>
      <w:r w:rsidRPr="000B16D5">
        <w:rPr>
          <w:rFonts w:asciiTheme="majorHAnsi" w:hAnsiTheme="majorHAnsi"/>
          <w:b/>
          <w:sz w:val="16"/>
        </w:rPr>
        <w:t>fyziologie</w:t>
      </w:r>
      <w:r w:rsidRPr="000B16D5">
        <w:rPr>
          <w:rFonts w:asciiTheme="majorHAnsi" w:hAnsiTheme="majorHAnsi"/>
          <w:sz w:val="16"/>
        </w:rPr>
        <w:t xml:space="preserve"> </w:t>
      </w:r>
      <w:r w:rsidRPr="000B16D5">
        <w:rPr>
          <w:rFonts w:asciiTheme="majorHAnsi" w:hAnsiTheme="majorHAnsi"/>
          <w:b/>
          <w:sz w:val="16"/>
        </w:rPr>
        <w:t>člověka</w:t>
      </w:r>
      <w:r w:rsidRPr="000B16D5">
        <w:rPr>
          <w:rFonts w:asciiTheme="majorHAnsi" w:hAnsiTheme="majorHAnsi"/>
          <w:sz w:val="16"/>
        </w:rPr>
        <w:t xml:space="preserve">, 2004, Grada Publishing, ISBN: 80-247-0630-X </w:t>
      </w:r>
    </w:p>
    <w:p w:rsidR="00291461" w:rsidRPr="000B16D5" w:rsidRDefault="00291461" w:rsidP="00291461">
      <w:pPr>
        <w:spacing w:after="0"/>
        <w:jc w:val="both"/>
        <w:rPr>
          <w:rFonts w:asciiTheme="majorHAnsi" w:hAnsiTheme="majorHAnsi"/>
          <w:sz w:val="16"/>
        </w:rPr>
        <w:sectPr w:rsidR="00291461" w:rsidRPr="000B16D5" w:rsidSect="00D56167">
          <w:type w:val="continuous"/>
          <w:pgSz w:w="11906" w:h="16838"/>
          <w:pgMar w:top="720" w:right="720" w:bottom="720" w:left="720" w:header="708" w:footer="708" w:gutter="0"/>
          <w:pgNumType w:start="0"/>
          <w:cols w:num="2" w:space="708"/>
          <w:titlePg/>
          <w:docGrid w:linePitch="360"/>
        </w:sectPr>
      </w:pPr>
      <w:r w:rsidRPr="000B16D5">
        <w:rPr>
          <w:rFonts w:asciiTheme="majorHAnsi" w:hAnsiTheme="majorHAnsi"/>
          <w:sz w:val="16"/>
        </w:rPr>
        <w:t xml:space="preserve"> </w:t>
      </w:r>
    </w:p>
    <w:p w:rsidR="00312118" w:rsidRPr="000B16D5" w:rsidRDefault="00312118" w:rsidP="00236F03">
      <w:pPr>
        <w:jc w:val="both"/>
        <w:rPr>
          <w:rFonts w:asciiTheme="majorHAnsi" w:hAnsiTheme="majorHAnsi"/>
          <w:b/>
          <w:smallCaps/>
          <w:sz w:val="24"/>
          <w:highlight w:val="cyan"/>
        </w:rPr>
      </w:pPr>
      <w:r w:rsidRPr="000B16D5">
        <w:rPr>
          <w:rFonts w:asciiTheme="majorHAnsi" w:hAnsiTheme="majorHAnsi"/>
          <w:highlight w:val="cyan"/>
        </w:rPr>
        <w:lastRenderedPageBreak/>
        <w:br w:type="page"/>
      </w:r>
    </w:p>
    <w:bookmarkStart w:id="14" w:name="_Toc380240587"/>
    <w:p w:rsidR="00D56167" w:rsidRPr="000B16D5" w:rsidRDefault="00100C72" w:rsidP="00236F03">
      <w:pPr>
        <w:pStyle w:val="Nadpiskapitoly"/>
        <w:rPr>
          <w:rFonts w:asciiTheme="majorHAnsi" w:hAnsiTheme="majorHAnsi"/>
        </w:rPr>
      </w:pPr>
      <w:r w:rsidRPr="000B16D5">
        <w:rPr>
          <w:rFonts w:asciiTheme="majorHAnsi" w:eastAsia="TrebuchetMS-Bold" w:hAnsiTheme="majorHAnsi" w:cs="TrebuchetMS-Bold"/>
          <w:noProof/>
          <w:sz w:val="21"/>
          <w:szCs w:val="21"/>
        </w:rPr>
        <w:lastRenderedPageBreak/>
        <mc:AlternateContent>
          <mc:Choice Requires="wps">
            <w:drawing>
              <wp:anchor distT="0" distB="0" distL="114300" distR="114300" simplePos="0" relativeHeight="251664384" behindDoc="0" locked="0" layoutInCell="1" allowOverlap="1">
                <wp:simplePos x="0" y="0"/>
                <wp:positionH relativeFrom="column">
                  <wp:posOffset>5200650</wp:posOffset>
                </wp:positionH>
                <wp:positionV relativeFrom="paragraph">
                  <wp:posOffset>-139065</wp:posOffset>
                </wp:positionV>
                <wp:extent cx="1303655" cy="1416685"/>
                <wp:effectExtent l="0" t="80010" r="77470" b="0"/>
                <wp:wrapNone/>
                <wp:docPr id="1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D56167">
                            <w:pPr>
                              <w:spacing w:after="0"/>
                              <w:jc w:val="center"/>
                              <w:rPr>
                                <w:rFonts w:ascii="Palatino Linotype" w:hAnsi="Palatino Linotype"/>
                                <w:b/>
                                <w:sz w:val="160"/>
                              </w:rPr>
                            </w:pPr>
                            <w:r>
                              <w:rPr>
                                <w:rFonts w:ascii="Palatino Linotype" w:hAnsi="Palatino Linotype"/>
                                <w:b/>
                                <w:sz w:val="16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409.5pt;margin-top:-10.95pt;width:102.65pt;height:1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" stroked="f">
                <v:shadow on="t" opacity=".5" offset="6pt,-6pt"/>
                <v:textbox>
                  <w:txbxContent>
                    <w:p w:rsidR="00440FD1" w:rsidRPr="008202AD" w:rsidRDefault="00440FD1" w:rsidP="00D56167">
                      <w:pPr>
                        <w:spacing w:after="0"/>
                        <w:jc w:val="center"/>
                        <w:rPr>
                          <w:rFonts w:ascii="Palatino Linotype" w:hAnsi="Palatino Linotype"/>
                          <w:b/>
                          <w:sz w:val="160"/>
                        </w:rPr>
                      </w:pPr>
                      <w:r>
                        <w:rPr>
                          <w:rFonts w:ascii="Palatino Linotype" w:hAnsi="Palatino Linotype"/>
                          <w:b/>
                          <w:sz w:val="160"/>
                        </w:rPr>
                        <w:t>4</w:t>
                      </w:r>
                    </w:p>
                  </w:txbxContent>
                </v:textbox>
              </v:shape>
            </w:pict>
          </mc:Fallback>
        </mc:AlternateContent>
      </w:r>
      <w:r w:rsidR="00312118" w:rsidRPr="000B16D5">
        <w:rPr>
          <w:rFonts w:asciiTheme="majorHAnsi" w:hAnsiTheme="majorHAnsi"/>
        </w:rPr>
        <w:t>Genová exprese</w:t>
      </w:r>
      <w:bookmarkEnd w:id="14"/>
    </w:p>
    <w:p w:rsidR="000B16D5" w:rsidRPr="002C0CFC" w:rsidRDefault="000B16D5" w:rsidP="000B16D5">
      <w:pPr>
        <w:autoSpaceDE w:val="0"/>
        <w:spacing w:after="0"/>
        <w:jc w:val="both"/>
        <w:rPr>
          <w:rFonts w:ascii="Cambria" w:eastAsia="TrebuchetMS-Bold" w:hAnsi="Cambria" w:cs="TrebuchetMS-Bold"/>
          <w:iCs/>
        </w:rPr>
      </w:pPr>
      <w:r w:rsidRPr="002C0CFC">
        <w:rPr>
          <w:rFonts w:ascii="Cambria" w:eastAsia="TrebuchetMS-Bold" w:hAnsi="Cambria" w:cs="TrebuchetMS-Bold"/>
          <w:bCs/>
          <w:iCs/>
        </w:rPr>
        <w:t>Genová exprese,</w:t>
      </w:r>
      <w:r w:rsidRPr="002C0CFC">
        <w:rPr>
          <w:rFonts w:ascii="Cambria" w:eastAsia="TrebuchetMS-Bold" w:hAnsi="Cambria" w:cs="TrebuchetMS-Bold"/>
          <w:iCs/>
        </w:rPr>
        <w:t xml:space="preserve"> souvislost s nutrienty</w:t>
      </w:r>
    </w:p>
    <w:p w:rsidR="000B16D5" w:rsidRDefault="000B16D5" w:rsidP="000B16D5">
      <w:pPr>
        <w:autoSpaceDE w:val="0"/>
        <w:spacing w:after="0"/>
        <w:ind w:left="791" w:hanging="791"/>
        <w:jc w:val="both"/>
        <w:rPr>
          <w:rFonts w:ascii="Cambria" w:eastAsia="TrebuchetMS-Bold" w:hAnsi="Cambria" w:cs="TrebuchetMS-Bold"/>
          <w:iCs/>
        </w:rPr>
      </w:pPr>
      <w:r w:rsidRPr="002C0CFC">
        <w:rPr>
          <w:rFonts w:ascii="Cambria" w:eastAsia="TrebuchetMS-Bold" w:hAnsi="Cambria" w:cs="TrebuchetMS-Bold"/>
          <w:bCs/>
          <w:iCs/>
        </w:rPr>
        <w:t xml:space="preserve">Význam a průběh </w:t>
      </w:r>
      <w:r>
        <w:rPr>
          <w:rFonts w:ascii="Cambria" w:eastAsia="TrebuchetMS-Bold" w:hAnsi="Cambria" w:cs="TrebuchetMS-Bold"/>
          <w:iCs/>
        </w:rPr>
        <w:t>exprese genu</w:t>
      </w:r>
    </w:p>
    <w:p w:rsidR="000B16D5" w:rsidRPr="002C0CFC" w:rsidRDefault="000B16D5" w:rsidP="000B16D5">
      <w:pPr>
        <w:autoSpaceDE w:val="0"/>
        <w:spacing w:after="0"/>
        <w:ind w:left="791" w:hanging="791"/>
        <w:jc w:val="both"/>
        <w:rPr>
          <w:rFonts w:ascii="Cambria" w:eastAsia="TrebuchetMS-Bold" w:hAnsi="Cambria" w:cs="TrebuchetMS-Bold"/>
          <w:iCs/>
        </w:rPr>
      </w:pPr>
      <w:r w:rsidRPr="002C0CFC">
        <w:rPr>
          <w:rFonts w:ascii="Cambria" w:eastAsia="TrebuchetMS-Bold" w:hAnsi="Cambria" w:cs="TrebuchetMS-Bold"/>
          <w:bCs/>
          <w:iCs/>
        </w:rPr>
        <w:t>Nutriční ovlivnění</w:t>
      </w:r>
      <w:r w:rsidRPr="002C0CFC">
        <w:rPr>
          <w:rFonts w:ascii="Cambria" w:eastAsia="TrebuchetMS-Bold" w:hAnsi="Cambria" w:cs="TrebuchetMS-Bold"/>
          <w:iCs/>
        </w:rPr>
        <w:t xml:space="preserve"> genové exprese /+příklady/</w:t>
      </w:r>
    </w:p>
    <w:p w:rsidR="00D56167" w:rsidRPr="000B16D5" w:rsidRDefault="00D56167" w:rsidP="00D56167">
      <w:pPr>
        <w:spacing w:after="0"/>
        <w:rPr>
          <w:rFonts w:asciiTheme="majorHAnsi" w:hAnsiTheme="majorHAnsi"/>
          <w:i/>
        </w:rPr>
      </w:pPr>
    </w:p>
    <w:p w:rsidR="00312118" w:rsidRPr="000B16D5" w:rsidRDefault="00312118" w:rsidP="00D56167">
      <w:pPr>
        <w:spacing w:after="0"/>
        <w:rPr>
          <w:rFonts w:asciiTheme="majorHAnsi" w:hAnsiTheme="majorHAnsi"/>
          <w:i/>
        </w:rPr>
      </w:pPr>
      <w:r w:rsidRPr="000B16D5">
        <w:rPr>
          <w:rFonts w:asciiTheme="majorHAnsi" w:hAnsiTheme="majorHAnsi"/>
          <w:i/>
        </w:rPr>
        <w:t xml:space="preserve">Ivo </w:t>
      </w:r>
      <w:r w:rsidR="008F56B9" w:rsidRPr="000B16D5">
        <w:rPr>
          <w:rFonts w:asciiTheme="majorHAnsi" w:hAnsiTheme="majorHAnsi"/>
          <w:i/>
        </w:rPr>
        <w:t>Nečesánek</w:t>
      </w:r>
    </w:p>
    <w:p w:rsidR="00D56167" w:rsidRPr="000B16D5" w:rsidRDefault="00D56167" w:rsidP="00236F03">
      <w:pPr>
        <w:autoSpaceDE w:val="0"/>
        <w:jc w:val="both"/>
        <w:rPr>
          <w:rFonts w:asciiTheme="majorHAnsi" w:eastAsia="TrebuchetMS-Bold" w:hAnsiTheme="majorHAnsi" w:cs="TrebuchetMS-Bold"/>
          <w:sz w:val="21"/>
          <w:szCs w:val="21"/>
        </w:rPr>
      </w:pPr>
    </w:p>
    <w:p w:rsidR="002F33E4" w:rsidRPr="000B16D5" w:rsidRDefault="002F33E4" w:rsidP="002F33E4">
      <w:pPr>
        <w:pStyle w:val="Nadpispodkapitoly"/>
        <w:numPr>
          <w:ilvl w:val="0"/>
          <w:numId w:val="0"/>
        </w:numPr>
        <w:jc w:val="both"/>
        <w:rPr>
          <w:rFonts w:asciiTheme="majorHAnsi" w:eastAsia="TrebuchetMS-Bold" w:hAnsiTheme="majorHAnsi" w:cs="TrebuchetMS-Bold"/>
          <w:b w:val="0"/>
          <w:smallCaps w:val="0"/>
          <w:sz w:val="22"/>
          <w:szCs w:val="21"/>
        </w:rPr>
      </w:pPr>
      <w:bookmarkStart w:id="15" w:name="_Toc380240588"/>
      <w:r w:rsidRPr="000B16D5">
        <w:rPr>
          <w:rFonts w:asciiTheme="majorHAnsi" w:eastAsia="TrebuchetMS-Bold" w:hAnsiTheme="majorHAnsi" w:cs="TrebuchetMS-Bold"/>
          <w:b w:val="0"/>
          <w:smallCaps w:val="0"/>
          <w:sz w:val="22"/>
          <w:szCs w:val="21"/>
        </w:rPr>
        <w:t>V kapitole o genové expresi předkládáme základní termíny nutné pro orientaci v dané problematice</w:t>
      </w:r>
      <w:r w:rsidR="00924FD0" w:rsidRPr="000B16D5">
        <w:rPr>
          <w:rFonts w:asciiTheme="majorHAnsi" w:eastAsia="TrebuchetMS-Bold" w:hAnsiTheme="majorHAnsi" w:cs="TrebuchetMS-Bold"/>
          <w:b w:val="0"/>
          <w:smallCaps w:val="0"/>
          <w:sz w:val="22"/>
          <w:szCs w:val="21"/>
        </w:rPr>
        <w:t>;</w:t>
      </w:r>
      <w:r w:rsidRPr="000B16D5">
        <w:rPr>
          <w:rFonts w:asciiTheme="majorHAnsi" w:eastAsia="TrebuchetMS-Bold" w:hAnsiTheme="majorHAnsi" w:cs="TrebuchetMS-Bold"/>
          <w:b w:val="0"/>
          <w:smallCaps w:val="0"/>
          <w:sz w:val="22"/>
          <w:szCs w:val="21"/>
        </w:rPr>
        <w:t xml:space="preserve"> spíše než vyložit molekulární pochody v jejich vyčerpávající úplnosti</w:t>
      </w:r>
      <w:r w:rsidR="00924FD0" w:rsidRPr="000B16D5">
        <w:rPr>
          <w:rFonts w:asciiTheme="majorHAnsi" w:eastAsia="TrebuchetMS-Bold" w:hAnsiTheme="majorHAnsi" w:cs="TrebuchetMS-Bold"/>
          <w:b w:val="0"/>
          <w:smallCaps w:val="0"/>
          <w:sz w:val="22"/>
          <w:szCs w:val="21"/>
        </w:rPr>
        <w:t xml:space="preserve"> se snažíme přehledně postihnout základní principy</w:t>
      </w:r>
      <w:r w:rsidRPr="000B16D5">
        <w:rPr>
          <w:rFonts w:asciiTheme="majorHAnsi" w:eastAsia="TrebuchetMS-Bold" w:hAnsiTheme="majorHAnsi" w:cs="TrebuchetMS-Bold"/>
          <w:b w:val="0"/>
          <w:smallCaps w:val="0"/>
          <w:sz w:val="22"/>
          <w:szCs w:val="21"/>
        </w:rPr>
        <w:t>.</w:t>
      </w:r>
      <w:bookmarkEnd w:id="15"/>
    </w:p>
    <w:p w:rsidR="002F33E4" w:rsidRPr="000B16D5" w:rsidRDefault="002F33E4" w:rsidP="002F33E4">
      <w:pPr>
        <w:pStyle w:val="Nadpispodkapitoly"/>
        <w:numPr>
          <w:ilvl w:val="0"/>
          <w:numId w:val="0"/>
        </w:numPr>
        <w:rPr>
          <w:rFonts w:asciiTheme="majorHAnsi" w:eastAsia="TrebuchetMS-Bold" w:hAnsiTheme="majorHAnsi" w:cs="TrebuchetMS-Bold"/>
          <w:b w:val="0"/>
          <w:smallCaps w:val="0"/>
          <w:sz w:val="22"/>
          <w:szCs w:val="21"/>
        </w:rPr>
      </w:pPr>
    </w:p>
    <w:p w:rsidR="00545272" w:rsidRPr="000B16D5" w:rsidRDefault="000B16D5" w:rsidP="002F33E4">
      <w:pPr>
        <w:pStyle w:val="Nadpispodkapitoly"/>
        <w:rPr>
          <w:rFonts w:ascii="Cambria" w:hAnsi="Cambria"/>
        </w:rPr>
      </w:pPr>
      <w:bookmarkStart w:id="16" w:name="_Toc380240589"/>
      <w:r w:rsidRPr="000B16D5">
        <w:rPr>
          <w:rFonts w:ascii="Cambria" w:eastAsia="TrebuchetMS-Bold" w:hAnsi="Cambria" w:cs="TrebuchetMS-Bold"/>
          <w:b w:val="0"/>
          <w:bCs/>
        </w:rPr>
        <w:t xml:space="preserve">Genová exprese </w:t>
      </w:r>
      <w:r w:rsidRPr="000B16D5">
        <w:rPr>
          <w:rFonts w:ascii="Cambria" w:eastAsia="TrebuchetMS-Bold" w:hAnsi="Cambria" w:cs="TrebuchetMS-Bold"/>
        </w:rPr>
        <w:t>a její souvislost s výživou</w:t>
      </w:r>
      <w:r w:rsidR="00291461" w:rsidRPr="000B16D5">
        <w:rPr>
          <w:rFonts w:ascii="Cambria" w:hAnsi="Cambria"/>
        </w:rPr>
        <w:t>?</w:t>
      </w:r>
      <w:bookmarkEnd w:id="16"/>
    </w:p>
    <w:p w:rsidR="00B53C27" w:rsidRPr="00B53C27" w:rsidRDefault="00B53C27" w:rsidP="00B53C27">
      <w:pPr>
        <w:rPr>
          <w:rFonts w:asciiTheme="majorHAnsi" w:eastAsia="TrebuchetMS-Bold" w:hAnsiTheme="majorHAnsi"/>
        </w:rPr>
      </w:pPr>
      <w:r w:rsidRPr="00B53C27">
        <w:rPr>
          <w:rFonts w:asciiTheme="majorHAnsi" w:eastAsia="TrebuchetMS-Bold" w:hAnsiTheme="majorHAnsi"/>
        </w:rPr>
        <w:t xml:space="preserve">Pod pojmem </w:t>
      </w:r>
      <w:r w:rsidRPr="00B53C27">
        <w:rPr>
          <w:rFonts w:asciiTheme="majorHAnsi" w:eastAsia="TrebuchetMS-Bold" w:hAnsiTheme="majorHAnsi"/>
          <w:i/>
          <w:iCs/>
        </w:rPr>
        <w:t>genová exprese</w:t>
      </w:r>
      <w:r w:rsidRPr="00B53C27">
        <w:rPr>
          <w:rFonts w:asciiTheme="majorHAnsi" w:eastAsia="TrebuchetMS-Bold" w:hAnsiTheme="majorHAnsi"/>
        </w:rPr>
        <w:t xml:space="preserve"> rozumíme </w:t>
      </w:r>
      <w:r w:rsidRPr="00B53C27">
        <w:rPr>
          <w:rFonts w:asciiTheme="majorHAnsi" w:eastAsia="TrebuchetMS-Bold" w:hAnsiTheme="majorHAnsi"/>
          <w:b/>
        </w:rPr>
        <w:t>vyjádření vlohy uložené ve formě genetické informace v DNA</w:t>
      </w:r>
      <w:r w:rsidRPr="00B53C27">
        <w:rPr>
          <w:rFonts w:asciiTheme="majorHAnsi" w:eastAsia="TrebuchetMS-Bold" w:hAnsiTheme="majorHAnsi"/>
        </w:rPr>
        <w:t>. V užším slova smyslu pak mluvíme o vyjádření do struktury proteinu, bílkoviny.</w:t>
      </w:r>
    </w:p>
    <w:p w:rsidR="00B53C27" w:rsidRPr="00B53C27" w:rsidRDefault="00B53C27" w:rsidP="00B53C27">
      <w:pPr>
        <w:rPr>
          <w:rFonts w:asciiTheme="majorHAnsi" w:eastAsia="TrebuchetMS-Bold" w:hAnsiTheme="majorHAnsi"/>
        </w:rPr>
      </w:pPr>
      <w:r w:rsidRPr="00B53C27">
        <w:rPr>
          <w:rFonts w:asciiTheme="majorHAnsi" w:eastAsia="TrebuchetMS-Bold" w:hAnsiTheme="majorHAnsi"/>
        </w:rPr>
        <w:t xml:space="preserve">Genetická informace je uložena v řetězci DNA (z angl. </w:t>
      </w:r>
      <w:r w:rsidRPr="00B53C27">
        <w:rPr>
          <w:rFonts w:asciiTheme="majorHAnsi" w:eastAsia="TrebuchetMS-Bold" w:hAnsiTheme="majorHAnsi"/>
          <w:u w:val="single"/>
        </w:rPr>
        <w:t>d</w:t>
      </w:r>
      <w:r w:rsidRPr="00B53C27">
        <w:rPr>
          <w:rFonts w:asciiTheme="majorHAnsi" w:eastAsia="TrebuchetMS-Bold" w:hAnsiTheme="majorHAnsi"/>
        </w:rPr>
        <w:t>eoxyribo</w:t>
      </w:r>
      <w:r w:rsidRPr="00B53C27">
        <w:rPr>
          <w:rFonts w:asciiTheme="majorHAnsi" w:eastAsia="TrebuchetMS-Bold" w:hAnsiTheme="majorHAnsi"/>
          <w:u w:val="single"/>
        </w:rPr>
        <w:t>n</w:t>
      </w:r>
      <w:r w:rsidRPr="00B53C27">
        <w:rPr>
          <w:rFonts w:asciiTheme="majorHAnsi" w:eastAsia="TrebuchetMS-Bold" w:hAnsiTheme="majorHAnsi"/>
        </w:rPr>
        <w:t xml:space="preserve">ucleic </w:t>
      </w:r>
      <w:r w:rsidRPr="00B53C27">
        <w:rPr>
          <w:rFonts w:asciiTheme="majorHAnsi" w:eastAsia="TrebuchetMS-Bold" w:hAnsiTheme="majorHAnsi"/>
          <w:u w:val="single"/>
        </w:rPr>
        <w:t>a</w:t>
      </w:r>
      <w:r w:rsidRPr="00B53C27">
        <w:rPr>
          <w:rFonts w:asciiTheme="majorHAnsi" w:eastAsia="TrebuchetMS-Bold" w:hAnsiTheme="majorHAnsi"/>
        </w:rPr>
        <w:t xml:space="preserve">cid) ve formě genů. Soubor všech genů daného druhu nazýváme </w:t>
      </w:r>
      <w:r w:rsidRPr="00B53C27">
        <w:rPr>
          <w:rFonts w:asciiTheme="majorHAnsi" w:eastAsia="TrebuchetMS-Bold" w:hAnsiTheme="majorHAnsi"/>
          <w:i/>
          <w:iCs/>
        </w:rPr>
        <w:t>genom</w:t>
      </w:r>
      <w:r w:rsidRPr="00B53C27">
        <w:rPr>
          <w:rFonts w:asciiTheme="majorHAnsi" w:eastAsia="TrebuchetMS-Bold" w:hAnsiTheme="majorHAnsi"/>
        </w:rPr>
        <w:t xml:space="preserve">. / </w:t>
      </w:r>
      <w:r w:rsidRPr="00B53C27">
        <w:rPr>
          <w:rFonts w:ascii="Cambria" w:hAnsi="Cambria"/>
          <w:i/>
        </w:rPr>
        <w:t>Genom rýže obsahuje asi 46,000 genových vloh (mnoho genů pro enzymy fotosyntézy apod.), genom lidský naproti tomu zdánlivě směšných 22,000 genů.</w:t>
      </w:r>
      <w:r w:rsidRPr="002C0CFC">
        <w:rPr>
          <w:rFonts w:ascii="Cambria" w:eastAsia="TrebuchetMS-Bold" w:hAnsi="Cambria" w:cs="TrebuchetMS-Bold"/>
          <w:i/>
          <w:iCs/>
          <w:color w:val="000000"/>
        </w:rPr>
        <w:t xml:space="preserve"> </w:t>
      </w:r>
      <w:r w:rsidRPr="00B53C27">
        <w:rPr>
          <w:rFonts w:asciiTheme="majorHAnsi" w:eastAsia="TrebuchetMS-Bold" w:hAnsiTheme="majorHAnsi"/>
        </w:rPr>
        <w:t xml:space="preserve">/ Naše původní představy byly takové, že v genomu je každý jeden gen předpisem jedné bílkoviny. Bílkovina podle vzorové informace vznikne a zastává v buňce rozličné funkce. Je nástrojem, který zajišťuje životní pochody. </w:t>
      </w:r>
    </w:p>
    <w:p w:rsidR="00B53C27" w:rsidRPr="00B53C27" w:rsidRDefault="00B53C27" w:rsidP="00B53C27">
      <w:pPr>
        <w:rPr>
          <w:rFonts w:asciiTheme="majorHAnsi" w:eastAsia="TrebuchetMS-Bold" w:hAnsiTheme="majorHAnsi"/>
        </w:rPr>
      </w:pPr>
      <w:r w:rsidRPr="00B53C27">
        <w:rPr>
          <w:rFonts w:asciiTheme="majorHAnsi" w:eastAsia="TrebuchetMS-Bold" w:hAnsiTheme="majorHAnsi"/>
        </w:rPr>
        <w:t xml:space="preserve">Později se ukázalo, že zdaleka ne všechny geny jsou předpisem pro finální bílkovinu (tedy, že ne všechny jsou součástí tzv. </w:t>
      </w:r>
      <w:r w:rsidRPr="00B53C27">
        <w:rPr>
          <w:rFonts w:asciiTheme="majorHAnsi" w:eastAsia="TrebuchetMS-Bold" w:hAnsiTheme="majorHAnsi"/>
          <w:i/>
          <w:iCs/>
        </w:rPr>
        <w:t>kódujících sekvencí</w:t>
      </w:r>
      <w:r w:rsidRPr="00B53C27">
        <w:rPr>
          <w:rFonts w:asciiTheme="majorHAnsi" w:eastAsia="TrebuchetMS-Bold" w:hAnsiTheme="majorHAnsi"/>
        </w:rPr>
        <w:t xml:space="preserve">). Ba naopak, valná většina se do struktury bílkoviny nikdy nepřepíše. Tyto sekvence proto na řetězci DNA označujeme jako </w:t>
      </w:r>
      <w:r w:rsidRPr="00B53C27">
        <w:rPr>
          <w:rFonts w:asciiTheme="majorHAnsi" w:eastAsia="TrebuchetMS-Bold" w:hAnsiTheme="majorHAnsi"/>
          <w:i/>
          <w:iCs/>
        </w:rPr>
        <w:t xml:space="preserve">nekódující, </w:t>
      </w:r>
      <w:r w:rsidRPr="00B53C27">
        <w:rPr>
          <w:rFonts w:asciiTheme="majorHAnsi" w:eastAsia="TrebuchetMS-Bold" w:hAnsiTheme="majorHAnsi"/>
        </w:rPr>
        <w:t>a tvoří v genomu podle nejnovějších zjištění až 98,5 %. Přestože jde o převažující, a velmi rozlehlé části DNA, mají poněkud nejasný význam. Víme, že relativně malá část sekvencí kóduje strukturu RNA molekul (</w:t>
      </w:r>
      <w:r w:rsidRPr="00B53C27">
        <w:rPr>
          <w:rFonts w:asciiTheme="majorHAnsi" w:eastAsia="TrebuchetMS-Bold" w:hAnsiTheme="majorHAnsi"/>
          <w:i/>
          <w:iCs/>
        </w:rPr>
        <w:t>RNA-kódující geny)</w:t>
      </w:r>
      <w:r w:rsidRPr="00B53C27">
        <w:rPr>
          <w:rFonts w:asciiTheme="majorHAnsi" w:eastAsia="TrebuchetMS-Bold" w:hAnsiTheme="majorHAnsi"/>
        </w:rPr>
        <w:t>,  část má zatím blíže neobjasněné regulační funkce (</w:t>
      </w:r>
      <w:r w:rsidRPr="00B53C27">
        <w:rPr>
          <w:rFonts w:asciiTheme="majorHAnsi" w:eastAsia="TrebuchetMS-Bold" w:hAnsiTheme="majorHAnsi"/>
          <w:i/>
          <w:iCs/>
        </w:rPr>
        <w:t xml:space="preserve">regulační sekvence </w:t>
      </w:r>
      <w:r w:rsidRPr="00B53C27">
        <w:rPr>
          <w:rFonts w:asciiTheme="majorHAnsi" w:eastAsia="TrebuchetMS-Bold" w:hAnsiTheme="majorHAnsi"/>
          <w:i/>
          <w:iCs/>
          <w:lang w:val="en-US"/>
        </w:rPr>
        <w:t>~</w:t>
      </w:r>
      <w:r w:rsidRPr="00B53C27">
        <w:rPr>
          <w:rFonts w:asciiTheme="majorHAnsi" w:eastAsia="TrebuchetMS-Bold" w:hAnsiTheme="majorHAnsi"/>
          <w:i/>
          <w:iCs/>
        </w:rPr>
        <w:t xml:space="preserve"> reg. geny</w:t>
      </w:r>
      <w:r w:rsidRPr="00B53C27">
        <w:rPr>
          <w:rFonts w:asciiTheme="majorHAnsi" w:eastAsia="TrebuchetMS-Bold" w:hAnsiTheme="majorHAnsi"/>
        </w:rPr>
        <w:t>). Jistě víme, že  jejich pokusné odstranění na experimentálních modelech vedlo k fatálním následkům neslučitelným se životem, a tedy, že jsou bytostně důležíté při řízení a koordinaci exprese oněch ,,několika málo" strukturních genů.</w:t>
      </w:r>
    </w:p>
    <w:p w:rsidR="00B53C27" w:rsidRPr="00B53C27" w:rsidRDefault="00B53C27" w:rsidP="00B53C27">
      <w:pPr>
        <w:rPr>
          <w:rFonts w:asciiTheme="majorHAnsi" w:eastAsia="TrebuchetMS-Bold" w:hAnsiTheme="majorHAnsi"/>
        </w:rPr>
      </w:pPr>
      <w:r w:rsidRPr="00B53C27">
        <w:rPr>
          <w:rFonts w:asciiTheme="majorHAnsi" w:eastAsia="TrebuchetMS-Bold" w:hAnsiTheme="majorHAnsi"/>
        </w:rPr>
        <w:t xml:space="preserve">Pouhých 1,5 % z původních genů dává vznik bílkoviným molekulám, označujeme  je tedy jako </w:t>
      </w:r>
      <w:r w:rsidRPr="00B53C27">
        <w:rPr>
          <w:rFonts w:asciiTheme="majorHAnsi" w:eastAsia="TrebuchetMS-Bold" w:hAnsiTheme="majorHAnsi"/>
          <w:i/>
          <w:iCs/>
        </w:rPr>
        <w:t>geny strukturní</w:t>
      </w:r>
      <w:r w:rsidRPr="00B53C27">
        <w:rPr>
          <w:rFonts w:asciiTheme="majorHAnsi" w:eastAsia="TrebuchetMS-Bold" w:hAnsiTheme="majorHAnsi"/>
        </w:rPr>
        <w:t>. Zjednodušeně si můžeme představit, že jeden gen je předpisem pro jednu výslednou molekulu finálního proteinu, který spoluutváří naše tělo. (Pro upřesnění viz odstavec o postranskripční modifikaci.)</w:t>
      </w:r>
    </w:p>
    <w:p w:rsidR="00364EA8" w:rsidRPr="000B16D5" w:rsidRDefault="00364EA8" w:rsidP="00B53C27">
      <w:pPr>
        <w:pStyle w:val="Odstavecseseznamem"/>
        <w:rPr>
          <w:rFonts w:eastAsia="TrebuchetMS-Bold"/>
        </w:rPr>
      </w:pPr>
    </w:p>
    <w:p w:rsidR="00364EA8" w:rsidRPr="000B16D5" w:rsidRDefault="00B53C27" w:rsidP="00364EA8">
      <w:pPr>
        <w:autoSpaceDE w:val="0"/>
        <w:spacing w:after="0"/>
        <w:jc w:val="both"/>
        <w:rPr>
          <w:rFonts w:asciiTheme="majorHAnsi" w:eastAsia="TrebuchetMS-Bold" w:hAnsiTheme="majorHAnsi" w:cs="TrebuchetMS-Bold"/>
        </w:rPr>
      </w:pPr>
      <w:r>
        <w:rPr>
          <w:rFonts w:asciiTheme="majorHAnsi" w:eastAsia="TrebuchetMS-Bold" w:hAnsiTheme="majorHAnsi" w:cs="TrebuchetMS-Bold"/>
          <w:color w:val="000000"/>
        </w:rPr>
        <w:t>Každý živý organismus</w:t>
      </w:r>
      <w:r w:rsidR="00364EA8" w:rsidRPr="000B16D5">
        <w:rPr>
          <w:rFonts w:asciiTheme="majorHAnsi" w:eastAsia="TrebuchetMS-Bold" w:hAnsiTheme="majorHAnsi" w:cs="TrebuchetMS-Bold"/>
          <w:color w:val="000000"/>
        </w:rPr>
        <w:t xml:space="preserve"> má</w:t>
      </w:r>
      <w:r>
        <w:rPr>
          <w:rFonts w:asciiTheme="majorHAnsi" w:eastAsia="TrebuchetMS-Bold" w:hAnsiTheme="majorHAnsi" w:cs="TrebuchetMS-Bold"/>
          <w:color w:val="000000"/>
        </w:rPr>
        <w:t xml:space="preserve"> tedy</w:t>
      </w:r>
      <w:r w:rsidR="00364EA8" w:rsidRPr="000B16D5">
        <w:rPr>
          <w:rFonts w:asciiTheme="majorHAnsi" w:eastAsia="TrebuchetMS-Bold" w:hAnsiTheme="majorHAnsi" w:cs="TrebuchetMS-Bold"/>
          <w:color w:val="000000"/>
        </w:rPr>
        <w:t xml:space="preserve"> na buňečné molekulární úrovni v řetězci DNA řazeny úseky jednotlivých genů jeden za druhým</w:t>
      </w:r>
      <w:r w:rsidR="0019436B" w:rsidRPr="000B16D5">
        <w:rPr>
          <w:rFonts w:asciiTheme="majorHAnsi" w:eastAsia="TrebuchetMS-Bold" w:hAnsiTheme="majorHAnsi" w:cs="TrebuchetMS-Bold"/>
          <w:color w:val="000000"/>
        </w:rPr>
        <w:t>:</w:t>
      </w:r>
      <w:r w:rsidR="00FC52C5" w:rsidRPr="000B16D5">
        <w:rPr>
          <w:rFonts w:asciiTheme="majorHAnsi" w:eastAsia="TrebuchetMS-Bold" w:hAnsiTheme="majorHAnsi" w:cs="TrebuchetMS-Bold"/>
          <w:color w:val="000000"/>
        </w:rPr>
        <w:t xml:space="preserve"> </w:t>
      </w:r>
      <w:r w:rsidR="00364EA8" w:rsidRPr="000B16D5">
        <w:rPr>
          <w:rFonts w:asciiTheme="majorHAnsi" w:eastAsia="TrebuchetMS-Bold" w:hAnsiTheme="majorHAnsi" w:cs="TrebuchetMS-Bold"/>
          <w:color w:val="000000"/>
        </w:rPr>
        <w:t>RNA</w:t>
      </w:r>
      <w:r w:rsidR="0019436B" w:rsidRPr="000B16D5">
        <w:rPr>
          <w:rFonts w:asciiTheme="majorHAnsi" w:eastAsia="TrebuchetMS-Bold" w:hAnsiTheme="majorHAnsi" w:cs="TrebuchetMS-Bold"/>
          <w:color w:val="000000"/>
        </w:rPr>
        <w:t>-</w:t>
      </w:r>
      <w:r w:rsidR="00364EA8" w:rsidRPr="000B16D5">
        <w:rPr>
          <w:rFonts w:asciiTheme="majorHAnsi" w:eastAsia="TrebuchetMS-Bold" w:hAnsiTheme="majorHAnsi" w:cs="TrebuchetMS-Bold"/>
          <w:color w:val="000000"/>
        </w:rPr>
        <w:t>kódující</w:t>
      </w:r>
      <w:r w:rsidR="00EA00AC" w:rsidRPr="000B16D5">
        <w:rPr>
          <w:rFonts w:asciiTheme="majorHAnsi" w:eastAsia="TrebuchetMS-Bold" w:hAnsiTheme="majorHAnsi" w:cs="TrebuchetMS-Bold"/>
          <w:color w:val="000000"/>
        </w:rPr>
        <w:t>,</w:t>
      </w:r>
      <w:r w:rsidR="00364EA8" w:rsidRPr="000B16D5">
        <w:rPr>
          <w:rFonts w:asciiTheme="majorHAnsi" w:eastAsia="TrebuchetMS-Bold" w:hAnsiTheme="majorHAnsi" w:cs="TrebuchetMS-Bold"/>
          <w:color w:val="000000"/>
        </w:rPr>
        <w:t xml:space="preserve"> regulační, strukturní</w:t>
      </w:r>
      <w:r w:rsidR="00FC52C5" w:rsidRPr="000B16D5">
        <w:rPr>
          <w:rFonts w:asciiTheme="majorHAnsi" w:eastAsia="TrebuchetMS-Bold" w:hAnsiTheme="majorHAnsi" w:cs="TrebuchetMS-Bold"/>
          <w:color w:val="000000"/>
        </w:rPr>
        <w:t xml:space="preserve"> </w:t>
      </w:r>
      <w:r w:rsidR="00364EA8" w:rsidRPr="000B16D5">
        <w:rPr>
          <w:rFonts w:asciiTheme="majorHAnsi" w:eastAsia="TrebuchetMS-Bold" w:hAnsiTheme="majorHAnsi" w:cs="TrebuchetMS-Bold"/>
          <w:color w:val="000000"/>
        </w:rPr>
        <w:t>atp</w:t>
      </w:r>
      <w:r w:rsidR="00364EA8" w:rsidRPr="000B16D5">
        <w:rPr>
          <w:rFonts w:asciiTheme="majorHAnsi" w:eastAsia="TrebuchetMS-Bold" w:hAnsiTheme="majorHAnsi" w:cs="TrebuchetMS-Bold"/>
        </w:rPr>
        <w:t>. Různé zapojení (</w:t>
      </w:r>
      <w:r w:rsidR="00364EA8" w:rsidRPr="000B16D5">
        <w:rPr>
          <w:rFonts w:asciiTheme="majorHAnsi" w:eastAsia="TrebuchetMS-Bold" w:hAnsiTheme="majorHAnsi" w:cs="TrebuchetMS-Bold"/>
          <w:i/>
          <w:iCs/>
        </w:rPr>
        <w:t>gen</w:t>
      </w:r>
      <w:r w:rsidR="00FC52C5" w:rsidRPr="000B16D5">
        <w:rPr>
          <w:rFonts w:asciiTheme="majorHAnsi" w:eastAsia="TrebuchetMS-Bold" w:hAnsiTheme="majorHAnsi" w:cs="TrebuchetMS-Bold"/>
          <w:i/>
          <w:iCs/>
        </w:rPr>
        <w:t>ová</w:t>
      </w:r>
      <w:r w:rsidR="00364EA8" w:rsidRPr="000B16D5">
        <w:rPr>
          <w:rFonts w:asciiTheme="majorHAnsi" w:eastAsia="TrebuchetMS-Bold" w:hAnsiTheme="majorHAnsi" w:cs="TrebuchetMS-Bold"/>
        </w:rPr>
        <w:t xml:space="preserve"> </w:t>
      </w:r>
      <w:r w:rsidR="00364EA8" w:rsidRPr="000B16D5">
        <w:rPr>
          <w:rFonts w:asciiTheme="majorHAnsi" w:eastAsia="TrebuchetMS-Bold" w:hAnsiTheme="majorHAnsi" w:cs="TrebuchetMS-Bold"/>
          <w:i/>
          <w:iCs/>
        </w:rPr>
        <w:t>exprese</w:t>
      </w:r>
      <w:r w:rsidR="00364EA8" w:rsidRPr="000B16D5">
        <w:rPr>
          <w:rFonts w:asciiTheme="majorHAnsi" w:eastAsia="TrebuchetMS-Bold" w:hAnsiTheme="majorHAnsi" w:cs="TrebuchetMS-Bold"/>
        </w:rPr>
        <w:t>) těchto prvků v čase a v rozličné kombinaci potom ve výsledku vyústí v jedinečnost (strukturní, a tedy funkční) nově vznikající bílkoviny</w:t>
      </w:r>
      <w:r w:rsidR="0019436B" w:rsidRPr="000B16D5">
        <w:rPr>
          <w:rFonts w:asciiTheme="majorHAnsi" w:eastAsia="TrebuchetMS-Bold" w:hAnsiTheme="majorHAnsi" w:cs="TrebuchetMS-Bold"/>
        </w:rPr>
        <w:t>;</w:t>
      </w:r>
      <w:r w:rsidR="00364EA8" w:rsidRPr="000B16D5">
        <w:rPr>
          <w:rFonts w:asciiTheme="majorHAnsi" w:eastAsia="TrebuchetMS-Bold" w:hAnsiTheme="majorHAnsi" w:cs="TrebuchetMS-Bold"/>
        </w:rPr>
        <w:t xml:space="preserve"> určí, v jakém bude vznikat množství, a v konečném důsledku tak rozhodne o tom, jak velký budeme mít nos</w:t>
      </w:r>
      <w:r w:rsidR="004C58F7" w:rsidRPr="000B16D5">
        <w:rPr>
          <w:rFonts w:asciiTheme="majorHAnsi" w:eastAsia="TrebuchetMS-Bold" w:hAnsiTheme="majorHAnsi" w:cs="TrebuchetMS-Bold"/>
        </w:rPr>
        <w:t>,</w:t>
      </w:r>
      <w:r w:rsidR="00364EA8" w:rsidRPr="000B16D5">
        <w:rPr>
          <w:rFonts w:asciiTheme="majorHAnsi" w:eastAsia="TrebuchetMS-Bold" w:hAnsiTheme="majorHAnsi" w:cs="TrebuchetMS-Bold"/>
        </w:rPr>
        <w:t xml:space="preserve"> nebo za jak dlouho uběhneme </w:t>
      </w:r>
      <w:r w:rsidR="00FC52C5" w:rsidRPr="000B16D5">
        <w:rPr>
          <w:rFonts w:asciiTheme="majorHAnsi" w:eastAsia="TrebuchetMS-Bold" w:hAnsiTheme="majorHAnsi" w:cs="TrebuchetMS-Bold"/>
        </w:rPr>
        <w:t xml:space="preserve">stometrový </w:t>
      </w:r>
      <w:r w:rsidR="00364EA8" w:rsidRPr="000B16D5">
        <w:rPr>
          <w:rFonts w:asciiTheme="majorHAnsi" w:eastAsia="TrebuchetMS-Bold" w:hAnsiTheme="majorHAnsi" w:cs="TrebuchetMS-Bold"/>
        </w:rPr>
        <w:t>sprint po měsíčním tréninku.</w:t>
      </w:r>
    </w:p>
    <w:p w:rsidR="00364EA8" w:rsidRPr="000B16D5" w:rsidRDefault="00364EA8" w:rsidP="00364EA8">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Bílkoviny vzniknuvší ze strukturních genů zastávají v buňce nejrůznější funkce, podle kterých je pro přehlednost rozdělujeme na bílkoviny:</w:t>
      </w:r>
    </w:p>
    <w:p w:rsidR="00364EA8" w:rsidRPr="000B16D5" w:rsidRDefault="00364EA8" w:rsidP="00364EA8">
      <w:pPr>
        <w:pStyle w:val="Odstavecseseznamem"/>
        <w:numPr>
          <w:ilvl w:val="0"/>
          <w:numId w:val="42"/>
        </w:num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strukturální</w:t>
      </w:r>
      <w:r w:rsidR="00BC25CA"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 xml:space="preserve"> utváří </w:t>
      </w:r>
      <w:r w:rsidR="00BC25CA"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kostru</w:t>
      </w:r>
      <w:r w:rsidR="00BC25CA"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 xml:space="preserve"> buněk, jsou součástí membrán</w:t>
      </w:r>
      <w:r w:rsidR="00BC25CA" w:rsidRPr="000B16D5">
        <w:rPr>
          <w:rFonts w:asciiTheme="majorHAnsi" w:eastAsia="TrebuchetMS-Bold" w:hAnsiTheme="majorHAnsi" w:cs="TrebuchetMS-Bold"/>
          <w:color w:val="000000"/>
        </w:rPr>
        <w:t>,</w:t>
      </w:r>
    </w:p>
    <w:p w:rsidR="00364EA8" w:rsidRPr="000B16D5" w:rsidRDefault="00364EA8" w:rsidP="00364EA8">
      <w:pPr>
        <w:pStyle w:val="Odstavecseseznamem"/>
        <w:numPr>
          <w:ilvl w:val="0"/>
          <w:numId w:val="42"/>
        </w:num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enzymatické</w:t>
      </w:r>
      <w:r w:rsidR="00BC25CA" w:rsidRPr="000B16D5">
        <w:rPr>
          <w:rFonts w:asciiTheme="majorHAnsi" w:eastAsia="TrebuchetMS-Bold" w:hAnsiTheme="majorHAnsi" w:cs="TrebuchetMS-Bold"/>
          <w:color w:val="000000"/>
        </w:rPr>
        <w:t xml:space="preserve"> – </w:t>
      </w:r>
      <w:r w:rsidRPr="000B16D5">
        <w:rPr>
          <w:rFonts w:asciiTheme="majorHAnsi" w:eastAsia="TrebuchetMS-Bold" w:hAnsiTheme="majorHAnsi" w:cs="TrebuchetMS-Bold"/>
          <w:color w:val="000000"/>
        </w:rPr>
        <w:t>umožňují průběh nespočetných chemických reakcí (např. metabolismus)</w:t>
      </w:r>
      <w:r w:rsidR="00BC25CA" w:rsidRPr="000B16D5">
        <w:rPr>
          <w:rFonts w:asciiTheme="majorHAnsi" w:eastAsia="TrebuchetMS-Bold" w:hAnsiTheme="majorHAnsi" w:cs="TrebuchetMS-Bold"/>
          <w:color w:val="000000"/>
        </w:rPr>
        <w:t>,</w:t>
      </w:r>
    </w:p>
    <w:p w:rsidR="00364EA8" w:rsidRPr="000B16D5" w:rsidRDefault="00364EA8" w:rsidP="00364EA8">
      <w:pPr>
        <w:pStyle w:val="Odstavecseseznamem"/>
        <w:numPr>
          <w:ilvl w:val="0"/>
          <w:numId w:val="42"/>
        </w:num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signální</w:t>
      </w:r>
      <w:r w:rsidR="00BC25CA" w:rsidRPr="000B16D5">
        <w:rPr>
          <w:rFonts w:asciiTheme="majorHAnsi" w:eastAsia="TrebuchetMS-Bold" w:hAnsiTheme="majorHAnsi" w:cs="TrebuchetMS-Bold"/>
          <w:color w:val="000000"/>
        </w:rPr>
        <w:t xml:space="preserve"> – </w:t>
      </w:r>
      <w:r w:rsidRPr="000B16D5">
        <w:rPr>
          <w:rFonts w:asciiTheme="majorHAnsi" w:eastAsia="TrebuchetMS-Bold" w:hAnsiTheme="majorHAnsi" w:cs="TrebuchetMS-Bold"/>
          <w:color w:val="000000"/>
        </w:rPr>
        <w:t>změnou tvaru umožňují rozběhnutí signálních kaskád</w:t>
      </w:r>
      <w:r w:rsidR="00BC25CA" w:rsidRPr="000B16D5">
        <w:rPr>
          <w:rFonts w:asciiTheme="majorHAnsi" w:eastAsia="TrebuchetMS-Bold" w:hAnsiTheme="majorHAnsi" w:cs="TrebuchetMS-Bold"/>
          <w:color w:val="000000"/>
        </w:rPr>
        <w:t>,</w:t>
      </w:r>
    </w:p>
    <w:p w:rsidR="00364EA8" w:rsidRPr="000B16D5" w:rsidRDefault="00364EA8" w:rsidP="00364EA8">
      <w:pPr>
        <w:pStyle w:val="Odstavecseseznamem"/>
        <w:numPr>
          <w:ilvl w:val="0"/>
          <w:numId w:val="42"/>
        </w:num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zásobní</w:t>
      </w:r>
      <w:r w:rsidR="00BC25CA"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 xml:space="preserve"> vazbou na svůj povrch uskladňují některé látky, např. ionty železa, vápníku</w:t>
      </w:r>
      <w:r w:rsidR="00BC25CA" w:rsidRPr="000B16D5">
        <w:rPr>
          <w:rFonts w:asciiTheme="majorHAnsi" w:eastAsia="TrebuchetMS-Bold" w:hAnsiTheme="majorHAnsi" w:cs="TrebuchetMS-Bold"/>
          <w:color w:val="000000"/>
        </w:rPr>
        <w:t xml:space="preserve"> apod.,</w:t>
      </w:r>
    </w:p>
    <w:p w:rsidR="00364EA8" w:rsidRPr="000B16D5" w:rsidRDefault="00364EA8" w:rsidP="00364EA8">
      <w:pPr>
        <w:pStyle w:val="Odstavecseseznamem"/>
        <w:numPr>
          <w:ilvl w:val="0"/>
          <w:numId w:val="42"/>
        </w:num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regulační</w:t>
      </w:r>
      <w:r w:rsidR="00BC25CA" w:rsidRPr="000B16D5">
        <w:rPr>
          <w:rFonts w:asciiTheme="majorHAnsi" w:eastAsia="TrebuchetMS-Bold" w:hAnsiTheme="majorHAnsi" w:cs="TrebuchetMS-Bold"/>
          <w:color w:val="000000"/>
        </w:rPr>
        <w:t xml:space="preserve"> – </w:t>
      </w:r>
      <w:r w:rsidRPr="000B16D5">
        <w:rPr>
          <w:rFonts w:asciiTheme="majorHAnsi" w:eastAsia="TrebuchetMS-Bold" w:hAnsiTheme="majorHAnsi" w:cs="TrebuchetMS-Bold"/>
          <w:color w:val="000000"/>
        </w:rPr>
        <w:t>ovlivňují přepis genu z</w:t>
      </w:r>
      <w:r w:rsidR="00BC25CA" w:rsidRPr="000B16D5">
        <w:rPr>
          <w:rFonts w:asciiTheme="majorHAnsi" w:eastAsia="TrebuchetMS-Bold" w:hAnsiTheme="majorHAnsi" w:cs="TrebuchetMS-Bold"/>
          <w:color w:val="000000"/>
        </w:rPr>
        <w:t> </w:t>
      </w:r>
      <w:r w:rsidRPr="000B16D5">
        <w:rPr>
          <w:rFonts w:asciiTheme="majorHAnsi" w:eastAsia="TrebuchetMS-Bold" w:hAnsiTheme="majorHAnsi" w:cs="TrebuchetMS-Bold"/>
          <w:color w:val="000000"/>
        </w:rPr>
        <w:t>DNA</w:t>
      </w:r>
      <w:r w:rsidR="00BC25CA" w:rsidRPr="000B16D5">
        <w:rPr>
          <w:rFonts w:asciiTheme="majorHAnsi" w:eastAsia="TrebuchetMS-Bold" w:hAnsiTheme="majorHAnsi" w:cs="TrebuchetMS-Bold"/>
          <w:color w:val="000000"/>
        </w:rPr>
        <w:t>,</w:t>
      </w:r>
    </w:p>
    <w:p w:rsidR="00364EA8" w:rsidRPr="000B16D5" w:rsidRDefault="00364EA8" w:rsidP="00364EA8">
      <w:pPr>
        <w:pStyle w:val="Odstavecseseznamem"/>
        <w:numPr>
          <w:ilvl w:val="0"/>
          <w:numId w:val="42"/>
        </w:num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a další.</w:t>
      </w:r>
    </w:p>
    <w:p w:rsidR="00364EA8" w:rsidRPr="000B16D5" w:rsidRDefault="00364EA8" w:rsidP="00364EA8">
      <w:pPr>
        <w:autoSpaceDE w:val="0"/>
        <w:spacing w:after="0"/>
        <w:jc w:val="both"/>
        <w:rPr>
          <w:rFonts w:asciiTheme="majorHAnsi" w:eastAsia="TrebuchetMS-Bold" w:hAnsiTheme="majorHAnsi" w:cs="TrebuchetMS-Bold"/>
          <w:color w:val="000000"/>
        </w:rPr>
      </w:pPr>
    </w:p>
    <w:p w:rsidR="00364EA8" w:rsidRPr="000B16D5" w:rsidRDefault="00364EA8" w:rsidP="00364EA8">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lastRenderedPageBreak/>
        <w:t xml:space="preserve">Především bílkoviny regulační nebo enzymatické jsou zahrnuty do obrovského množství chemických reakcí a kaskád, které v buňce probíhají. Jde o reakce udržující organismus při životě, mezi něž náleží i množství reakcí metabolických, přímo spjatých s příjmem potravy. </w:t>
      </w:r>
    </w:p>
    <w:p w:rsidR="00364EA8" w:rsidRPr="000B16D5" w:rsidRDefault="00364EA8" w:rsidP="00364EA8">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Význam zásahů do exprese bílkovin pak tkví v rozkolísání nastavených pochodů, zpětnovazebné regulační kompenzaci a snaze dosáhnout nové rovnováhy. Reakcí organismu může být smysluplná adaptace na změněné podmínky prostředí (zvýšující šance na přežití), stejně jako zavádějící kompenzace, která při delším trvání vede k rozvoji patologie např. obezita.</w:t>
      </w:r>
    </w:p>
    <w:p w:rsidR="00364EA8" w:rsidRPr="000B16D5" w:rsidRDefault="00364EA8" w:rsidP="00364EA8">
      <w:pPr>
        <w:autoSpaceDE w:val="0"/>
        <w:spacing w:after="0"/>
        <w:jc w:val="both"/>
        <w:rPr>
          <w:rFonts w:asciiTheme="majorHAnsi" w:eastAsia="TrebuchetMS-Bold" w:hAnsiTheme="majorHAnsi" w:cs="TrebuchetMS-Bold"/>
          <w:color w:val="000000"/>
        </w:rPr>
      </w:pPr>
    </w:p>
    <w:p w:rsidR="00364EA8" w:rsidRPr="000B16D5" w:rsidRDefault="00364EA8" w:rsidP="00364EA8">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Substrátem (poskytuje stavební jednotky nebo energii) životních reakcí jsou živiny. Exprese genu,</w:t>
      </w:r>
      <w:r w:rsidR="004E7161"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ztělesněná bílkovinou, zasahuje do metabolických pochodů např. ve formě enzymů, které tyto reakce katalyzují. Úzká souvislost platí ovšem</w:t>
      </w:r>
      <w:r w:rsidRPr="000B16D5">
        <w:rPr>
          <w:rFonts w:asciiTheme="majorHAnsi" w:eastAsia="TrebuchetMS-Bold" w:hAnsiTheme="majorHAnsi" w:cs="TrebuchetMS-Bold"/>
          <w:b/>
          <w:bCs/>
          <w:color w:val="000000"/>
        </w:rPr>
        <w:t xml:space="preserve"> i v opačném směru</w:t>
      </w:r>
      <w:r w:rsidR="00A175C1" w:rsidRPr="000B16D5">
        <w:rPr>
          <w:rFonts w:asciiTheme="majorHAnsi" w:eastAsia="TrebuchetMS-Bold" w:hAnsiTheme="majorHAnsi" w:cs="TrebuchetMS-Bold"/>
          <w:color w:val="000000"/>
        </w:rPr>
        <w:t xml:space="preserve"> </w:t>
      </w:r>
      <w:r w:rsidR="00A175C1" w:rsidRPr="000B16D5">
        <w:rPr>
          <w:rFonts w:asciiTheme="majorHAnsi" w:hAnsiTheme="majorHAnsi"/>
        </w:rPr>
        <w:t>–</w:t>
      </w:r>
      <w:r w:rsidR="00A175C1"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mnoho studií z posledních deseti let průkazně potvrdilo vliv přijímané potravy a jejích složek na buněčnou expresi. Není zatím jasné</w:t>
      </w:r>
      <w:r w:rsidR="00BA5358"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 xml:space="preserve"> jak silně živiny působí</w:t>
      </w:r>
      <w:r w:rsidR="00BA5358"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 xml:space="preserve"> z uvedené provázanosti s průběhem mnoha buňěčných reakcí však lze vyvodit, že konečný důsledek může být mnohem významější (součet).</w:t>
      </w:r>
    </w:p>
    <w:p w:rsidR="0019436B" w:rsidRPr="000B16D5" w:rsidRDefault="00364EA8" w:rsidP="00364EA8">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 xml:space="preserve">Naše současné znalosti </w:t>
      </w:r>
      <w:r w:rsidR="00324DDF" w:rsidRPr="000B16D5">
        <w:rPr>
          <w:rFonts w:asciiTheme="majorHAnsi" w:eastAsia="TrebuchetMS-Bold" w:hAnsiTheme="majorHAnsi" w:cs="TrebuchetMS-Bold"/>
          <w:color w:val="000000"/>
        </w:rPr>
        <w:t>nám zatím umožují přiřadit</w:t>
      </w:r>
      <w:r w:rsidRPr="000B16D5">
        <w:rPr>
          <w:rFonts w:asciiTheme="majorHAnsi" w:eastAsia="TrebuchetMS-Bold" w:hAnsiTheme="majorHAnsi" w:cs="TrebuchetMS-Bold"/>
          <w:color w:val="000000"/>
        </w:rPr>
        <w:t xml:space="preserve"> jen velmi málo konkrétních dopadů konkrétních živin na genovou expresi. Jsou však prokázány, a z výše uvedených důvodů (</w:t>
      </w:r>
      <w:r w:rsidR="00324DDF"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plíživý, ovšem dalekosáhlý vliv</w:t>
      </w:r>
      <w:r w:rsidR="00324DDF"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 se stávají zajímavými pro výzkum. Některé prameny dokonce uvádějí vznik nového vědního odvětví</w:t>
      </w:r>
      <w:r w:rsidR="00CE6A04"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i/>
          <w:iCs/>
          <w:color w:val="000000"/>
        </w:rPr>
        <w:t>nutrigenomiky</w:t>
      </w:r>
      <w:r w:rsidRPr="000B16D5">
        <w:rPr>
          <w:rFonts w:asciiTheme="majorHAnsi" w:eastAsia="TrebuchetMS-Bold" w:hAnsiTheme="majorHAnsi" w:cs="TrebuchetMS-Bold"/>
          <w:color w:val="000000"/>
        </w:rPr>
        <w:t xml:space="preserve"> (vliv živin na strukturu a vlastnosti genomu).</w:t>
      </w:r>
    </w:p>
    <w:p w:rsidR="00364EA8" w:rsidRPr="000B16D5" w:rsidRDefault="00364EA8" w:rsidP="00364EA8">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Farmaceutický průmysl, stejně jako trh s přírodními potravinovými doplňky</w:t>
      </w:r>
      <w:r w:rsidR="005B6E26"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 xml:space="preserve"> tento bouřlivý trend úzkostlivě sledují</w:t>
      </w:r>
      <w:r w:rsidR="005B6E26"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 xml:space="preserve"> v blízké době může vést k novým metabolickým lékům, zároveň ale i k falešným očekáváním a záplavě nových a nepodložených přírodních přípravků s</w:t>
      </w:r>
      <w:r w:rsidR="006E7C35" w:rsidRPr="000B16D5">
        <w:rPr>
          <w:rFonts w:asciiTheme="majorHAnsi" w:eastAsia="TrebuchetMS-Bold" w:hAnsiTheme="majorHAnsi" w:cs="TrebuchetMS-Bold"/>
          <w:color w:val="000000"/>
        </w:rPr>
        <w:t xml:space="preserve"> takříkajíc</w:t>
      </w:r>
      <w:r w:rsidRPr="000B16D5">
        <w:rPr>
          <w:rFonts w:asciiTheme="majorHAnsi" w:eastAsia="TrebuchetMS-Bold" w:hAnsiTheme="majorHAnsi" w:cs="TrebuchetMS-Bold"/>
          <w:color w:val="000000"/>
        </w:rPr>
        <w:t xml:space="preserve"> </w:t>
      </w:r>
      <w:r w:rsidR="006E7C35"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zaručenými</w:t>
      </w:r>
      <w:r w:rsidR="006E7C35"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 xml:space="preserve"> účinky. Základní orientace v</w:t>
      </w:r>
      <w:r w:rsidR="00D145A2" w:rsidRPr="000B16D5">
        <w:rPr>
          <w:rFonts w:asciiTheme="majorHAnsi" w:eastAsia="TrebuchetMS-Bold" w:hAnsiTheme="majorHAnsi" w:cs="TrebuchetMS-Bold"/>
          <w:color w:val="000000"/>
        </w:rPr>
        <w:t xml:space="preserve"> této </w:t>
      </w:r>
      <w:r w:rsidRPr="000B16D5">
        <w:rPr>
          <w:rFonts w:asciiTheme="majorHAnsi" w:eastAsia="TrebuchetMS-Bold" w:hAnsiTheme="majorHAnsi" w:cs="TrebuchetMS-Bold"/>
          <w:color w:val="000000"/>
        </w:rPr>
        <w:t xml:space="preserve">problematice je proto pro odborníka na výživu více než </w:t>
      </w:r>
      <w:r w:rsidR="00E53DA1" w:rsidRPr="000B16D5">
        <w:rPr>
          <w:rFonts w:asciiTheme="majorHAnsi" w:eastAsia="TrebuchetMS-Bold" w:hAnsiTheme="majorHAnsi" w:cs="TrebuchetMS-Bold"/>
          <w:color w:val="000000"/>
        </w:rPr>
        <w:t>ž</w:t>
      </w:r>
      <w:r w:rsidR="00D145A2" w:rsidRPr="000B16D5">
        <w:rPr>
          <w:rFonts w:asciiTheme="majorHAnsi" w:eastAsia="TrebuchetMS-Bold" w:hAnsiTheme="majorHAnsi" w:cs="TrebuchetMS-Bold"/>
          <w:color w:val="000000"/>
        </w:rPr>
        <w:t>ádoucí</w:t>
      </w:r>
      <w:r w:rsidRPr="000B16D5">
        <w:rPr>
          <w:rFonts w:asciiTheme="majorHAnsi" w:eastAsia="TrebuchetMS-Bold" w:hAnsiTheme="majorHAnsi" w:cs="TrebuchetMS-Bold"/>
          <w:color w:val="000000"/>
        </w:rPr>
        <w:t>.</w:t>
      </w:r>
    </w:p>
    <w:p w:rsidR="00364EA8" w:rsidRPr="000B16D5" w:rsidRDefault="00364EA8" w:rsidP="00364EA8">
      <w:pPr>
        <w:autoSpaceDE w:val="0"/>
        <w:spacing w:after="0"/>
        <w:jc w:val="both"/>
        <w:rPr>
          <w:rFonts w:asciiTheme="majorHAnsi" w:eastAsia="TrebuchetMS-Bold" w:hAnsiTheme="majorHAnsi" w:cs="TrebuchetMS-Bold"/>
          <w:color w:val="000000"/>
        </w:rPr>
      </w:pPr>
    </w:p>
    <w:p w:rsidR="00364EA8" w:rsidRPr="000B16D5" w:rsidRDefault="00364EA8" w:rsidP="00364EA8">
      <w:pPr>
        <w:autoSpaceDE w:val="0"/>
        <w:spacing w:after="0"/>
        <w:jc w:val="center"/>
        <w:rPr>
          <w:rFonts w:asciiTheme="majorHAnsi" w:eastAsia="TrebuchetMS-Bold" w:hAnsiTheme="majorHAnsi" w:cs="TrebuchetMS-Bold"/>
          <w:color w:val="000000"/>
        </w:rPr>
      </w:pPr>
      <w:r w:rsidRPr="000B16D5">
        <w:rPr>
          <w:rFonts w:asciiTheme="majorHAnsi" w:eastAsia="TrebuchetMS-Bold" w:hAnsiTheme="majorHAnsi" w:cs="TrebuchetMS-Bold"/>
          <w:noProof/>
          <w:color w:val="000000"/>
        </w:rPr>
        <w:drawing>
          <wp:inline distT="0" distB="0" distL="0" distR="0" wp14:anchorId="0C16DD15" wp14:editId="642C24CD">
            <wp:extent cx="4552315" cy="2542540"/>
            <wp:effectExtent l="0" t="0" r="635"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315" cy="2542540"/>
                    </a:xfrm>
                    <a:prstGeom prst="rect">
                      <a:avLst/>
                    </a:prstGeom>
                    <a:noFill/>
                  </pic:spPr>
                </pic:pic>
              </a:graphicData>
            </a:graphic>
          </wp:inline>
        </w:drawing>
      </w:r>
    </w:p>
    <w:p w:rsidR="00545272" w:rsidRPr="000B16D5" w:rsidRDefault="00545272" w:rsidP="00291461">
      <w:pPr>
        <w:autoSpaceDE w:val="0"/>
        <w:spacing w:after="0"/>
        <w:jc w:val="both"/>
        <w:rPr>
          <w:rFonts w:asciiTheme="majorHAnsi" w:eastAsia="TrebuchetMS-Bold" w:hAnsiTheme="majorHAnsi" w:cs="TrebuchetMS-Bold"/>
          <w:color w:val="FF0000"/>
          <w:sz w:val="21"/>
          <w:szCs w:val="21"/>
        </w:rPr>
      </w:pPr>
    </w:p>
    <w:p w:rsidR="00AC32F9" w:rsidRPr="000B16D5" w:rsidRDefault="00545272" w:rsidP="00364EA8">
      <w:pPr>
        <w:pStyle w:val="Nadpispodkapitoly"/>
        <w:rPr>
          <w:rFonts w:asciiTheme="majorHAnsi" w:hAnsiTheme="majorHAnsi"/>
        </w:rPr>
      </w:pPr>
      <w:bookmarkStart w:id="17" w:name="_Toc380240590"/>
      <w:r w:rsidRPr="000B16D5">
        <w:rPr>
          <w:rFonts w:asciiTheme="majorHAnsi" w:hAnsiTheme="majorHAnsi"/>
        </w:rPr>
        <w:t>význam a průběh exprese genu</w:t>
      </w:r>
      <w:bookmarkEnd w:id="17"/>
    </w:p>
    <w:p w:rsidR="00AC32F9" w:rsidRPr="000B16D5" w:rsidRDefault="00AC32F9" w:rsidP="00AC32F9">
      <w:pPr>
        <w:pStyle w:val="Podpodnadpis"/>
        <w:rPr>
          <w:rFonts w:asciiTheme="majorHAnsi" w:hAnsiTheme="majorHAnsi"/>
        </w:rPr>
      </w:pPr>
      <w:r w:rsidRPr="000B16D5">
        <w:rPr>
          <w:rFonts w:asciiTheme="majorHAnsi" w:hAnsiTheme="majorHAnsi"/>
        </w:rPr>
        <w:t>Význam genové exprese</w:t>
      </w:r>
    </w:p>
    <w:p w:rsidR="00364EA8" w:rsidRPr="00440FD1" w:rsidRDefault="00364EA8" w:rsidP="00364EA8">
      <w:pPr>
        <w:autoSpaceDE w:val="0"/>
        <w:jc w:val="both"/>
        <w:rPr>
          <w:rFonts w:asciiTheme="majorHAnsi" w:eastAsia="TrebuchetMS-Bold" w:hAnsiTheme="majorHAnsi" w:cs="TrebuchetMS-Bold"/>
          <w:b/>
          <w:bCs/>
        </w:rPr>
      </w:pPr>
      <w:r w:rsidRPr="000B16D5">
        <w:rPr>
          <w:rFonts w:asciiTheme="majorHAnsi" w:eastAsia="TrebuchetMS-Bold" w:hAnsiTheme="majorHAnsi" w:cs="TrebuchetMS-Bold"/>
        </w:rPr>
        <w:t xml:space="preserve">Význam exprese genu tkví v </w:t>
      </w:r>
      <w:r w:rsidRPr="000B16D5">
        <w:rPr>
          <w:rFonts w:asciiTheme="majorHAnsi" w:eastAsia="TrebuchetMS-Bold" w:hAnsiTheme="majorHAnsi" w:cs="TrebuchetMS-Bold"/>
          <w:b/>
          <w:bCs/>
        </w:rPr>
        <w:t>přerodu</w:t>
      </w:r>
      <w:r w:rsidRPr="000B16D5">
        <w:rPr>
          <w:rFonts w:asciiTheme="majorHAnsi" w:eastAsia="TrebuchetMS-Bold" w:hAnsiTheme="majorHAnsi" w:cs="TrebuchetMS-Bold"/>
        </w:rPr>
        <w:t xml:space="preserve"> </w:t>
      </w:r>
      <w:r w:rsidR="001A4090" w:rsidRPr="001A4090">
        <w:rPr>
          <w:rFonts w:asciiTheme="majorHAnsi" w:eastAsia="TrebuchetMS-Bold" w:hAnsiTheme="majorHAnsi" w:cs="TrebuchetMS-Bold"/>
          <w:b/>
          <w:bCs/>
          <w:u w:val="single"/>
        </w:rPr>
        <w:t>genotypu</w:t>
      </w:r>
      <w:r w:rsidRPr="000B16D5">
        <w:rPr>
          <w:rFonts w:asciiTheme="majorHAnsi" w:eastAsia="TrebuchetMS-Bold" w:hAnsiTheme="majorHAnsi" w:cs="TrebuchetMS-Bold"/>
        </w:rPr>
        <w:t xml:space="preserve"> (</w:t>
      </w:r>
      <w:r w:rsidRPr="000B16D5">
        <w:rPr>
          <w:rFonts w:asciiTheme="majorHAnsi" w:eastAsia="TrebuchetMS-Bold" w:hAnsiTheme="majorHAnsi" w:cs="TrebuchetMS-Bold"/>
          <w:color w:val="000000"/>
        </w:rPr>
        <w:t xml:space="preserve">souhrn genů daného znaku, přeneseně i genů charakterizujících jedince </w:t>
      </w:r>
      <w:r w:rsidRPr="000B16D5">
        <w:rPr>
          <w:rFonts w:asciiTheme="majorHAnsi" w:eastAsia="TrebuchetMS-Bold" w:hAnsiTheme="majorHAnsi" w:cs="TrebuchetMS-Bold"/>
          <w:b/>
          <w:bCs/>
          <w:color w:val="000000"/>
        </w:rPr>
        <w:t xml:space="preserve">x </w:t>
      </w:r>
      <w:r w:rsidRPr="001A4090">
        <w:rPr>
          <w:rFonts w:asciiTheme="majorHAnsi" w:eastAsia="TrebuchetMS-Bold" w:hAnsiTheme="majorHAnsi" w:cs="TrebuchetMS-Bold"/>
          <w:b/>
          <w:color w:val="000000"/>
          <w:u w:val="single"/>
        </w:rPr>
        <w:t>genom</w:t>
      </w:r>
      <w:r w:rsidR="00006879"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w:t>
      </w:r>
      <w:r w:rsidR="00006879" w:rsidRPr="000B16D5">
        <w:rPr>
          <w:rFonts w:asciiTheme="majorHAnsi" w:eastAsia="TrebuchetMS-Bold" w:hAnsiTheme="majorHAnsi" w:cs="TrebuchetMS-Bold"/>
          <w:color w:val="000000"/>
        </w:rPr>
        <w:t xml:space="preserve"> </w:t>
      </w:r>
      <w:r w:rsidR="001A4090">
        <w:rPr>
          <w:rFonts w:asciiTheme="majorHAnsi" w:eastAsia="TrebuchetMS-Bold" w:hAnsiTheme="majorHAnsi" w:cs="TrebuchetMS-Bold"/>
          <w:color w:val="000000"/>
        </w:rPr>
        <w:t>soubor veškeré genetické informace daného jedince či biologického druhu</w:t>
      </w:r>
      <w:r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FF"/>
        </w:rPr>
        <w:t xml:space="preserve"> </w:t>
      </w:r>
      <w:r w:rsidRPr="000B16D5">
        <w:rPr>
          <w:rFonts w:asciiTheme="majorHAnsi" w:eastAsia="TrebuchetMS-Bold" w:hAnsiTheme="majorHAnsi" w:cs="TrebuchetMS-Bold"/>
        </w:rPr>
        <w:t xml:space="preserve">do </w:t>
      </w:r>
      <w:r w:rsidRPr="000B16D5">
        <w:rPr>
          <w:rFonts w:asciiTheme="majorHAnsi" w:eastAsia="TrebuchetMS-Bold" w:hAnsiTheme="majorHAnsi" w:cs="TrebuchetMS-Bold"/>
          <w:b/>
          <w:bCs/>
        </w:rPr>
        <w:t>fenotypu</w:t>
      </w:r>
      <w:r w:rsidRPr="000B16D5">
        <w:rPr>
          <w:rFonts w:asciiTheme="majorHAnsi" w:eastAsia="TrebuchetMS-Bold" w:hAnsiTheme="majorHAnsi" w:cs="TrebuchetMS-Bold"/>
        </w:rPr>
        <w:t xml:space="preserve"> organismu (</w:t>
      </w:r>
      <w:r w:rsidR="00006879" w:rsidRPr="000B16D5">
        <w:rPr>
          <w:rFonts w:asciiTheme="majorHAnsi" w:eastAsia="TrebuchetMS-Bold" w:hAnsiTheme="majorHAnsi" w:cs="TrebuchetMS-Bold"/>
        </w:rPr>
        <w:t>s</w:t>
      </w:r>
      <w:r w:rsidRPr="000B16D5">
        <w:rPr>
          <w:rFonts w:asciiTheme="majorHAnsi" w:eastAsia="TrebuchetMS-Bold" w:hAnsiTheme="majorHAnsi" w:cs="TrebuchetMS-Bold"/>
        </w:rPr>
        <w:t xml:space="preserve">oubor </w:t>
      </w:r>
      <w:r w:rsidRPr="000B16D5">
        <w:rPr>
          <w:rFonts w:asciiTheme="majorHAnsi" w:eastAsia="TrebuchetMS-Bold" w:hAnsiTheme="majorHAnsi" w:cs="TrebuchetMS-Bold"/>
          <w:i/>
          <w:iCs/>
        </w:rPr>
        <w:t>pozorovatelných</w:t>
      </w:r>
      <w:r w:rsidRPr="000B16D5">
        <w:rPr>
          <w:rFonts w:asciiTheme="majorHAnsi" w:eastAsia="TrebuchetMS-Bold" w:hAnsiTheme="majorHAnsi" w:cs="TrebuchetMS-Bold"/>
        </w:rPr>
        <w:t xml:space="preserve">, </w:t>
      </w:r>
      <w:r w:rsidR="00006879" w:rsidRPr="000B16D5">
        <w:rPr>
          <w:rFonts w:asciiTheme="majorHAnsi" w:eastAsia="TrebuchetMS-Bold" w:hAnsiTheme="majorHAnsi" w:cs="TrebuchetMS-Bold"/>
        </w:rPr>
        <w:t>„</w:t>
      </w:r>
      <w:r w:rsidRPr="000B16D5">
        <w:rPr>
          <w:rFonts w:asciiTheme="majorHAnsi" w:eastAsia="TrebuchetMS-Bold" w:hAnsiTheme="majorHAnsi" w:cs="TrebuchetMS-Bold"/>
        </w:rPr>
        <w:t>vnějších</w:t>
      </w:r>
      <w:r w:rsidR="00006879" w:rsidRPr="000B16D5">
        <w:rPr>
          <w:rFonts w:asciiTheme="majorHAnsi" w:eastAsia="TrebuchetMS-Bold" w:hAnsiTheme="majorHAnsi" w:cs="TrebuchetMS-Bold"/>
        </w:rPr>
        <w:t>“</w:t>
      </w:r>
      <w:r w:rsidRPr="000B16D5">
        <w:rPr>
          <w:rFonts w:asciiTheme="majorHAnsi" w:eastAsia="TrebuchetMS-Bold" w:hAnsiTheme="majorHAnsi" w:cs="TrebuchetMS-Bold"/>
        </w:rPr>
        <w:t xml:space="preserve"> znaků, nebo projevů, které můžeme sledovat. Mohou být morfologické</w:t>
      </w:r>
      <w:r w:rsidR="00006879" w:rsidRPr="000B16D5">
        <w:rPr>
          <w:rFonts w:asciiTheme="majorHAnsi" w:eastAsia="TrebuchetMS-Bold" w:hAnsiTheme="majorHAnsi" w:cs="TrebuchetMS-Bold"/>
        </w:rPr>
        <w:t xml:space="preserve"> –</w:t>
      </w:r>
      <w:r w:rsidRPr="000B16D5">
        <w:rPr>
          <w:rFonts w:asciiTheme="majorHAnsi" w:eastAsia="TrebuchetMS-Bold" w:hAnsiTheme="majorHAnsi" w:cs="TrebuchetMS-Bold"/>
        </w:rPr>
        <w:t xml:space="preserve"> např. barva očí, ale i funkčn</w:t>
      </w:r>
      <w:r w:rsidRPr="000B16D5">
        <w:rPr>
          <w:rFonts w:asciiTheme="majorHAnsi" w:eastAsia="TrebuchetMS-Bold" w:hAnsiTheme="majorHAnsi" w:cs="TrebuchetMS-Bold"/>
          <w:color w:val="000000"/>
        </w:rPr>
        <w:t>í</w:t>
      </w:r>
      <w:r w:rsidR="00006879" w:rsidRPr="000B16D5">
        <w:rPr>
          <w:rFonts w:asciiTheme="majorHAnsi" w:eastAsia="TrebuchetMS-Bold" w:hAnsiTheme="majorHAnsi" w:cs="TrebuchetMS-Bold"/>
          <w:color w:val="000000"/>
        </w:rPr>
        <w:t xml:space="preserve"> – </w:t>
      </w:r>
      <w:r w:rsidRPr="000B16D5">
        <w:rPr>
          <w:rFonts w:asciiTheme="majorHAnsi" w:eastAsia="TrebuchetMS-Bold" w:hAnsiTheme="majorHAnsi" w:cs="TrebuchetMS-Bold"/>
          <w:color w:val="000000"/>
        </w:rPr>
        <w:t>např. snížená schopnost odbourávat alkohol.)</w:t>
      </w:r>
    </w:p>
    <w:p w:rsidR="00364EA8" w:rsidRPr="000B16D5" w:rsidRDefault="00364EA8" w:rsidP="00364EA8">
      <w:pPr>
        <w:autoSpaceDE w:val="0"/>
        <w:jc w:val="both"/>
        <w:rPr>
          <w:rFonts w:asciiTheme="majorHAnsi" w:eastAsia="TrebuchetMS-Bold" w:hAnsiTheme="majorHAnsi" w:cs="TrebuchetMS-Bold"/>
        </w:rPr>
      </w:pPr>
      <w:r w:rsidRPr="000B16D5">
        <w:rPr>
          <w:rFonts w:asciiTheme="majorHAnsi" w:eastAsia="TrebuchetMS-Bold" w:hAnsiTheme="majorHAnsi" w:cs="TrebuchetMS-Bold"/>
        </w:rPr>
        <w:t xml:space="preserve">Genetická informace obsažená v genomu je předpis, důležité je ovšem jeho uvedení v život pomocí genové exprese. S výraznou dávkou nadsázky můžeme říct, že </w:t>
      </w:r>
      <w:r w:rsidRPr="000B16D5">
        <w:rPr>
          <w:rFonts w:asciiTheme="majorHAnsi" w:eastAsia="TrebuchetMS-Bold" w:hAnsiTheme="majorHAnsi" w:cs="TrebuchetMS-Bold"/>
          <w:color w:val="000000"/>
        </w:rPr>
        <w:t>informace v genomu bez vyjádření je k ničemu a</w:t>
      </w:r>
      <w:r w:rsidRPr="000B16D5">
        <w:rPr>
          <w:rFonts w:asciiTheme="majorHAnsi" w:eastAsia="TrebuchetMS-Bold" w:hAnsiTheme="majorHAnsi" w:cs="TrebuchetMS-Bold"/>
          <w:i/>
          <w:iCs/>
          <w:color w:val="000000"/>
        </w:rPr>
        <w:t xml:space="preserve"> </w:t>
      </w:r>
      <w:r w:rsidRPr="000B16D5">
        <w:rPr>
          <w:rFonts w:asciiTheme="majorHAnsi" w:eastAsia="TrebuchetMS-Bold" w:hAnsiTheme="majorHAnsi" w:cs="TrebuchetMS-Bold"/>
          <w:i/>
          <w:iCs/>
        </w:rPr>
        <w:t>jen projevené se počítá</w:t>
      </w:r>
      <w:r w:rsidRPr="000B16D5">
        <w:rPr>
          <w:rFonts w:asciiTheme="majorHAnsi" w:eastAsia="TrebuchetMS-Bold" w:hAnsiTheme="majorHAnsi" w:cs="TrebuchetMS-Bold"/>
        </w:rPr>
        <w:t>.</w:t>
      </w:r>
    </w:p>
    <w:p w:rsidR="00364EA8" w:rsidRPr="000B16D5" w:rsidRDefault="00364EA8" w:rsidP="00364EA8">
      <w:pPr>
        <w:autoSpaceDE w:val="0"/>
        <w:jc w:val="both"/>
        <w:rPr>
          <w:rFonts w:asciiTheme="majorHAnsi" w:eastAsia="TrebuchetMS-Bold" w:hAnsiTheme="majorHAnsi" w:cs="TrebuchetMS-Bold"/>
        </w:rPr>
      </w:pPr>
      <w:r w:rsidRPr="000B16D5">
        <w:rPr>
          <w:rFonts w:asciiTheme="majorHAnsi" w:eastAsia="TrebuchetMS-Bold" w:hAnsiTheme="majorHAnsi" w:cs="TrebuchetMS-Bold"/>
        </w:rPr>
        <w:lastRenderedPageBreak/>
        <w:t xml:space="preserve">Z výše uvedeného </w:t>
      </w:r>
      <w:r w:rsidR="001F60F3" w:rsidRPr="000B16D5">
        <w:rPr>
          <w:rFonts w:asciiTheme="majorHAnsi" w:eastAsia="TrebuchetMS-Bold" w:hAnsiTheme="majorHAnsi" w:cs="TrebuchetMS-Bold"/>
        </w:rPr>
        <w:t>je zřejmé</w:t>
      </w:r>
      <w:r w:rsidRPr="000B16D5">
        <w:rPr>
          <w:rFonts w:asciiTheme="majorHAnsi" w:eastAsia="TrebuchetMS-Bold" w:hAnsiTheme="majorHAnsi" w:cs="TrebuchetMS-Bold"/>
        </w:rPr>
        <w:t xml:space="preserve">, že vyjádření genu hraje roli v morfologickém (morfé, řec. tvar, podoba) i funkčním utváření lidského těla. Chyby, poruchy a nerovnováha tohoto procesu tak mohou vést k patologickým stavům a onemocněním, prevence neadekvátních zásahů naopak k posilování zdraví. Vliv živin na genovou expresi, zmíněný v předchozím odstavci, jasně souvisí s možnými následky. Otázkou zůstává do jaké míry. Z pravděpodobnostního hlediska můžeme uvažovat především o vlivu dlouhodobých stravovacích návyků a diety. </w:t>
      </w:r>
    </w:p>
    <w:p w:rsidR="001C6E46" w:rsidRPr="000B16D5" w:rsidRDefault="00364EA8" w:rsidP="00364EA8">
      <w:pPr>
        <w:autoSpaceDE w:val="0"/>
        <w:jc w:val="both"/>
        <w:rPr>
          <w:rFonts w:asciiTheme="majorHAnsi" w:eastAsia="TrebuchetMS-Bold" w:hAnsiTheme="majorHAnsi" w:cs="TrebuchetMS-Bold"/>
        </w:rPr>
      </w:pPr>
      <w:r w:rsidRPr="000B16D5">
        <w:rPr>
          <w:rFonts w:asciiTheme="majorHAnsi" w:eastAsia="TrebuchetMS-Bold" w:hAnsiTheme="majorHAnsi" w:cs="TrebuchetMS-Bold"/>
        </w:rPr>
        <w:t>Protože opotřebení nahromaděné v průběhu života nelze zastavit, preventivní opatření jiného než dlouhodobého charakteru budou mít velice nízkou účinnost.</w:t>
      </w:r>
    </w:p>
    <w:p w:rsidR="00545272" w:rsidRPr="000B16D5" w:rsidRDefault="00545272" w:rsidP="00AC32F9">
      <w:pPr>
        <w:pStyle w:val="Podpodnadpis"/>
        <w:rPr>
          <w:rFonts w:asciiTheme="majorHAnsi" w:hAnsiTheme="majorHAnsi"/>
        </w:rPr>
      </w:pPr>
      <w:r w:rsidRPr="000B16D5">
        <w:rPr>
          <w:rFonts w:asciiTheme="majorHAnsi" w:hAnsiTheme="majorHAnsi"/>
        </w:rPr>
        <w:t>P</w:t>
      </w:r>
      <w:r w:rsidR="00AC32F9" w:rsidRPr="000B16D5">
        <w:rPr>
          <w:rFonts w:asciiTheme="majorHAnsi" w:hAnsiTheme="majorHAnsi"/>
        </w:rPr>
        <w:t>růběh genové exprese</w:t>
      </w:r>
    </w:p>
    <w:p w:rsidR="00545272" w:rsidRPr="000B16D5" w:rsidRDefault="00364EA8" w:rsidP="00291461">
      <w:pPr>
        <w:autoSpaceDE w:val="0"/>
        <w:spacing w:after="0"/>
        <w:jc w:val="both"/>
        <w:rPr>
          <w:rFonts w:asciiTheme="majorHAnsi" w:eastAsia="TrebuchetMS-Bold" w:hAnsiTheme="majorHAnsi" w:cs="TrebuchetMS-Bold"/>
        </w:rPr>
      </w:pPr>
      <w:r w:rsidRPr="000B16D5">
        <w:rPr>
          <w:rFonts w:asciiTheme="majorHAnsi" w:eastAsia="TrebuchetMS-Bold" w:hAnsiTheme="majorHAnsi" w:cs="TrebuchetMS-Bold"/>
        </w:rPr>
        <w:t>Vyjádření genu probíhá v několika následujících krocích, přičemž jen bezchybný průběh každého z nich zaručí vznik požadované finální bílkoviny. Zároveň tato vícestupňová kaskáda umožňuje ovlivnění (ať už pozitivní/negativní, zamýšlené nebo náhodné</w:t>
      </w:r>
      <w:r w:rsidR="00E63610" w:rsidRPr="000B16D5">
        <w:rPr>
          <w:rFonts w:asciiTheme="majorHAnsi" w:eastAsia="TrebuchetMS-Bold" w:hAnsiTheme="majorHAnsi" w:cs="TrebuchetMS-Bold"/>
        </w:rPr>
        <w:t xml:space="preserve"> –</w:t>
      </w:r>
      <w:r w:rsidRPr="000B16D5">
        <w:rPr>
          <w:rFonts w:asciiTheme="majorHAnsi" w:eastAsia="TrebuchetMS-Bold" w:hAnsiTheme="majorHAnsi" w:cs="TrebuchetMS-Bold"/>
        </w:rPr>
        <w:t xml:space="preserve"> např. určitým stravovacím návykem) na každé úrovni procesu, viz následující kapitola 4.3.</w:t>
      </w:r>
    </w:p>
    <w:p w:rsidR="00AC32F9" w:rsidRPr="000B16D5" w:rsidRDefault="00364EA8" w:rsidP="00AC32F9">
      <w:pPr>
        <w:keepNext/>
        <w:autoSpaceDE w:val="0"/>
        <w:spacing w:after="0"/>
        <w:jc w:val="center"/>
        <w:rPr>
          <w:rFonts w:asciiTheme="majorHAnsi" w:hAnsiTheme="majorHAnsi"/>
        </w:rPr>
      </w:pPr>
      <w:r w:rsidRPr="000B16D5">
        <w:rPr>
          <w:rFonts w:asciiTheme="majorHAnsi" w:hAnsiTheme="majorHAnsi"/>
          <w:noProof/>
        </w:rPr>
        <w:drawing>
          <wp:inline distT="0" distB="0" distL="0" distR="0" wp14:anchorId="0C8CB2D4" wp14:editId="0CB52724">
            <wp:extent cx="3678865" cy="4756880"/>
            <wp:effectExtent l="0" t="0" r="0" b="5715"/>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1026" cy="4759674"/>
                    </a:xfrm>
                    <a:prstGeom prst="rect">
                      <a:avLst/>
                    </a:prstGeom>
                    <a:noFill/>
                  </pic:spPr>
                </pic:pic>
              </a:graphicData>
            </a:graphic>
          </wp:inline>
        </w:drawing>
      </w:r>
    </w:p>
    <w:p w:rsidR="00545272" w:rsidRPr="000B16D5" w:rsidRDefault="00AC32F9" w:rsidP="00AC32F9">
      <w:pPr>
        <w:pStyle w:val="Titulek"/>
        <w:jc w:val="center"/>
        <w:rPr>
          <w:rFonts w:asciiTheme="majorHAnsi" w:eastAsia="TrebuchetMS-Bold" w:hAnsiTheme="majorHAnsi" w:cs="TrebuchetMS-Bold"/>
          <w:b w:val="0"/>
          <w:bCs w:val="0"/>
          <w:i/>
          <w:color w:val="808080" w:themeColor="background1" w:themeShade="80"/>
          <w:sz w:val="21"/>
          <w:szCs w:val="21"/>
          <w:shd w:val="clear" w:color="auto" w:fill="FFFF0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4</w:t>
      </w:r>
      <w:r w:rsidRPr="000B16D5">
        <w:rPr>
          <w:rFonts w:asciiTheme="majorHAnsi" w:hAnsiTheme="majorHAnsi"/>
          <w:i/>
          <w:color w:val="808080" w:themeColor="background1" w:themeShade="80"/>
        </w:rPr>
        <w:fldChar w:fldCharType="end"/>
      </w:r>
      <w:r w:rsidRPr="000B16D5">
        <w:rPr>
          <w:rFonts w:asciiTheme="majorHAnsi" w:hAnsiTheme="majorHAnsi"/>
          <w:i/>
          <w:color w:val="808080" w:themeColor="background1" w:themeShade="80"/>
        </w:rPr>
        <w:t xml:space="preserve"> </w:t>
      </w:r>
      <w:r w:rsidR="00F17D84" w:rsidRPr="000B16D5">
        <w:rPr>
          <w:rFonts w:asciiTheme="majorHAnsi" w:hAnsiTheme="majorHAnsi"/>
          <w:i/>
          <w:color w:val="808080" w:themeColor="background1" w:themeShade="80"/>
        </w:rPr>
        <w:t>–</w:t>
      </w:r>
      <w:r w:rsidRPr="000B16D5">
        <w:rPr>
          <w:rFonts w:asciiTheme="majorHAnsi" w:hAnsiTheme="majorHAnsi"/>
          <w:i/>
          <w:color w:val="808080" w:themeColor="background1" w:themeShade="80"/>
        </w:rPr>
        <w:t xml:space="preserve"> Genová exprese</w:t>
      </w:r>
    </w:p>
    <w:p w:rsidR="00545272" w:rsidRPr="000B16D5" w:rsidRDefault="00B9651D" w:rsidP="00B9651D">
      <w:pPr>
        <w:autoSpaceDE w:val="0"/>
        <w:spacing w:before="120" w:after="0"/>
        <w:jc w:val="both"/>
        <w:rPr>
          <w:rFonts w:asciiTheme="majorHAnsi" w:eastAsia="TrebuchetMS-Bold" w:hAnsiTheme="majorHAnsi"/>
          <w:b/>
          <w:bCs/>
        </w:rPr>
      </w:pPr>
      <w:r w:rsidRPr="000B16D5">
        <w:rPr>
          <w:rFonts w:asciiTheme="majorHAnsi" w:eastAsia="TrebuchetMS-Bold" w:hAnsiTheme="majorHAnsi"/>
          <w:b/>
          <w:bCs/>
        </w:rPr>
        <w:t>T</w:t>
      </w:r>
      <w:r w:rsidR="00545272" w:rsidRPr="000B16D5">
        <w:rPr>
          <w:rFonts w:asciiTheme="majorHAnsi" w:eastAsia="TrebuchetMS-Bold" w:hAnsiTheme="majorHAnsi"/>
          <w:b/>
          <w:bCs/>
        </w:rPr>
        <w:t>ranskripce</w:t>
      </w:r>
    </w:p>
    <w:p w:rsidR="00364EA8" w:rsidRPr="000B16D5" w:rsidRDefault="00364EA8" w:rsidP="00364EA8">
      <w:pPr>
        <w:autoSpaceDE w:val="0"/>
        <w:spacing w:after="0"/>
        <w:jc w:val="both"/>
        <w:rPr>
          <w:rFonts w:asciiTheme="majorHAnsi" w:eastAsia="TrebuchetMS-Bold" w:hAnsiTheme="majorHAnsi"/>
        </w:rPr>
      </w:pPr>
      <w:r w:rsidRPr="000B16D5">
        <w:rPr>
          <w:rFonts w:asciiTheme="majorHAnsi" w:eastAsia="TrebuchetMS-Bold" w:hAnsiTheme="majorHAnsi"/>
        </w:rPr>
        <w:t>Jde o</w:t>
      </w:r>
      <w:r w:rsidRPr="000B16D5">
        <w:rPr>
          <w:rFonts w:asciiTheme="majorHAnsi" w:eastAsia="TrebuchetMS-Bold" w:hAnsiTheme="majorHAnsi"/>
          <w:b/>
          <w:bCs/>
        </w:rPr>
        <w:t xml:space="preserve"> přepis</w:t>
      </w:r>
      <w:r w:rsidRPr="000B16D5">
        <w:rPr>
          <w:rFonts w:asciiTheme="majorHAnsi" w:eastAsia="TrebuchetMS-Bold" w:hAnsiTheme="majorHAnsi"/>
        </w:rPr>
        <w:t xml:space="preserve"> struktury DNA </w:t>
      </w:r>
      <w:r w:rsidRPr="000B16D5">
        <w:rPr>
          <w:rFonts w:asciiTheme="majorHAnsi" w:eastAsia="TrebuchetMS-Bold" w:hAnsiTheme="majorHAnsi"/>
          <w:b/>
          <w:bCs/>
        </w:rPr>
        <w:t>do RNA</w:t>
      </w:r>
      <w:r w:rsidR="008A3AE7" w:rsidRPr="000B16D5">
        <w:rPr>
          <w:rFonts w:asciiTheme="majorHAnsi" w:eastAsia="TrebuchetMS-Bold" w:hAnsiTheme="majorHAnsi"/>
          <w:b/>
          <w:bCs/>
        </w:rPr>
        <w:t xml:space="preserve"> </w:t>
      </w:r>
      <w:r w:rsidR="00726B5B" w:rsidRPr="000B16D5">
        <w:rPr>
          <w:rFonts w:asciiTheme="majorHAnsi" w:eastAsia="TrebuchetMS-Bold" w:hAnsiTheme="majorHAnsi"/>
        </w:rPr>
        <w:t>–</w:t>
      </w:r>
      <w:r w:rsidRPr="000B16D5">
        <w:rPr>
          <w:rFonts w:asciiTheme="majorHAnsi" w:eastAsia="TrebuchetMS-Bold" w:hAnsiTheme="majorHAnsi"/>
        </w:rPr>
        <w:t xml:space="preserve"> vznik </w:t>
      </w:r>
      <w:r w:rsidRPr="000B16D5">
        <w:rPr>
          <w:rFonts w:asciiTheme="majorHAnsi" w:eastAsia="TrebuchetMS-Bold" w:hAnsiTheme="majorHAnsi"/>
          <w:i/>
          <w:iCs/>
        </w:rPr>
        <w:t>primárního transkriptu</w:t>
      </w:r>
      <w:r w:rsidRPr="000B16D5">
        <w:rPr>
          <w:rFonts w:asciiTheme="majorHAnsi" w:eastAsia="TrebuchetMS-Bold" w:hAnsiTheme="majorHAnsi"/>
        </w:rPr>
        <w:t xml:space="preserve">. Začíná v jádře buňky ve chvíli, kdy se struktura chromozomu rozvolní a vlákno DNA je </w:t>
      </w:r>
      <w:r w:rsidRPr="000B16D5">
        <w:rPr>
          <w:rFonts w:asciiTheme="majorHAnsi" w:eastAsia="TrebuchetMS-Bold" w:hAnsiTheme="majorHAnsi"/>
          <w:color w:val="000000"/>
        </w:rPr>
        <w:t xml:space="preserve">přepisu </w:t>
      </w:r>
      <w:r w:rsidRPr="000B16D5">
        <w:rPr>
          <w:rFonts w:asciiTheme="majorHAnsi" w:eastAsia="TrebuchetMS-Bold" w:hAnsiTheme="majorHAnsi"/>
        </w:rPr>
        <w:t>přístupné</w:t>
      </w:r>
      <w:r w:rsidRPr="000B16D5">
        <w:rPr>
          <w:rFonts w:asciiTheme="majorHAnsi" w:eastAsia="TrebuchetMS-Bold" w:hAnsiTheme="majorHAnsi"/>
          <w:color w:val="000000"/>
        </w:rPr>
        <w:t>.</w:t>
      </w:r>
      <w:r w:rsidRPr="000B16D5">
        <w:rPr>
          <w:rFonts w:asciiTheme="majorHAnsi" w:eastAsia="TrebuchetMS-Bold" w:hAnsiTheme="majorHAnsi"/>
        </w:rPr>
        <w:t xml:space="preserve"> Teprve tehdy může shluk enzymů přisednout na počáteční místo patřičného genu (</w:t>
      </w:r>
      <w:r w:rsidRPr="000B16D5">
        <w:rPr>
          <w:rFonts w:asciiTheme="majorHAnsi" w:eastAsia="TrebuchetMS-Bold" w:hAnsiTheme="majorHAnsi"/>
          <w:i/>
          <w:iCs/>
        </w:rPr>
        <w:t>promotor</w:t>
      </w:r>
      <w:r w:rsidRPr="000B16D5">
        <w:rPr>
          <w:rFonts w:asciiTheme="majorHAnsi" w:eastAsia="TrebuchetMS-Bold" w:hAnsiTheme="majorHAnsi"/>
        </w:rPr>
        <w:t>) a začít syntézu dceřiného vlákna ribonukleové kyseliny. Ta po vláknu pokračuje až po zvláštní označení konce genu a tedy i procesu.</w:t>
      </w:r>
    </w:p>
    <w:p w:rsidR="00545272" w:rsidRPr="000B16D5" w:rsidRDefault="00364EA8" w:rsidP="00364EA8">
      <w:pPr>
        <w:autoSpaceDE w:val="0"/>
        <w:jc w:val="both"/>
        <w:rPr>
          <w:rFonts w:asciiTheme="majorHAnsi" w:eastAsia="TrebuchetMS-Bold" w:hAnsiTheme="majorHAnsi"/>
        </w:rPr>
      </w:pPr>
      <w:r w:rsidRPr="000B16D5">
        <w:rPr>
          <w:rFonts w:asciiTheme="majorHAnsi" w:eastAsia="TrebuchetMS-Bold" w:hAnsiTheme="majorHAnsi"/>
        </w:rPr>
        <w:t>RNA vlákno poté</w:t>
      </w:r>
      <w:r w:rsidRPr="000B16D5">
        <w:rPr>
          <w:rFonts w:asciiTheme="majorHAnsi" w:eastAsia="TrebuchetMS-Bold" w:hAnsiTheme="majorHAnsi"/>
          <w:color w:val="FF0000"/>
        </w:rPr>
        <w:t xml:space="preserve"> </w:t>
      </w:r>
      <w:r w:rsidRPr="000B16D5">
        <w:rPr>
          <w:rFonts w:asciiTheme="majorHAnsi" w:eastAsia="TrebuchetMS-Bold" w:hAnsiTheme="majorHAnsi"/>
          <w:color w:val="000000"/>
        </w:rPr>
        <w:t>ve valné většině případů s</w:t>
      </w:r>
      <w:r w:rsidRPr="000B16D5">
        <w:rPr>
          <w:rFonts w:asciiTheme="majorHAnsi" w:eastAsia="TrebuchetMS-Bold" w:hAnsiTheme="majorHAnsi"/>
        </w:rPr>
        <w:t xml:space="preserve">louží jako pracovní předloha genu v dalších fázích vzniku proteinu. </w:t>
      </w:r>
    </w:p>
    <w:p w:rsidR="00545272" w:rsidRPr="000B16D5" w:rsidRDefault="00B9651D" w:rsidP="00364EA8">
      <w:pPr>
        <w:autoSpaceDE w:val="0"/>
        <w:spacing w:before="120" w:after="0"/>
        <w:jc w:val="both"/>
        <w:rPr>
          <w:rFonts w:asciiTheme="majorHAnsi" w:eastAsia="TrebuchetMS-Bold" w:hAnsiTheme="majorHAnsi"/>
          <w:b/>
          <w:bCs/>
        </w:rPr>
      </w:pPr>
      <w:r w:rsidRPr="000B16D5">
        <w:rPr>
          <w:rFonts w:asciiTheme="majorHAnsi" w:eastAsia="TrebuchetMS-Bold" w:hAnsiTheme="majorHAnsi"/>
          <w:b/>
          <w:bCs/>
        </w:rPr>
        <w:t>P</w:t>
      </w:r>
      <w:r w:rsidR="00545272" w:rsidRPr="000B16D5">
        <w:rPr>
          <w:rFonts w:asciiTheme="majorHAnsi" w:eastAsia="TrebuchetMS-Bold" w:hAnsiTheme="majorHAnsi"/>
          <w:b/>
          <w:bCs/>
        </w:rPr>
        <w:t>osttranskripční modifikace</w:t>
      </w:r>
    </w:p>
    <w:p w:rsidR="00364EA8" w:rsidRPr="000B16D5" w:rsidRDefault="00364EA8" w:rsidP="00364EA8">
      <w:pPr>
        <w:autoSpaceDE w:val="0"/>
        <w:spacing w:after="0"/>
        <w:jc w:val="both"/>
        <w:rPr>
          <w:rFonts w:asciiTheme="majorHAnsi" w:eastAsia="TrebuchetMS-Bold" w:hAnsiTheme="majorHAnsi"/>
        </w:rPr>
      </w:pPr>
      <w:r w:rsidRPr="000B16D5">
        <w:rPr>
          <w:rFonts w:asciiTheme="majorHAnsi" w:eastAsia="TrebuchetMS-Bold" w:hAnsiTheme="majorHAnsi"/>
        </w:rPr>
        <w:t xml:space="preserve">Posttranskripčních úprav probíhá v jádře více, nejdůležitější je však </w:t>
      </w:r>
      <w:r w:rsidRPr="000B16D5">
        <w:rPr>
          <w:rFonts w:asciiTheme="majorHAnsi" w:eastAsia="TrebuchetMS-Bold" w:hAnsiTheme="majorHAnsi"/>
          <w:b/>
          <w:bCs/>
        </w:rPr>
        <w:t>sestřih</w:t>
      </w:r>
      <w:r w:rsidRPr="000B16D5">
        <w:rPr>
          <w:rFonts w:asciiTheme="majorHAnsi" w:eastAsia="TrebuchetMS-Bold" w:hAnsiTheme="majorHAnsi"/>
        </w:rPr>
        <w:t xml:space="preserve"> (</w:t>
      </w:r>
      <w:r w:rsidRPr="000B16D5">
        <w:rPr>
          <w:rFonts w:asciiTheme="majorHAnsi" w:eastAsia="TrebuchetMS-Bold" w:hAnsiTheme="majorHAnsi"/>
          <w:i/>
          <w:iCs/>
        </w:rPr>
        <w:t>splicing</w:t>
      </w:r>
      <w:r w:rsidRPr="000B16D5">
        <w:rPr>
          <w:rFonts w:asciiTheme="majorHAnsi" w:eastAsia="TrebuchetMS-Bold" w:hAnsiTheme="majorHAnsi"/>
        </w:rPr>
        <w:t xml:space="preserve">). Ne všechny úseky vzniknuvšího RNA řetězce se totiž dále použijí. Úseky označované jako </w:t>
      </w:r>
      <w:r w:rsidRPr="000B16D5">
        <w:rPr>
          <w:rFonts w:asciiTheme="majorHAnsi" w:eastAsia="TrebuchetMS-Bold" w:hAnsiTheme="majorHAnsi"/>
          <w:i/>
          <w:iCs/>
        </w:rPr>
        <w:t>introny</w:t>
      </w:r>
      <w:r w:rsidRPr="000B16D5">
        <w:rPr>
          <w:rFonts w:asciiTheme="majorHAnsi" w:eastAsia="TrebuchetMS-Bold" w:hAnsiTheme="majorHAnsi"/>
        </w:rPr>
        <w:t xml:space="preserve"> se z primárního transkriptu </w:t>
      </w:r>
      <w:r w:rsidRPr="000B16D5">
        <w:rPr>
          <w:rFonts w:asciiTheme="majorHAnsi" w:eastAsia="TrebuchetMS-Bold" w:hAnsiTheme="majorHAnsi"/>
        </w:rPr>
        <w:lastRenderedPageBreak/>
        <w:t>enzymaticky vystřihnou, zbylé části (</w:t>
      </w:r>
      <w:r w:rsidRPr="000B16D5">
        <w:rPr>
          <w:rFonts w:asciiTheme="majorHAnsi" w:eastAsia="TrebuchetMS-Bold" w:hAnsiTheme="majorHAnsi"/>
          <w:i/>
          <w:iCs/>
        </w:rPr>
        <w:t>exony</w:t>
      </w:r>
      <w:r w:rsidRPr="000B16D5">
        <w:rPr>
          <w:rFonts w:asciiTheme="majorHAnsi" w:eastAsia="TrebuchetMS-Bold" w:hAnsiTheme="majorHAnsi"/>
        </w:rPr>
        <w:t>) se pospojují znovu v jeden celek a vytvoří tak kratší, ale jasnou předlohu pro finální bílkovinu.</w:t>
      </w:r>
    </w:p>
    <w:p w:rsidR="00364EA8" w:rsidRPr="000B16D5" w:rsidRDefault="00364EA8" w:rsidP="00364EA8">
      <w:pPr>
        <w:autoSpaceDE w:val="0"/>
        <w:jc w:val="both"/>
        <w:rPr>
          <w:rFonts w:asciiTheme="majorHAnsi" w:eastAsia="TrebuchetMS-Bold" w:hAnsiTheme="majorHAnsi"/>
        </w:rPr>
      </w:pPr>
      <w:r w:rsidRPr="000B16D5">
        <w:rPr>
          <w:rFonts w:asciiTheme="majorHAnsi" w:eastAsia="TrebuchetMS-Bold" w:hAnsiTheme="majorHAnsi"/>
        </w:rPr>
        <w:t xml:space="preserve">Často </w:t>
      </w:r>
      <w:r w:rsidR="00A175C1" w:rsidRPr="000B16D5">
        <w:rPr>
          <w:rFonts w:asciiTheme="majorHAnsi" w:eastAsia="TrebuchetMS-Bold" w:hAnsiTheme="majorHAnsi"/>
        </w:rPr>
        <w:t xml:space="preserve">se </w:t>
      </w:r>
      <w:r w:rsidRPr="000B16D5">
        <w:rPr>
          <w:rFonts w:asciiTheme="majorHAnsi" w:eastAsia="TrebuchetMS-Bold" w:hAnsiTheme="majorHAnsi"/>
        </w:rPr>
        <w:t xml:space="preserve">při sestřihu </w:t>
      </w:r>
      <w:r w:rsidR="00A175C1" w:rsidRPr="000B16D5">
        <w:rPr>
          <w:rFonts w:asciiTheme="majorHAnsi" w:eastAsia="TrebuchetMS-Bold" w:hAnsiTheme="majorHAnsi"/>
        </w:rPr>
        <w:t>stává</w:t>
      </w:r>
      <w:r w:rsidRPr="000B16D5">
        <w:rPr>
          <w:rFonts w:asciiTheme="majorHAnsi" w:eastAsia="TrebuchetMS-Bold" w:hAnsiTheme="majorHAnsi"/>
        </w:rPr>
        <w:t>, že jsou vystřiženy různé introny v různém rozsahu. Stejný primární transkript je tedy zkrácen o různý počet různých intronů a finální RNA-předloha proteinu se různí. Z jednoho genu tak může vzniknout více výsledných bílkovin. Tento mechanismus se nazývá</w:t>
      </w:r>
      <w:r w:rsidRPr="000B16D5">
        <w:rPr>
          <w:rFonts w:asciiTheme="majorHAnsi" w:eastAsia="TrebuchetMS-Bold" w:hAnsiTheme="majorHAnsi"/>
          <w:i/>
          <w:iCs/>
        </w:rPr>
        <w:t xml:space="preserve"> alternativní sestřih.</w:t>
      </w:r>
      <w:r w:rsidRPr="000B16D5">
        <w:rPr>
          <w:rFonts w:asciiTheme="majorHAnsi" w:eastAsia="TrebuchetMS-Bold" w:hAnsiTheme="majorHAnsi"/>
        </w:rPr>
        <w:t xml:space="preserve"> Je velmi častý</w:t>
      </w:r>
      <w:r w:rsidR="00A175C1" w:rsidRPr="000B16D5">
        <w:rPr>
          <w:rFonts w:asciiTheme="majorHAnsi" w:eastAsia="TrebuchetMS-Bold" w:hAnsiTheme="majorHAnsi"/>
        </w:rPr>
        <w:t xml:space="preserve"> </w:t>
      </w:r>
      <w:r w:rsidR="00A175C1" w:rsidRPr="000B16D5">
        <w:rPr>
          <w:rFonts w:asciiTheme="majorHAnsi" w:hAnsiTheme="majorHAnsi"/>
        </w:rPr>
        <w:t>–</w:t>
      </w:r>
      <w:r w:rsidR="00A175C1" w:rsidRPr="000B16D5">
        <w:rPr>
          <w:rFonts w:asciiTheme="majorHAnsi" w:eastAsia="TrebuchetMS-Bold" w:hAnsiTheme="majorHAnsi"/>
        </w:rPr>
        <w:t xml:space="preserve"> </w:t>
      </w:r>
      <w:r w:rsidRPr="000B16D5">
        <w:rPr>
          <w:rFonts w:asciiTheme="majorHAnsi" w:eastAsia="TrebuchetMS-Bold" w:hAnsiTheme="majorHAnsi"/>
        </w:rPr>
        <w:t>zvyšuje paletu výsledných produktů při nezměněném rozsahu genetické informace v DNA a mj. i díky němu nemůžeme zjednodušující model 1</w:t>
      </w:r>
      <w:r w:rsidR="00726B5B" w:rsidRPr="000B16D5">
        <w:rPr>
          <w:rFonts w:asciiTheme="majorHAnsi" w:eastAsia="TrebuchetMS-Bold" w:hAnsiTheme="majorHAnsi"/>
        </w:rPr>
        <w:t xml:space="preserve"> </w:t>
      </w:r>
      <w:r w:rsidRPr="000B16D5">
        <w:rPr>
          <w:rFonts w:asciiTheme="majorHAnsi" w:eastAsia="TrebuchetMS-Bold" w:hAnsiTheme="majorHAnsi"/>
        </w:rPr>
        <w:t>gen</w:t>
      </w:r>
      <w:r w:rsidR="00726B5B" w:rsidRPr="000B16D5">
        <w:rPr>
          <w:rFonts w:asciiTheme="majorHAnsi" w:eastAsia="TrebuchetMS-Bold" w:hAnsiTheme="majorHAnsi"/>
        </w:rPr>
        <w:t xml:space="preserve"> </w:t>
      </w:r>
      <w:r w:rsidRPr="000B16D5">
        <w:rPr>
          <w:rFonts w:asciiTheme="majorHAnsi" w:eastAsia="TrebuchetMS-Bold" w:hAnsiTheme="majorHAnsi"/>
        </w:rPr>
        <w:t>=</w:t>
      </w:r>
      <w:r w:rsidR="00A175C1" w:rsidRPr="000B16D5">
        <w:rPr>
          <w:rFonts w:asciiTheme="majorHAnsi" w:eastAsia="TrebuchetMS-Bold" w:hAnsiTheme="majorHAnsi"/>
        </w:rPr>
        <w:t xml:space="preserve"> </w:t>
      </w:r>
      <w:r w:rsidRPr="000B16D5">
        <w:rPr>
          <w:rFonts w:asciiTheme="majorHAnsi" w:eastAsia="TrebuchetMS-Bold" w:hAnsiTheme="majorHAnsi"/>
        </w:rPr>
        <w:t xml:space="preserve">1 bílkovina brát doslova. </w:t>
      </w:r>
    </w:p>
    <w:p w:rsidR="00545272" w:rsidRPr="000B16D5" w:rsidRDefault="00B9651D" w:rsidP="00364EA8">
      <w:pPr>
        <w:autoSpaceDE w:val="0"/>
        <w:spacing w:after="0"/>
        <w:jc w:val="both"/>
        <w:rPr>
          <w:rFonts w:asciiTheme="majorHAnsi" w:eastAsia="TrebuchetMS-Bold" w:hAnsiTheme="majorHAnsi"/>
          <w:b/>
          <w:bCs/>
        </w:rPr>
      </w:pPr>
      <w:r w:rsidRPr="000B16D5">
        <w:rPr>
          <w:rFonts w:asciiTheme="majorHAnsi" w:eastAsia="TrebuchetMS-Bold" w:hAnsiTheme="majorHAnsi"/>
          <w:b/>
          <w:bCs/>
        </w:rPr>
        <w:t>T</w:t>
      </w:r>
      <w:r w:rsidR="00545272" w:rsidRPr="000B16D5">
        <w:rPr>
          <w:rFonts w:asciiTheme="majorHAnsi" w:eastAsia="TrebuchetMS-Bold" w:hAnsiTheme="majorHAnsi"/>
          <w:b/>
          <w:bCs/>
        </w:rPr>
        <w:t>ransport RNA do plazmy</w:t>
      </w:r>
    </w:p>
    <w:p w:rsidR="00364EA8" w:rsidRPr="000B16D5" w:rsidRDefault="00364EA8" w:rsidP="00364EA8">
      <w:pPr>
        <w:autoSpaceDE w:val="0"/>
        <w:jc w:val="both"/>
        <w:rPr>
          <w:rFonts w:asciiTheme="majorHAnsi" w:eastAsia="TrebuchetMS-Bold" w:hAnsiTheme="majorHAnsi"/>
        </w:rPr>
      </w:pPr>
      <w:r w:rsidRPr="000B16D5">
        <w:rPr>
          <w:rFonts w:asciiTheme="majorHAnsi" w:eastAsia="TrebuchetMS-Bold" w:hAnsiTheme="majorHAnsi"/>
        </w:rPr>
        <w:t>RNA podrobená post</w:t>
      </w:r>
      <w:r w:rsidR="008A3AE7" w:rsidRPr="000B16D5">
        <w:rPr>
          <w:rFonts w:asciiTheme="majorHAnsi" w:eastAsia="TrebuchetMS-Bold" w:hAnsiTheme="majorHAnsi"/>
        </w:rPr>
        <w:t>-</w:t>
      </w:r>
      <w:r w:rsidRPr="000B16D5">
        <w:rPr>
          <w:rFonts w:asciiTheme="majorHAnsi" w:eastAsia="TrebuchetMS-Bold" w:hAnsiTheme="majorHAnsi"/>
        </w:rPr>
        <w:t xml:space="preserve">transkripčním úpravám se stává stabilnější, </w:t>
      </w:r>
      <w:r w:rsidR="00726B5B" w:rsidRPr="000B16D5">
        <w:rPr>
          <w:rFonts w:asciiTheme="majorHAnsi" w:eastAsia="TrebuchetMS-Bold" w:hAnsiTheme="majorHAnsi"/>
        </w:rPr>
        <w:t>„</w:t>
      </w:r>
      <w:r w:rsidRPr="000B16D5">
        <w:rPr>
          <w:rFonts w:asciiTheme="majorHAnsi" w:eastAsia="TrebuchetMS-Bold" w:hAnsiTheme="majorHAnsi"/>
        </w:rPr>
        <w:t>zralejší</w:t>
      </w:r>
      <w:r w:rsidR="00726B5B" w:rsidRPr="000B16D5">
        <w:rPr>
          <w:rFonts w:asciiTheme="majorHAnsi" w:eastAsia="TrebuchetMS-Bold" w:hAnsiTheme="majorHAnsi"/>
        </w:rPr>
        <w:t>“</w:t>
      </w:r>
      <w:r w:rsidRPr="000B16D5">
        <w:rPr>
          <w:rFonts w:asciiTheme="majorHAnsi" w:eastAsia="TrebuchetMS-Bold" w:hAnsiTheme="majorHAnsi"/>
        </w:rPr>
        <w:t xml:space="preserve">. Má tak větší šanci být přenesena z buněčného jádra do cytoplazmy nebo na membránu endoplazmatického retikula (ER), kde je vázána na </w:t>
      </w:r>
      <w:r w:rsidRPr="000B16D5">
        <w:rPr>
          <w:rFonts w:asciiTheme="majorHAnsi" w:eastAsia="TrebuchetMS-Bold" w:hAnsiTheme="majorHAnsi"/>
          <w:i/>
          <w:iCs/>
        </w:rPr>
        <w:t>ribosom</w:t>
      </w:r>
      <w:r w:rsidRPr="000B16D5">
        <w:rPr>
          <w:rFonts w:asciiTheme="majorHAnsi" w:eastAsia="TrebuchetMS-Bold" w:hAnsiTheme="majorHAnsi"/>
        </w:rPr>
        <w:t xml:space="preserve"> (viz dále).</w:t>
      </w:r>
    </w:p>
    <w:p w:rsidR="00545272" w:rsidRPr="000B16D5" w:rsidRDefault="00B9651D" w:rsidP="00364EA8">
      <w:pPr>
        <w:autoSpaceDE w:val="0"/>
        <w:spacing w:before="120" w:after="0"/>
        <w:jc w:val="both"/>
        <w:rPr>
          <w:rFonts w:asciiTheme="majorHAnsi" w:eastAsia="TrebuchetMS-Bold" w:hAnsiTheme="majorHAnsi"/>
          <w:b/>
          <w:bCs/>
        </w:rPr>
      </w:pPr>
      <w:r w:rsidRPr="000B16D5">
        <w:rPr>
          <w:rFonts w:asciiTheme="majorHAnsi" w:eastAsia="TrebuchetMS-Bold" w:hAnsiTheme="majorHAnsi"/>
          <w:b/>
          <w:bCs/>
        </w:rPr>
        <w:t>T</w:t>
      </w:r>
      <w:r w:rsidR="00545272" w:rsidRPr="000B16D5">
        <w:rPr>
          <w:rFonts w:asciiTheme="majorHAnsi" w:eastAsia="TrebuchetMS-Bold" w:hAnsiTheme="majorHAnsi"/>
          <w:b/>
          <w:bCs/>
        </w:rPr>
        <w:t>ranslace</w:t>
      </w:r>
    </w:p>
    <w:p w:rsidR="00364EA8" w:rsidRPr="000B16D5" w:rsidRDefault="00364EA8" w:rsidP="00364EA8">
      <w:pPr>
        <w:autoSpaceDE w:val="0"/>
        <w:jc w:val="both"/>
        <w:rPr>
          <w:rFonts w:asciiTheme="majorHAnsi" w:eastAsia="TrebuchetMS-Bold" w:hAnsiTheme="majorHAnsi"/>
        </w:rPr>
      </w:pPr>
      <w:r w:rsidRPr="000B16D5">
        <w:rPr>
          <w:rFonts w:asciiTheme="majorHAnsi" w:eastAsia="TrebuchetMS-Bold" w:hAnsiTheme="majorHAnsi"/>
        </w:rPr>
        <w:t xml:space="preserve">Translací nazýváme </w:t>
      </w:r>
      <w:r w:rsidRPr="000B16D5">
        <w:rPr>
          <w:rFonts w:asciiTheme="majorHAnsi" w:eastAsia="TrebuchetMS-Bold" w:hAnsiTheme="majorHAnsi"/>
          <w:b/>
          <w:bCs/>
        </w:rPr>
        <w:t>přepis</w:t>
      </w:r>
      <w:r w:rsidRPr="000B16D5">
        <w:rPr>
          <w:rFonts w:asciiTheme="majorHAnsi" w:eastAsia="TrebuchetMS-Bold" w:hAnsiTheme="majorHAnsi"/>
        </w:rPr>
        <w:t xml:space="preserve"> upraveného RNA vlákna </w:t>
      </w:r>
      <w:r w:rsidRPr="000B16D5">
        <w:rPr>
          <w:rFonts w:asciiTheme="majorHAnsi" w:eastAsia="TrebuchetMS-Bold" w:hAnsiTheme="majorHAnsi"/>
          <w:b/>
          <w:bCs/>
        </w:rPr>
        <w:t>do struktury bílkoviny</w:t>
      </w:r>
      <w:r w:rsidRPr="000B16D5">
        <w:rPr>
          <w:rFonts w:asciiTheme="majorHAnsi" w:eastAsia="TrebuchetMS-Bold" w:hAnsiTheme="majorHAnsi"/>
        </w:rPr>
        <w:t>. Probíhá na speciálních buněčných částicích</w:t>
      </w:r>
      <w:r w:rsidR="00EE0A3D" w:rsidRPr="000B16D5">
        <w:rPr>
          <w:rFonts w:asciiTheme="majorHAnsi" w:eastAsia="TrebuchetMS-Bold" w:hAnsiTheme="majorHAnsi"/>
        </w:rPr>
        <w:t xml:space="preserve"> – </w:t>
      </w:r>
      <w:r w:rsidRPr="000B16D5">
        <w:rPr>
          <w:rFonts w:asciiTheme="majorHAnsi" w:eastAsia="TrebuchetMS-Bold" w:hAnsiTheme="majorHAnsi"/>
          <w:i/>
          <w:iCs/>
        </w:rPr>
        <w:t>ribozomech</w:t>
      </w:r>
      <w:r w:rsidRPr="000B16D5">
        <w:rPr>
          <w:rFonts w:asciiTheme="majorHAnsi" w:eastAsia="TrebuchetMS-Bold" w:hAnsiTheme="majorHAnsi"/>
        </w:rPr>
        <w:t xml:space="preserve">, které jsou rozptýleny buď volně v cytoplazmě, nebo vázány na membránu ER. </w:t>
      </w:r>
    </w:p>
    <w:p w:rsidR="00364EA8" w:rsidRPr="000B16D5" w:rsidRDefault="00364EA8" w:rsidP="00364EA8">
      <w:pPr>
        <w:autoSpaceDE w:val="0"/>
        <w:jc w:val="both"/>
        <w:rPr>
          <w:rFonts w:asciiTheme="majorHAnsi" w:eastAsia="TrebuchetMS-Bold" w:hAnsiTheme="majorHAnsi"/>
        </w:rPr>
      </w:pPr>
      <w:r w:rsidRPr="000B16D5">
        <w:rPr>
          <w:rFonts w:asciiTheme="majorHAnsi" w:eastAsia="TrebuchetMS-Bold" w:hAnsiTheme="majorHAnsi"/>
        </w:rPr>
        <w:t xml:space="preserve">Upravené RNA vlákno je zaneseno a vázáno patřičným koncem na ribozom. Struktura vlákna určuje při správném </w:t>
      </w:r>
      <w:r w:rsidR="00EE0A3D" w:rsidRPr="000B16D5">
        <w:rPr>
          <w:rFonts w:asciiTheme="majorHAnsi" w:eastAsia="TrebuchetMS-Bold" w:hAnsiTheme="majorHAnsi"/>
        </w:rPr>
        <w:t>„</w:t>
      </w:r>
      <w:r w:rsidRPr="000B16D5">
        <w:rPr>
          <w:rFonts w:asciiTheme="majorHAnsi" w:eastAsia="TrebuchetMS-Bold" w:hAnsiTheme="majorHAnsi"/>
        </w:rPr>
        <w:t>čtení</w:t>
      </w:r>
      <w:r w:rsidR="00EE0A3D" w:rsidRPr="000B16D5">
        <w:rPr>
          <w:rFonts w:asciiTheme="majorHAnsi" w:eastAsia="TrebuchetMS-Bold" w:hAnsiTheme="majorHAnsi"/>
        </w:rPr>
        <w:t>“</w:t>
      </w:r>
      <w:r w:rsidRPr="000B16D5">
        <w:rPr>
          <w:rFonts w:asciiTheme="majorHAnsi" w:eastAsia="TrebuchetMS-Bold" w:hAnsiTheme="majorHAnsi"/>
        </w:rPr>
        <w:t xml:space="preserve"> určité pořadí aminokyselin (AK), a dává tak vzniknout proteinu</w:t>
      </w:r>
      <w:r w:rsidR="00714CAA" w:rsidRPr="000B16D5">
        <w:rPr>
          <w:rFonts w:asciiTheme="majorHAnsi" w:eastAsia="TrebuchetMS-Bold" w:hAnsiTheme="majorHAnsi"/>
        </w:rPr>
        <w:t>.</w:t>
      </w:r>
      <w:r w:rsidRPr="000B16D5">
        <w:rPr>
          <w:rFonts w:asciiTheme="majorHAnsi" w:eastAsia="TrebuchetMS-Bold" w:hAnsiTheme="majorHAnsi"/>
        </w:rPr>
        <w:t xml:space="preserve"> (Bílkovina je velká molekula tvořená řetězcem AK, který je prostorově uspořádán do patřičného tvaru. Zjednodušeně si můžeme představit klubíčko pletací příze nebo špulku nitě.) </w:t>
      </w:r>
    </w:p>
    <w:p w:rsidR="00364EA8" w:rsidRPr="000B16D5" w:rsidRDefault="00364EA8" w:rsidP="00364EA8">
      <w:pPr>
        <w:autoSpaceDE w:val="0"/>
        <w:jc w:val="both"/>
        <w:rPr>
          <w:rFonts w:asciiTheme="majorHAnsi" w:eastAsia="TrebuchetMS-Bold" w:hAnsiTheme="majorHAnsi"/>
        </w:rPr>
      </w:pPr>
      <w:r w:rsidRPr="000B16D5">
        <w:rPr>
          <w:rFonts w:asciiTheme="majorHAnsi" w:eastAsia="TrebuchetMS-Bold" w:hAnsiTheme="majorHAnsi"/>
        </w:rPr>
        <w:t>Postupně čtená informace vyžaduje po ribozomu přiřazování vláknu RNA jednu molekulu AK za druhou, v patřičném pořadí, a zároveň navazování těchto AK na sebe. Vedle paralelně čteného vlákna RNA tak vzniká nově syntetizované vlákno primárního řetězce AK. (Asi jako jezdec zipu, pohybující se jen po jedné straně zubů, kterým přiřazuje patřičné AK a ihned z nich vytváří také vlákno.)</w:t>
      </w:r>
    </w:p>
    <w:p w:rsidR="00545272" w:rsidRPr="000B16D5" w:rsidRDefault="00B9651D" w:rsidP="00364EA8">
      <w:pPr>
        <w:autoSpaceDE w:val="0"/>
        <w:spacing w:before="120" w:after="0"/>
        <w:jc w:val="both"/>
        <w:rPr>
          <w:rFonts w:asciiTheme="majorHAnsi" w:eastAsia="TrebuchetMS-Bold" w:hAnsiTheme="majorHAnsi"/>
          <w:b/>
          <w:bCs/>
        </w:rPr>
      </w:pPr>
      <w:r w:rsidRPr="000B16D5">
        <w:rPr>
          <w:rFonts w:asciiTheme="majorHAnsi" w:eastAsia="TrebuchetMS-Bold" w:hAnsiTheme="majorHAnsi"/>
          <w:b/>
          <w:bCs/>
        </w:rPr>
        <w:t>P</w:t>
      </w:r>
      <w:r w:rsidR="00545272" w:rsidRPr="000B16D5">
        <w:rPr>
          <w:rFonts w:asciiTheme="majorHAnsi" w:eastAsia="TrebuchetMS-Bold" w:hAnsiTheme="majorHAnsi"/>
          <w:b/>
          <w:bCs/>
        </w:rPr>
        <w:t>osttranslační úpravy nově syntetizovaných proteinů</w:t>
      </w:r>
    </w:p>
    <w:p w:rsidR="00364EA8" w:rsidRPr="000B16D5" w:rsidRDefault="00364EA8" w:rsidP="00364EA8">
      <w:pPr>
        <w:autoSpaceDE w:val="0"/>
        <w:jc w:val="both"/>
        <w:rPr>
          <w:rFonts w:asciiTheme="majorHAnsi" w:eastAsia="TrebuchetMS-Bold" w:hAnsiTheme="majorHAnsi"/>
        </w:rPr>
      </w:pPr>
      <w:r w:rsidRPr="000B16D5">
        <w:rPr>
          <w:rFonts w:asciiTheme="majorHAnsi" w:eastAsia="TrebuchetMS-Bold" w:hAnsiTheme="majorHAnsi"/>
        </w:rPr>
        <w:t>Primární řetězec AK sice tvoří základní strukturu určité bílkoviny, ta svých vlastností a funkcí ovšem stále ještě nedosahuje. Získává je až konečnými, následnými post</w:t>
      </w:r>
      <w:r w:rsidR="008A3AE7" w:rsidRPr="000B16D5">
        <w:rPr>
          <w:rFonts w:asciiTheme="majorHAnsi" w:eastAsia="TrebuchetMS-Bold" w:hAnsiTheme="majorHAnsi"/>
        </w:rPr>
        <w:t>-</w:t>
      </w:r>
      <w:r w:rsidRPr="000B16D5">
        <w:rPr>
          <w:rFonts w:asciiTheme="majorHAnsi" w:eastAsia="TrebuchetMS-Bold" w:hAnsiTheme="majorHAnsi"/>
        </w:rPr>
        <w:t>translačními úpravami. Patří mezi ně například prostorové skládání do patřičného tvaru, navazování dalších molekul apod. Tak vzniká použiteln</w:t>
      </w:r>
      <w:r w:rsidR="00D1251F" w:rsidRPr="000B16D5">
        <w:rPr>
          <w:rFonts w:asciiTheme="majorHAnsi" w:eastAsia="TrebuchetMS-Bold" w:hAnsiTheme="majorHAnsi"/>
        </w:rPr>
        <w:t>ý</w:t>
      </w:r>
      <w:r w:rsidRPr="000B16D5">
        <w:rPr>
          <w:rFonts w:asciiTheme="majorHAnsi" w:eastAsia="TrebuchetMS-Bold" w:hAnsiTheme="majorHAnsi"/>
        </w:rPr>
        <w:t xml:space="preserve"> exemplář molekuly a</w:t>
      </w:r>
      <w:r w:rsidR="009D123B" w:rsidRPr="000B16D5">
        <w:rPr>
          <w:rFonts w:asciiTheme="majorHAnsi" w:eastAsia="TrebuchetMS-Bold" w:hAnsiTheme="majorHAnsi"/>
        </w:rPr>
        <w:t xml:space="preserve"> zároveň</w:t>
      </w:r>
      <w:r w:rsidRPr="000B16D5">
        <w:rPr>
          <w:rFonts w:asciiTheme="majorHAnsi" w:eastAsia="TrebuchetMS-Bold" w:hAnsiTheme="majorHAnsi"/>
        </w:rPr>
        <w:t xml:space="preserve"> končí proces vyjádření genu.</w:t>
      </w:r>
    </w:p>
    <w:p w:rsidR="00364EA8" w:rsidRPr="000B16D5" w:rsidRDefault="00364EA8" w:rsidP="00364EA8">
      <w:pPr>
        <w:autoSpaceDE w:val="0"/>
        <w:jc w:val="both"/>
        <w:rPr>
          <w:rFonts w:asciiTheme="majorHAnsi" w:eastAsia="TrebuchetMS-Bold" w:hAnsiTheme="majorHAnsi"/>
        </w:rPr>
      </w:pPr>
    </w:p>
    <w:p w:rsidR="00545272" w:rsidRPr="000B16D5" w:rsidRDefault="00B9651D" w:rsidP="00B9651D">
      <w:pPr>
        <w:pStyle w:val="Nadpispodkapitoly"/>
        <w:rPr>
          <w:rFonts w:asciiTheme="majorHAnsi" w:hAnsiTheme="majorHAnsi"/>
        </w:rPr>
      </w:pPr>
      <w:bookmarkStart w:id="18" w:name="_Toc380240591"/>
      <w:r w:rsidRPr="000B16D5">
        <w:rPr>
          <w:rFonts w:asciiTheme="majorHAnsi" w:hAnsiTheme="majorHAnsi"/>
        </w:rPr>
        <w:t>Ovlivnění genové exprese</w:t>
      </w:r>
      <w:bookmarkEnd w:id="18"/>
    </w:p>
    <w:p w:rsidR="00545272" w:rsidRPr="000B16D5" w:rsidRDefault="00545272" w:rsidP="00B9651D">
      <w:pPr>
        <w:autoSpaceDE w:val="0"/>
        <w:spacing w:after="0"/>
        <w:jc w:val="center"/>
        <w:rPr>
          <w:rFonts w:asciiTheme="majorHAnsi" w:hAnsiTheme="majorHAnsi"/>
          <w:i/>
          <w:iCs/>
          <w:sz w:val="20"/>
          <w:szCs w:val="16"/>
        </w:rPr>
      </w:pPr>
      <w:r w:rsidRPr="000B16D5">
        <w:rPr>
          <w:rFonts w:asciiTheme="majorHAnsi" w:hAnsiTheme="majorHAnsi"/>
          <w:i/>
          <w:iCs/>
          <w:sz w:val="20"/>
          <w:szCs w:val="16"/>
        </w:rPr>
        <w:t>"The advantage of this plasticity is mainly the adaptation of the organism to extreme conditions, such as starvation. The consecutive disadvantage is that an extreme condition, as nutrient abundance, can induce a pathology for particular genotypes."</w:t>
      </w:r>
    </w:p>
    <w:p w:rsidR="00545272" w:rsidRPr="000B16D5" w:rsidRDefault="00B9651D" w:rsidP="00B9651D">
      <w:pPr>
        <w:autoSpaceDE w:val="0"/>
        <w:spacing w:after="0"/>
        <w:jc w:val="right"/>
        <w:rPr>
          <w:rFonts w:asciiTheme="majorHAnsi" w:hAnsiTheme="majorHAnsi"/>
          <w:sz w:val="16"/>
          <w:szCs w:val="16"/>
          <w:shd w:val="clear" w:color="auto" w:fill="E6E6E6"/>
        </w:rPr>
      </w:pPr>
      <w:r w:rsidRPr="000B16D5">
        <w:rPr>
          <w:rFonts w:asciiTheme="majorHAnsi" w:hAnsiTheme="majorHAnsi"/>
          <w:sz w:val="16"/>
          <w:szCs w:val="16"/>
          <w:shd w:val="clear" w:color="auto" w:fill="E6E6E6"/>
        </w:rPr>
        <w:t>A</w:t>
      </w:r>
      <w:r w:rsidR="0043156E" w:rsidRPr="000B16D5">
        <w:rPr>
          <w:rFonts w:asciiTheme="majorHAnsi" w:hAnsiTheme="majorHAnsi"/>
          <w:sz w:val="16"/>
          <w:szCs w:val="16"/>
          <w:shd w:val="clear" w:color="auto" w:fill="E6E6E6"/>
        </w:rPr>
        <w:t>.</w:t>
      </w:r>
      <w:r w:rsidRPr="000B16D5">
        <w:rPr>
          <w:rFonts w:asciiTheme="majorHAnsi" w:hAnsiTheme="majorHAnsi"/>
          <w:sz w:val="16"/>
          <w:szCs w:val="16"/>
          <w:shd w:val="clear" w:color="auto" w:fill="E6E6E6"/>
        </w:rPr>
        <w:t xml:space="preserve"> Paoloni-Giacobino</w:t>
      </w:r>
    </w:p>
    <w:p w:rsidR="00545272" w:rsidRPr="000B16D5" w:rsidRDefault="00545272" w:rsidP="00291461">
      <w:pPr>
        <w:autoSpaceDE w:val="0"/>
        <w:spacing w:after="0"/>
        <w:jc w:val="both"/>
        <w:rPr>
          <w:rFonts w:asciiTheme="majorHAnsi" w:hAnsiTheme="majorHAnsi"/>
        </w:rPr>
      </w:pPr>
    </w:p>
    <w:p w:rsidR="00C10C53" w:rsidRPr="000B16D5" w:rsidRDefault="00C10C53" w:rsidP="00607594">
      <w:pPr>
        <w:autoSpaceDE w:val="0"/>
        <w:spacing w:after="0"/>
        <w:jc w:val="both"/>
        <w:rPr>
          <w:rFonts w:asciiTheme="majorHAnsi" w:hAnsiTheme="majorHAnsi"/>
        </w:rPr>
      </w:pPr>
      <w:r w:rsidRPr="000B16D5">
        <w:rPr>
          <w:rFonts w:asciiTheme="majorHAnsi" w:hAnsiTheme="majorHAnsi"/>
        </w:rPr>
        <w:t xml:space="preserve">Vyjádření genu může být ovlivněno mnoha látkami. Časté bývá např. zpětnovazebné utlumení výsledným produktem. Stejně tak ovšem do průběhu </w:t>
      </w:r>
      <w:r w:rsidRPr="000B16D5">
        <w:rPr>
          <w:rFonts w:asciiTheme="majorHAnsi" w:hAnsiTheme="majorHAnsi"/>
          <w:b/>
        </w:rPr>
        <w:t>může vstoupit i</w:t>
      </w:r>
      <w:r w:rsidRPr="000B16D5">
        <w:rPr>
          <w:rFonts w:asciiTheme="majorHAnsi" w:hAnsiTheme="majorHAnsi"/>
        </w:rPr>
        <w:t xml:space="preserve"> látka z úplně jiných buněčných procesů, jakou je například </w:t>
      </w:r>
      <w:r w:rsidRPr="000B16D5">
        <w:rPr>
          <w:rFonts w:asciiTheme="majorHAnsi" w:hAnsiTheme="majorHAnsi"/>
          <w:b/>
        </w:rPr>
        <w:t>živina z metabolismu</w:t>
      </w:r>
      <w:r w:rsidRPr="000B16D5">
        <w:rPr>
          <w:rFonts w:asciiTheme="majorHAnsi" w:hAnsiTheme="majorHAnsi"/>
        </w:rPr>
        <w:t xml:space="preserve">. Protože se průběh rozličných životních pochodů odehrává ve stejném prostoru naráz, k takovýmto inter-metabolickým/mezioborovým zásahům dochází velmi pravděpodobně a velmi často, ať již chceme (terapie, dieta), </w:t>
      </w:r>
      <w:r w:rsidR="0043156E" w:rsidRPr="000B16D5">
        <w:rPr>
          <w:rFonts w:asciiTheme="majorHAnsi" w:hAnsiTheme="majorHAnsi"/>
        </w:rPr>
        <w:t>a</w:t>
      </w:r>
      <w:r w:rsidRPr="000B16D5">
        <w:rPr>
          <w:rFonts w:asciiTheme="majorHAnsi" w:hAnsiTheme="majorHAnsi"/>
        </w:rPr>
        <w:t>nebo je to dílem náhody.</w:t>
      </w:r>
    </w:p>
    <w:p w:rsidR="00545272" w:rsidRPr="000B16D5" w:rsidRDefault="00C10C53" w:rsidP="00607594">
      <w:pPr>
        <w:pStyle w:val="Odstavecseseznamem1"/>
        <w:spacing w:line="276" w:lineRule="auto"/>
        <w:ind w:left="0"/>
        <w:jc w:val="both"/>
        <w:rPr>
          <w:rFonts w:asciiTheme="majorHAnsi" w:hAnsiTheme="majorHAnsi"/>
          <w:sz w:val="22"/>
          <w:szCs w:val="22"/>
        </w:rPr>
      </w:pPr>
      <w:r w:rsidRPr="000B16D5">
        <w:rPr>
          <w:rFonts w:asciiTheme="majorHAnsi" w:hAnsiTheme="majorHAnsi"/>
          <w:sz w:val="22"/>
          <w:szCs w:val="22"/>
        </w:rPr>
        <w:t>V</w:t>
      </w:r>
      <w:r w:rsidR="00607594" w:rsidRPr="000B16D5">
        <w:rPr>
          <w:rFonts w:asciiTheme="majorHAnsi" w:hAnsiTheme="majorHAnsi"/>
          <w:sz w:val="22"/>
          <w:szCs w:val="22"/>
        </w:rPr>
        <w:t xml:space="preserve"> </w:t>
      </w:r>
      <w:r w:rsidRPr="000B16D5">
        <w:rPr>
          <w:rFonts w:asciiTheme="majorHAnsi" w:hAnsiTheme="majorHAnsi"/>
          <w:sz w:val="22"/>
          <w:szCs w:val="22"/>
        </w:rPr>
        <w:t xml:space="preserve">potravě obsažené látky z vnějšího prostředí působí na genovou expresi buď </w:t>
      </w:r>
      <w:r w:rsidRPr="000B16D5">
        <w:rPr>
          <w:rFonts w:asciiTheme="majorHAnsi" w:hAnsiTheme="majorHAnsi"/>
          <w:b/>
          <w:sz w:val="22"/>
          <w:szCs w:val="22"/>
        </w:rPr>
        <w:t>přímo</w:t>
      </w:r>
      <w:r w:rsidRPr="000B16D5">
        <w:rPr>
          <w:rFonts w:asciiTheme="majorHAnsi" w:hAnsiTheme="majorHAnsi"/>
          <w:sz w:val="22"/>
          <w:szCs w:val="22"/>
        </w:rPr>
        <w:t xml:space="preserve"> svojí pouhou přítomností (vazba na místa DNA usnadňující vyjádření genu), nebo zprostředkovaně</w:t>
      </w:r>
      <w:r w:rsidR="0043156E" w:rsidRPr="000B16D5">
        <w:rPr>
          <w:rFonts w:asciiTheme="majorHAnsi" w:hAnsiTheme="majorHAnsi"/>
          <w:sz w:val="22"/>
          <w:szCs w:val="22"/>
        </w:rPr>
        <w:t xml:space="preserve"> –</w:t>
      </w:r>
      <w:r w:rsidRPr="000B16D5">
        <w:rPr>
          <w:rFonts w:asciiTheme="majorHAnsi" w:hAnsiTheme="majorHAnsi"/>
          <w:b/>
          <w:sz w:val="22"/>
          <w:szCs w:val="22"/>
        </w:rPr>
        <w:t xml:space="preserve"> nepřímo</w:t>
      </w:r>
      <w:r w:rsidRPr="000B16D5">
        <w:rPr>
          <w:rFonts w:asciiTheme="majorHAnsi" w:hAnsiTheme="majorHAnsi"/>
          <w:sz w:val="22"/>
          <w:szCs w:val="22"/>
        </w:rPr>
        <w:t>, přes ovlivnění metabolických pochodů, příp</w:t>
      </w:r>
      <w:r w:rsidR="0043156E" w:rsidRPr="000B16D5">
        <w:rPr>
          <w:rFonts w:asciiTheme="majorHAnsi" w:hAnsiTheme="majorHAnsi"/>
          <w:sz w:val="22"/>
          <w:szCs w:val="22"/>
        </w:rPr>
        <w:t>adně</w:t>
      </w:r>
      <w:r w:rsidRPr="000B16D5">
        <w:rPr>
          <w:rFonts w:asciiTheme="majorHAnsi" w:hAnsiTheme="majorHAnsi"/>
          <w:sz w:val="22"/>
          <w:szCs w:val="22"/>
        </w:rPr>
        <w:t xml:space="preserve"> buněčných signálních kaskád.</w:t>
      </w:r>
    </w:p>
    <w:p w:rsidR="00607594" w:rsidRPr="000B16D5" w:rsidRDefault="00607594" w:rsidP="00607594">
      <w:pPr>
        <w:pStyle w:val="Odstavecseseznamem1"/>
        <w:spacing w:line="276" w:lineRule="auto"/>
        <w:ind w:left="0"/>
        <w:jc w:val="both"/>
        <w:rPr>
          <w:rFonts w:asciiTheme="majorHAnsi" w:eastAsia="TrebuchetMS-Bold" w:hAnsiTheme="majorHAnsi" w:cs="TrebuchetMS-Bold"/>
          <w:sz w:val="22"/>
          <w:szCs w:val="22"/>
        </w:rPr>
      </w:pPr>
    </w:p>
    <w:p w:rsidR="00C10C53" w:rsidRPr="000B16D5" w:rsidRDefault="00C10C53" w:rsidP="00607594">
      <w:pPr>
        <w:pStyle w:val="Odstavecseseznamem1"/>
        <w:spacing w:line="276" w:lineRule="auto"/>
        <w:ind w:left="0"/>
        <w:jc w:val="both"/>
        <w:rPr>
          <w:rFonts w:asciiTheme="majorHAnsi" w:eastAsia="TrebuchetMS-Bold" w:hAnsiTheme="majorHAnsi" w:cs="TrebuchetMS-Bold"/>
          <w:sz w:val="22"/>
          <w:szCs w:val="22"/>
        </w:rPr>
      </w:pPr>
      <w:r w:rsidRPr="000B16D5">
        <w:rPr>
          <w:rFonts w:asciiTheme="majorHAnsi" w:eastAsia="TrebuchetMS-Bold" w:hAnsiTheme="majorHAnsi" w:cs="TrebuchetMS-Bold"/>
          <w:noProof/>
          <w:sz w:val="22"/>
          <w:szCs w:val="22"/>
          <w:lang w:eastAsia="cs-CZ"/>
        </w:rPr>
        <w:lastRenderedPageBreak/>
        <w:drawing>
          <wp:inline distT="0" distB="0" distL="0" distR="0" wp14:anchorId="1CAB456E" wp14:editId="71934D06">
            <wp:extent cx="6571615" cy="5019040"/>
            <wp:effectExtent l="0" t="0" r="635"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1615" cy="5019040"/>
                    </a:xfrm>
                    <a:prstGeom prst="rect">
                      <a:avLst/>
                    </a:prstGeom>
                    <a:noFill/>
                  </pic:spPr>
                </pic:pic>
              </a:graphicData>
            </a:graphic>
          </wp:inline>
        </w:drawing>
      </w:r>
    </w:p>
    <w:p w:rsidR="00607594" w:rsidRPr="000B16D5" w:rsidRDefault="00607594" w:rsidP="00607594">
      <w:pPr>
        <w:pStyle w:val="Odstavecseseznamem1"/>
        <w:spacing w:line="276" w:lineRule="auto"/>
        <w:ind w:left="0"/>
        <w:jc w:val="both"/>
        <w:rPr>
          <w:rFonts w:asciiTheme="majorHAnsi" w:eastAsia="TrebuchetMS-Bold" w:hAnsiTheme="majorHAnsi" w:cs="TrebuchetMS-Bold"/>
          <w:sz w:val="22"/>
          <w:szCs w:val="22"/>
        </w:rPr>
      </w:pPr>
    </w:p>
    <w:p w:rsidR="00C10C53" w:rsidRPr="000B16D5" w:rsidRDefault="00C10C53" w:rsidP="00607594">
      <w:pPr>
        <w:autoSpaceDE w:val="0"/>
        <w:spacing w:after="0"/>
        <w:jc w:val="both"/>
        <w:rPr>
          <w:rFonts w:asciiTheme="majorHAnsi" w:eastAsia="TrebuchetMS-Bold" w:hAnsiTheme="majorHAnsi" w:cs="TrebuchetMS-Bold"/>
        </w:rPr>
      </w:pPr>
      <w:r w:rsidRPr="000B16D5">
        <w:rPr>
          <w:rFonts w:asciiTheme="majorHAnsi" w:eastAsia="TrebuchetMS-Bold" w:hAnsiTheme="majorHAnsi" w:cs="TrebuchetMS-Bold"/>
        </w:rPr>
        <w:t xml:space="preserve">Obecně můžeme říct, že dosah je díky </w:t>
      </w:r>
      <w:r w:rsidRPr="000B16D5">
        <w:rPr>
          <w:rFonts w:asciiTheme="majorHAnsi" w:eastAsia="TrebuchetMS-Bold" w:hAnsiTheme="majorHAnsi" w:cs="TrebuchetMS-Bold"/>
          <w:i/>
        </w:rPr>
        <w:t>mnohavrstevnosti</w:t>
      </w:r>
      <w:r w:rsidRPr="000B16D5">
        <w:rPr>
          <w:rFonts w:asciiTheme="majorHAnsi" w:eastAsia="TrebuchetMS-Bold" w:hAnsiTheme="majorHAnsi" w:cs="TrebuchetMS-Bold"/>
        </w:rPr>
        <w:t xml:space="preserve"> samotné exprese i </w:t>
      </w:r>
      <w:r w:rsidRPr="000B16D5">
        <w:rPr>
          <w:rFonts w:asciiTheme="majorHAnsi" w:eastAsia="TrebuchetMS-Bold" w:hAnsiTheme="majorHAnsi" w:cs="TrebuchetMS-Bold"/>
          <w:i/>
        </w:rPr>
        <w:t>propojení</w:t>
      </w:r>
      <w:r w:rsidRPr="000B16D5">
        <w:rPr>
          <w:rFonts w:asciiTheme="majorHAnsi" w:eastAsia="TrebuchetMS-Bold" w:hAnsiTheme="majorHAnsi" w:cs="TrebuchetMS-Bold"/>
        </w:rPr>
        <w:t xml:space="preserve"> s dalšími buněčnými pochody velmi široký a nelze jej ostře vymezit, ani ilustrovat na konkrétním příkladu s jediným jasně přiřazeným výsledkem. Přestože tak může tento z</w:t>
      </w:r>
      <w:r w:rsidR="0043156E" w:rsidRPr="000B16D5">
        <w:rPr>
          <w:rFonts w:asciiTheme="majorHAnsi" w:eastAsia="TrebuchetMS-Bold" w:hAnsiTheme="majorHAnsi" w:cs="TrebuchetMS-Bold"/>
        </w:rPr>
        <w:t>p</w:t>
      </w:r>
      <w:r w:rsidRPr="000B16D5">
        <w:rPr>
          <w:rFonts w:asciiTheme="majorHAnsi" w:eastAsia="TrebuchetMS-Bold" w:hAnsiTheme="majorHAnsi" w:cs="TrebuchetMS-Bold"/>
        </w:rPr>
        <w:t xml:space="preserve">ůsob zásahů budit dojem </w:t>
      </w:r>
      <w:r w:rsidR="0043156E" w:rsidRPr="000B16D5">
        <w:rPr>
          <w:rFonts w:asciiTheme="majorHAnsi" w:eastAsia="TrebuchetMS-Bold" w:hAnsiTheme="majorHAnsi" w:cs="TrebuchetMS-Bold"/>
        </w:rPr>
        <w:t xml:space="preserve">jisté </w:t>
      </w:r>
      <w:r w:rsidRPr="000B16D5">
        <w:rPr>
          <w:rFonts w:asciiTheme="majorHAnsi" w:eastAsia="TrebuchetMS-Bold" w:hAnsiTheme="majorHAnsi" w:cs="TrebuchetMS-Bold"/>
        </w:rPr>
        <w:t xml:space="preserve">nedůležitosti, vhodným označením se zdá spíš </w:t>
      </w:r>
      <w:r w:rsidR="0043156E" w:rsidRPr="000B16D5">
        <w:rPr>
          <w:rFonts w:asciiTheme="majorHAnsi" w:eastAsia="TrebuchetMS-Bold" w:hAnsiTheme="majorHAnsi" w:cs="TrebuchetMS-Bold"/>
        </w:rPr>
        <w:t>„</w:t>
      </w:r>
      <w:r w:rsidRPr="000B16D5">
        <w:rPr>
          <w:rFonts w:asciiTheme="majorHAnsi" w:eastAsia="TrebuchetMS-Bold" w:hAnsiTheme="majorHAnsi" w:cs="TrebuchetMS-Bold"/>
        </w:rPr>
        <w:t>mlhavá plíživost</w:t>
      </w:r>
      <w:r w:rsidR="0043156E" w:rsidRPr="000B16D5">
        <w:rPr>
          <w:rFonts w:asciiTheme="majorHAnsi" w:eastAsia="TrebuchetMS-Bold" w:hAnsiTheme="majorHAnsi" w:cs="TrebuchetMS-Bold"/>
        </w:rPr>
        <w:t>“</w:t>
      </w:r>
      <w:r w:rsidRPr="000B16D5">
        <w:rPr>
          <w:rFonts w:asciiTheme="majorHAnsi" w:eastAsia="TrebuchetMS-Bold" w:hAnsiTheme="majorHAnsi" w:cs="TrebuchetMS-Bold"/>
        </w:rPr>
        <w:t xml:space="preserve">. Procesy nemají sice jednoznačný výsledek, zato však pravděpodobnostně promlouvají do </w:t>
      </w:r>
      <w:r w:rsidRPr="000B16D5">
        <w:rPr>
          <w:rFonts w:asciiTheme="majorHAnsi" w:eastAsia="TrebuchetMS-Bold" w:hAnsiTheme="majorHAnsi" w:cs="TrebuchetMS-Bold"/>
          <w:b/>
        </w:rPr>
        <w:t>nastavení systému jako celku</w:t>
      </w:r>
      <w:r w:rsidR="0043156E" w:rsidRPr="000B16D5">
        <w:rPr>
          <w:rFonts w:asciiTheme="majorHAnsi" w:eastAsia="TrebuchetMS-Bold" w:hAnsiTheme="majorHAnsi" w:cs="TrebuchetMS-Bold"/>
          <w:b/>
        </w:rPr>
        <w:t>.</w:t>
      </w:r>
      <w:r w:rsidR="0043156E" w:rsidRPr="000B16D5">
        <w:rPr>
          <w:rFonts w:asciiTheme="majorHAnsi" w:eastAsia="TrebuchetMS-Bold" w:hAnsiTheme="majorHAnsi" w:cs="TrebuchetMS-Bold"/>
        </w:rPr>
        <w:t xml:space="preserve"> J</w:t>
      </w:r>
      <w:r w:rsidRPr="000B16D5">
        <w:rPr>
          <w:rFonts w:asciiTheme="majorHAnsi" w:eastAsia="TrebuchetMS-Bold" w:hAnsiTheme="majorHAnsi" w:cs="TrebuchetMS-Bold"/>
        </w:rPr>
        <w:t>ejich zkoumáním se zabývá mj. systémová biologie (analýza výsledků při mnoha proměnných a jejich vzájemných interakcích). Plíživost, připočteme-li dlouhodobé působení v čase (např. celoživotní stravovací návyky), může pak snadno překročit pomyslnou hranici onemocnění</w:t>
      </w:r>
      <w:r w:rsidR="0043156E" w:rsidRPr="000B16D5">
        <w:rPr>
          <w:rFonts w:asciiTheme="majorHAnsi" w:eastAsia="TrebuchetMS-Bold" w:hAnsiTheme="majorHAnsi" w:cs="TrebuchetMS-Bold"/>
        </w:rPr>
        <w:t xml:space="preserve"> s tím, že za touto hranicí </w:t>
      </w:r>
      <w:r w:rsidRPr="000B16D5">
        <w:rPr>
          <w:rFonts w:asciiTheme="majorHAnsi" w:eastAsia="TrebuchetMS-Bold" w:hAnsiTheme="majorHAnsi" w:cs="TrebuchetMS-Bold"/>
        </w:rPr>
        <w:t>je již náprava nejistá.</w:t>
      </w:r>
    </w:p>
    <w:p w:rsidR="00607594" w:rsidRPr="000B16D5" w:rsidRDefault="00607594" w:rsidP="00607594">
      <w:pPr>
        <w:autoSpaceDE w:val="0"/>
        <w:spacing w:after="0"/>
        <w:jc w:val="both"/>
        <w:rPr>
          <w:rFonts w:asciiTheme="majorHAnsi" w:eastAsia="TrebuchetMS-Bold" w:hAnsiTheme="majorHAnsi" w:cs="TrebuchetMS-Bold"/>
        </w:rPr>
      </w:pPr>
    </w:p>
    <w:p w:rsidR="00607594" w:rsidRPr="000B16D5" w:rsidRDefault="00C10C53" w:rsidP="00607594">
      <w:pPr>
        <w:keepNext/>
        <w:autoSpaceDE w:val="0"/>
        <w:spacing w:after="0"/>
        <w:jc w:val="both"/>
        <w:rPr>
          <w:rFonts w:asciiTheme="majorHAnsi" w:hAnsiTheme="majorHAnsi"/>
        </w:rPr>
      </w:pPr>
      <w:r w:rsidRPr="000B16D5">
        <w:rPr>
          <w:rFonts w:asciiTheme="majorHAnsi" w:eastAsia="TrebuchetMS-Bold" w:hAnsiTheme="majorHAnsi" w:cs="TrebuchetMS-Bold"/>
          <w:noProof/>
        </w:rPr>
        <w:lastRenderedPageBreak/>
        <w:drawing>
          <wp:inline distT="0" distB="0" distL="0" distR="0" wp14:anchorId="3AFEC4A2" wp14:editId="5ACA5271">
            <wp:extent cx="6400165" cy="4828540"/>
            <wp:effectExtent l="0" t="0" r="635"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165" cy="4828540"/>
                    </a:xfrm>
                    <a:prstGeom prst="rect">
                      <a:avLst/>
                    </a:prstGeom>
                    <a:noFill/>
                  </pic:spPr>
                </pic:pic>
              </a:graphicData>
            </a:graphic>
          </wp:inline>
        </w:drawing>
      </w:r>
    </w:p>
    <w:p w:rsidR="00C10C53" w:rsidRPr="000B16D5" w:rsidRDefault="00607594" w:rsidP="00607594">
      <w:pPr>
        <w:pStyle w:val="Titulek"/>
        <w:jc w:val="center"/>
        <w:rPr>
          <w:rFonts w:asciiTheme="majorHAnsi" w:eastAsia="TrebuchetMS-Bold" w:hAnsiTheme="majorHAnsi" w:cs="TrebuchetMS-Bold"/>
          <w:i/>
          <w:color w:val="808080" w:themeColor="background1" w:themeShade="80"/>
          <w:sz w:val="22"/>
          <w:szCs w:val="22"/>
        </w:rPr>
      </w:pPr>
      <w:r w:rsidRPr="000B16D5">
        <w:rPr>
          <w:rFonts w:asciiTheme="majorHAnsi" w:hAnsiTheme="majorHAnsi"/>
          <w:i/>
          <w:color w:val="808080" w:themeColor="background1" w:themeShade="80"/>
          <w:sz w:val="22"/>
          <w:szCs w:val="22"/>
        </w:rPr>
        <w:t xml:space="preserve">Obrázek </w:t>
      </w:r>
      <w:r w:rsidRPr="000B16D5">
        <w:rPr>
          <w:rFonts w:asciiTheme="majorHAnsi" w:hAnsiTheme="majorHAnsi"/>
          <w:i/>
          <w:color w:val="808080" w:themeColor="background1" w:themeShade="80"/>
          <w:sz w:val="22"/>
          <w:szCs w:val="22"/>
        </w:rPr>
        <w:fldChar w:fldCharType="begin"/>
      </w:r>
      <w:r w:rsidRPr="000B16D5">
        <w:rPr>
          <w:rFonts w:asciiTheme="majorHAnsi" w:hAnsiTheme="majorHAnsi"/>
          <w:i/>
          <w:color w:val="808080" w:themeColor="background1" w:themeShade="80"/>
          <w:sz w:val="22"/>
          <w:szCs w:val="22"/>
        </w:rPr>
        <w:instrText xml:space="preserve"> SEQ Obrázek \* ARABIC </w:instrText>
      </w:r>
      <w:r w:rsidRPr="000B16D5">
        <w:rPr>
          <w:rFonts w:asciiTheme="majorHAnsi" w:hAnsiTheme="majorHAnsi"/>
          <w:i/>
          <w:color w:val="808080" w:themeColor="background1" w:themeShade="80"/>
          <w:sz w:val="22"/>
          <w:szCs w:val="22"/>
        </w:rPr>
        <w:fldChar w:fldCharType="separate"/>
      </w:r>
      <w:r w:rsidR="008378F9" w:rsidRPr="000B16D5">
        <w:rPr>
          <w:rFonts w:asciiTheme="majorHAnsi" w:hAnsiTheme="majorHAnsi"/>
          <w:i/>
          <w:noProof/>
          <w:color w:val="808080" w:themeColor="background1" w:themeShade="80"/>
          <w:sz w:val="22"/>
          <w:szCs w:val="22"/>
        </w:rPr>
        <w:t>5</w:t>
      </w:r>
      <w:r w:rsidRPr="000B16D5">
        <w:rPr>
          <w:rFonts w:asciiTheme="majorHAnsi" w:hAnsiTheme="majorHAnsi"/>
          <w:i/>
          <w:color w:val="808080" w:themeColor="background1" w:themeShade="80"/>
          <w:sz w:val="22"/>
          <w:szCs w:val="22"/>
        </w:rPr>
        <w:fldChar w:fldCharType="end"/>
      </w:r>
      <w:r w:rsidRPr="000B16D5">
        <w:rPr>
          <w:rFonts w:asciiTheme="majorHAnsi" w:hAnsiTheme="majorHAnsi"/>
          <w:i/>
          <w:color w:val="808080" w:themeColor="background1" w:themeShade="80"/>
          <w:sz w:val="22"/>
          <w:szCs w:val="22"/>
        </w:rPr>
        <w:t xml:space="preserve"> </w:t>
      </w:r>
      <w:r w:rsidR="00F17D84" w:rsidRPr="000B16D5">
        <w:rPr>
          <w:rFonts w:asciiTheme="majorHAnsi" w:hAnsiTheme="majorHAnsi"/>
          <w:i/>
          <w:color w:val="808080" w:themeColor="background1" w:themeShade="80"/>
          <w:sz w:val="22"/>
          <w:szCs w:val="22"/>
        </w:rPr>
        <w:t>–</w:t>
      </w:r>
      <w:r w:rsidR="00C10C53" w:rsidRPr="000B16D5">
        <w:rPr>
          <w:rFonts w:asciiTheme="majorHAnsi" w:eastAsia="TrebuchetMS-Bold" w:hAnsiTheme="majorHAnsi" w:cs="TrebuchetMS-Bold"/>
          <w:i/>
          <w:color w:val="808080" w:themeColor="background1" w:themeShade="80"/>
          <w:sz w:val="22"/>
          <w:szCs w:val="22"/>
        </w:rPr>
        <w:t xml:space="preserve"> KRÁTKÁ, DLOUHÁ zpětná vazba. Obecný příklad možného přenesení účinku z jednotlivých, různých úrovní působení.</w:t>
      </w:r>
    </w:p>
    <w:p w:rsidR="00C10C53" w:rsidRPr="000B16D5" w:rsidRDefault="00C10C53" w:rsidP="00291461">
      <w:pPr>
        <w:pStyle w:val="Odstavecseseznamem1"/>
        <w:spacing w:line="276" w:lineRule="auto"/>
        <w:ind w:left="0"/>
        <w:jc w:val="both"/>
        <w:rPr>
          <w:rFonts w:asciiTheme="majorHAnsi" w:eastAsia="TrebuchetMS-Bold" w:hAnsiTheme="majorHAnsi" w:cs="TrebuchetMS-Bold"/>
          <w:sz w:val="22"/>
          <w:szCs w:val="22"/>
        </w:rPr>
      </w:pPr>
    </w:p>
    <w:p w:rsidR="00545272" w:rsidRPr="000B16D5" w:rsidRDefault="001C6E46" w:rsidP="001C6E46">
      <w:pPr>
        <w:pStyle w:val="Nadpispodkapitoly"/>
        <w:rPr>
          <w:rFonts w:asciiTheme="majorHAnsi" w:hAnsiTheme="majorHAnsi"/>
        </w:rPr>
      </w:pPr>
      <w:bookmarkStart w:id="19" w:name="_Toc380240592"/>
      <w:r w:rsidRPr="000B16D5">
        <w:rPr>
          <w:rFonts w:asciiTheme="majorHAnsi" w:hAnsiTheme="majorHAnsi"/>
        </w:rPr>
        <w:t>P</w:t>
      </w:r>
      <w:r w:rsidR="00545272" w:rsidRPr="000B16D5">
        <w:rPr>
          <w:rFonts w:asciiTheme="majorHAnsi" w:hAnsiTheme="majorHAnsi"/>
        </w:rPr>
        <w:t>říklady vlivu konkrétních nutrientů</w:t>
      </w:r>
      <w:bookmarkEnd w:id="19"/>
    </w:p>
    <w:p w:rsidR="00C10C53" w:rsidRPr="000B16D5" w:rsidRDefault="00C10C53" w:rsidP="0002721F">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 xml:space="preserve">Na závěr </w:t>
      </w:r>
      <w:r w:rsidR="00543D9C" w:rsidRPr="000B16D5">
        <w:rPr>
          <w:rFonts w:asciiTheme="majorHAnsi" w:eastAsia="TrebuchetMS-Bold" w:hAnsiTheme="majorHAnsi" w:cs="TrebuchetMS-Bold"/>
          <w:color w:val="000000"/>
        </w:rPr>
        <w:t xml:space="preserve">si </w:t>
      </w:r>
      <w:r w:rsidRPr="000B16D5">
        <w:rPr>
          <w:rFonts w:asciiTheme="majorHAnsi" w:eastAsia="TrebuchetMS-Bold" w:hAnsiTheme="majorHAnsi" w:cs="TrebuchetMS-Bold"/>
          <w:color w:val="000000"/>
        </w:rPr>
        <w:t xml:space="preserve">krátce </w:t>
      </w:r>
      <w:r w:rsidR="00985932" w:rsidRPr="000B16D5">
        <w:rPr>
          <w:rFonts w:asciiTheme="majorHAnsi" w:eastAsia="TrebuchetMS-Bold" w:hAnsiTheme="majorHAnsi" w:cs="TrebuchetMS-Bold"/>
          <w:color w:val="000000"/>
        </w:rPr>
        <w:t xml:space="preserve">představíme </w:t>
      </w:r>
      <w:r w:rsidRPr="000B16D5">
        <w:rPr>
          <w:rFonts w:asciiTheme="majorHAnsi" w:eastAsia="TrebuchetMS-Bold" w:hAnsiTheme="majorHAnsi" w:cs="TrebuchetMS-Bold"/>
          <w:color w:val="000000"/>
        </w:rPr>
        <w:t xml:space="preserve">příklady vlivu některých vybraných nutrientů na expresi genu. Protože nelze přehledně každému přiřadit konkrétní účinek, </w:t>
      </w:r>
      <w:r w:rsidRPr="000B16D5">
        <w:rPr>
          <w:rFonts w:asciiTheme="majorHAnsi" w:eastAsia="TrebuchetMS-Bold" w:hAnsiTheme="majorHAnsi" w:cs="TrebuchetMS-Bold"/>
          <w:b/>
          <w:color w:val="000000"/>
        </w:rPr>
        <w:t>jde o ilustraci</w:t>
      </w:r>
      <w:r w:rsidRPr="000B16D5">
        <w:rPr>
          <w:rFonts w:asciiTheme="majorHAnsi" w:eastAsia="TrebuchetMS-Bold" w:hAnsiTheme="majorHAnsi" w:cs="TrebuchetMS-Bold"/>
          <w:color w:val="000000"/>
        </w:rPr>
        <w:t xml:space="preserve">, </w:t>
      </w:r>
      <w:r w:rsidR="00985932" w:rsidRPr="000B16D5">
        <w:rPr>
          <w:rFonts w:asciiTheme="majorHAnsi" w:eastAsia="TrebuchetMS-Bold" w:hAnsiTheme="majorHAnsi" w:cs="TrebuchetMS-Bold"/>
          <w:color w:val="000000"/>
        </w:rPr>
        <w:t xml:space="preserve">jak </w:t>
      </w:r>
      <w:r w:rsidRPr="000B16D5">
        <w:rPr>
          <w:rFonts w:asciiTheme="majorHAnsi" w:eastAsia="TrebuchetMS-Bold" w:hAnsiTheme="majorHAnsi" w:cs="TrebuchetMS-Bold"/>
          <w:color w:val="000000"/>
        </w:rPr>
        <w:t xml:space="preserve">se přítomnost některých nutrientů z potravy může promítnout. A to </w:t>
      </w:r>
      <w:r w:rsidR="00985932" w:rsidRPr="000B16D5">
        <w:rPr>
          <w:rFonts w:asciiTheme="majorHAnsi" w:eastAsia="TrebuchetMS-Bold" w:hAnsiTheme="majorHAnsi" w:cs="TrebuchetMS-Bold"/>
          <w:color w:val="000000"/>
        </w:rPr>
        <w:t xml:space="preserve">i přesto, že </w:t>
      </w:r>
      <w:r w:rsidRPr="000B16D5">
        <w:rPr>
          <w:rFonts w:asciiTheme="majorHAnsi" w:eastAsia="TrebuchetMS-Bold" w:hAnsiTheme="majorHAnsi" w:cs="TrebuchetMS-Bold"/>
          <w:color w:val="000000"/>
        </w:rPr>
        <w:t>s expresí genu na první pohled zdánlivě nesouvisí.</w:t>
      </w:r>
    </w:p>
    <w:p w:rsidR="00C10C53" w:rsidRPr="000B16D5" w:rsidRDefault="00C10C53" w:rsidP="0002721F">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 xml:space="preserve">Důležité je především </w:t>
      </w:r>
      <w:r w:rsidR="002B4488" w:rsidRPr="000B16D5">
        <w:rPr>
          <w:rFonts w:asciiTheme="majorHAnsi" w:eastAsia="TrebuchetMS-Bold" w:hAnsiTheme="majorHAnsi" w:cs="TrebuchetMS-Bold"/>
          <w:color w:val="000000"/>
        </w:rPr>
        <w:t xml:space="preserve">sledovat </w:t>
      </w:r>
      <w:r w:rsidRPr="000B16D5">
        <w:rPr>
          <w:rFonts w:asciiTheme="majorHAnsi" w:eastAsia="TrebuchetMS-Bold" w:hAnsiTheme="majorHAnsi" w:cs="TrebuchetMS-Bold"/>
          <w:color w:val="000000"/>
        </w:rPr>
        <w:t>možn</w:t>
      </w:r>
      <w:r w:rsidR="002B4488" w:rsidRPr="000B16D5">
        <w:rPr>
          <w:rFonts w:asciiTheme="majorHAnsi" w:eastAsia="TrebuchetMS-Bold" w:hAnsiTheme="majorHAnsi" w:cs="TrebuchetMS-Bold"/>
          <w:color w:val="000000"/>
        </w:rPr>
        <w:t>é</w:t>
      </w:r>
      <w:r w:rsidRPr="000B16D5">
        <w:rPr>
          <w:rFonts w:asciiTheme="majorHAnsi" w:eastAsia="TrebuchetMS-Bold" w:hAnsiTheme="majorHAnsi" w:cs="TrebuchetMS-Bold"/>
          <w:color w:val="000000"/>
        </w:rPr>
        <w:t xml:space="preserve"> nežádoucí účink</w:t>
      </w:r>
      <w:r w:rsidR="002B4488" w:rsidRPr="000B16D5">
        <w:rPr>
          <w:rFonts w:asciiTheme="majorHAnsi" w:eastAsia="TrebuchetMS-Bold" w:hAnsiTheme="majorHAnsi" w:cs="TrebuchetMS-Bold"/>
          <w:color w:val="000000"/>
        </w:rPr>
        <w:t>y</w:t>
      </w:r>
      <w:r w:rsidRPr="000B16D5">
        <w:rPr>
          <w:rFonts w:asciiTheme="majorHAnsi" w:eastAsia="TrebuchetMS-Bold" w:hAnsiTheme="majorHAnsi" w:cs="TrebuchetMS-Bold"/>
          <w:color w:val="000000"/>
        </w:rPr>
        <w:t xml:space="preserve"> potravinových doplňků</w:t>
      </w:r>
      <w:r w:rsidR="002B4488" w:rsidRPr="000B16D5">
        <w:rPr>
          <w:rFonts w:asciiTheme="majorHAnsi" w:eastAsia="TrebuchetMS-Bold" w:hAnsiTheme="majorHAnsi" w:cs="TrebuchetMS-Bold"/>
          <w:color w:val="000000"/>
        </w:rPr>
        <w:t>.</w:t>
      </w:r>
    </w:p>
    <w:p w:rsidR="0002721F" w:rsidRPr="000B16D5" w:rsidRDefault="0002721F" w:rsidP="0002721F">
      <w:pPr>
        <w:autoSpaceDE w:val="0"/>
        <w:spacing w:after="0"/>
        <w:jc w:val="both"/>
        <w:rPr>
          <w:rFonts w:asciiTheme="majorHAnsi" w:eastAsia="TrebuchetMS-Bold" w:hAnsiTheme="majorHAnsi" w:cs="TrebuchetMS-Bold"/>
          <w:color w:val="000000"/>
        </w:rPr>
      </w:pPr>
    </w:p>
    <w:p w:rsidR="00C10C53" w:rsidRPr="000B16D5" w:rsidRDefault="00C10C53" w:rsidP="0002721F">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Pro přehlednost členíme příklady živin podle nezbytného množství pro metabolismus:</w:t>
      </w:r>
    </w:p>
    <w:p w:rsidR="00C10C53" w:rsidRPr="000B16D5" w:rsidRDefault="00C10C53" w:rsidP="0002721F">
      <w:pPr>
        <w:autoSpaceDE w:val="0"/>
        <w:spacing w:after="0"/>
        <w:jc w:val="both"/>
        <w:rPr>
          <w:rFonts w:asciiTheme="majorHAnsi" w:eastAsia="TrebuchetMS-Bold" w:hAnsiTheme="majorHAnsi" w:cs="TrebuchetMS-Bold"/>
          <w:b/>
          <w:caps/>
          <w:color w:val="000000"/>
        </w:rPr>
      </w:pPr>
      <w:r w:rsidRPr="000B16D5">
        <w:rPr>
          <w:rFonts w:asciiTheme="majorHAnsi" w:eastAsia="TrebuchetMS-Bold" w:hAnsiTheme="majorHAnsi" w:cs="TrebuchetMS-Bold"/>
          <w:b/>
          <w:caps/>
          <w:color w:val="000000"/>
        </w:rPr>
        <w:t>Makronutrienty</w:t>
      </w:r>
    </w:p>
    <w:p w:rsidR="00C10C53" w:rsidRPr="000B16D5" w:rsidRDefault="00C10C53" w:rsidP="0002721F">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Jde o základní živiny</w:t>
      </w:r>
      <w:r w:rsidR="005D4F95"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 xml:space="preserve"> tuky, cukry, bílkoviny. Slouží především jako substráty chemických reakcí (</w:t>
      </w:r>
      <w:r w:rsidRPr="000B16D5">
        <w:rPr>
          <w:rFonts w:asciiTheme="majorHAnsi" w:eastAsia="TrebuchetMS-Bold" w:hAnsiTheme="majorHAnsi" w:cs="TrebuchetMS-Bold"/>
          <w:b/>
          <w:color w:val="000000"/>
        </w:rPr>
        <w:t>vznik</w:t>
      </w:r>
      <w:r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b/>
          <w:color w:val="000000"/>
        </w:rPr>
        <w:t>energie</w:t>
      </w:r>
      <w:r w:rsidRPr="000B16D5">
        <w:rPr>
          <w:rFonts w:asciiTheme="majorHAnsi" w:eastAsia="TrebuchetMS-Bold" w:hAnsiTheme="majorHAnsi" w:cs="TrebuchetMS-Bold"/>
          <w:color w:val="000000"/>
        </w:rPr>
        <w:t xml:space="preserve">) a </w:t>
      </w:r>
      <w:r w:rsidRPr="000B16D5">
        <w:rPr>
          <w:rFonts w:asciiTheme="majorHAnsi" w:eastAsia="TrebuchetMS-Bold" w:hAnsiTheme="majorHAnsi" w:cs="TrebuchetMS-Bold"/>
          <w:b/>
          <w:color w:val="000000"/>
        </w:rPr>
        <w:t>stavební prvky</w:t>
      </w:r>
      <w:r w:rsidRPr="000B16D5">
        <w:rPr>
          <w:rFonts w:asciiTheme="majorHAnsi" w:eastAsia="TrebuchetMS-Bold" w:hAnsiTheme="majorHAnsi" w:cs="TrebuchetMS-Bold"/>
          <w:color w:val="000000"/>
        </w:rPr>
        <w:t xml:space="preserve"> organismu. Potřeba výrazně </w:t>
      </w:r>
      <w:r w:rsidRPr="000B16D5">
        <w:rPr>
          <w:rFonts w:asciiTheme="majorHAnsi" w:eastAsia="TrebuchetMS-Bold" w:hAnsiTheme="majorHAnsi" w:cs="TrebuchetMS-Bold"/>
          <w:b/>
          <w:color w:val="000000"/>
          <w:lang w:val="en-US"/>
        </w:rPr>
        <w:t>&gt;&gt;&gt;</w:t>
      </w:r>
      <w:r w:rsidRPr="000B16D5">
        <w:rPr>
          <w:rFonts w:asciiTheme="majorHAnsi" w:eastAsia="TrebuchetMS-Bold" w:hAnsiTheme="majorHAnsi" w:cs="TrebuchetMS-Bold"/>
          <w:color w:val="000000"/>
        </w:rPr>
        <w:t xml:space="preserve"> 100</w:t>
      </w:r>
      <w:r w:rsidR="0058419B"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mg/den.</w:t>
      </w:r>
    </w:p>
    <w:p w:rsidR="00B53C27" w:rsidRDefault="00C10C53" w:rsidP="0002721F">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U většiny makronutrientů (VMK, GLC</w:t>
      </w:r>
      <w:r w:rsidR="005D4F95" w:rsidRPr="000B16D5">
        <w:rPr>
          <w:rFonts w:asciiTheme="majorHAnsi" w:eastAsia="TrebuchetMS-Bold" w:hAnsiTheme="majorHAnsi" w:cs="TrebuchetMS-Bold"/>
          <w:color w:val="000000"/>
        </w:rPr>
        <w:t xml:space="preserve"> atd.</w:t>
      </w:r>
      <w:r w:rsidRPr="000B16D5">
        <w:rPr>
          <w:rFonts w:asciiTheme="majorHAnsi" w:eastAsia="TrebuchetMS-Bold" w:hAnsiTheme="majorHAnsi" w:cs="TrebuchetMS-Bold"/>
          <w:color w:val="000000"/>
        </w:rPr>
        <w:t>) probíhá zpětnovazebná regulace obdobně jako u CH</w:t>
      </w:r>
      <w:r w:rsidR="00A051C2" w:rsidRPr="000B16D5">
        <w:rPr>
          <w:rFonts w:asciiTheme="majorHAnsi" w:eastAsia="TrebuchetMS-Bold" w:hAnsiTheme="majorHAnsi" w:cs="TrebuchetMS-Bold"/>
          <w:color w:val="000000"/>
        </w:rPr>
        <w:t xml:space="preserve"> (v</w:t>
      </w:r>
      <w:r w:rsidRPr="000B16D5">
        <w:rPr>
          <w:rFonts w:asciiTheme="majorHAnsi" w:eastAsia="TrebuchetMS-Bold" w:hAnsiTheme="majorHAnsi" w:cs="TrebuchetMS-Bold"/>
          <w:color w:val="000000"/>
        </w:rPr>
        <w:t>iz další odstavec</w:t>
      </w:r>
      <w:r w:rsidR="00A051C2" w:rsidRPr="000B16D5">
        <w:rPr>
          <w:rFonts w:asciiTheme="majorHAnsi" w:eastAsia="TrebuchetMS-Bold" w:hAnsiTheme="majorHAnsi" w:cs="TrebuchetMS-Bold"/>
          <w:color w:val="000000"/>
        </w:rPr>
        <w:t>)</w:t>
      </w:r>
      <w:r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cr/>
      </w:r>
    </w:p>
    <w:p w:rsidR="00A051C2" w:rsidRPr="000B16D5" w:rsidRDefault="008468D9" w:rsidP="0002721F">
      <w:pPr>
        <w:autoSpaceDE w:val="0"/>
        <w:spacing w:after="0"/>
        <w:jc w:val="both"/>
        <w:rPr>
          <w:rFonts w:asciiTheme="majorHAnsi" w:eastAsia="TrebuchetMS-Bold" w:hAnsiTheme="majorHAnsi" w:cs="TrebuchetMS-Bold"/>
          <w:b/>
          <w:bCs/>
        </w:rPr>
      </w:pPr>
      <w:hyperlink r:id="rId17" w:history="1"/>
      <w:r w:rsidR="00C10C53" w:rsidRPr="000B16D5">
        <w:rPr>
          <w:rFonts w:asciiTheme="majorHAnsi" w:eastAsia="TrebuchetMS-Bold" w:hAnsiTheme="majorHAnsi" w:cs="TrebuchetMS-Bold"/>
          <w:b/>
          <w:bCs/>
        </w:rPr>
        <w:t xml:space="preserve">CH (cholesterol) </w:t>
      </w:r>
    </w:p>
    <w:p w:rsidR="00C10C53" w:rsidRPr="00B53C27" w:rsidRDefault="00B53C27" w:rsidP="00B53C27">
      <w:pPr>
        <w:rPr>
          <w:rFonts w:ascii="Cambria" w:hAnsi="Cambria"/>
        </w:rPr>
      </w:pPr>
      <w:r w:rsidRPr="002C0CFC">
        <w:rPr>
          <w:rFonts w:ascii="Cambria" w:eastAsia="TrebuchetMS-Bold" w:hAnsi="Cambria" w:cs="TrebuchetMS-Bold"/>
        </w:rPr>
        <w:t xml:space="preserve">jeho zvýšené množství ovlivňuje expresi genů stojících za vstřebáváním ze střeva a endogenní syntézou.  Cholesterol tak na tyto geny působí tlumivou ZV, a snižuje </w:t>
      </w:r>
      <w:r w:rsidRPr="002C0CFC">
        <w:rPr>
          <w:rFonts w:ascii="Cambria" w:hAnsi="Cambria"/>
        </w:rPr>
        <w:t>jejich expresi, přispívá k udržení niž</w:t>
      </w:r>
      <w:r>
        <w:rPr>
          <w:rFonts w:ascii="Cambria" w:hAnsi="Cambria"/>
        </w:rPr>
        <w:t>ších hladin sebe samého v krvi.</w:t>
      </w:r>
    </w:p>
    <w:p w:rsidR="00B8097D" w:rsidRPr="000B16D5" w:rsidRDefault="00C10C53" w:rsidP="0002721F">
      <w:pPr>
        <w:autoSpaceDE w:val="0"/>
        <w:spacing w:after="0"/>
        <w:jc w:val="both"/>
        <w:rPr>
          <w:rFonts w:asciiTheme="majorHAnsi" w:hAnsiTheme="majorHAnsi"/>
          <w:b/>
        </w:rPr>
      </w:pPr>
      <w:r w:rsidRPr="000B16D5">
        <w:rPr>
          <w:rFonts w:asciiTheme="majorHAnsi" w:hAnsiTheme="majorHAnsi"/>
          <w:b/>
        </w:rPr>
        <w:t xml:space="preserve">Cukerný preparát </w:t>
      </w:r>
      <w:r w:rsidR="00B8097D" w:rsidRPr="000B16D5">
        <w:rPr>
          <w:rFonts w:asciiTheme="majorHAnsi" w:hAnsiTheme="majorHAnsi"/>
          <w:b/>
        </w:rPr>
        <w:t>glukosamin</w:t>
      </w:r>
    </w:p>
    <w:p w:rsidR="00C10C53" w:rsidRPr="000B16D5" w:rsidRDefault="00B8097D" w:rsidP="0002721F">
      <w:pPr>
        <w:autoSpaceDE w:val="0"/>
        <w:spacing w:after="0"/>
        <w:jc w:val="both"/>
        <w:rPr>
          <w:rFonts w:asciiTheme="majorHAnsi" w:hAnsiTheme="majorHAnsi"/>
        </w:rPr>
      </w:pPr>
      <w:r w:rsidRPr="000B16D5">
        <w:rPr>
          <w:rFonts w:asciiTheme="majorHAnsi" w:hAnsiTheme="majorHAnsi"/>
        </w:rPr>
        <w:t>J</w:t>
      </w:r>
      <w:r w:rsidR="00C10C53" w:rsidRPr="000B16D5">
        <w:rPr>
          <w:rFonts w:asciiTheme="majorHAnsi" w:hAnsiTheme="majorHAnsi"/>
        </w:rPr>
        <w:t>eho substituce se doporučovala kvůli vlivu na výsta</w:t>
      </w:r>
      <w:r w:rsidR="00C10C53" w:rsidRPr="000B16D5">
        <w:rPr>
          <w:rFonts w:asciiTheme="majorHAnsi" w:eastAsia="TrebuchetMS-Bold" w:hAnsiTheme="majorHAnsi" w:cs="TrebuchetMS-Bold"/>
        </w:rPr>
        <w:t xml:space="preserve">vbu kloubní tkáně při postižení kloubů, osteoartróze. </w:t>
      </w:r>
      <w:r w:rsidRPr="000B16D5">
        <w:rPr>
          <w:rFonts w:asciiTheme="majorHAnsi" w:eastAsia="TrebuchetMS-Bold" w:hAnsiTheme="majorHAnsi" w:cs="TrebuchetMS-Bold"/>
        </w:rPr>
        <w:t xml:space="preserve">Ovšem </w:t>
      </w:r>
      <w:r w:rsidR="00C10C53" w:rsidRPr="000B16D5">
        <w:rPr>
          <w:rFonts w:asciiTheme="majorHAnsi" w:eastAsia="TrebuchetMS-Bold" w:hAnsiTheme="majorHAnsi" w:cs="TrebuchetMS-Bold"/>
        </w:rPr>
        <w:t xml:space="preserve">používané </w:t>
      </w:r>
      <w:r w:rsidRPr="000B16D5">
        <w:rPr>
          <w:rFonts w:asciiTheme="majorHAnsi" w:eastAsia="TrebuchetMS-Bold" w:hAnsiTheme="majorHAnsi" w:cs="TrebuchetMS-Bold"/>
        </w:rPr>
        <w:t xml:space="preserve">dávky </w:t>
      </w:r>
      <w:r w:rsidR="00C10C53" w:rsidRPr="000B16D5">
        <w:rPr>
          <w:rFonts w:asciiTheme="majorHAnsi" w:eastAsia="TrebuchetMS-Bold" w:hAnsiTheme="majorHAnsi" w:cs="TrebuchetMS-Bold"/>
        </w:rPr>
        <w:t xml:space="preserve">několikrát převyšují hranici </w:t>
      </w:r>
      <w:r w:rsidRPr="000B16D5">
        <w:rPr>
          <w:rFonts w:asciiTheme="majorHAnsi" w:eastAsia="TrebuchetMS-Bold" w:hAnsiTheme="majorHAnsi" w:cs="TrebuchetMS-Bold"/>
        </w:rPr>
        <w:t>(</w:t>
      </w:r>
      <w:r w:rsidR="00C10C53" w:rsidRPr="000B16D5">
        <w:rPr>
          <w:rFonts w:asciiTheme="majorHAnsi" w:eastAsia="TrebuchetMS-Bold" w:hAnsiTheme="majorHAnsi" w:cs="TrebuchetMS-Bold"/>
        </w:rPr>
        <w:t>objevenou později</w:t>
      </w:r>
      <w:r w:rsidRPr="000B16D5">
        <w:rPr>
          <w:rFonts w:asciiTheme="majorHAnsi" w:eastAsia="TrebuchetMS-Bold" w:hAnsiTheme="majorHAnsi" w:cs="TrebuchetMS-Bold"/>
        </w:rPr>
        <w:t>)</w:t>
      </w:r>
      <w:r w:rsidR="00C10C53" w:rsidRPr="000B16D5">
        <w:rPr>
          <w:rFonts w:asciiTheme="majorHAnsi" w:eastAsia="TrebuchetMS-Bold" w:hAnsiTheme="majorHAnsi" w:cs="TrebuchetMS-Bold"/>
        </w:rPr>
        <w:t xml:space="preserve">, pro vliv na expresi leptinu. Klinicky je tak </w:t>
      </w:r>
      <w:r w:rsidR="00C10C53" w:rsidRPr="000B16D5">
        <w:rPr>
          <w:rFonts w:asciiTheme="majorHAnsi" w:eastAsia="TrebuchetMS-Bold" w:hAnsiTheme="majorHAnsi" w:cs="TrebuchetMS-Bold"/>
        </w:rPr>
        <w:lastRenderedPageBreak/>
        <w:t>kontraindikován u lidí trpících obezitou pro možnost vzniku onemocnění ledvin a inzul</w:t>
      </w:r>
      <w:r w:rsidR="003D7B3D" w:rsidRPr="000B16D5">
        <w:rPr>
          <w:rFonts w:asciiTheme="majorHAnsi" w:eastAsia="TrebuchetMS-Bold" w:hAnsiTheme="majorHAnsi" w:cs="TrebuchetMS-Bold"/>
        </w:rPr>
        <w:t>í</w:t>
      </w:r>
      <w:r w:rsidR="00C10C53" w:rsidRPr="000B16D5">
        <w:rPr>
          <w:rFonts w:asciiTheme="majorHAnsi" w:eastAsia="TrebuchetMS-Bold" w:hAnsiTheme="majorHAnsi" w:cs="TrebuchetMS-Bold"/>
        </w:rPr>
        <w:t>nové rezistence</w:t>
      </w:r>
      <w:r w:rsidR="00682DFE" w:rsidRPr="000B16D5">
        <w:rPr>
          <w:rFonts w:asciiTheme="majorHAnsi" w:eastAsia="TrebuchetMS-Bold" w:hAnsiTheme="majorHAnsi" w:cs="TrebuchetMS-Bold"/>
        </w:rPr>
        <w:t xml:space="preserve"> –</w:t>
      </w:r>
      <w:r w:rsidR="00C10C53" w:rsidRPr="000B16D5">
        <w:rPr>
          <w:rFonts w:asciiTheme="majorHAnsi" w:eastAsia="TrebuchetMS-Bold" w:hAnsiTheme="majorHAnsi" w:cs="TrebuchetMS-Bold"/>
        </w:rPr>
        <w:t xml:space="preserve"> </w:t>
      </w:r>
      <w:r w:rsidR="00682DFE" w:rsidRPr="000B16D5">
        <w:rPr>
          <w:rFonts w:asciiTheme="majorHAnsi" w:eastAsia="TrebuchetMS-Bold" w:hAnsiTheme="majorHAnsi" w:cs="TrebuchetMS-Bold"/>
        </w:rPr>
        <w:t>d</w:t>
      </w:r>
      <w:r w:rsidR="00C10C53" w:rsidRPr="000B16D5">
        <w:rPr>
          <w:rFonts w:asciiTheme="majorHAnsi" w:eastAsia="TrebuchetMS-Bold" w:hAnsiTheme="majorHAnsi" w:cs="TrebuchetMS-Bold"/>
        </w:rPr>
        <w:t xml:space="preserve">iabetes </w:t>
      </w:r>
      <w:r w:rsidR="008A7241" w:rsidRPr="000B16D5">
        <w:rPr>
          <w:rFonts w:asciiTheme="majorHAnsi" w:eastAsia="TrebuchetMS-Bold" w:hAnsiTheme="majorHAnsi" w:cs="TrebuchetMS-Bold"/>
        </w:rPr>
        <w:t xml:space="preserve">mellitus </w:t>
      </w:r>
      <w:r w:rsidR="00C10C53" w:rsidRPr="000B16D5">
        <w:rPr>
          <w:rFonts w:asciiTheme="majorHAnsi" w:eastAsia="TrebuchetMS-Bold" w:hAnsiTheme="majorHAnsi" w:cs="TrebuchetMS-Bold"/>
        </w:rPr>
        <w:t>2.</w:t>
      </w:r>
      <w:r w:rsidR="00682DFE" w:rsidRPr="000B16D5">
        <w:rPr>
          <w:rFonts w:asciiTheme="majorHAnsi" w:eastAsia="TrebuchetMS-Bold" w:hAnsiTheme="majorHAnsi" w:cs="TrebuchetMS-Bold"/>
        </w:rPr>
        <w:t xml:space="preserve"> </w:t>
      </w:r>
      <w:r w:rsidR="00C10C53" w:rsidRPr="000B16D5">
        <w:rPr>
          <w:rFonts w:asciiTheme="majorHAnsi" w:eastAsia="TrebuchetMS-Bold" w:hAnsiTheme="majorHAnsi" w:cs="TrebuchetMS-Bold"/>
        </w:rPr>
        <w:t xml:space="preserve">typu. Vzácně pak u některých jedinců může usnadnit vznik nádoru vaječníku. </w:t>
      </w:r>
      <w:r w:rsidR="00C10C53" w:rsidRPr="000B16D5">
        <w:rPr>
          <w:rFonts w:asciiTheme="majorHAnsi" w:eastAsia="TrebuchetMS-Bold" w:hAnsiTheme="majorHAnsi" w:cs="TrebuchetMS-Bold"/>
        </w:rPr>
        <w:cr/>
      </w:r>
      <w:hyperlink r:id="rId18" w:history="1"/>
    </w:p>
    <w:p w:rsidR="00C10C53" w:rsidRPr="000B16D5" w:rsidRDefault="00C10C53" w:rsidP="0002721F">
      <w:pPr>
        <w:autoSpaceDE w:val="0"/>
        <w:spacing w:after="0"/>
        <w:jc w:val="both"/>
        <w:rPr>
          <w:rFonts w:asciiTheme="majorHAnsi" w:eastAsia="TrebuchetMS-Bold" w:hAnsiTheme="majorHAnsi" w:cs="TrebuchetMS-Bold"/>
          <w:caps/>
          <w:color w:val="000000"/>
        </w:rPr>
      </w:pPr>
      <w:r w:rsidRPr="000B16D5">
        <w:rPr>
          <w:rFonts w:asciiTheme="majorHAnsi" w:eastAsia="TrebuchetMS-Bold" w:hAnsiTheme="majorHAnsi" w:cs="TrebuchetMS-Bold"/>
          <w:b/>
          <w:caps/>
          <w:color w:val="000000"/>
        </w:rPr>
        <w:t>Mikronutrienty</w:t>
      </w:r>
    </w:p>
    <w:p w:rsidR="00C10C53" w:rsidRPr="000B16D5" w:rsidRDefault="00C10C53" w:rsidP="0002721F">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color w:val="000000"/>
        </w:rPr>
        <w:t>Vitam</w:t>
      </w:r>
      <w:r w:rsidR="00F55D4E" w:rsidRPr="000B16D5">
        <w:rPr>
          <w:rFonts w:asciiTheme="majorHAnsi" w:eastAsia="TrebuchetMS-Bold" w:hAnsiTheme="majorHAnsi" w:cs="TrebuchetMS-Bold"/>
          <w:color w:val="000000"/>
        </w:rPr>
        <w:t>í</w:t>
      </w:r>
      <w:r w:rsidRPr="000B16D5">
        <w:rPr>
          <w:rFonts w:asciiTheme="majorHAnsi" w:eastAsia="TrebuchetMS-Bold" w:hAnsiTheme="majorHAnsi" w:cs="TrebuchetMS-Bold"/>
          <w:color w:val="000000"/>
        </w:rPr>
        <w:t>ny, minerály, stopové prvky</w:t>
      </w:r>
      <w:r w:rsidR="002E6A79" w:rsidRPr="000B16D5">
        <w:rPr>
          <w:rFonts w:asciiTheme="majorHAnsi" w:eastAsia="TrebuchetMS-Bold" w:hAnsiTheme="majorHAnsi" w:cs="TrebuchetMS-Bold"/>
          <w:color w:val="000000"/>
        </w:rPr>
        <w:t xml:space="preserve"> – </w:t>
      </w:r>
      <w:r w:rsidRPr="000B16D5">
        <w:rPr>
          <w:rFonts w:asciiTheme="majorHAnsi" w:eastAsia="TrebuchetMS-Bold" w:hAnsiTheme="majorHAnsi" w:cs="TrebuchetMS-Bold"/>
          <w:color w:val="000000"/>
        </w:rPr>
        <w:t>např. kovy</w:t>
      </w:r>
      <w:r w:rsidR="002E6A79" w:rsidRPr="000B16D5">
        <w:rPr>
          <w:rFonts w:asciiTheme="majorHAnsi" w:eastAsia="TrebuchetMS-Bold" w:hAnsiTheme="majorHAnsi" w:cs="TrebuchetMS-Bold"/>
          <w:color w:val="000000"/>
        </w:rPr>
        <w:t>; p</w:t>
      </w:r>
      <w:r w:rsidRPr="000B16D5">
        <w:rPr>
          <w:rFonts w:asciiTheme="majorHAnsi" w:eastAsia="TrebuchetMS-Bold" w:hAnsiTheme="majorHAnsi" w:cs="TrebuchetMS-Bold"/>
          <w:color w:val="000000"/>
        </w:rPr>
        <w:t xml:space="preserve">otřeba </w:t>
      </w:r>
      <w:r w:rsidRPr="000B16D5">
        <w:rPr>
          <w:rFonts w:asciiTheme="majorHAnsi" w:eastAsia="TrebuchetMS-Bold" w:hAnsiTheme="majorHAnsi" w:cs="TrebuchetMS-Bold"/>
          <w:color w:val="000000"/>
          <w:lang w:val="en-US"/>
        </w:rPr>
        <w:t>&lt;</w:t>
      </w:r>
      <w:r w:rsidRPr="000B16D5">
        <w:rPr>
          <w:rFonts w:asciiTheme="majorHAnsi" w:eastAsia="TrebuchetMS-Bold" w:hAnsiTheme="majorHAnsi" w:cs="TrebuchetMS-Bold"/>
          <w:color w:val="000000"/>
        </w:rPr>
        <w:t xml:space="preserve">100mg/den. Slouží jako </w:t>
      </w:r>
      <w:r w:rsidRPr="000B16D5">
        <w:rPr>
          <w:rFonts w:asciiTheme="majorHAnsi" w:eastAsia="TrebuchetMS-Bold" w:hAnsiTheme="majorHAnsi" w:cs="TrebuchetMS-Bold"/>
          <w:b/>
          <w:color w:val="000000"/>
        </w:rPr>
        <w:t>kofaktory</w:t>
      </w:r>
      <w:r w:rsidRPr="000B16D5">
        <w:rPr>
          <w:rFonts w:asciiTheme="majorHAnsi" w:eastAsia="TrebuchetMS-Bold" w:hAnsiTheme="majorHAnsi" w:cs="TrebuchetMS-Bold"/>
          <w:color w:val="000000"/>
        </w:rPr>
        <w:t>, umožňující průběh reakcí uvedených výše, nebo mají speciální funkce (např. transport kyslíku pomocí železa).</w:t>
      </w:r>
    </w:p>
    <w:p w:rsidR="00C10C53" w:rsidRPr="000B16D5" w:rsidRDefault="00C10C53" w:rsidP="0002721F">
      <w:pPr>
        <w:autoSpaceDE w:val="0"/>
        <w:spacing w:after="0"/>
        <w:jc w:val="both"/>
        <w:rPr>
          <w:rFonts w:asciiTheme="majorHAnsi" w:eastAsia="TrebuchetMS-Bold" w:hAnsiTheme="majorHAnsi" w:cs="TrebuchetMS-Bold"/>
          <w:color w:val="000000"/>
        </w:rPr>
      </w:pPr>
      <w:r w:rsidRPr="000B16D5">
        <w:rPr>
          <w:rFonts w:asciiTheme="majorHAnsi" w:eastAsia="TrebuchetMS-Bold" w:hAnsiTheme="majorHAnsi" w:cs="TrebuchetMS-Bold"/>
          <w:b/>
          <w:bCs/>
          <w:color w:val="000000"/>
        </w:rPr>
        <w:t xml:space="preserve">Většina </w:t>
      </w:r>
      <w:r w:rsidR="00F55D4E" w:rsidRPr="000B16D5">
        <w:rPr>
          <w:rFonts w:asciiTheme="majorHAnsi" w:eastAsia="TrebuchetMS-Bold" w:hAnsiTheme="majorHAnsi" w:cs="TrebuchetMS-Bold"/>
          <w:b/>
          <w:bCs/>
          <w:color w:val="000000"/>
        </w:rPr>
        <w:t>vitamínů</w:t>
      </w:r>
      <w:r w:rsidR="00F55D4E" w:rsidRPr="000B16D5">
        <w:rPr>
          <w:rFonts w:asciiTheme="majorHAnsi" w:eastAsia="TrebuchetMS-Bold" w:hAnsiTheme="majorHAnsi" w:cs="TrebuchetMS-Bold"/>
          <w:color w:val="000000"/>
        </w:rPr>
        <w:t xml:space="preserve"> </w:t>
      </w:r>
      <w:r w:rsidRPr="000B16D5">
        <w:rPr>
          <w:rFonts w:asciiTheme="majorHAnsi" w:eastAsia="TrebuchetMS-Bold" w:hAnsiTheme="majorHAnsi" w:cs="TrebuchetMS-Bold"/>
          <w:color w:val="000000"/>
        </w:rPr>
        <w:t>se uplatňuje jako antioxidant, mající vliv na stabilitu (nedochází k mutacím) genomu</w:t>
      </w:r>
      <w:r w:rsidR="002E52DC" w:rsidRPr="000B16D5">
        <w:rPr>
          <w:rFonts w:asciiTheme="majorHAnsi" w:eastAsia="TrebuchetMS-Bold" w:hAnsiTheme="majorHAnsi" w:cs="TrebuchetMS-Bold"/>
          <w:color w:val="000000"/>
        </w:rPr>
        <w:t>; v</w:t>
      </w:r>
      <w:r w:rsidRPr="000B16D5">
        <w:rPr>
          <w:rFonts w:asciiTheme="majorHAnsi" w:eastAsia="TrebuchetMS-Bold" w:hAnsiTheme="majorHAnsi" w:cs="TrebuchetMS-Bold"/>
          <w:color w:val="000000"/>
        </w:rPr>
        <w:t>iz např. vit</w:t>
      </w:r>
      <w:r w:rsidR="002E52DC" w:rsidRPr="000B16D5">
        <w:rPr>
          <w:rFonts w:asciiTheme="majorHAnsi" w:eastAsia="TrebuchetMS-Bold" w:hAnsiTheme="majorHAnsi" w:cs="TrebuchetMS-Bold"/>
          <w:color w:val="000000"/>
        </w:rPr>
        <w:t>am</w:t>
      </w:r>
      <w:r w:rsidR="00F55D4E" w:rsidRPr="000B16D5">
        <w:rPr>
          <w:rFonts w:asciiTheme="majorHAnsi" w:eastAsia="TrebuchetMS-Bold" w:hAnsiTheme="majorHAnsi" w:cs="TrebuchetMS-Bold"/>
          <w:color w:val="000000"/>
        </w:rPr>
        <w:t>í</w:t>
      </w:r>
      <w:r w:rsidR="002E52DC" w:rsidRPr="000B16D5">
        <w:rPr>
          <w:rFonts w:asciiTheme="majorHAnsi" w:eastAsia="TrebuchetMS-Bold" w:hAnsiTheme="majorHAnsi" w:cs="TrebuchetMS-Bold"/>
          <w:color w:val="000000"/>
        </w:rPr>
        <w:t>n</w:t>
      </w:r>
      <w:r w:rsidRPr="000B16D5">
        <w:rPr>
          <w:rFonts w:asciiTheme="majorHAnsi" w:eastAsia="TrebuchetMS-Bold" w:hAnsiTheme="majorHAnsi" w:cs="TrebuchetMS-Bold"/>
          <w:color w:val="000000"/>
        </w:rPr>
        <w:t xml:space="preserve"> A:</w:t>
      </w:r>
    </w:p>
    <w:p w:rsidR="00C10C53" w:rsidRPr="000B16D5" w:rsidRDefault="00FE3555" w:rsidP="0002721F">
      <w:pPr>
        <w:autoSpaceDE w:val="0"/>
        <w:spacing w:after="0"/>
        <w:jc w:val="both"/>
        <w:rPr>
          <w:rStyle w:val="Hypertextovodkaz"/>
          <w:rFonts w:asciiTheme="majorHAnsi" w:eastAsia="TrebuchetMS-Bold" w:hAnsiTheme="majorHAnsi" w:cs="TrebuchetMS-Bold"/>
          <w:color w:val="000000"/>
          <w:u w:val="none"/>
        </w:rPr>
      </w:pPr>
      <w:r w:rsidRPr="000B16D5">
        <w:rPr>
          <w:rStyle w:val="Hypertextovodkaz"/>
          <w:rFonts w:asciiTheme="majorHAnsi" w:eastAsia="TrebuchetMS-Bold" w:hAnsiTheme="majorHAnsi" w:cs="TrebuchetMS-Bold"/>
          <w:b/>
          <w:bCs/>
          <w:color w:val="000000"/>
          <w:u w:val="none"/>
        </w:rPr>
        <w:t>V</w:t>
      </w:r>
      <w:r w:rsidR="00F55D4E" w:rsidRPr="000B16D5">
        <w:rPr>
          <w:rStyle w:val="Hypertextovodkaz"/>
          <w:rFonts w:asciiTheme="majorHAnsi" w:eastAsia="TrebuchetMS-Bold" w:hAnsiTheme="majorHAnsi" w:cs="TrebuchetMS-Bold"/>
          <w:b/>
          <w:bCs/>
          <w:color w:val="000000"/>
          <w:u w:val="none"/>
        </w:rPr>
        <w:t xml:space="preserve">itamín </w:t>
      </w:r>
      <w:r w:rsidR="00C10C53" w:rsidRPr="000B16D5">
        <w:rPr>
          <w:rStyle w:val="Hypertextovodkaz"/>
          <w:rFonts w:asciiTheme="majorHAnsi" w:eastAsia="TrebuchetMS-Bold" w:hAnsiTheme="majorHAnsi" w:cs="TrebuchetMS-Bold"/>
          <w:b/>
          <w:bCs/>
          <w:color w:val="000000"/>
          <w:u w:val="none"/>
        </w:rPr>
        <w:t>A</w:t>
      </w:r>
      <w:r w:rsidR="002E52DC" w:rsidRPr="000B16D5">
        <w:rPr>
          <w:rStyle w:val="Hypertextovodkaz"/>
          <w:rFonts w:asciiTheme="majorHAnsi" w:eastAsia="TrebuchetMS-Bold" w:hAnsiTheme="majorHAnsi" w:cs="TrebuchetMS-Bold"/>
          <w:b/>
          <w:bCs/>
          <w:color w:val="000000"/>
          <w:u w:val="none"/>
        </w:rPr>
        <w:t xml:space="preserve"> – </w:t>
      </w:r>
      <w:r w:rsidR="00C10C53" w:rsidRPr="000B16D5">
        <w:rPr>
          <w:rStyle w:val="Hypertextovodkaz"/>
          <w:rFonts w:asciiTheme="majorHAnsi" w:eastAsia="TrebuchetMS-Bold" w:hAnsiTheme="majorHAnsi" w:cs="TrebuchetMS-Bold"/>
          <w:color w:val="000000"/>
          <w:u w:val="none"/>
        </w:rPr>
        <w:t xml:space="preserve">pohlcování oxid. </w:t>
      </w:r>
      <w:r w:rsidR="002E52DC" w:rsidRPr="000B16D5">
        <w:rPr>
          <w:rStyle w:val="Hypertextovodkaz"/>
          <w:rFonts w:asciiTheme="majorHAnsi" w:eastAsia="TrebuchetMS-Bold" w:hAnsiTheme="majorHAnsi" w:cs="TrebuchetMS-Bold"/>
          <w:color w:val="000000"/>
          <w:u w:val="none"/>
        </w:rPr>
        <w:t>r</w:t>
      </w:r>
      <w:r w:rsidR="00C10C53" w:rsidRPr="000B16D5">
        <w:rPr>
          <w:rStyle w:val="Hypertextovodkaz"/>
          <w:rFonts w:asciiTheme="majorHAnsi" w:eastAsia="TrebuchetMS-Bold" w:hAnsiTheme="majorHAnsi" w:cs="TrebuchetMS-Bold"/>
          <w:color w:val="000000"/>
          <w:u w:val="none"/>
        </w:rPr>
        <w:t>adikálů</w:t>
      </w:r>
      <w:r w:rsidR="002E52DC" w:rsidRPr="000B16D5">
        <w:rPr>
          <w:rStyle w:val="Hypertextovodkaz"/>
          <w:rFonts w:asciiTheme="majorHAnsi" w:eastAsia="TrebuchetMS-Bold" w:hAnsiTheme="majorHAnsi" w:cs="TrebuchetMS-Bold"/>
          <w:color w:val="000000"/>
          <w:u w:val="none"/>
        </w:rPr>
        <w:t xml:space="preserve"> –</w:t>
      </w:r>
      <w:r w:rsidR="00C10C53" w:rsidRPr="000B16D5">
        <w:rPr>
          <w:rStyle w:val="Hypertextovodkaz"/>
          <w:rFonts w:asciiTheme="majorHAnsi" w:eastAsia="TrebuchetMS-Bold" w:hAnsiTheme="majorHAnsi" w:cs="TrebuchetMS-Bold"/>
          <w:color w:val="000000"/>
          <w:u w:val="none"/>
        </w:rPr>
        <w:t xml:space="preserve"> stabilita DNA, ale potencialní onkogenetický účinek. Substituce je tak stále nejasná.</w:t>
      </w:r>
    </w:p>
    <w:p w:rsidR="00C10C53" w:rsidRPr="000B16D5" w:rsidRDefault="00C10C53" w:rsidP="0002721F">
      <w:pPr>
        <w:autoSpaceDE w:val="0"/>
        <w:spacing w:after="0"/>
        <w:jc w:val="both"/>
        <w:rPr>
          <w:rStyle w:val="Hypertextovodkaz"/>
          <w:rFonts w:asciiTheme="majorHAnsi" w:eastAsia="TrebuchetMS-Bold" w:hAnsiTheme="majorHAnsi" w:cs="TrebuchetMS-Bold"/>
          <w:color w:val="auto"/>
          <w:u w:val="none"/>
        </w:rPr>
      </w:pPr>
      <w:r w:rsidRPr="000B16D5">
        <w:rPr>
          <w:rStyle w:val="Hypertextovodkaz"/>
          <w:rFonts w:asciiTheme="majorHAnsi" w:eastAsia="TrebuchetMS-Bold" w:hAnsiTheme="majorHAnsi" w:cs="TrebuchetMS-Bold"/>
          <w:color w:val="auto"/>
          <w:u w:val="none"/>
        </w:rPr>
        <w:t>Přírodní potravinový doplněk uvedený na americký trh obsahoval výtažek z fazolí (</w:t>
      </w:r>
      <w:r w:rsidRPr="000B16D5">
        <w:rPr>
          <w:rStyle w:val="Hypertextovodkaz"/>
          <w:rFonts w:asciiTheme="majorHAnsi" w:eastAsia="TrebuchetMS-Bold" w:hAnsiTheme="majorHAnsi" w:cs="TrebuchetMS-Bold"/>
          <w:b/>
          <w:bCs/>
          <w:color w:val="auto"/>
          <w:u w:val="none"/>
        </w:rPr>
        <w:t>lektiny</w:t>
      </w:r>
      <w:r w:rsidRPr="000B16D5">
        <w:rPr>
          <w:rStyle w:val="Hypertextovodkaz"/>
          <w:rFonts w:asciiTheme="majorHAnsi" w:eastAsia="TrebuchetMS-Bold" w:hAnsiTheme="majorHAnsi" w:cs="TrebuchetMS-Bold"/>
          <w:color w:val="auto"/>
          <w:u w:val="none"/>
        </w:rPr>
        <w:t>) a byl</w:t>
      </w:r>
      <w:r w:rsidR="002E52DC" w:rsidRPr="000B16D5">
        <w:rPr>
          <w:rStyle w:val="Hypertextovodkaz"/>
          <w:rFonts w:asciiTheme="majorHAnsi" w:eastAsia="TrebuchetMS-Bold" w:hAnsiTheme="majorHAnsi" w:cs="TrebuchetMS-Bold"/>
          <w:color w:val="auto"/>
          <w:u w:val="none"/>
        </w:rPr>
        <w:t xml:space="preserve"> určen</w:t>
      </w:r>
      <w:r w:rsidRPr="000B16D5">
        <w:rPr>
          <w:rStyle w:val="Hypertextovodkaz"/>
          <w:rFonts w:asciiTheme="majorHAnsi" w:eastAsia="TrebuchetMS-Bold" w:hAnsiTheme="majorHAnsi" w:cs="TrebuchetMS-Bold"/>
          <w:color w:val="auto"/>
          <w:u w:val="none"/>
        </w:rPr>
        <w:t xml:space="preserve"> pro snížené vstřebávání sacharidů. Lektiny však byly v produktu obsažené v takovékm množství, že ve výsledku preparát daleko </w:t>
      </w:r>
      <w:r w:rsidR="004C6FB5" w:rsidRPr="000B16D5">
        <w:rPr>
          <w:rStyle w:val="Hypertextovodkaz"/>
          <w:rFonts w:asciiTheme="majorHAnsi" w:eastAsia="TrebuchetMS-Bold" w:hAnsiTheme="majorHAnsi" w:cs="TrebuchetMS-Bold"/>
          <w:color w:val="auto"/>
          <w:u w:val="none"/>
        </w:rPr>
        <w:t xml:space="preserve">pravděpodobněji </w:t>
      </w:r>
      <w:r w:rsidRPr="000B16D5">
        <w:rPr>
          <w:rStyle w:val="Hypertextovodkaz"/>
          <w:rFonts w:asciiTheme="majorHAnsi" w:eastAsia="TrebuchetMS-Bold" w:hAnsiTheme="majorHAnsi" w:cs="TrebuchetMS-Bold"/>
          <w:color w:val="auto"/>
          <w:u w:val="none"/>
        </w:rPr>
        <w:t>mohl zasáhnout a zvýšit dělivost buněk, pro kterou jsou lektiny využívány ve výzkumu (stimulace bu</w:t>
      </w:r>
      <w:r w:rsidR="009C0C87" w:rsidRPr="000B16D5">
        <w:rPr>
          <w:rStyle w:val="Hypertextovodkaz"/>
          <w:rFonts w:asciiTheme="majorHAnsi" w:eastAsia="TrebuchetMS-Bold" w:hAnsiTheme="majorHAnsi" w:cs="TrebuchetMS-Bold"/>
          <w:color w:val="auto"/>
          <w:u w:val="none"/>
        </w:rPr>
        <w:t>ně</w:t>
      </w:r>
      <w:r w:rsidR="00F66553" w:rsidRPr="000B16D5">
        <w:rPr>
          <w:rStyle w:val="Hypertextovodkaz"/>
          <w:rFonts w:asciiTheme="majorHAnsi" w:eastAsia="TrebuchetMS-Bold" w:hAnsiTheme="majorHAnsi" w:cs="TrebuchetMS-Bold"/>
          <w:color w:val="auto"/>
          <w:u w:val="none"/>
        </w:rPr>
        <w:t>ných</w:t>
      </w:r>
      <w:r w:rsidRPr="000B16D5">
        <w:rPr>
          <w:rStyle w:val="Hypertextovodkaz"/>
          <w:rFonts w:asciiTheme="majorHAnsi" w:eastAsia="TrebuchetMS-Bold" w:hAnsiTheme="majorHAnsi" w:cs="TrebuchetMS-Bold"/>
          <w:color w:val="auto"/>
          <w:u w:val="none"/>
        </w:rPr>
        <w:t xml:space="preserve"> kolonií). Uměle tak mohl usnadňovat náběh na rakovinné bujení.</w:t>
      </w:r>
    </w:p>
    <w:p w:rsidR="00C10C53" w:rsidRPr="000B16D5" w:rsidRDefault="00C10C53" w:rsidP="001C6E46">
      <w:pPr>
        <w:jc w:val="both"/>
        <w:rPr>
          <w:rFonts w:asciiTheme="majorHAnsi" w:hAnsiTheme="majorHAnsi"/>
        </w:rPr>
      </w:pPr>
    </w:p>
    <w:p w:rsidR="001C6E46" w:rsidRPr="000B16D5" w:rsidRDefault="001C6E46" w:rsidP="001C6E46">
      <w:pPr>
        <w:jc w:val="both"/>
        <w:rPr>
          <w:rFonts w:asciiTheme="majorHAnsi" w:hAnsiTheme="majorHAnsi"/>
        </w:rPr>
      </w:pPr>
      <w:r w:rsidRPr="000B16D5">
        <w:rPr>
          <w:rFonts w:asciiTheme="majorHAnsi" w:hAnsiTheme="majorHAnsi"/>
        </w:rPr>
        <w:t>____________________________________________</w:t>
      </w:r>
    </w:p>
    <w:p w:rsidR="001C6E46" w:rsidRPr="000B16D5" w:rsidRDefault="001C6E46" w:rsidP="001C6E46">
      <w:pPr>
        <w:spacing w:after="0"/>
        <w:jc w:val="both"/>
        <w:rPr>
          <w:rFonts w:asciiTheme="majorHAnsi" w:hAnsiTheme="majorHAnsi"/>
          <w:b/>
          <w:sz w:val="20"/>
        </w:rPr>
      </w:pPr>
      <w:r w:rsidRPr="000B16D5">
        <w:rPr>
          <w:rFonts w:asciiTheme="majorHAnsi" w:hAnsiTheme="majorHAnsi"/>
          <w:b/>
          <w:sz w:val="20"/>
        </w:rPr>
        <w:t>Zdroje:</w:t>
      </w:r>
    </w:p>
    <w:p w:rsidR="001C6E46" w:rsidRPr="000B16D5" w:rsidRDefault="001C6E46" w:rsidP="001C6E46">
      <w:pPr>
        <w:spacing w:after="0"/>
        <w:jc w:val="both"/>
        <w:rPr>
          <w:rFonts w:asciiTheme="majorHAnsi" w:hAnsiTheme="majorHAnsi"/>
          <w:sz w:val="16"/>
        </w:rPr>
        <w:sectPr w:rsidR="001C6E46" w:rsidRPr="000B16D5" w:rsidSect="00A2684E">
          <w:footerReference w:type="default" r:id="rId19"/>
          <w:type w:val="continuous"/>
          <w:pgSz w:w="11906" w:h="16838"/>
          <w:pgMar w:top="720" w:right="720" w:bottom="720" w:left="720" w:header="708" w:footer="708" w:gutter="0"/>
          <w:pgNumType w:start="13"/>
          <w:cols w:space="708"/>
          <w:titlePg/>
          <w:docGrid w:linePitch="360"/>
        </w:sectPr>
      </w:pPr>
    </w:p>
    <w:p w:rsidR="0002721F" w:rsidRPr="000B16D5" w:rsidRDefault="0002721F" w:rsidP="0002721F">
      <w:pPr>
        <w:pStyle w:val="Odstavecseseznamem"/>
        <w:numPr>
          <w:ilvl w:val="0"/>
          <w:numId w:val="43"/>
        </w:numPr>
        <w:rPr>
          <w:rFonts w:asciiTheme="majorHAnsi" w:hAnsiTheme="majorHAnsi"/>
          <w:sz w:val="16"/>
          <w:szCs w:val="16"/>
        </w:rPr>
      </w:pPr>
      <w:r w:rsidRPr="000B16D5">
        <w:rPr>
          <w:rFonts w:asciiTheme="majorHAnsi" w:hAnsiTheme="majorHAnsi"/>
          <w:sz w:val="16"/>
          <w:szCs w:val="16"/>
        </w:rPr>
        <w:lastRenderedPageBreak/>
        <w:t>http://www.ncbi.nlm.nih.gov/pubmed/14512029?report=abstract</w:t>
      </w:r>
    </w:p>
    <w:p w:rsidR="0002721F" w:rsidRPr="000B16D5" w:rsidRDefault="0002721F" w:rsidP="0002721F">
      <w:pPr>
        <w:pStyle w:val="Odstavecseseznamem"/>
        <w:numPr>
          <w:ilvl w:val="0"/>
          <w:numId w:val="43"/>
        </w:numPr>
        <w:rPr>
          <w:rFonts w:asciiTheme="majorHAnsi" w:hAnsiTheme="majorHAnsi"/>
          <w:sz w:val="16"/>
          <w:szCs w:val="16"/>
        </w:rPr>
      </w:pPr>
      <w:r w:rsidRPr="000B16D5">
        <w:rPr>
          <w:rFonts w:asciiTheme="majorHAnsi" w:hAnsiTheme="majorHAnsi"/>
          <w:sz w:val="16"/>
          <w:szCs w:val="16"/>
        </w:rPr>
        <w:t>http://link.springer.com/article/10.1007%2Fs12064-001-0033-9</w:t>
      </w:r>
    </w:p>
    <w:p w:rsidR="0002721F" w:rsidRPr="000B16D5" w:rsidRDefault="0002721F" w:rsidP="0002721F">
      <w:pPr>
        <w:pStyle w:val="Odstavecseseznamem"/>
        <w:numPr>
          <w:ilvl w:val="0"/>
          <w:numId w:val="43"/>
        </w:numPr>
        <w:rPr>
          <w:rFonts w:asciiTheme="majorHAnsi" w:hAnsiTheme="majorHAnsi"/>
          <w:sz w:val="16"/>
          <w:szCs w:val="16"/>
        </w:rPr>
      </w:pPr>
      <w:r w:rsidRPr="000B16D5">
        <w:rPr>
          <w:rFonts w:asciiTheme="majorHAnsi" w:hAnsiTheme="majorHAnsi"/>
          <w:sz w:val="16"/>
          <w:szCs w:val="16"/>
        </w:rPr>
        <w:t>http://www.nap.edu/openbook.php?record_id=10299&amp;page=37</w:t>
      </w:r>
    </w:p>
    <w:p w:rsidR="0002721F" w:rsidRPr="000B16D5" w:rsidRDefault="0002721F" w:rsidP="0002721F">
      <w:pPr>
        <w:pStyle w:val="Odstavecseseznamem"/>
        <w:numPr>
          <w:ilvl w:val="0"/>
          <w:numId w:val="43"/>
        </w:numPr>
        <w:rPr>
          <w:rFonts w:asciiTheme="majorHAnsi" w:hAnsiTheme="majorHAnsi"/>
          <w:sz w:val="16"/>
          <w:szCs w:val="16"/>
        </w:rPr>
      </w:pPr>
      <w:r w:rsidRPr="000B16D5">
        <w:rPr>
          <w:rFonts w:asciiTheme="majorHAnsi" w:hAnsiTheme="majorHAnsi"/>
          <w:sz w:val="16"/>
          <w:szCs w:val="16"/>
        </w:rPr>
        <w:t>http://www.clinicalnutritionjournal.com/article/S0261-5614%2803%2900064-5/fulltext#section1</w:t>
      </w:r>
    </w:p>
    <w:p w:rsidR="0002721F" w:rsidRPr="000B16D5" w:rsidRDefault="0002721F" w:rsidP="0002721F">
      <w:pPr>
        <w:pStyle w:val="Odstavecseseznamem"/>
        <w:numPr>
          <w:ilvl w:val="0"/>
          <w:numId w:val="43"/>
        </w:numPr>
        <w:rPr>
          <w:rFonts w:asciiTheme="majorHAnsi" w:hAnsiTheme="majorHAnsi"/>
          <w:sz w:val="16"/>
          <w:szCs w:val="16"/>
        </w:rPr>
      </w:pPr>
      <w:r w:rsidRPr="000B16D5">
        <w:rPr>
          <w:rFonts w:asciiTheme="majorHAnsi" w:hAnsiTheme="majorHAnsi"/>
          <w:sz w:val="16"/>
          <w:szCs w:val="16"/>
        </w:rPr>
        <w:t>http://link.springer.com/article/10.1007%2Fs12064-001-0033-9</w:t>
      </w:r>
    </w:p>
    <w:p w:rsidR="0002721F" w:rsidRPr="000B16D5" w:rsidRDefault="0002721F" w:rsidP="0002721F">
      <w:pPr>
        <w:pStyle w:val="Odstavecseseznamem"/>
        <w:numPr>
          <w:ilvl w:val="0"/>
          <w:numId w:val="43"/>
        </w:numPr>
        <w:rPr>
          <w:rFonts w:asciiTheme="majorHAnsi" w:hAnsiTheme="majorHAnsi"/>
          <w:sz w:val="16"/>
          <w:szCs w:val="16"/>
        </w:rPr>
      </w:pPr>
      <w:r w:rsidRPr="000B16D5">
        <w:rPr>
          <w:rFonts w:asciiTheme="majorHAnsi" w:hAnsiTheme="majorHAnsi"/>
          <w:sz w:val="16"/>
          <w:szCs w:val="16"/>
        </w:rPr>
        <w:t>http://www.amjmed.com/article/S0002-9343%2898%2900342-8/abstract</w:t>
      </w:r>
    </w:p>
    <w:p w:rsidR="0002721F" w:rsidRPr="000B16D5" w:rsidRDefault="0002721F" w:rsidP="0002721F">
      <w:pPr>
        <w:pStyle w:val="Odstavecseseznamem"/>
        <w:numPr>
          <w:ilvl w:val="0"/>
          <w:numId w:val="43"/>
        </w:numPr>
        <w:spacing w:after="0"/>
        <w:rPr>
          <w:rFonts w:asciiTheme="majorHAnsi" w:hAnsiTheme="majorHAnsi"/>
          <w:sz w:val="16"/>
          <w:szCs w:val="16"/>
        </w:rPr>
      </w:pPr>
      <w:r w:rsidRPr="000B16D5">
        <w:rPr>
          <w:rFonts w:asciiTheme="majorHAnsi" w:hAnsiTheme="majorHAnsi"/>
          <w:sz w:val="16"/>
          <w:szCs w:val="16"/>
        </w:rPr>
        <w:lastRenderedPageBreak/>
        <w:t>http://nutrigenomics.ucdavis.edu/?page=infomation/Concepts_in_Nutrigenomics/Diet_and_Gene_Expression</w:t>
      </w:r>
    </w:p>
    <w:p w:rsidR="0002721F" w:rsidRPr="000B16D5" w:rsidRDefault="0002721F" w:rsidP="0002721F">
      <w:pPr>
        <w:pStyle w:val="Odstavecseseznamem2"/>
        <w:numPr>
          <w:ilvl w:val="0"/>
          <w:numId w:val="43"/>
        </w:numPr>
        <w:spacing w:line="276" w:lineRule="auto"/>
        <w:rPr>
          <w:rFonts w:asciiTheme="majorHAnsi" w:hAnsiTheme="majorHAnsi"/>
          <w:sz w:val="16"/>
          <w:szCs w:val="16"/>
        </w:rPr>
      </w:pPr>
      <w:r w:rsidRPr="000B16D5">
        <w:rPr>
          <w:rFonts w:asciiTheme="majorHAnsi" w:hAnsiTheme="majorHAnsi"/>
          <w:sz w:val="16"/>
          <w:szCs w:val="16"/>
        </w:rPr>
        <w:t>http://www.ncbi.nlm.nih.gov/pubmed/16317163</w:t>
      </w:r>
    </w:p>
    <w:p w:rsidR="0002721F" w:rsidRPr="000B16D5" w:rsidRDefault="0002721F" w:rsidP="0002721F">
      <w:pPr>
        <w:pStyle w:val="Odstavecseseznamem2"/>
        <w:numPr>
          <w:ilvl w:val="0"/>
          <w:numId w:val="43"/>
        </w:numPr>
        <w:spacing w:line="276" w:lineRule="auto"/>
        <w:rPr>
          <w:rFonts w:asciiTheme="majorHAnsi" w:hAnsiTheme="majorHAnsi"/>
          <w:sz w:val="16"/>
          <w:szCs w:val="16"/>
        </w:rPr>
      </w:pPr>
      <w:r w:rsidRPr="000B16D5">
        <w:rPr>
          <w:rFonts w:asciiTheme="majorHAnsi" w:hAnsiTheme="majorHAnsi"/>
          <w:sz w:val="16"/>
          <w:szCs w:val="16"/>
        </w:rPr>
        <w:t>http://www.ncbi.nlm.nih.gov/pubmed/1397836</w:t>
      </w:r>
    </w:p>
    <w:p w:rsidR="0002721F" w:rsidRPr="000B16D5" w:rsidRDefault="0002721F" w:rsidP="0002721F">
      <w:pPr>
        <w:pStyle w:val="Odstavecseseznamem2"/>
        <w:numPr>
          <w:ilvl w:val="0"/>
          <w:numId w:val="43"/>
        </w:numPr>
        <w:spacing w:line="276" w:lineRule="auto"/>
        <w:rPr>
          <w:rFonts w:asciiTheme="majorHAnsi" w:hAnsiTheme="majorHAnsi"/>
          <w:sz w:val="16"/>
          <w:szCs w:val="16"/>
        </w:rPr>
      </w:pPr>
      <w:r w:rsidRPr="000B16D5">
        <w:rPr>
          <w:rFonts w:asciiTheme="majorHAnsi" w:hAnsiTheme="majorHAnsi"/>
          <w:sz w:val="16"/>
          <w:szCs w:val="16"/>
        </w:rPr>
        <w:t xml:space="preserve">http://www.nap.edu/openbook.php?record_id=10299&amp;page=37 </w:t>
      </w:r>
    </w:p>
    <w:p w:rsidR="0002721F" w:rsidRPr="000B16D5" w:rsidRDefault="0002721F" w:rsidP="0002721F">
      <w:pPr>
        <w:pStyle w:val="Odstavecseseznamem2"/>
        <w:numPr>
          <w:ilvl w:val="0"/>
          <w:numId w:val="43"/>
        </w:numPr>
        <w:spacing w:line="276" w:lineRule="auto"/>
        <w:rPr>
          <w:rFonts w:asciiTheme="majorHAnsi" w:hAnsiTheme="majorHAnsi"/>
          <w:sz w:val="16"/>
          <w:szCs w:val="16"/>
        </w:rPr>
      </w:pPr>
      <w:r w:rsidRPr="000B16D5">
        <w:rPr>
          <w:rFonts w:asciiTheme="majorHAnsi" w:hAnsiTheme="majorHAnsi"/>
          <w:sz w:val="16"/>
          <w:szCs w:val="16"/>
        </w:rPr>
        <w:t>http://link.springer.com/article/10.1007%2Fs12064-001-0033-9</w:t>
      </w:r>
    </w:p>
    <w:p w:rsidR="0002721F" w:rsidRPr="000B16D5" w:rsidRDefault="0002721F" w:rsidP="0002721F">
      <w:pPr>
        <w:pStyle w:val="Odstavecseseznamem2"/>
        <w:numPr>
          <w:ilvl w:val="0"/>
          <w:numId w:val="43"/>
        </w:numPr>
        <w:spacing w:line="276" w:lineRule="auto"/>
        <w:rPr>
          <w:rFonts w:asciiTheme="majorHAnsi" w:hAnsiTheme="majorHAnsi"/>
          <w:sz w:val="16"/>
          <w:szCs w:val="16"/>
        </w:rPr>
      </w:pPr>
      <w:r w:rsidRPr="000B16D5">
        <w:rPr>
          <w:rFonts w:asciiTheme="majorHAnsi" w:hAnsiTheme="majorHAnsi"/>
          <w:sz w:val="16"/>
          <w:szCs w:val="16"/>
        </w:rPr>
        <w:t>http://www.ncbi.nlm.nih.gov/pubmed/14512029?report=abstract</w:t>
      </w:r>
    </w:p>
    <w:p w:rsidR="0002721F" w:rsidRPr="000B16D5" w:rsidRDefault="0002721F" w:rsidP="0002721F">
      <w:pPr>
        <w:pStyle w:val="Odstavecseseznamem2"/>
        <w:numPr>
          <w:ilvl w:val="0"/>
          <w:numId w:val="43"/>
        </w:numPr>
        <w:spacing w:line="276" w:lineRule="auto"/>
        <w:rPr>
          <w:rFonts w:asciiTheme="majorHAnsi" w:hAnsiTheme="majorHAnsi"/>
          <w:sz w:val="16"/>
          <w:szCs w:val="16"/>
        </w:rPr>
      </w:pPr>
      <w:r w:rsidRPr="000B16D5">
        <w:rPr>
          <w:rFonts w:asciiTheme="majorHAnsi" w:hAnsiTheme="majorHAnsi"/>
          <w:sz w:val="16"/>
          <w:szCs w:val="16"/>
        </w:rPr>
        <w:t>http://link.springer.com/article/10.1007%2Fs12064-001-0033-9</w:t>
      </w:r>
    </w:p>
    <w:p w:rsidR="001C6E46" w:rsidRPr="000B16D5" w:rsidRDefault="001C6E46" w:rsidP="001C6E46">
      <w:pPr>
        <w:autoSpaceDE w:val="0"/>
        <w:jc w:val="both"/>
        <w:rPr>
          <w:rFonts w:asciiTheme="majorHAnsi" w:eastAsia="TrebuchetMS-Bold" w:hAnsiTheme="majorHAnsi" w:cs="TrebuchetMS-Bold"/>
          <w:b/>
          <w:bCs/>
          <w:caps/>
          <w:sz w:val="21"/>
          <w:szCs w:val="21"/>
        </w:rPr>
        <w:sectPr w:rsidR="001C6E46" w:rsidRPr="000B16D5" w:rsidSect="00AC32F9">
          <w:type w:val="continuous"/>
          <w:pgSz w:w="11906" w:h="16838"/>
          <w:pgMar w:top="720" w:right="720" w:bottom="720" w:left="720" w:header="708" w:footer="708" w:gutter="0"/>
          <w:pgNumType w:start="0"/>
          <w:cols w:num="2" w:space="708"/>
          <w:titlePg/>
          <w:docGrid w:linePitch="360"/>
        </w:sectPr>
      </w:pPr>
    </w:p>
    <w:p w:rsidR="001C6E46" w:rsidRPr="000B16D5" w:rsidRDefault="001C6E46" w:rsidP="001C6E46">
      <w:pPr>
        <w:autoSpaceDE w:val="0"/>
        <w:jc w:val="both"/>
        <w:rPr>
          <w:rFonts w:asciiTheme="majorHAnsi" w:eastAsia="TrebuchetMS-Bold" w:hAnsiTheme="majorHAnsi" w:cs="TrebuchetMS-Bold"/>
          <w:b/>
          <w:bCs/>
          <w:caps/>
          <w:sz w:val="21"/>
          <w:szCs w:val="21"/>
        </w:rPr>
      </w:pPr>
    </w:p>
    <w:p w:rsidR="0002721F" w:rsidRPr="000B16D5" w:rsidRDefault="0002721F">
      <w:pPr>
        <w:rPr>
          <w:rFonts w:asciiTheme="majorHAnsi" w:hAnsiTheme="majorHAnsi"/>
          <w:b/>
          <w:smallCaps/>
          <w:sz w:val="28"/>
        </w:rPr>
      </w:pPr>
      <w:r w:rsidRPr="000B16D5">
        <w:rPr>
          <w:rFonts w:asciiTheme="majorHAnsi" w:hAnsiTheme="majorHAnsi"/>
        </w:rPr>
        <w:br w:type="page"/>
      </w:r>
    </w:p>
    <w:bookmarkStart w:id="20" w:name="_Toc380240593"/>
    <w:p w:rsidR="001C6E46" w:rsidRPr="000B16D5" w:rsidRDefault="00100C72" w:rsidP="001C6E46">
      <w:pPr>
        <w:pStyle w:val="Nadpiskapitoly"/>
        <w:rPr>
          <w:rFonts w:asciiTheme="majorHAnsi" w:hAnsiTheme="majorHAnsi"/>
        </w:rPr>
      </w:pPr>
      <w:r w:rsidRPr="000B16D5">
        <w:rPr>
          <w:rFonts w:asciiTheme="majorHAnsi" w:hAnsiTheme="majorHAnsi"/>
          <w:noProof/>
        </w:rPr>
        <w:lastRenderedPageBreak/>
        <mc:AlternateContent>
          <mc:Choice Requires="wps">
            <w:drawing>
              <wp:anchor distT="0" distB="0" distL="114300" distR="114300" simplePos="0" relativeHeight="251665408" behindDoc="0" locked="0" layoutInCell="1" allowOverlap="1" wp14:anchorId="07A9D1B0" wp14:editId="18DE0F54">
                <wp:simplePos x="0" y="0"/>
                <wp:positionH relativeFrom="column">
                  <wp:posOffset>5201920</wp:posOffset>
                </wp:positionH>
                <wp:positionV relativeFrom="paragraph">
                  <wp:posOffset>-13335</wp:posOffset>
                </wp:positionV>
                <wp:extent cx="1303655" cy="1416685"/>
                <wp:effectExtent l="1270" t="72390" r="76200" b="0"/>
                <wp:wrapNone/>
                <wp:docPr id="1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0D5338">
                            <w:pPr>
                              <w:spacing w:after="0"/>
                              <w:jc w:val="center"/>
                              <w:rPr>
                                <w:rFonts w:ascii="Palatino Linotype" w:hAnsi="Palatino Linotype"/>
                                <w:b/>
                                <w:sz w:val="160"/>
                              </w:rPr>
                            </w:pPr>
                            <w:r>
                              <w:rPr>
                                <w:rFonts w:ascii="Palatino Linotype" w:hAnsi="Palatino Linotype"/>
                                <w:b/>
                                <w:sz w:val="16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9D1B0" id="Text Box 8" o:spid="_x0000_s1030" type="#_x0000_t202" style="position:absolute;left:0;text-align:left;margin-left:409.6pt;margin-top:-1.05pt;width:102.65pt;height:1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" stroked="f">
                <v:shadow on="t" opacity=".5" offset="6pt,-6pt"/>
                <v:textbox>
                  <w:txbxContent>
                    <w:p w:rsidR="00440FD1" w:rsidRPr="008202AD" w:rsidRDefault="00440FD1" w:rsidP="000D5338">
                      <w:pPr>
                        <w:spacing w:after="0"/>
                        <w:jc w:val="center"/>
                        <w:rPr>
                          <w:rFonts w:ascii="Palatino Linotype" w:hAnsi="Palatino Linotype"/>
                          <w:b/>
                          <w:sz w:val="160"/>
                        </w:rPr>
                      </w:pPr>
                      <w:r>
                        <w:rPr>
                          <w:rFonts w:ascii="Palatino Linotype" w:hAnsi="Palatino Linotype"/>
                          <w:b/>
                          <w:sz w:val="160"/>
                        </w:rPr>
                        <w:t>5</w:t>
                      </w:r>
                    </w:p>
                  </w:txbxContent>
                </v:textbox>
              </v:shape>
            </w:pict>
          </mc:Fallback>
        </mc:AlternateContent>
      </w:r>
      <w:r w:rsidR="00312118" w:rsidRPr="000B16D5">
        <w:rPr>
          <w:rFonts w:asciiTheme="majorHAnsi" w:hAnsiTheme="majorHAnsi"/>
        </w:rPr>
        <w:t>Základní klasifikace genetických onemocnění</w:t>
      </w:r>
      <w:bookmarkEnd w:id="20"/>
    </w:p>
    <w:p w:rsidR="001C6E46" w:rsidRPr="000B16D5" w:rsidRDefault="00312118" w:rsidP="001C6E46">
      <w:pPr>
        <w:pStyle w:val="Palatino"/>
        <w:rPr>
          <w:rFonts w:asciiTheme="majorHAnsi" w:hAnsiTheme="majorHAnsi"/>
        </w:rPr>
      </w:pPr>
      <w:r w:rsidRPr="000B16D5">
        <w:rPr>
          <w:rFonts w:asciiTheme="majorHAnsi" w:hAnsiTheme="majorHAnsi"/>
        </w:rPr>
        <w:t>Klasifikace genetických onemocnění</w:t>
      </w:r>
    </w:p>
    <w:p w:rsidR="001C6E46" w:rsidRPr="000B16D5" w:rsidRDefault="00312118" w:rsidP="001C6E46">
      <w:pPr>
        <w:pStyle w:val="Palatino"/>
        <w:rPr>
          <w:rFonts w:asciiTheme="majorHAnsi" w:hAnsiTheme="majorHAnsi"/>
        </w:rPr>
      </w:pPr>
      <w:r w:rsidRPr="000B16D5">
        <w:rPr>
          <w:rFonts w:asciiTheme="majorHAnsi" w:hAnsiTheme="majorHAnsi"/>
        </w:rPr>
        <w:t>Chromozomální aberace, monogenní choroby</w:t>
      </w:r>
    </w:p>
    <w:p w:rsidR="001C6E46" w:rsidRPr="000B16D5" w:rsidRDefault="00312118" w:rsidP="001C6E46">
      <w:pPr>
        <w:pStyle w:val="Palatino"/>
        <w:rPr>
          <w:rFonts w:asciiTheme="majorHAnsi" w:hAnsiTheme="majorHAnsi"/>
        </w:rPr>
      </w:pPr>
      <w:r w:rsidRPr="000B16D5">
        <w:rPr>
          <w:rFonts w:asciiTheme="majorHAnsi" w:hAnsiTheme="majorHAnsi"/>
        </w:rPr>
        <w:t>Typická onemocnění jednotlivých skupin – příklady, včetně fenotypu</w:t>
      </w:r>
    </w:p>
    <w:p w:rsidR="001C6E46" w:rsidRPr="000B16D5" w:rsidRDefault="001C6E46" w:rsidP="001C6E46">
      <w:pPr>
        <w:pStyle w:val="Palatino"/>
        <w:rPr>
          <w:rFonts w:asciiTheme="majorHAnsi" w:hAnsiTheme="majorHAnsi"/>
          <w:i/>
        </w:rPr>
      </w:pPr>
    </w:p>
    <w:p w:rsidR="00312118" w:rsidRPr="000B16D5" w:rsidRDefault="00312118" w:rsidP="001C6E46">
      <w:pPr>
        <w:pStyle w:val="Palatino"/>
        <w:rPr>
          <w:rFonts w:asciiTheme="majorHAnsi" w:hAnsiTheme="majorHAnsi"/>
          <w:i/>
        </w:rPr>
      </w:pPr>
      <w:r w:rsidRPr="000B16D5">
        <w:rPr>
          <w:rFonts w:asciiTheme="majorHAnsi" w:hAnsiTheme="majorHAnsi"/>
          <w:i/>
        </w:rPr>
        <w:t>Julie</w:t>
      </w:r>
      <w:r w:rsidR="001C6E46" w:rsidRPr="000B16D5">
        <w:rPr>
          <w:rFonts w:asciiTheme="majorHAnsi" w:hAnsiTheme="majorHAnsi"/>
          <w:i/>
        </w:rPr>
        <w:t xml:space="preserve"> Bienertová-Vašků</w:t>
      </w:r>
    </w:p>
    <w:p w:rsidR="001C6E46" w:rsidRPr="000B16D5" w:rsidRDefault="001C6E46" w:rsidP="00761A69">
      <w:pPr>
        <w:jc w:val="both"/>
        <w:rPr>
          <w:rFonts w:asciiTheme="majorHAnsi" w:hAnsiTheme="majorHAnsi"/>
        </w:rPr>
      </w:pPr>
    </w:p>
    <w:p w:rsidR="00761A69" w:rsidRPr="000B16D5" w:rsidRDefault="00761A69" w:rsidP="000D5338">
      <w:pPr>
        <w:spacing w:after="0"/>
        <w:jc w:val="both"/>
        <w:rPr>
          <w:rFonts w:asciiTheme="majorHAnsi" w:hAnsiTheme="majorHAnsi"/>
        </w:rPr>
      </w:pPr>
      <w:r w:rsidRPr="000B16D5">
        <w:rPr>
          <w:rFonts w:asciiTheme="majorHAnsi" w:hAnsiTheme="majorHAnsi"/>
        </w:rPr>
        <w:t>Existuje několik typů genetických onemocnění. Pokud známe způsob, jakým se konkrétní onemocnění předává z generace na generaci, může nám to pomoci stanovit riziko daného postižení u konkrétního těhotenství i riziko rekurence, tj. opětovného výskytu u dalších potomků. Obecně platí, že riziko narození dítěte s genetickým poškozením se zvyšuje, pokud:</w:t>
      </w:r>
    </w:p>
    <w:p w:rsidR="00761A69" w:rsidRPr="000B16D5" w:rsidRDefault="001B349A" w:rsidP="000D5338">
      <w:pPr>
        <w:pStyle w:val="Odstavecseseznamem"/>
        <w:numPr>
          <w:ilvl w:val="0"/>
          <w:numId w:val="10"/>
        </w:numPr>
        <w:spacing w:after="0" w:line="259" w:lineRule="auto"/>
        <w:jc w:val="both"/>
        <w:rPr>
          <w:rFonts w:asciiTheme="majorHAnsi" w:hAnsiTheme="majorHAnsi"/>
        </w:rPr>
      </w:pPr>
      <w:r w:rsidRPr="000B16D5">
        <w:rPr>
          <w:rFonts w:asciiTheme="majorHAnsi" w:hAnsiTheme="majorHAnsi"/>
        </w:rPr>
        <w:t>r</w:t>
      </w:r>
      <w:r w:rsidR="00761A69" w:rsidRPr="000B16D5">
        <w:rPr>
          <w:rFonts w:asciiTheme="majorHAnsi" w:hAnsiTheme="majorHAnsi"/>
        </w:rPr>
        <w:t>odiče již mají dítě s genetickou poruchou</w:t>
      </w:r>
      <w:r w:rsidR="006329CB" w:rsidRPr="000B16D5">
        <w:rPr>
          <w:rFonts w:asciiTheme="majorHAnsi" w:hAnsiTheme="majorHAnsi"/>
        </w:rPr>
        <w:t>,</w:t>
      </w:r>
    </w:p>
    <w:p w:rsidR="00761A69" w:rsidRPr="000B16D5" w:rsidRDefault="001B349A" w:rsidP="000D5338">
      <w:pPr>
        <w:pStyle w:val="Odstavecseseznamem"/>
        <w:numPr>
          <w:ilvl w:val="0"/>
          <w:numId w:val="10"/>
        </w:numPr>
        <w:spacing w:after="0" w:line="259" w:lineRule="auto"/>
        <w:jc w:val="both"/>
        <w:rPr>
          <w:rFonts w:asciiTheme="majorHAnsi" w:hAnsiTheme="majorHAnsi"/>
        </w:rPr>
      </w:pPr>
      <w:r w:rsidRPr="000B16D5">
        <w:rPr>
          <w:rFonts w:asciiTheme="majorHAnsi" w:hAnsiTheme="majorHAnsi"/>
        </w:rPr>
        <w:t>e</w:t>
      </w:r>
      <w:r w:rsidR="00761A69" w:rsidRPr="000B16D5">
        <w:rPr>
          <w:rFonts w:asciiTheme="majorHAnsi" w:hAnsiTheme="majorHAnsi"/>
        </w:rPr>
        <w:t>xistuje rodinná anamnéza genetického onemocnění</w:t>
      </w:r>
      <w:r w:rsidR="006329CB" w:rsidRPr="000B16D5">
        <w:rPr>
          <w:rFonts w:asciiTheme="majorHAnsi" w:hAnsiTheme="majorHAnsi"/>
        </w:rPr>
        <w:t>,</w:t>
      </w:r>
    </w:p>
    <w:p w:rsidR="00761A69" w:rsidRPr="000B16D5" w:rsidRDefault="001B349A" w:rsidP="00761A69">
      <w:pPr>
        <w:pStyle w:val="Odstavecseseznamem"/>
        <w:numPr>
          <w:ilvl w:val="0"/>
          <w:numId w:val="10"/>
        </w:numPr>
        <w:spacing w:after="160" w:line="259" w:lineRule="auto"/>
        <w:jc w:val="both"/>
        <w:rPr>
          <w:rFonts w:asciiTheme="majorHAnsi" w:hAnsiTheme="majorHAnsi"/>
        </w:rPr>
      </w:pPr>
      <w:r w:rsidRPr="000B16D5">
        <w:rPr>
          <w:rFonts w:asciiTheme="majorHAnsi" w:hAnsiTheme="majorHAnsi"/>
        </w:rPr>
        <w:t>j</w:t>
      </w:r>
      <w:r w:rsidR="00761A69" w:rsidRPr="000B16D5">
        <w:rPr>
          <w:rFonts w:asciiTheme="majorHAnsi" w:hAnsiTheme="majorHAnsi"/>
        </w:rPr>
        <w:t>eden z rodičů nebo oba rodiče mají chromozomální abnormalitu</w:t>
      </w:r>
      <w:r w:rsidR="006329CB" w:rsidRPr="000B16D5">
        <w:rPr>
          <w:rFonts w:asciiTheme="majorHAnsi" w:hAnsiTheme="majorHAnsi"/>
        </w:rPr>
        <w:t>,</w:t>
      </w:r>
    </w:p>
    <w:p w:rsidR="00761A69" w:rsidRPr="000B16D5" w:rsidRDefault="001B349A" w:rsidP="00761A69">
      <w:pPr>
        <w:pStyle w:val="Odstavecseseznamem"/>
        <w:numPr>
          <w:ilvl w:val="0"/>
          <w:numId w:val="10"/>
        </w:numPr>
        <w:spacing w:after="160" w:line="259" w:lineRule="auto"/>
        <w:jc w:val="both"/>
        <w:rPr>
          <w:rFonts w:asciiTheme="majorHAnsi" w:hAnsiTheme="majorHAnsi"/>
        </w:rPr>
      </w:pPr>
      <w:r w:rsidRPr="000B16D5">
        <w:rPr>
          <w:rFonts w:asciiTheme="majorHAnsi" w:hAnsiTheme="majorHAnsi"/>
        </w:rPr>
        <w:t>u</w:t>
      </w:r>
      <w:r w:rsidR="00761A69" w:rsidRPr="000B16D5">
        <w:rPr>
          <w:rFonts w:asciiTheme="majorHAnsi" w:hAnsiTheme="majorHAnsi"/>
        </w:rPr>
        <w:t>ltrazvukový nález u plodu je abnormální</w:t>
      </w:r>
      <w:r w:rsidR="006329CB" w:rsidRPr="000B16D5">
        <w:rPr>
          <w:rFonts w:asciiTheme="majorHAnsi" w:hAnsiTheme="majorHAnsi"/>
        </w:rPr>
        <w:t>,</w:t>
      </w:r>
    </w:p>
    <w:p w:rsidR="00761A69" w:rsidRPr="000B16D5" w:rsidRDefault="001B349A" w:rsidP="00761A69">
      <w:pPr>
        <w:pStyle w:val="Odstavecseseznamem"/>
        <w:numPr>
          <w:ilvl w:val="0"/>
          <w:numId w:val="10"/>
        </w:numPr>
        <w:spacing w:after="160" w:line="259" w:lineRule="auto"/>
        <w:jc w:val="both"/>
        <w:rPr>
          <w:rFonts w:asciiTheme="majorHAnsi" w:hAnsiTheme="majorHAnsi"/>
        </w:rPr>
      </w:pPr>
      <w:r w:rsidRPr="000B16D5">
        <w:rPr>
          <w:rFonts w:asciiTheme="majorHAnsi" w:hAnsiTheme="majorHAnsi"/>
        </w:rPr>
        <w:t>r</w:t>
      </w:r>
      <w:r w:rsidR="00761A69" w:rsidRPr="000B16D5">
        <w:rPr>
          <w:rFonts w:asciiTheme="majorHAnsi" w:hAnsiTheme="majorHAnsi"/>
        </w:rPr>
        <w:t>odiče jsou pokrevně příbuzní (např. jsou to bratranci)</w:t>
      </w:r>
      <w:r w:rsidR="006329CB" w:rsidRPr="000B16D5">
        <w:rPr>
          <w:rFonts w:asciiTheme="majorHAnsi" w:hAnsiTheme="majorHAnsi"/>
        </w:rPr>
        <w:t>.</w:t>
      </w:r>
    </w:p>
    <w:p w:rsidR="00761A69" w:rsidRPr="000B16D5" w:rsidRDefault="00761A69" w:rsidP="000D5338">
      <w:pPr>
        <w:pStyle w:val="Nadpispodkapitoly"/>
        <w:rPr>
          <w:rFonts w:asciiTheme="majorHAnsi" w:hAnsiTheme="majorHAnsi"/>
        </w:rPr>
      </w:pPr>
      <w:bookmarkStart w:id="21" w:name="_Toc380240594"/>
      <w:r w:rsidRPr="000B16D5">
        <w:rPr>
          <w:rFonts w:asciiTheme="majorHAnsi" w:hAnsiTheme="majorHAnsi"/>
        </w:rPr>
        <w:t>Jaké typy genetických onemocnění známe?</w:t>
      </w:r>
      <w:bookmarkEnd w:id="21"/>
    </w:p>
    <w:p w:rsidR="00761A69" w:rsidRPr="000B16D5" w:rsidRDefault="00761A69" w:rsidP="000D5338">
      <w:pPr>
        <w:spacing w:after="0"/>
        <w:jc w:val="both"/>
        <w:rPr>
          <w:rFonts w:asciiTheme="majorHAnsi" w:hAnsiTheme="majorHAnsi"/>
        </w:rPr>
      </w:pPr>
      <w:r w:rsidRPr="000B16D5">
        <w:rPr>
          <w:rFonts w:asciiTheme="majorHAnsi" w:hAnsiTheme="majorHAnsi"/>
        </w:rPr>
        <w:t>Mezi základní kategorie genetických onemocnění, které mohou vést k narození dítěte s genetickým onemocněním, patří:</w:t>
      </w:r>
    </w:p>
    <w:p w:rsidR="00761A69" w:rsidRPr="000B16D5" w:rsidRDefault="001A5ACF" w:rsidP="000D5338">
      <w:pPr>
        <w:numPr>
          <w:ilvl w:val="0"/>
          <w:numId w:val="6"/>
        </w:numPr>
        <w:spacing w:after="0" w:line="240" w:lineRule="auto"/>
        <w:jc w:val="both"/>
        <w:rPr>
          <w:rFonts w:asciiTheme="majorHAnsi" w:hAnsiTheme="majorHAnsi"/>
        </w:rPr>
      </w:pPr>
      <w:r w:rsidRPr="000B16D5">
        <w:rPr>
          <w:rFonts w:asciiTheme="majorHAnsi" w:hAnsiTheme="majorHAnsi"/>
        </w:rPr>
        <w:t>c</w:t>
      </w:r>
      <w:r w:rsidR="00761A69" w:rsidRPr="000B16D5">
        <w:rPr>
          <w:rFonts w:asciiTheme="majorHAnsi" w:hAnsiTheme="majorHAnsi"/>
        </w:rPr>
        <w:t>hromozomální abnormality</w:t>
      </w:r>
      <w:r w:rsidRPr="000B16D5">
        <w:rPr>
          <w:rFonts w:asciiTheme="majorHAnsi" w:hAnsiTheme="majorHAnsi"/>
        </w:rPr>
        <w:t>,</w:t>
      </w:r>
    </w:p>
    <w:p w:rsidR="00761A69" w:rsidRPr="000B16D5" w:rsidRDefault="001A5ACF" w:rsidP="000D5338">
      <w:pPr>
        <w:numPr>
          <w:ilvl w:val="0"/>
          <w:numId w:val="6"/>
        </w:numPr>
        <w:spacing w:after="0" w:line="240" w:lineRule="auto"/>
        <w:jc w:val="both"/>
        <w:rPr>
          <w:rFonts w:asciiTheme="majorHAnsi" w:hAnsiTheme="majorHAnsi"/>
        </w:rPr>
      </w:pPr>
      <w:r w:rsidRPr="000B16D5">
        <w:rPr>
          <w:rFonts w:asciiTheme="majorHAnsi" w:hAnsiTheme="majorHAnsi"/>
        </w:rPr>
        <w:t>m</w:t>
      </w:r>
      <w:r w:rsidR="00761A69" w:rsidRPr="000B16D5">
        <w:rPr>
          <w:rFonts w:asciiTheme="majorHAnsi" w:hAnsiTheme="majorHAnsi"/>
        </w:rPr>
        <w:t>onogenní onemocnění</w:t>
      </w:r>
      <w:r w:rsidRPr="000B16D5">
        <w:rPr>
          <w:rFonts w:asciiTheme="majorHAnsi" w:hAnsiTheme="majorHAnsi"/>
        </w:rPr>
        <w:t>,</w:t>
      </w:r>
    </w:p>
    <w:p w:rsidR="00761A69" w:rsidRPr="000B16D5" w:rsidRDefault="001A5ACF" w:rsidP="000D5338">
      <w:pPr>
        <w:numPr>
          <w:ilvl w:val="0"/>
          <w:numId w:val="6"/>
        </w:numPr>
        <w:spacing w:after="0" w:line="240" w:lineRule="auto"/>
        <w:jc w:val="both"/>
        <w:rPr>
          <w:rFonts w:asciiTheme="majorHAnsi" w:hAnsiTheme="majorHAnsi"/>
        </w:rPr>
      </w:pPr>
      <w:r w:rsidRPr="000B16D5">
        <w:rPr>
          <w:rFonts w:asciiTheme="majorHAnsi" w:hAnsiTheme="majorHAnsi"/>
        </w:rPr>
        <w:t>m</w:t>
      </w:r>
      <w:r w:rsidR="00761A69" w:rsidRPr="000B16D5">
        <w:rPr>
          <w:rFonts w:asciiTheme="majorHAnsi" w:hAnsiTheme="majorHAnsi"/>
        </w:rPr>
        <w:t>ultifaktoriální onemocnění</w:t>
      </w:r>
      <w:r w:rsidRPr="000B16D5">
        <w:rPr>
          <w:rFonts w:asciiTheme="majorHAnsi" w:hAnsiTheme="majorHAnsi"/>
        </w:rPr>
        <w:t>,</w:t>
      </w:r>
    </w:p>
    <w:p w:rsidR="00761A69" w:rsidRPr="000B16D5" w:rsidRDefault="002973D9" w:rsidP="000D5338">
      <w:pPr>
        <w:numPr>
          <w:ilvl w:val="0"/>
          <w:numId w:val="6"/>
        </w:numPr>
        <w:spacing w:after="0" w:line="240" w:lineRule="auto"/>
        <w:jc w:val="both"/>
        <w:rPr>
          <w:rFonts w:asciiTheme="majorHAnsi" w:hAnsiTheme="majorHAnsi"/>
        </w:rPr>
      </w:pPr>
      <w:r w:rsidRPr="000B16D5">
        <w:rPr>
          <w:rFonts w:asciiTheme="majorHAnsi" w:hAnsiTheme="majorHAnsi"/>
        </w:rPr>
        <w:t>t</w:t>
      </w:r>
      <w:r w:rsidR="00761A69" w:rsidRPr="000B16D5">
        <w:rPr>
          <w:rFonts w:asciiTheme="majorHAnsi" w:hAnsiTheme="majorHAnsi"/>
        </w:rPr>
        <w:t>eratogenní události během těhotenství</w:t>
      </w:r>
      <w:r w:rsidR="001A5ACF" w:rsidRPr="000B16D5">
        <w:rPr>
          <w:rFonts w:asciiTheme="majorHAnsi" w:hAnsiTheme="majorHAnsi"/>
        </w:rPr>
        <w:t>.</w:t>
      </w:r>
    </w:p>
    <w:p w:rsidR="000D5338" w:rsidRPr="000B16D5" w:rsidRDefault="000D5338" w:rsidP="000D5338">
      <w:pPr>
        <w:pStyle w:val="Nadpis3"/>
        <w:spacing w:before="0"/>
        <w:jc w:val="both"/>
        <w:rPr>
          <w:sz w:val="22"/>
          <w:szCs w:val="22"/>
        </w:rPr>
      </w:pPr>
    </w:p>
    <w:p w:rsidR="00761A69" w:rsidRPr="000B16D5" w:rsidRDefault="00761A69" w:rsidP="000D5338">
      <w:pPr>
        <w:pStyle w:val="Podpodnadpis"/>
        <w:rPr>
          <w:rFonts w:asciiTheme="majorHAnsi" w:hAnsiTheme="majorHAnsi"/>
        </w:rPr>
      </w:pPr>
      <w:r w:rsidRPr="000B16D5">
        <w:rPr>
          <w:rFonts w:asciiTheme="majorHAnsi" w:hAnsiTheme="majorHAnsi"/>
        </w:rPr>
        <w:t>Co to jsou chromozomální abnormality?</w:t>
      </w:r>
    </w:p>
    <w:p w:rsidR="00761A69" w:rsidRPr="000B16D5" w:rsidRDefault="00761A69" w:rsidP="000D5338">
      <w:pPr>
        <w:spacing w:after="0"/>
        <w:jc w:val="both"/>
        <w:rPr>
          <w:rFonts w:asciiTheme="majorHAnsi" w:hAnsiTheme="majorHAnsi"/>
        </w:rPr>
      </w:pPr>
      <w:r w:rsidRPr="000B16D5">
        <w:rPr>
          <w:rFonts w:asciiTheme="majorHAnsi" w:hAnsiTheme="majorHAnsi"/>
        </w:rPr>
        <w:t>Chromozomální abnormality jsou hrubé přestavby genetického materiálu, konkrétně chromozomů, které u dítěte mohou být zděděny od jednoho z</w:t>
      </w:r>
      <w:r w:rsidR="00F80CFA" w:rsidRPr="000B16D5">
        <w:rPr>
          <w:rFonts w:asciiTheme="majorHAnsi" w:hAnsiTheme="majorHAnsi"/>
        </w:rPr>
        <w:t> </w:t>
      </w:r>
      <w:r w:rsidRPr="000B16D5">
        <w:rPr>
          <w:rFonts w:asciiTheme="majorHAnsi" w:hAnsiTheme="majorHAnsi"/>
        </w:rPr>
        <w:t>rodičů</w:t>
      </w:r>
      <w:r w:rsidR="00F80CFA" w:rsidRPr="000B16D5">
        <w:rPr>
          <w:rFonts w:asciiTheme="majorHAnsi" w:hAnsiTheme="majorHAnsi"/>
        </w:rPr>
        <w:t>,</w:t>
      </w:r>
      <w:r w:rsidRPr="000B16D5">
        <w:rPr>
          <w:rFonts w:asciiTheme="majorHAnsi" w:hAnsiTheme="majorHAnsi"/>
        </w:rPr>
        <w:t xml:space="preserve"> nebo se mohou objevit bez předchozí rodinné anamnézy. Nejčastěji se jedná o tyto chromozomální abnormality:</w:t>
      </w:r>
    </w:p>
    <w:p w:rsidR="00761A69" w:rsidRPr="000B16D5" w:rsidRDefault="00761A69" w:rsidP="000D5338">
      <w:pPr>
        <w:pStyle w:val="Odstavecseseznamem"/>
        <w:numPr>
          <w:ilvl w:val="0"/>
          <w:numId w:val="7"/>
        </w:numPr>
        <w:spacing w:after="0" w:line="240" w:lineRule="auto"/>
        <w:jc w:val="both"/>
        <w:rPr>
          <w:rFonts w:asciiTheme="majorHAnsi" w:hAnsiTheme="majorHAnsi"/>
        </w:rPr>
      </w:pPr>
      <w:r w:rsidRPr="000B16D5">
        <w:rPr>
          <w:rFonts w:asciiTheme="majorHAnsi" w:hAnsiTheme="majorHAnsi"/>
          <w:b/>
          <w:bCs/>
        </w:rPr>
        <w:t>aneuploidie</w:t>
      </w:r>
      <w:r w:rsidRPr="000B16D5">
        <w:rPr>
          <w:rFonts w:asciiTheme="majorHAnsi" w:hAnsiTheme="majorHAnsi"/>
        </w:rPr>
        <w:t xml:space="preserve"> – </w:t>
      </w:r>
      <w:r w:rsidRPr="000B16D5">
        <w:rPr>
          <w:rStyle w:val="definitiontext"/>
          <w:rFonts w:asciiTheme="majorHAnsi" w:hAnsiTheme="majorHAnsi"/>
        </w:rPr>
        <w:t>abnormální počet chromoz</w:t>
      </w:r>
      <w:r w:rsidR="00FC67B2" w:rsidRPr="000B16D5">
        <w:rPr>
          <w:rStyle w:val="definitiontext"/>
          <w:rFonts w:asciiTheme="majorHAnsi" w:hAnsiTheme="majorHAnsi"/>
        </w:rPr>
        <w:t>o</w:t>
      </w:r>
      <w:r w:rsidRPr="000B16D5">
        <w:rPr>
          <w:rStyle w:val="definitiontext"/>
          <w:rFonts w:asciiTheme="majorHAnsi" w:hAnsiTheme="majorHAnsi"/>
        </w:rPr>
        <w:t>mů u člověka např. některé trisomie nebo monosomie:</w:t>
      </w:r>
    </w:p>
    <w:p w:rsidR="00761A69" w:rsidRPr="000B16D5" w:rsidRDefault="00761A69" w:rsidP="000D5338">
      <w:pPr>
        <w:numPr>
          <w:ilvl w:val="1"/>
          <w:numId w:val="7"/>
        </w:numPr>
        <w:spacing w:after="0" w:line="240" w:lineRule="auto"/>
        <w:jc w:val="both"/>
        <w:rPr>
          <w:rFonts w:asciiTheme="majorHAnsi" w:hAnsiTheme="majorHAnsi"/>
        </w:rPr>
      </w:pPr>
      <w:r w:rsidRPr="000B16D5">
        <w:rPr>
          <w:rStyle w:val="Siln"/>
          <w:rFonts w:asciiTheme="majorHAnsi" w:hAnsiTheme="majorHAnsi"/>
        </w:rPr>
        <w:t>Downův syndrom (trisomie 21)</w:t>
      </w:r>
      <w:r w:rsidRPr="000B16D5">
        <w:rPr>
          <w:rStyle w:val="definitiontext"/>
          <w:rFonts w:asciiTheme="majorHAnsi" w:hAnsiTheme="majorHAnsi"/>
        </w:rPr>
        <w:t xml:space="preserve"> – buňky dítěte obsahují tři chromoz</w:t>
      </w:r>
      <w:r w:rsidR="00FC67B2" w:rsidRPr="000B16D5">
        <w:rPr>
          <w:rStyle w:val="definitiontext"/>
          <w:rFonts w:asciiTheme="majorHAnsi" w:hAnsiTheme="majorHAnsi"/>
        </w:rPr>
        <w:t>o</w:t>
      </w:r>
      <w:r w:rsidRPr="000B16D5">
        <w:rPr>
          <w:rStyle w:val="definitiontext"/>
          <w:rFonts w:asciiTheme="majorHAnsi" w:hAnsiTheme="majorHAnsi"/>
        </w:rPr>
        <w:t>my 21, karyotyp 47,+21</w:t>
      </w:r>
    </w:p>
    <w:p w:rsidR="00761A69" w:rsidRPr="000B16D5" w:rsidRDefault="00761A69" w:rsidP="000D5338">
      <w:pPr>
        <w:numPr>
          <w:ilvl w:val="1"/>
          <w:numId w:val="7"/>
        </w:numPr>
        <w:spacing w:after="0" w:line="240" w:lineRule="auto"/>
        <w:jc w:val="both"/>
        <w:rPr>
          <w:rFonts w:asciiTheme="majorHAnsi" w:hAnsiTheme="majorHAnsi"/>
        </w:rPr>
      </w:pPr>
      <w:r w:rsidRPr="000B16D5">
        <w:rPr>
          <w:rStyle w:val="Siln"/>
          <w:rFonts w:asciiTheme="majorHAnsi" w:hAnsiTheme="majorHAnsi"/>
        </w:rPr>
        <w:t>Turnerův syndrom</w:t>
      </w:r>
      <w:r w:rsidRPr="000B16D5">
        <w:rPr>
          <w:rStyle w:val="definitiontext"/>
          <w:rFonts w:asciiTheme="majorHAnsi" w:hAnsiTheme="majorHAnsi"/>
        </w:rPr>
        <w:t xml:space="preserve"> (jeden ze dvou chromoz</w:t>
      </w:r>
      <w:r w:rsidR="00FC67B2" w:rsidRPr="000B16D5">
        <w:rPr>
          <w:rStyle w:val="definitiontext"/>
          <w:rFonts w:asciiTheme="majorHAnsi" w:hAnsiTheme="majorHAnsi"/>
        </w:rPr>
        <w:t>o</w:t>
      </w:r>
      <w:r w:rsidRPr="000B16D5">
        <w:rPr>
          <w:rStyle w:val="definitiontext"/>
          <w:rFonts w:asciiTheme="majorHAnsi" w:hAnsiTheme="majorHAnsi"/>
        </w:rPr>
        <w:t xml:space="preserve">mů X chybí, karyotyp 45X0, </w:t>
      </w:r>
    </w:p>
    <w:p w:rsidR="00761A69" w:rsidRPr="000B16D5" w:rsidRDefault="00761A69" w:rsidP="000D5338">
      <w:pPr>
        <w:numPr>
          <w:ilvl w:val="0"/>
          <w:numId w:val="7"/>
        </w:numPr>
        <w:spacing w:after="0" w:line="240" w:lineRule="auto"/>
        <w:jc w:val="both"/>
        <w:rPr>
          <w:rFonts w:asciiTheme="majorHAnsi" w:hAnsiTheme="majorHAnsi"/>
        </w:rPr>
      </w:pPr>
      <w:r w:rsidRPr="000B16D5">
        <w:rPr>
          <w:rFonts w:asciiTheme="majorHAnsi" w:hAnsiTheme="majorHAnsi"/>
          <w:b/>
          <w:bCs/>
        </w:rPr>
        <w:t>delece</w:t>
      </w:r>
      <w:r w:rsidRPr="000B16D5">
        <w:rPr>
          <w:rFonts w:asciiTheme="majorHAnsi" w:hAnsiTheme="majorHAnsi"/>
        </w:rPr>
        <w:t xml:space="preserve"> – chybí část chromoz</w:t>
      </w:r>
      <w:r w:rsidR="00FC67B2" w:rsidRPr="000B16D5">
        <w:rPr>
          <w:rFonts w:asciiTheme="majorHAnsi" w:hAnsiTheme="majorHAnsi"/>
        </w:rPr>
        <w:t>o</w:t>
      </w:r>
      <w:r w:rsidRPr="000B16D5">
        <w:rPr>
          <w:rFonts w:asciiTheme="majorHAnsi" w:hAnsiTheme="majorHAnsi"/>
        </w:rPr>
        <w:t>mu</w:t>
      </w:r>
    </w:p>
    <w:p w:rsidR="00761A69" w:rsidRPr="000B16D5" w:rsidRDefault="00761A69" w:rsidP="000D5338">
      <w:pPr>
        <w:numPr>
          <w:ilvl w:val="0"/>
          <w:numId w:val="7"/>
        </w:numPr>
        <w:spacing w:after="0" w:line="240" w:lineRule="auto"/>
        <w:jc w:val="both"/>
        <w:rPr>
          <w:rFonts w:asciiTheme="majorHAnsi" w:hAnsiTheme="majorHAnsi"/>
        </w:rPr>
      </w:pPr>
      <w:r w:rsidRPr="000B16D5">
        <w:rPr>
          <w:rFonts w:asciiTheme="majorHAnsi" w:hAnsiTheme="majorHAnsi"/>
          <w:b/>
          <w:bCs/>
        </w:rPr>
        <w:t>inverze</w:t>
      </w:r>
      <w:r w:rsidR="000D5338" w:rsidRPr="000B16D5">
        <w:rPr>
          <w:rFonts w:asciiTheme="majorHAnsi" w:hAnsiTheme="majorHAnsi"/>
          <w:b/>
          <w:bCs/>
        </w:rPr>
        <w:t xml:space="preserve"> </w:t>
      </w:r>
      <w:r w:rsidR="000D5338" w:rsidRPr="000B16D5">
        <w:rPr>
          <w:rFonts w:asciiTheme="majorHAnsi" w:hAnsiTheme="majorHAnsi"/>
        </w:rPr>
        <w:t>–</w:t>
      </w:r>
      <w:r w:rsidRPr="000B16D5">
        <w:rPr>
          <w:rFonts w:asciiTheme="majorHAnsi" w:hAnsiTheme="majorHAnsi"/>
        </w:rPr>
        <w:t xml:space="preserve"> chromozom se zlomí a jeho část se otočí a znovu napojí, ale v opačném směru. Inverze mohou být klinicky němé nebo se mohou projevovat ve fenotypu v závislosti na jejich konkrétní povaze</w:t>
      </w:r>
    </w:p>
    <w:p w:rsidR="00761A69" w:rsidRPr="000B16D5" w:rsidRDefault="00761A69" w:rsidP="000D5338">
      <w:pPr>
        <w:numPr>
          <w:ilvl w:val="0"/>
          <w:numId w:val="7"/>
        </w:numPr>
        <w:spacing w:after="0" w:line="240" w:lineRule="auto"/>
        <w:jc w:val="both"/>
        <w:rPr>
          <w:rFonts w:asciiTheme="majorHAnsi" w:hAnsiTheme="majorHAnsi"/>
        </w:rPr>
      </w:pPr>
      <w:r w:rsidRPr="000B16D5">
        <w:rPr>
          <w:rFonts w:asciiTheme="majorHAnsi" w:hAnsiTheme="majorHAnsi"/>
          <w:b/>
          <w:bCs/>
        </w:rPr>
        <w:t>translokace</w:t>
      </w:r>
      <w:r w:rsidRPr="000B16D5">
        <w:rPr>
          <w:rFonts w:asciiTheme="majorHAnsi" w:hAnsiTheme="majorHAnsi"/>
        </w:rPr>
        <w:t xml:space="preserve"> – přestavba segmentu chromozomu z jedné části chromozomu na jinou, ať už na tentýž chromozom nebo na odlišný chromozom</w:t>
      </w:r>
    </w:p>
    <w:p w:rsidR="00761A69" w:rsidRPr="000B16D5" w:rsidRDefault="00761A69" w:rsidP="000D5338">
      <w:pPr>
        <w:numPr>
          <w:ilvl w:val="1"/>
          <w:numId w:val="7"/>
        </w:numPr>
        <w:spacing w:after="0" w:line="240" w:lineRule="auto"/>
        <w:jc w:val="both"/>
        <w:rPr>
          <w:rFonts w:asciiTheme="majorHAnsi" w:hAnsiTheme="majorHAnsi"/>
        </w:rPr>
      </w:pPr>
      <w:r w:rsidRPr="000B16D5">
        <w:rPr>
          <w:rStyle w:val="Siln"/>
          <w:rFonts w:asciiTheme="majorHAnsi" w:hAnsiTheme="majorHAnsi"/>
        </w:rPr>
        <w:t>balancované translokace</w:t>
      </w:r>
      <w:r w:rsidRPr="000B16D5">
        <w:rPr>
          <w:rFonts w:asciiTheme="majorHAnsi" w:hAnsiTheme="majorHAnsi"/>
        </w:rPr>
        <w:t xml:space="preserve"> – DNA je rovnoměrně rozdělena mezi chromozomy a žádná část nechybí či nepřebývá. Rodič s balancovanou translokací je fenotypicky zdravý (postižení se u něj neprojevuje), ale je u něj riziko, že na potomstvo předá nebalancovanou translokaci, tj. že bude mít postiženého potomka</w:t>
      </w:r>
    </w:p>
    <w:p w:rsidR="00761A69" w:rsidRPr="000B16D5" w:rsidRDefault="00761A69" w:rsidP="000D5338">
      <w:pPr>
        <w:numPr>
          <w:ilvl w:val="1"/>
          <w:numId w:val="7"/>
        </w:numPr>
        <w:spacing w:after="0" w:line="240" w:lineRule="auto"/>
        <w:jc w:val="both"/>
        <w:rPr>
          <w:rFonts w:asciiTheme="majorHAnsi" w:hAnsiTheme="majorHAnsi"/>
        </w:rPr>
      </w:pPr>
      <w:r w:rsidRPr="000B16D5">
        <w:rPr>
          <w:rStyle w:val="Siln"/>
          <w:rFonts w:asciiTheme="majorHAnsi" w:hAnsiTheme="majorHAnsi"/>
        </w:rPr>
        <w:t>Robertsonovská translokace</w:t>
      </w:r>
      <w:r w:rsidRPr="000B16D5">
        <w:rPr>
          <w:rFonts w:asciiTheme="majorHAnsi" w:hAnsiTheme="majorHAnsi"/>
        </w:rPr>
        <w:t xml:space="preserve"> </w:t>
      </w:r>
      <w:r w:rsidR="000D5338" w:rsidRPr="000B16D5">
        <w:rPr>
          <w:rFonts w:asciiTheme="majorHAnsi" w:hAnsiTheme="majorHAnsi"/>
        </w:rPr>
        <w:t>–</w:t>
      </w:r>
      <w:r w:rsidRPr="000B16D5">
        <w:rPr>
          <w:rFonts w:asciiTheme="majorHAnsi" w:hAnsiTheme="majorHAnsi"/>
        </w:rPr>
        <w:t xml:space="preserve"> balancovaná translokace, kdy se chromozom jedním koncem připojuje na konec jiného chromozomu</w:t>
      </w:r>
    </w:p>
    <w:p w:rsidR="00761A69" w:rsidRPr="000B16D5" w:rsidRDefault="00761A69" w:rsidP="000D5338">
      <w:pPr>
        <w:numPr>
          <w:ilvl w:val="0"/>
          <w:numId w:val="7"/>
        </w:numPr>
        <w:spacing w:after="0" w:line="240" w:lineRule="auto"/>
        <w:jc w:val="both"/>
        <w:rPr>
          <w:rFonts w:asciiTheme="majorHAnsi" w:hAnsiTheme="majorHAnsi"/>
        </w:rPr>
      </w:pPr>
      <w:r w:rsidRPr="000B16D5">
        <w:rPr>
          <w:rFonts w:asciiTheme="majorHAnsi" w:hAnsiTheme="majorHAnsi"/>
          <w:b/>
          <w:bCs/>
        </w:rPr>
        <w:t>mozaicismus</w:t>
      </w:r>
      <w:r w:rsidRPr="000B16D5">
        <w:rPr>
          <w:rFonts w:asciiTheme="majorHAnsi" w:hAnsiTheme="majorHAnsi"/>
        </w:rPr>
        <w:t xml:space="preserve"> – přítomnost dvou či více chromozomálních vzorců v buňkách jednoho jedince, což vede k přítomnosti dvou či více buněčných linií (např. některé linie s 46 chromozomy, jiné s 47 chromozomy)</w:t>
      </w:r>
    </w:p>
    <w:p w:rsidR="00761A69" w:rsidRPr="000B16D5" w:rsidRDefault="00761A69" w:rsidP="000D5338">
      <w:pPr>
        <w:pStyle w:val="Podpodnadpis"/>
        <w:rPr>
          <w:rFonts w:asciiTheme="majorHAnsi" w:hAnsiTheme="majorHAnsi"/>
        </w:rPr>
      </w:pPr>
      <w:r w:rsidRPr="000B16D5">
        <w:rPr>
          <w:rFonts w:asciiTheme="majorHAnsi" w:hAnsiTheme="majorHAnsi"/>
        </w:rPr>
        <w:t>Co jsou monogenní onemocnění?</w:t>
      </w:r>
    </w:p>
    <w:p w:rsidR="00761A69" w:rsidRPr="000B16D5" w:rsidRDefault="00761A69" w:rsidP="000D5338">
      <w:pPr>
        <w:spacing w:after="0"/>
        <w:jc w:val="both"/>
        <w:rPr>
          <w:rFonts w:asciiTheme="majorHAnsi" w:hAnsiTheme="majorHAnsi"/>
        </w:rPr>
      </w:pPr>
      <w:r w:rsidRPr="000B16D5">
        <w:rPr>
          <w:rFonts w:asciiTheme="majorHAnsi" w:hAnsiTheme="majorHAnsi"/>
        </w:rPr>
        <w:t>Jsou známa také jako mendelovská onemocnění, protože sledují určité vzorce dědičnosti, které poprvé definoval Johann Gregor Mendel. U monogenních onemocnění zodpovídá za vznik defektu či abnormality jeden gen či k nim tento gen výrazně přispívá. Riziko přenosu onemocnění do dalších generací je u monogenních onemocnění obvykle vyšší než u onemocnění multifaktoriálních a obvykle se dá určit podle konkrétních vzorců přenosu. Základní způsoby dědičnost</w:t>
      </w:r>
      <w:r w:rsidR="000D5338" w:rsidRPr="000B16D5">
        <w:rPr>
          <w:rFonts w:asciiTheme="majorHAnsi" w:hAnsiTheme="majorHAnsi"/>
        </w:rPr>
        <w:t xml:space="preserve">i monogenních onemocnění jsou: </w:t>
      </w:r>
    </w:p>
    <w:p w:rsidR="00761A69" w:rsidRPr="000B16D5" w:rsidRDefault="00761A69" w:rsidP="000D5338">
      <w:pPr>
        <w:numPr>
          <w:ilvl w:val="0"/>
          <w:numId w:val="8"/>
        </w:numPr>
        <w:spacing w:after="0" w:line="240" w:lineRule="auto"/>
        <w:jc w:val="both"/>
        <w:rPr>
          <w:rFonts w:asciiTheme="majorHAnsi" w:hAnsiTheme="majorHAnsi"/>
        </w:rPr>
      </w:pPr>
      <w:r w:rsidRPr="000B16D5">
        <w:rPr>
          <w:rFonts w:asciiTheme="majorHAnsi" w:hAnsiTheme="majorHAnsi"/>
          <w:b/>
          <w:bCs/>
        </w:rPr>
        <w:lastRenderedPageBreak/>
        <w:t>dominantní</w:t>
      </w:r>
      <w:r w:rsidRPr="000B16D5">
        <w:rPr>
          <w:rFonts w:asciiTheme="majorHAnsi" w:hAnsiTheme="majorHAnsi"/>
        </w:rPr>
        <w:t xml:space="preserve"> – onemocnění se projeví již při přítomnosti jedné abnormální alely. Jestliže onemocnění trpí jeden z rodičů, riziko přenosu onemocnění na dítě je 50</w:t>
      </w:r>
      <w:r w:rsidR="008A1C4C" w:rsidRPr="000B16D5">
        <w:rPr>
          <w:rFonts w:asciiTheme="majorHAnsi" w:hAnsiTheme="majorHAnsi"/>
        </w:rPr>
        <w:t xml:space="preserve"> </w:t>
      </w:r>
      <w:r w:rsidRPr="000B16D5">
        <w:rPr>
          <w:rFonts w:asciiTheme="majorHAnsi" w:hAnsiTheme="majorHAnsi"/>
        </w:rPr>
        <w:t xml:space="preserve">%. Mezi příklady patří následující choroby: </w:t>
      </w:r>
    </w:p>
    <w:p w:rsidR="00761A69" w:rsidRPr="000B16D5" w:rsidRDefault="00761A69" w:rsidP="000D5338">
      <w:pPr>
        <w:numPr>
          <w:ilvl w:val="1"/>
          <w:numId w:val="8"/>
        </w:numPr>
        <w:spacing w:after="0" w:line="240" w:lineRule="auto"/>
        <w:jc w:val="both"/>
        <w:rPr>
          <w:rFonts w:asciiTheme="majorHAnsi" w:hAnsiTheme="majorHAnsi"/>
        </w:rPr>
      </w:pPr>
      <w:r w:rsidRPr="000B16D5">
        <w:rPr>
          <w:rStyle w:val="Siln"/>
          <w:rFonts w:asciiTheme="majorHAnsi" w:hAnsiTheme="majorHAnsi"/>
        </w:rPr>
        <w:t>achondroplazie</w:t>
      </w:r>
      <w:r w:rsidRPr="000B16D5">
        <w:rPr>
          <w:rFonts w:asciiTheme="majorHAnsi" w:hAnsiTheme="majorHAnsi"/>
        </w:rPr>
        <w:t xml:space="preserve"> – nedokonalý vývoj kostních chrupavek způsobující trpaslictví</w:t>
      </w:r>
    </w:p>
    <w:p w:rsidR="00761A69" w:rsidRPr="000B16D5" w:rsidRDefault="00761A69" w:rsidP="000D5338">
      <w:pPr>
        <w:numPr>
          <w:ilvl w:val="1"/>
          <w:numId w:val="8"/>
        </w:numPr>
        <w:spacing w:after="0" w:line="240" w:lineRule="auto"/>
        <w:jc w:val="both"/>
        <w:rPr>
          <w:rFonts w:asciiTheme="majorHAnsi" w:hAnsiTheme="majorHAnsi"/>
        </w:rPr>
      </w:pPr>
      <w:r w:rsidRPr="000B16D5">
        <w:rPr>
          <w:rStyle w:val="Siln"/>
          <w:rFonts w:asciiTheme="majorHAnsi" w:hAnsiTheme="majorHAnsi"/>
        </w:rPr>
        <w:t>Marfanův syndrom</w:t>
      </w:r>
      <w:r w:rsidRPr="000B16D5">
        <w:rPr>
          <w:rFonts w:asciiTheme="majorHAnsi" w:hAnsiTheme="majorHAnsi"/>
        </w:rPr>
        <w:t xml:space="preserve"> – onemocnění pojivové tkáně způsobující abnormálně vysoký vzrůst, štíhlou postavu a srdeční defekty a onemocnění očí (zejména poruchy oční čočky)</w:t>
      </w:r>
    </w:p>
    <w:p w:rsidR="00761A69" w:rsidRPr="000B16D5" w:rsidRDefault="008618D5" w:rsidP="000D5338">
      <w:pPr>
        <w:numPr>
          <w:ilvl w:val="1"/>
          <w:numId w:val="8"/>
        </w:numPr>
        <w:spacing w:after="0" w:line="240" w:lineRule="auto"/>
        <w:jc w:val="both"/>
        <w:rPr>
          <w:rFonts w:asciiTheme="majorHAnsi" w:hAnsiTheme="majorHAnsi"/>
        </w:rPr>
      </w:pPr>
      <w:r w:rsidRPr="000B16D5">
        <w:rPr>
          <w:rStyle w:val="Siln"/>
          <w:rFonts w:asciiTheme="majorHAnsi" w:hAnsiTheme="majorHAnsi"/>
        </w:rPr>
        <w:t>f</w:t>
      </w:r>
      <w:r w:rsidR="00761A69" w:rsidRPr="000B16D5">
        <w:rPr>
          <w:rStyle w:val="Siln"/>
          <w:rFonts w:asciiTheme="majorHAnsi" w:hAnsiTheme="majorHAnsi"/>
        </w:rPr>
        <w:t>amiliární hypercholesterolémie</w:t>
      </w:r>
    </w:p>
    <w:p w:rsidR="00761A69" w:rsidRPr="000B16D5" w:rsidRDefault="00761A69" w:rsidP="000D5338">
      <w:pPr>
        <w:numPr>
          <w:ilvl w:val="0"/>
          <w:numId w:val="8"/>
        </w:numPr>
        <w:spacing w:after="0" w:line="240" w:lineRule="auto"/>
        <w:jc w:val="both"/>
        <w:rPr>
          <w:rFonts w:asciiTheme="majorHAnsi" w:hAnsiTheme="majorHAnsi"/>
        </w:rPr>
      </w:pPr>
      <w:r w:rsidRPr="000B16D5">
        <w:rPr>
          <w:rFonts w:asciiTheme="majorHAnsi" w:hAnsiTheme="majorHAnsi"/>
          <w:b/>
          <w:bCs/>
        </w:rPr>
        <w:t>recesivní</w:t>
      </w:r>
      <w:r w:rsidR="008618D5" w:rsidRPr="000B16D5">
        <w:rPr>
          <w:rFonts w:asciiTheme="majorHAnsi" w:hAnsiTheme="majorHAnsi"/>
          <w:b/>
          <w:bCs/>
        </w:rPr>
        <w:t xml:space="preserve"> </w:t>
      </w:r>
      <w:r w:rsidR="008618D5" w:rsidRPr="000B16D5">
        <w:rPr>
          <w:rFonts w:asciiTheme="majorHAnsi" w:hAnsiTheme="majorHAnsi"/>
        </w:rPr>
        <w:t>–</w:t>
      </w:r>
      <w:r w:rsidRPr="000B16D5">
        <w:rPr>
          <w:rFonts w:asciiTheme="majorHAnsi" w:hAnsiTheme="majorHAnsi"/>
        </w:rPr>
        <w:t xml:space="preserve"> abnormalita se objeví pouze tehdy, jestliže jedinec nese dvě zmutované alely v daném lokusu. Jestliže jsou oba rodiče přenašeči (tj. mají jednu patogenní alelu a jednu zdravou), je u jejich dítěte 25% riziko, že se u něj onemocnění projeví. Mezi typické příklady patří: </w:t>
      </w:r>
    </w:p>
    <w:p w:rsidR="00761A69" w:rsidRPr="000B16D5" w:rsidRDefault="00761A69" w:rsidP="000D5338">
      <w:pPr>
        <w:numPr>
          <w:ilvl w:val="1"/>
          <w:numId w:val="8"/>
        </w:numPr>
        <w:spacing w:after="0" w:line="240" w:lineRule="auto"/>
        <w:jc w:val="both"/>
        <w:rPr>
          <w:rFonts w:asciiTheme="majorHAnsi" w:hAnsiTheme="majorHAnsi"/>
        </w:rPr>
      </w:pPr>
      <w:r w:rsidRPr="000B16D5">
        <w:rPr>
          <w:rStyle w:val="Siln"/>
          <w:rFonts w:asciiTheme="majorHAnsi" w:hAnsiTheme="majorHAnsi"/>
        </w:rPr>
        <w:t>cystická fibróza</w:t>
      </w:r>
      <w:r w:rsidR="008A1C4C" w:rsidRPr="000B16D5">
        <w:rPr>
          <w:rFonts w:asciiTheme="majorHAnsi" w:hAnsiTheme="majorHAnsi"/>
        </w:rPr>
        <w:t xml:space="preserve"> – </w:t>
      </w:r>
      <w:r w:rsidRPr="000B16D5">
        <w:rPr>
          <w:rFonts w:asciiTheme="majorHAnsi" w:hAnsiTheme="majorHAnsi"/>
        </w:rPr>
        <w:t xml:space="preserve">onemocnění charakterizované mutací chloridového kanálu s tvorbou abnormálně vazkých sekretů v plicích a slinivce břišní </w:t>
      </w:r>
    </w:p>
    <w:p w:rsidR="00761A69" w:rsidRPr="000B16D5" w:rsidRDefault="00761A69" w:rsidP="000D5338">
      <w:pPr>
        <w:numPr>
          <w:ilvl w:val="1"/>
          <w:numId w:val="8"/>
        </w:numPr>
        <w:spacing w:after="0" w:line="240" w:lineRule="auto"/>
        <w:jc w:val="both"/>
        <w:rPr>
          <w:rFonts w:asciiTheme="majorHAnsi" w:hAnsiTheme="majorHAnsi"/>
        </w:rPr>
      </w:pPr>
      <w:r w:rsidRPr="000B16D5">
        <w:rPr>
          <w:rStyle w:val="Siln"/>
          <w:rFonts w:asciiTheme="majorHAnsi" w:hAnsiTheme="majorHAnsi"/>
        </w:rPr>
        <w:t>srpkovitá anémie</w:t>
      </w:r>
      <w:r w:rsidRPr="000B16D5">
        <w:rPr>
          <w:rFonts w:asciiTheme="majorHAnsi" w:hAnsiTheme="majorHAnsi"/>
        </w:rPr>
        <w:t xml:space="preserve"> – onemocnění charakterizované tvorbou abnormálních červených krvinek</w:t>
      </w:r>
    </w:p>
    <w:p w:rsidR="00761A69" w:rsidRPr="000B16D5" w:rsidRDefault="00761A69" w:rsidP="000D5338">
      <w:pPr>
        <w:numPr>
          <w:ilvl w:val="1"/>
          <w:numId w:val="8"/>
        </w:numPr>
        <w:spacing w:after="0" w:line="240" w:lineRule="auto"/>
        <w:jc w:val="both"/>
        <w:rPr>
          <w:rFonts w:asciiTheme="majorHAnsi" w:hAnsiTheme="majorHAnsi"/>
        </w:rPr>
      </w:pPr>
      <w:r w:rsidRPr="000B16D5">
        <w:rPr>
          <w:rStyle w:val="Siln"/>
          <w:rFonts w:asciiTheme="majorHAnsi" w:hAnsiTheme="majorHAnsi"/>
        </w:rPr>
        <w:t>Tay Sachsova choroba</w:t>
      </w:r>
      <w:r w:rsidR="00BD579D" w:rsidRPr="000B16D5">
        <w:rPr>
          <w:rFonts w:asciiTheme="majorHAnsi" w:hAnsiTheme="majorHAnsi"/>
        </w:rPr>
        <w:t xml:space="preserve"> –</w:t>
      </w:r>
      <w:r w:rsidRPr="000B16D5">
        <w:rPr>
          <w:rFonts w:asciiTheme="majorHAnsi" w:hAnsiTheme="majorHAnsi"/>
        </w:rPr>
        <w:t xml:space="preserve"> progresivní degenerace centrálního nervového systému, která je pro pacienta fatální (většina pacientů umírá do pěti let věku), častější u židovské komunity</w:t>
      </w:r>
    </w:p>
    <w:p w:rsidR="00761A69" w:rsidRPr="000B16D5" w:rsidRDefault="00761A69" w:rsidP="000D5338">
      <w:pPr>
        <w:numPr>
          <w:ilvl w:val="0"/>
          <w:numId w:val="8"/>
        </w:numPr>
        <w:spacing w:after="0" w:line="240" w:lineRule="auto"/>
        <w:jc w:val="both"/>
        <w:rPr>
          <w:rFonts w:asciiTheme="majorHAnsi" w:hAnsiTheme="majorHAnsi"/>
        </w:rPr>
      </w:pPr>
      <w:r w:rsidRPr="000B16D5">
        <w:rPr>
          <w:rFonts w:asciiTheme="majorHAnsi" w:hAnsiTheme="majorHAnsi"/>
          <w:b/>
          <w:bCs/>
        </w:rPr>
        <w:t>X-vázané</w:t>
      </w:r>
      <w:r w:rsidRPr="000B16D5">
        <w:rPr>
          <w:rFonts w:asciiTheme="majorHAnsi" w:hAnsiTheme="majorHAnsi"/>
        </w:rPr>
        <w:t xml:space="preserve"> – onemocnění je způsobeno geny uloženými na chromozomu X. Postižení jsou zejména muži (protože mají pouze jeden X chromozom), ženy bývají v typickém případě přenašečky a je u nich 50% pravděpodobnost, že onemocnění bude postihovat jejich syny. Riziko pro syna přenašečky, že bude trpět X-vázaným onemocněním, je tedy 50</w:t>
      </w:r>
      <w:r w:rsidR="00BD579D" w:rsidRPr="000B16D5">
        <w:rPr>
          <w:rFonts w:asciiTheme="majorHAnsi" w:hAnsiTheme="majorHAnsi"/>
        </w:rPr>
        <w:t xml:space="preserve"> </w:t>
      </w:r>
      <w:r w:rsidRPr="000B16D5">
        <w:rPr>
          <w:rFonts w:asciiTheme="majorHAnsi" w:hAnsiTheme="majorHAnsi"/>
        </w:rPr>
        <w:t xml:space="preserve">%. Patří sem např. </w:t>
      </w:r>
    </w:p>
    <w:p w:rsidR="00761A69" w:rsidRPr="000B16D5" w:rsidRDefault="00761A69" w:rsidP="000D5338">
      <w:pPr>
        <w:numPr>
          <w:ilvl w:val="1"/>
          <w:numId w:val="8"/>
        </w:numPr>
        <w:spacing w:after="0" w:line="240" w:lineRule="auto"/>
        <w:jc w:val="both"/>
        <w:rPr>
          <w:rFonts w:asciiTheme="majorHAnsi" w:hAnsiTheme="majorHAnsi"/>
        </w:rPr>
      </w:pPr>
      <w:r w:rsidRPr="000B16D5">
        <w:rPr>
          <w:rStyle w:val="Siln"/>
          <w:rFonts w:asciiTheme="majorHAnsi" w:hAnsiTheme="majorHAnsi"/>
        </w:rPr>
        <w:t>Duchennova svalová dystrofie</w:t>
      </w:r>
      <w:r w:rsidRPr="000B16D5">
        <w:rPr>
          <w:rFonts w:asciiTheme="majorHAnsi" w:hAnsiTheme="majorHAnsi"/>
        </w:rPr>
        <w:t xml:space="preserve"> – onemocnění charakterizované postupnou degenerací a atrofií svalů</w:t>
      </w:r>
    </w:p>
    <w:p w:rsidR="00761A69" w:rsidRPr="000B16D5" w:rsidRDefault="00761A69" w:rsidP="000D5338">
      <w:pPr>
        <w:numPr>
          <w:ilvl w:val="1"/>
          <w:numId w:val="8"/>
        </w:numPr>
        <w:spacing w:after="0" w:line="240" w:lineRule="auto"/>
        <w:jc w:val="both"/>
        <w:rPr>
          <w:rFonts w:asciiTheme="majorHAnsi" w:hAnsiTheme="majorHAnsi"/>
        </w:rPr>
      </w:pPr>
      <w:r w:rsidRPr="000B16D5">
        <w:rPr>
          <w:rStyle w:val="Siln"/>
          <w:rFonts w:asciiTheme="majorHAnsi" w:hAnsiTheme="majorHAnsi"/>
        </w:rPr>
        <w:t>hemofilie</w:t>
      </w:r>
      <w:r w:rsidRPr="000B16D5">
        <w:rPr>
          <w:rFonts w:asciiTheme="majorHAnsi" w:hAnsiTheme="majorHAnsi"/>
        </w:rPr>
        <w:t xml:space="preserve"> – krvácivá porucha způsobená nízkými hladinami nebo úplnou absencí krevních bílkovin, které jsou zásadní pro krevní srážení. </w:t>
      </w:r>
    </w:p>
    <w:p w:rsidR="008618D5" w:rsidRPr="000B16D5" w:rsidRDefault="008618D5" w:rsidP="008618D5">
      <w:pPr>
        <w:spacing w:after="0" w:line="240" w:lineRule="auto"/>
        <w:ind w:left="1080"/>
        <w:jc w:val="both"/>
        <w:rPr>
          <w:rFonts w:asciiTheme="majorHAnsi" w:hAnsiTheme="majorHAnsi"/>
        </w:rPr>
      </w:pPr>
    </w:p>
    <w:p w:rsidR="00761A69" w:rsidRPr="000B16D5" w:rsidRDefault="00761A69" w:rsidP="008618D5">
      <w:pPr>
        <w:pStyle w:val="Podpodnadpis"/>
        <w:rPr>
          <w:rFonts w:asciiTheme="majorHAnsi" w:hAnsiTheme="majorHAnsi"/>
        </w:rPr>
      </w:pPr>
      <w:r w:rsidRPr="000B16D5">
        <w:rPr>
          <w:rFonts w:asciiTheme="majorHAnsi" w:hAnsiTheme="majorHAnsi"/>
        </w:rPr>
        <w:t>Co jsou multifaktoriální onemocnění</w:t>
      </w:r>
    </w:p>
    <w:p w:rsidR="00761A69" w:rsidRPr="000B16D5" w:rsidRDefault="00761A69" w:rsidP="000D5338">
      <w:pPr>
        <w:spacing w:after="0"/>
        <w:jc w:val="both"/>
        <w:rPr>
          <w:rFonts w:asciiTheme="majorHAnsi" w:hAnsiTheme="majorHAnsi"/>
        </w:rPr>
      </w:pPr>
      <w:r w:rsidRPr="000B16D5">
        <w:rPr>
          <w:rFonts w:asciiTheme="majorHAnsi" w:hAnsiTheme="majorHAnsi"/>
        </w:rPr>
        <w:t>Některé vrozené vady nemají monogenní charakter nebo charakter chromozomální poruchy. Mohou být způsobeny různými menšími defekty na úrovni více genů a nevhodnou interakcí těchto genů s faktory vnějšího prostředí. U těchto multifaktoriálních onemocnění rozeznáváme tzv. kandidátní geny, u kterých očekáváme, že se nějakým způsobem účastní patogeneze onemocnění. Mezi typická multifaktoriální onemocnění patří rozštěp patra nebo rtu, ischemická choroba srdeční nebo mozková mrtvice. Patří sem i některé vrozené srdeční vady.</w:t>
      </w:r>
    </w:p>
    <w:p w:rsidR="008618D5" w:rsidRPr="000B16D5" w:rsidRDefault="008618D5" w:rsidP="000D5338">
      <w:pPr>
        <w:pStyle w:val="Nadpis3"/>
        <w:spacing w:before="0"/>
        <w:jc w:val="both"/>
        <w:rPr>
          <w:sz w:val="22"/>
          <w:szCs w:val="22"/>
        </w:rPr>
      </w:pPr>
    </w:p>
    <w:p w:rsidR="00761A69" w:rsidRPr="000B16D5" w:rsidRDefault="00761A69" w:rsidP="008618D5">
      <w:pPr>
        <w:pStyle w:val="Podpodnadpis"/>
        <w:rPr>
          <w:rFonts w:asciiTheme="majorHAnsi" w:hAnsiTheme="majorHAnsi"/>
        </w:rPr>
      </w:pPr>
      <w:r w:rsidRPr="000B16D5">
        <w:rPr>
          <w:rFonts w:asciiTheme="majorHAnsi" w:hAnsiTheme="majorHAnsi"/>
        </w:rPr>
        <w:t>Co jsou teratogenní události během těhotenství?</w:t>
      </w:r>
    </w:p>
    <w:p w:rsidR="00761A69" w:rsidRPr="000B16D5" w:rsidRDefault="00761A69" w:rsidP="000D5338">
      <w:pPr>
        <w:spacing w:after="0"/>
        <w:jc w:val="both"/>
        <w:rPr>
          <w:rFonts w:asciiTheme="majorHAnsi" w:hAnsiTheme="majorHAnsi"/>
        </w:rPr>
      </w:pPr>
      <w:r w:rsidRPr="000B16D5">
        <w:rPr>
          <w:rFonts w:asciiTheme="majorHAnsi" w:hAnsiTheme="majorHAnsi"/>
        </w:rPr>
        <w:t xml:space="preserve">Je známo, že u vyvíjecího se plodu mohou určité látky navozovat nežádoucí změny a defekty. Mnoho vrozených vad se objevuje po prenatální expozici tzv. teratogenům (látkám způsobujícím abnormality) během první trimestru těhotenství, kdy dochází k formování orgánů, přičemž se nejedná o postižení v pravém slova smyslu „dědičné“, ale postižení přítomné při porodu, tj. „vrozené“. Mezi látky s teratogenním působením patří: </w:t>
      </w:r>
    </w:p>
    <w:p w:rsidR="00761A69" w:rsidRPr="000B16D5" w:rsidRDefault="00761A69" w:rsidP="000D5338">
      <w:pPr>
        <w:numPr>
          <w:ilvl w:val="0"/>
          <w:numId w:val="9"/>
        </w:numPr>
        <w:spacing w:after="0" w:line="240" w:lineRule="auto"/>
        <w:jc w:val="both"/>
        <w:rPr>
          <w:rFonts w:asciiTheme="majorHAnsi" w:hAnsiTheme="majorHAnsi"/>
        </w:rPr>
      </w:pPr>
      <w:r w:rsidRPr="000B16D5">
        <w:rPr>
          <w:rFonts w:asciiTheme="majorHAnsi" w:hAnsiTheme="majorHAnsi"/>
        </w:rPr>
        <w:t>některé léky (užívání léčiv v těhotenství je proto vždy nutné konzultovat s lékařem)</w:t>
      </w:r>
      <w:r w:rsidR="00D515B8" w:rsidRPr="000B16D5">
        <w:rPr>
          <w:rFonts w:asciiTheme="majorHAnsi" w:hAnsiTheme="majorHAnsi"/>
        </w:rPr>
        <w:t>,</w:t>
      </w:r>
    </w:p>
    <w:p w:rsidR="00761A69" w:rsidRPr="000B16D5" w:rsidRDefault="00761A69" w:rsidP="000D5338">
      <w:pPr>
        <w:numPr>
          <w:ilvl w:val="0"/>
          <w:numId w:val="9"/>
        </w:numPr>
        <w:spacing w:after="0" w:line="240" w:lineRule="auto"/>
        <w:jc w:val="both"/>
        <w:rPr>
          <w:rFonts w:asciiTheme="majorHAnsi" w:hAnsiTheme="majorHAnsi"/>
        </w:rPr>
      </w:pPr>
      <w:r w:rsidRPr="000B16D5">
        <w:rPr>
          <w:rFonts w:asciiTheme="majorHAnsi" w:hAnsiTheme="majorHAnsi"/>
        </w:rPr>
        <w:t>alkohol</w:t>
      </w:r>
      <w:r w:rsidR="00D515B8" w:rsidRPr="000B16D5">
        <w:rPr>
          <w:rFonts w:asciiTheme="majorHAnsi" w:hAnsiTheme="majorHAnsi"/>
        </w:rPr>
        <w:t>,</w:t>
      </w:r>
    </w:p>
    <w:p w:rsidR="00761A69" w:rsidRPr="000B16D5" w:rsidRDefault="00761A69" w:rsidP="000D5338">
      <w:pPr>
        <w:numPr>
          <w:ilvl w:val="0"/>
          <w:numId w:val="9"/>
        </w:numPr>
        <w:spacing w:after="0" w:line="240" w:lineRule="auto"/>
        <w:jc w:val="both"/>
        <w:rPr>
          <w:rFonts w:asciiTheme="majorHAnsi" w:hAnsiTheme="majorHAnsi"/>
        </w:rPr>
      </w:pPr>
      <w:r w:rsidRPr="000B16D5">
        <w:rPr>
          <w:rFonts w:asciiTheme="majorHAnsi" w:hAnsiTheme="majorHAnsi"/>
        </w:rPr>
        <w:t>těžké kovy</w:t>
      </w:r>
      <w:r w:rsidR="00D515B8" w:rsidRPr="000B16D5">
        <w:rPr>
          <w:rFonts w:asciiTheme="majorHAnsi" w:hAnsiTheme="majorHAnsi"/>
        </w:rPr>
        <w:t>,</w:t>
      </w:r>
    </w:p>
    <w:p w:rsidR="00761A69" w:rsidRPr="000B16D5" w:rsidRDefault="00761A69" w:rsidP="000D5338">
      <w:pPr>
        <w:numPr>
          <w:ilvl w:val="0"/>
          <w:numId w:val="9"/>
        </w:numPr>
        <w:spacing w:after="0" w:line="240" w:lineRule="auto"/>
        <w:jc w:val="both"/>
        <w:rPr>
          <w:rFonts w:asciiTheme="majorHAnsi" w:hAnsiTheme="majorHAnsi"/>
        </w:rPr>
      </w:pPr>
      <w:r w:rsidRPr="000B16D5">
        <w:rPr>
          <w:rFonts w:asciiTheme="majorHAnsi" w:hAnsiTheme="majorHAnsi"/>
        </w:rPr>
        <w:t>některé infekce (např. zarděnky)</w:t>
      </w:r>
      <w:r w:rsidR="00D515B8" w:rsidRPr="000B16D5">
        <w:rPr>
          <w:rFonts w:asciiTheme="majorHAnsi" w:hAnsiTheme="majorHAnsi"/>
        </w:rPr>
        <w:t>.</w:t>
      </w:r>
    </w:p>
    <w:p w:rsidR="008618D5" w:rsidRPr="000B16D5" w:rsidRDefault="008618D5" w:rsidP="000D5338">
      <w:pPr>
        <w:pStyle w:val="Nadpis3"/>
        <w:spacing w:before="0"/>
        <w:jc w:val="both"/>
        <w:rPr>
          <w:b/>
          <w:sz w:val="22"/>
          <w:szCs w:val="22"/>
          <w:u w:val="single"/>
        </w:rPr>
      </w:pPr>
    </w:p>
    <w:p w:rsidR="00761A69" w:rsidRPr="000B16D5" w:rsidRDefault="00761A69" w:rsidP="008618D5">
      <w:pPr>
        <w:pStyle w:val="Nadpispodkapitoly"/>
        <w:rPr>
          <w:rFonts w:asciiTheme="majorHAnsi" w:hAnsiTheme="majorHAnsi"/>
        </w:rPr>
      </w:pPr>
      <w:bookmarkStart w:id="22" w:name="_Toc380240595"/>
      <w:r w:rsidRPr="000B16D5">
        <w:rPr>
          <w:rFonts w:asciiTheme="majorHAnsi" w:hAnsiTheme="majorHAnsi"/>
        </w:rPr>
        <w:t>Jakým způsobem se genetická onemocnění diagnostikují?</w:t>
      </w:r>
      <w:bookmarkEnd w:id="22"/>
    </w:p>
    <w:p w:rsidR="00761A69" w:rsidRPr="000B16D5" w:rsidRDefault="00761A69" w:rsidP="000D5338">
      <w:pPr>
        <w:spacing w:after="0"/>
        <w:jc w:val="both"/>
        <w:rPr>
          <w:rFonts w:asciiTheme="majorHAnsi" w:hAnsiTheme="majorHAnsi"/>
        </w:rPr>
      </w:pPr>
      <w:r w:rsidRPr="000B16D5">
        <w:rPr>
          <w:rFonts w:asciiTheme="majorHAnsi" w:hAnsiTheme="majorHAnsi"/>
        </w:rPr>
        <w:t>Nejčastějšími důvody pro konzultaci na specializovaném klinicko-genetickém pracovišti je narození dítěte s vrozenou vývojovou vadou nebo výskyt závažného postižení v rodině, kdy členové rodiny chtějí znát svoje individuální riziko. Pečlivá anamnéza rodokmenu může pomoci identifikovat způsob přenosu onemocnění a tím může značně usnadnit odhad individuálního rizika. Poradenství ovšem hraje svou roli nejen v diagnostice, ale i při hledání vhodných léčebných možností, kterými může být např. vhodná dieta (fenylketonurie).</w:t>
      </w:r>
    </w:p>
    <w:p w:rsidR="008618D5" w:rsidRPr="000B16D5" w:rsidRDefault="00761A69" w:rsidP="000D5338">
      <w:pPr>
        <w:spacing w:after="0"/>
        <w:jc w:val="both"/>
        <w:rPr>
          <w:rFonts w:asciiTheme="majorHAnsi" w:hAnsiTheme="majorHAnsi"/>
        </w:rPr>
      </w:pPr>
      <w:r w:rsidRPr="000B16D5">
        <w:rPr>
          <w:rFonts w:asciiTheme="majorHAnsi" w:hAnsiTheme="majorHAnsi"/>
        </w:rPr>
        <w:t>V rámci diagnostiky vrozených poruch se uplatňuje jednak testování DNA rodičů, jednak testování vlastního plodu v  těhotenství, např. prostřednictvím ultrazvuku, odběru choriových klků (odběr placentární tkáně) nebo odběru plodové vody (tj. amniocentózy).</w:t>
      </w:r>
    </w:p>
    <w:p w:rsidR="008618D5" w:rsidRPr="000B16D5" w:rsidRDefault="008618D5" w:rsidP="000D5338">
      <w:pPr>
        <w:spacing w:after="0"/>
        <w:jc w:val="both"/>
        <w:rPr>
          <w:rFonts w:asciiTheme="majorHAnsi" w:hAnsiTheme="majorHAnsi"/>
        </w:rPr>
      </w:pPr>
    </w:p>
    <w:p w:rsidR="00C51339" w:rsidRDefault="00C51339" w:rsidP="000D5338">
      <w:pPr>
        <w:spacing w:after="0"/>
        <w:jc w:val="both"/>
        <w:rPr>
          <w:rFonts w:asciiTheme="majorHAnsi" w:hAnsiTheme="majorHAnsi"/>
        </w:rPr>
      </w:pPr>
    </w:p>
    <w:p w:rsidR="00B53C27" w:rsidRPr="000B16D5" w:rsidRDefault="00B53C27" w:rsidP="000D5338">
      <w:pPr>
        <w:spacing w:after="0"/>
        <w:jc w:val="both"/>
        <w:rPr>
          <w:rFonts w:asciiTheme="majorHAnsi" w:hAnsiTheme="majorHAnsi"/>
        </w:rPr>
      </w:pPr>
    </w:p>
    <w:p w:rsidR="008618D5" w:rsidRPr="000B16D5" w:rsidRDefault="00761A69" w:rsidP="008618D5">
      <w:pPr>
        <w:jc w:val="both"/>
        <w:rPr>
          <w:rFonts w:asciiTheme="majorHAnsi" w:hAnsiTheme="majorHAnsi"/>
        </w:rPr>
      </w:pPr>
      <w:r w:rsidRPr="000B16D5">
        <w:rPr>
          <w:rFonts w:asciiTheme="majorHAnsi" w:hAnsiTheme="majorHAnsi"/>
        </w:rPr>
        <w:lastRenderedPageBreak/>
        <w:t> </w:t>
      </w:r>
      <w:r w:rsidR="008618D5" w:rsidRPr="000B16D5">
        <w:rPr>
          <w:rFonts w:asciiTheme="majorHAnsi" w:hAnsiTheme="majorHAnsi"/>
        </w:rPr>
        <w:t>____________________________________________</w:t>
      </w:r>
    </w:p>
    <w:p w:rsidR="008618D5" w:rsidRPr="000B16D5" w:rsidRDefault="008618D5" w:rsidP="008618D5">
      <w:pPr>
        <w:spacing w:after="0"/>
        <w:jc w:val="both"/>
        <w:rPr>
          <w:rFonts w:asciiTheme="majorHAnsi" w:hAnsiTheme="majorHAnsi"/>
          <w:b/>
          <w:sz w:val="20"/>
        </w:rPr>
      </w:pPr>
      <w:r w:rsidRPr="000B16D5">
        <w:rPr>
          <w:rFonts w:asciiTheme="majorHAnsi" w:hAnsiTheme="majorHAnsi"/>
          <w:b/>
          <w:sz w:val="20"/>
        </w:rPr>
        <w:t>Zdroje:</w:t>
      </w:r>
    </w:p>
    <w:p w:rsidR="008618D5" w:rsidRPr="000B16D5" w:rsidRDefault="008618D5" w:rsidP="008618D5">
      <w:pPr>
        <w:spacing w:after="0"/>
        <w:jc w:val="both"/>
        <w:rPr>
          <w:rFonts w:asciiTheme="majorHAnsi" w:hAnsiTheme="majorHAnsi"/>
          <w:sz w:val="14"/>
        </w:rPr>
        <w:sectPr w:rsidR="008618D5" w:rsidRPr="000B16D5" w:rsidSect="00A2684E">
          <w:footerReference w:type="default" r:id="rId20"/>
          <w:type w:val="continuous"/>
          <w:pgSz w:w="11906" w:h="16838"/>
          <w:pgMar w:top="720" w:right="720" w:bottom="720" w:left="720" w:header="708" w:footer="708" w:gutter="0"/>
          <w:pgNumType w:start="21"/>
          <w:cols w:space="708"/>
          <w:titlePg/>
          <w:docGrid w:linePitch="360"/>
        </w:sectPr>
      </w:pPr>
    </w:p>
    <w:p w:rsidR="008618D5" w:rsidRPr="000B16D5" w:rsidRDefault="008618D5" w:rsidP="008618D5">
      <w:pPr>
        <w:pStyle w:val="Odstavecseseznamem"/>
        <w:numPr>
          <w:ilvl w:val="0"/>
          <w:numId w:val="22"/>
        </w:numPr>
        <w:spacing w:after="0"/>
        <w:jc w:val="both"/>
        <w:rPr>
          <w:rFonts w:asciiTheme="majorHAnsi" w:hAnsiTheme="majorHAnsi"/>
          <w:sz w:val="16"/>
        </w:rPr>
      </w:pPr>
      <w:r w:rsidRPr="000B16D5">
        <w:rPr>
          <w:rStyle w:val="mw-cite-backlink"/>
          <w:rFonts w:asciiTheme="majorHAnsi" w:hAnsiTheme="majorHAnsi"/>
          <w:b/>
          <w:bCs/>
          <w:sz w:val="16"/>
        </w:rPr>
        <w:lastRenderedPageBreak/>
        <w:t>G</w:t>
      </w:r>
      <w:r w:rsidRPr="000B16D5">
        <w:rPr>
          <w:rStyle w:val="citation"/>
          <w:rFonts w:asciiTheme="majorHAnsi" w:hAnsiTheme="majorHAnsi"/>
          <w:sz w:val="16"/>
        </w:rPr>
        <w:t xml:space="preserve">riffiths, Anthony J.F.; Wessler, Susan R., Carroll, Sean B., Doebley, John (2012). "2". </w:t>
      </w:r>
      <w:r w:rsidRPr="000B16D5">
        <w:rPr>
          <w:rStyle w:val="citation"/>
          <w:rFonts w:asciiTheme="majorHAnsi" w:hAnsiTheme="majorHAnsi"/>
          <w:i/>
          <w:iCs/>
          <w:sz w:val="16"/>
        </w:rPr>
        <w:t>Introduction to Genetic Analysis</w:t>
      </w:r>
      <w:r w:rsidRPr="000B16D5">
        <w:rPr>
          <w:rStyle w:val="citation"/>
          <w:rFonts w:asciiTheme="majorHAnsi" w:hAnsiTheme="majorHAnsi"/>
          <w:sz w:val="16"/>
        </w:rPr>
        <w:t xml:space="preserve"> (10 ed.). New York: W.H. Freeman and Company. p. 57. </w:t>
      </w:r>
      <w:r w:rsidRPr="000B16D5">
        <w:rPr>
          <w:rFonts w:asciiTheme="majorHAnsi" w:hAnsiTheme="majorHAnsi"/>
          <w:sz w:val="16"/>
        </w:rPr>
        <w:t>ISBN</w:t>
      </w:r>
      <w:r w:rsidRPr="000B16D5">
        <w:rPr>
          <w:rStyle w:val="citation"/>
          <w:rFonts w:asciiTheme="majorHAnsi" w:hAnsiTheme="majorHAnsi"/>
          <w:sz w:val="16"/>
        </w:rPr>
        <w:t> </w:t>
      </w:r>
      <w:r w:rsidRPr="000B16D5">
        <w:rPr>
          <w:rFonts w:asciiTheme="majorHAnsi" w:hAnsiTheme="majorHAnsi"/>
          <w:sz w:val="16"/>
        </w:rPr>
        <w:t>978-1-4292-2943-8</w:t>
      </w:r>
    </w:p>
    <w:p w:rsidR="008618D5" w:rsidRPr="000B16D5" w:rsidRDefault="008618D5" w:rsidP="008618D5">
      <w:pPr>
        <w:spacing w:after="0"/>
        <w:jc w:val="both"/>
        <w:rPr>
          <w:rFonts w:asciiTheme="majorHAnsi" w:hAnsiTheme="majorHAnsi"/>
          <w:sz w:val="18"/>
        </w:rPr>
      </w:pPr>
    </w:p>
    <w:p w:rsidR="008618D5" w:rsidRPr="000B16D5" w:rsidRDefault="008618D5" w:rsidP="008618D5">
      <w:pPr>
        <w:spacing w:after="0"/>
        <w:jc w:val="both"/>
        <w:rPr>
          <w:rFonts w:asciiTheme="majorHAnsi" w:hAnsiTheme="majorHAnsi"/>
          <w:sz w:val="18"/>
        </w:rPr>
      </w:pPr>
    </w:p>
    <w:p w:rsidR="008618D5" w:rsidRPr="000B16D5" w:rsidRDefault="008618D5" w:rsidP="008618D5">
      <w:pPr>
        <w:spacing w:after="0"/>
        <w:jc w:val="both"/>
        <w:rPr>
          <w:rFonts w:asciiTheme="majorHAnsi" w:hAnsiTheme="majorHAnsi"/>
          <w:sz w:val="18"/>
        </w:rPr>
        <w:sectPr w:rsidR="008618D5" w:rsidRPr="000B16D5" w:rsidSect="008618D5">
          <w:footerReference w:type="default" r:id="rId21"/>
          <w:type w:val="continuous"/>
          <w:pgSz w:w="11906" w:h="16838"/>
          <w:pgMar w:top="720" w:right="720" w:bottom="720" w:left="720" w:header="708" w:footer="708" w:gutter="0"/>
          <w:pgNumType w:start="0"/>
          <w:cols w:num="2" w:space="708"/>
          <w:titlePg/>
          <w:docGrid w:linePitch="360"/>
        </w:sectPr>
      </w:pPr>
    </w:p>
    <w:p w:rsidR="008618D5" w:rsidRPr="000B16D5" w:rsidRDefault="008618D5" w:rsidP="008618D5">
      <w:pPr>
        <w:pStyle w:val="Odstavecseseznamem"/>
        <w:spacing w:after="0"/>
        <w:ind w:left="360"/>
        <w:jc w:val="both"/>
        <w:rPr>
          <w:rFonts w:asciiTheme="majorHAnsi" w:hAnsiTheme="majorHAnsi"/>
          <w:b/>
          <w:sz w:val="16"/>
        </w:rPr>
      </w:pPr>
    </w:p>
    <w:p w:rsidR="00312118" w:rsidRPr="000B16D5" w:rsidRDefault="00312118" w:rsidP="00761A69">
      <w:pPr>
        <w:pStyle w:val="Nadpispodkapitoly"/>
        <w:numPr>
          <w:ilvl w:val="0"/>
          <w:numId w:val="0"/>
        </w:numPr>
        <w:jc w:val="both"/>
        <w:rPr>
          <w:rFonts w:asciiTheme="majorHAnsi" w:hAnsiTheme="majorHAnsi"/>
          <w:sz w:val="22"/>
          <w:highlight w:val="red"/>
        </w:rPr>
      </w:pPr>
      <w:r w:rsidRPr="000B16D5">
        <w:rPr>
          <w:rFonts w:asciiTheme="majorHAnsi" w:hAnsiTheme="majorHAnsi"/>
          <w:highlight w:val="red"/>
        </w:rPr>
        <w:br w:type="page"/>
      </w:r>
    </w:p>
    <w:bookmarkStart w:id="23" w:name="_Toc380240596"/>
    <w:p w:rsidR="008618D5" w:rsidRPr="000B16D5" w:rsidRDefault="00100C72" w:rsidP="008618D5">
      <w:pPr>
        <w:pStyle w:val="Nadpiskapitoly"/>
        <w:rPr>
          <w:rFonts w:asciiTheme="majorHAnsi" w:hAnsiTheme="majorHAnsi"/>
        </w:rPr>
      </w:pPr>
      <w:r w:rsidRPr="000B16D5">
        <w:rPr>
          <w:rFonts w:asciiTheme="majorHAnsi" w:hAnsiTheme="majorHAnsi"/>
          <w:i/>
          <w:noProof/>
        </w:rPr>
        <w:lastRenderedPageBreak/>
        <mc:AlternateContent>
          <mc:Choice Requires="wps">
            <w:drawing>
              <wp:anchor distT="0" distB="0" distL="114300" distR="114300" simplePos="0" relativeHeight="251666432" behindDoc="0" locked="0" layoutInCell="1" allowOverlap="1" wp14:anchorId="2751CB95" wp14:editId="07FBDAD7">
                <wp:simplePos x="0" y="0"/>
                <wp:positionH relativeFrom="column">
                  <wp:posOffset>5229860</wp:posOffset>
                </wp:positionH>
                <wp:positionV relativeFrom="paragraph">
                  <wp:posOffset>5715</wp:posOffset>
                </wp:positionV>
                <wp:extent cx="1303655" cy="1416685"/>
                <wp:effectExtent l="635" t="72390" r="76835" b="0"/>
                <wp:wrapNone/>
                <wp:docPr id="1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618D5">
                            <w:pPr>
                              <w:spacing w:after="0"/>
                              <w:jc w:val="center"/>
                              <w:rPr>
                                <w:rFonts w:ascii="Palatino Linotype" w:hAnsi="Palatino Linotype"/>
                                <w:b/>
                                <w:sz w:val="160"/>
                              </w:rPr>
                            </w:pPr>
                            <w:r>
                              <w:rPr>
                                <w:rFonts w:ascii="Palatino Linotype" w:hAnsi="Palatino Linotype"/>
                                <w:b/>
                                <w:sz w:val="16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1CB95" id="Text Box 9" o:spid="_x0000_s1031" type="#_x0000_t202" style="position:absolute;left:0;text-align:left;margin-left:411.8pt;margin-top:.45pt;width:102.65pt;height:1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" stroked="f">
                <v:shadow on="t" opacity=".5" offset="6pt,-6pt"/>
                <v:textbox>
                  <w:txbxContent>
                    <w:p w:rsidR="00440FD1" w:rsidRPr="008202AD" w:rsidRDefault="00440FD1" w:rsidP="008618D5">
                      <w:pPr>
                        <w:spacing w:after="0"/>
                        <w:jc w:val="center"/>
                        <w:rPr>
                          <w:rFonts w:ascii="Palatino Linotype" w:hAnsi="Palatino Linotype"/>
                          <w:b/>
                          <w:sz w:val="160"/>
                        </w:rPr>
                      </w:pPr>
                      <w:r>
                        <w:rPr>
                          <w:rFonts w:ascii="Palatino Linotype" w:hAnsi="Palatino Linotype"/>
                          <w:b/>
                          <w:sz w:val="160"/>
                        </w:rPr>
                        <w:t>6</w:t>
                      </w:r>
                    </w:p>
                  </w:txbxContent>
                </v:textbox>
              </v:shape>
            </w:pict>
          </mc:Fallback>
        </mc:AlternateContent>
      </w:r>
      <w:r w:rsidR="00312118" w:rsidRPr="000B16D5">
        <w:rPr>
          <w:rFonts w:asciiTheme="majorHAnsi" w:hAnsiTheme="majorHAnsi"/>
        </w:rPr>
        <w:t>Princip Mendelových pokusů</w:t>
      </w:r>
      <w:bookmarkEnd w:id="23"/>
    </w:p>
    <w:p w:rsidR="008618D5" w:rsidRPr="000B16D5" w:rsidRDefault="008618D5" w:rsidP="008618D5">
      <w:pPr>
        <w:pStyle w:val="Palatino"/>
        <w:rPr>
          <w:rFonts w:asciiTheme="majorHAnsi" w:hAnsiTheme="majorHAnsi"/>
        </w:rPr>
      </w:pPr>
    </w:p>
    <w:p w:rsidR="008618D5" w:rsidRPr="000B16D5" w:rsidRDefault="00312118" w:rsidP="008618D5">
      <w:pPr>
        <w:pStyle w:val="Palatino"/>
        <w:rPr>
          <w:rFonts w:asciiTheme="majorHAnsi" w:hAnsiTheme="majorHAnsi"/>
        </w:rPr>
      </w:pPr>
      <w:r w:rsidRPr="000B16D5">
        <w:rPr>
          <w:rFonts w:asciiTheme="majorHAnsi" w:hAnsiTheme="majorHAnsi"/>
        </w:rPr>
        <w:t xml:space="preserve">Teoretické východisko </w:t>
      </w:r>
      <w:r w:rsidR="008618D5" w:rsidRPr="000B16D5">
        <w:rPr>
          <w:rFonts w:asciiTheme="majorHAnsi" w:hAnsiTheme="majorHAnsi"/>
        </w:rPr>
        <w:t>Mendelových</w:t>
      </w:r>
      <w:r w:rsidRPr="000B16D5">
        <w:rPr>
          <w:rFonts w:asciiTheme="majorHAnsi" w:hAnsiTheme="majorHAnsi"/>
        </w:rPr>
        <w:t xml:space="preserve"> pokusů</w:t>
      </w:r>
    </w:p>
    <w:p w:rsidR="008618D5" w:rsidRPr="000B16D5" w:rsidRDefault="00312118" w:rsidP="008618D5">
      <w:pPr>
        <w:pStyle w:val="Palatino"/>
        <w:rPr>
          <w:rFonts w:asciiTheme="majorHAnsi" w:hAnsiTheme="majorHAnsi"/>
        </w:rPr>
      </w:pPr>
      <w:r w:rsidRPr="000B16D5">
        <w:rPr>
          <w:rFonts w:asciiTheme="majorHAnsi" w:hAnsiTheme="majorHAnsi"/>
        </w:rPr>
        <w:t xml:space="preserve">Výsledky pokusů a </w:t>
      </w:r>
      <w:r w:rsidR="0083639E" w:rsidRPr="000B16D5">
        <w:rPr>
          <w:rFonts w:asciiTheme="majorHAnsi" w:hAnsiTheme="majorHAnsi"/>
        </w:rPr>
        <w:t>jejich interpretace</w:t>
      </w:r>
    </w:p>
    <w:p w:rsidR="008618D5" w:rsidRPr="000B16D5" w:rsidRDefault="008618D5" w:rsidP="008618D5">
      <w:pPr>
        <w:pStyle w:val="Palatino"/>
        <w:rPr>
          <w:rFonts w:asciiTheme="majorHAnsi" w:hAnsiTheme="majorHAnsi"/>
        </w:rPr>
      </w:pPr>
    </w:p>
    <w:p w:rsidR="00312118" w:rsidRPr="000B16D5" w:rsidRDefault="00312118" w:rsidP="008618D5">
      <w:pPr>
        <w:pStyle w:val="Palatino"/>
        <w:rPr>
          <w:rFonts w:asciiTheme="majorHAnsi" w:hAnsiTheme="majorHAnsi"/>
          <w:i/>
        </w:rPr>
      </w:pPr>
      <w:r w:rsidRPr="000B16D5">
        <w:rPr>
          <w:rFonts w:asciiTheme="majorHAnsi" w:hAnsiTheme="majorHAnsi"/>
          <w:i/>
        </w:rPr>
        <w:t xml:space="preserve">Jan </w:t>
      </w:r>
      <w:r w:rsidR="008618D5" w:rsidRPr="000B16D5">
        <w:rPr>
          <w:rFonts w:asciiTheme="majorHAnsi" w:hAnsiTheme="majorHAnsi"/>
          <w:i/>
        </w:rPr>
        <w:t>N</w:t>
      </w:r>
      <w:r w:rsidRPr="000B16D5">
        <w:rPr>
          <w:rFonts w:asciiTheme="majorHAnsi" w:hAnsiTheme="majorHAnsi"/>
          <w:i/>
        </w:rPr>
        <w:t>ovák</w:t>
      </w:r>
    </w:p>
    <w:p w:rsidR="00312118" w:rsidRPr="000B16D5" w:rsidRDefault="00312118" w:rsidP="00236F03">
      <w:pPr>
        <w:pStyle w:val="Bezmezer"/>
        <w:spacing w:line="276" w:lineRule="auto"/>
        <w:jc w:val="both"/>
        <w:rPr>
          <w:rFonts w:asciiTheme="majorHAnsi" w:hAnsiTheme="majorHAnsi"/>
          <w:highlight w:val="cyan"/>
        </w:rPr>
      </w:pPr>
    </w:p>
    <w:p w:rsidR="00312118" w:rsidRPr="000B16D5" w:rsidRDefault="00312118" w:rsidP="008618D5">
      <w:pPr>
        <w:pStyle w:val="Nadpispodkapitoly"/>
        <w:rPr>
          <w:rFonts w:asciiTheme="majorHAnsi" w:hAnsiTheme="majorHAnsi"/>
        </w:rPr>
      </w:pPr>
      <w:bookmarkStart w:id="24" w:name="_Toc380240597"/>
      <w:r w:rsidRPr="000B16D5">
        <w:rPr>
          <w:rFonts w:asciiTheme="majorHAnsi" w:hAnsiTheme="majorHAnsi"/>
        </w:rPr>
        <w:t>Joha</w:t>
      </w:r>
      <w:r w:rsidR="00E85C1C" w:rsidRPr="000B16D5">
        <w:rPr>
          <w:rFonts w:asciiTheme="majorHAnsi" w:hAnsiTheme="majorHAnsi"/>
        </w:rPr>
        <w:t>nn</w:t>
      </w:r>
      <w:r w:rsidRPr="000B16D5">
        <w:rPr>
          <w:rFonts w:asciiTheme="majorHAnsi" w:hAnsiTheme="majorHAnsi"/>
        </w:rPr>
        <w:t xml:space="preserve"> Gregor Mendel</w:t>
      </w:r>
      <w:bookmarkEnd w:id="24"/>
    </w:p>
    <w:p w:rsidR="00312118" w:rsidRPr="000B16D5" w:rsidRDefault="00312118" w:rsidP="00236F03">
      <w:pPr>
        <w:spacing w:after="0"/>
        <w:jc w:val="both"/>
        <w:rPr>
          <w:rFonts w:asciiTheme="majorHAnsi" w:hAnsiTheme="majorHAnsi"/>
        </w:rPr>
      </w:pPr>
      <w:r w:rsidRPr="000B16D5">
        <w:rPr>
          <w:rFonts w:asciiTheme="majorHAnsi" w:hAnsiTheme="majorHAnsi"/>
          <w:b/>
          <w:u w:val="single"/>
        </w:rPr>
        <w:t>Johan</w:t>
      </w:r>
      <w:r w:rsidR="00E85C1C" w:rsidRPr="000B16D5">
        <w:rPr>
          <w:rFonts w:asciiTheme="majorHAnsi" w:hAnsiTheme="majorHAnsi"/>
          <w:b/>
          <w:u w:val="single"/>
        </w:rPr>
        <w:t>n</w:t>
      </w:r>
      <w:r w:rsidRPr="000B16D5">
        <w:rPr>
          <w:rFonts w:asciiTheme="majorHAnsi" w:hAnsiTheme="majorHAnsi"/>
          <w:b/>
          <w:u w:val="single"/>
        </w:rPr>
        <w:t xml:space="preserve"> Gregor Mendel</w:t>
      </w:r>
      <w:r w:rsidRPr="000B16D5">
        <w:rPr>
          <w:rFonts w:asciiTheme="majorHAnsi" w:hAnsiTheme="majorHAnsi"/>
          <w:b/>
        </w:rPr>
        <w:t xml:space="preserve"> (1822–1884)</w:t>
      </w:r>
      <w:r w:rsidRPr="000B16D5">
        <w:rPr>
          <w:rFonts w:asciiTheme="majorHAnsi" w:hAnsiTheme="majorHAnsi"/>
        </w:rPr>
        <w:t xml:space="preserve"> byl </w:t>
      </w:r>
      <w:r w:rsidR="003152A1" w:rsidRPr="000B16D5">
        <w:rPr>
          <w:rFonts w:asciiTheme="majorHAnsi" w:hAnsiTheme="majorHAnsi"/>
        </w:rPr>
        <w:t xml:space="preserve">augustiniánský </w:t>
      </w:r>
      <w:r w:rsidRPr="000B16D5">
        <w:rPr>
          <w:rFonts w:asciiTheme="majorHAnsi" w:hAnsiTheme="majorHAnsi"/>
        </w:rPr>
        <w:t>mnich působící v brněnském opatství v 19. století. Tvrdou, intenzivní a systematickou prací se mu již tehdy podařilo položit základy budoucí vědy nyní známé jako genetika.</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V rámci této kapitoly se seznámíme s Mendelovými pokusy na rostlinách hrachu (prováděl i pokusy na včelách </w:t>
      </w:r>
      <w:r w:rsidR="00F85C97" w:rsidRPr="000B16D5">
        <w:rPr>
          <w:rFonts w:asciiTheme="majorHAnsi" w:hAnsiTheme="majorHAnsi"/>
        </w:rPr>
        <w:t xml:space="preserve">a </w:t>
      </w:r>
      <w:r w:rsidRPr="000B16D5">
        <w:rPr>
          <w:rFonts w:asciiTheme="majorHAnsi" w:hAnsiTheme="majorHAnsi"/>
        </w:rPr>
        <w:t xml:space="preserve">na myších, </w:t>
      </w:r>
      <w:r w:rsidR="00F85C97" w:rsidRPr="000B16D5">
        <w:rPr>
          <w:rFonts w:asciiTheme="majorHAnsi" w:hAnsiTheme="majorHAnsi"/>
        </w:rPr>
        <w:t xml:space="preserve">avšak </w:t>
      </w:r>
      <w:r w:rsidRPr="000B16D5">
        <w:rPr>
          <w:rFonts w:asciiTheme="majorHAnsi" w:hAnsiTheme="majorHAnsi"/>
        </w:rPr>
        <w:t xml:space="preserve">ty jsou méně známé), jejichž výsledky publikoval již v roce 1865 pod názvem </w:t>
      </w:r>
      <w:r w:rsidRPr="000B16D5">
        <w:rPr>
          <w:rFonts w:asciiTheme="majorHAnsi" w:hAnsiTheme="majorHAnsi"/>
          <w:i/>
        </w:rPr>
        <w:t>Pokusy s hybridy rostlin</w:t>
      </w:r>
      <w:r w:rsidRPr="000B16D5">
        <w:rPr>
          <w:rFonts w:asciiTheme="majorHAnsi" w:hAnsiTheme="majorHAnsi"/>
        </w:rPr>
        <w:t xml:space="preserve"> (Versuche über Pflanzen-Hybriden). V této práci se poprvé setkáváme s jím definovanými základními principy dědičnosti, které dnes nesou jméno Mendelovy zákony; znaky, které se dle těchto zákonů dědí</w:t>
      </w:r>
      <w:r w:rsidR="00CE33E7" w:rsidRPr="000B16D5">
        <w:rPr>
          <w:rFonts w:asciiTheme="majorHAnsi" w:hAnsiTheme="majorHAnsi"/>
        </w:rPr>
        <w:t>,</w:t>
      </w:r>
      <w:r w:rsidRPr="000B16D5">
        <w:rPr>
          <w:rFonts w:asciiTheme="majorHAnsi" w:hAnsiTheme="majorHAnsi"/>
        </w:rPr>
        <w:t xml:space="preserve"> vykazují tzv. Mendelovskou dědičnost.</w:t>
      </w:r>
    </w:p>
    <w:p w:rsidR="00312118" w:rsidRPr="000B16D5" w:rsidRDefault="00312118" w:rsidP="00236F03">
      <w:pPr>
        <w:spacing w:after="0"/>
        <w:jc w:val="both"/>
        <w:rPr>
          <w:rFonts w:asciiTheme="majorHAnsi" w:hAnsiTheme="majorHAnsi"/>
        </w:rPr>
      </w:pPr>
    </w:p>
    <w:p w:rsidR="00312118" w:rsidRPr="000B16D5" w:rsidRDefault="00312118" w:rsidP="008618D5">
      <w:pPr>
        <w:pStyle w:val="Nadpispodkapitoly"/>
        <w:rPr>
          <w:rFonts w:asciiTheme="majorHAnsi" w:hAnsiTheme="majorHAnsi"/>
        </w:rPr>
      </w:pPr>
      <w:bookmarkStart w:id="25" w:name="_Toc380240598"/>
      <w:r w:rsidRPr="000B16D5">
        <w:rPr>
          <w:rFonts w:asciiTheme="majorHAnsi" w:hAnsiTheme="majorHAnsi"/>
        </w:rPr>
        <w:t>Pokusná rostlina</w:t>
      </w:r>
      <w:bookmarkEnd w:id="25"/>
    </w:p>
    <w:p w:rsidR="00312118" w:rsidRPr="000B16D5" w:rsidRDefault="00312118" w:rsidP="00236F03">
      <w:pPr>
        <w:spacing w:after="0"/>
        <w:jc w:val="both"/>
        <w:rPr>
          <w:rFonts w:asciiTheme="majorHAnsi" w:hAnsiTheme="majorHAnsi"/>
        </w:rPr>
      </w:pPr>
      <w:r w:rsidRPr="000B16D5">
        <w:rPr>
          <w:rFonts w:asciiTheme="majorHAnsi" w:hAnsiTheme="majorHAnsi"/>
        </w:rPr>
        <w:t xml:space="preserve">Proč si J. G. Mendel zvolil pro své pokusy zrovna </w:t>
      </w:r>
      <w:r w:rsidRPr="000B16D5">
        <w:rPr>
          <w:rFonts w:asciiTheme="majorHAnsi" w:hAnsiTheme="majorHAnsi"/>
          <w:b/>
        </w:rPr>
        <w:t>hrách</w:t>
      </w:r>
      <w:r w:rsidRPr="000B16D5">
        <w:rPr>
          <w:rFonts w:asciiTheme="majorHAnsi" w:hAnsiTheme="majorHAnsi"/>
        </w:rPr>
        <w:t xml:space="preserve"> (hrách setý, </w:t>
      </w:r>
      <w:r w:rsidRPr="000B16D5">
        <w:rPr>
          <w:rFonts w:asciiTheme="majorHAnsi" w:hAnsiTheme="majorHAnsi"/>
          <w:i/>
        </w:rPr>
        <w:t>Pisum sativum</w:t>
      </w:r>
      <w:r w:rsidRPr="000B16D5">
        <w:rPr>
          <w:rFonts w:asciiTheme="majorHAnsi" w:hAnsiTheme="majorHAnsi"/>
        </w:rPr>
        <w:t xml:space="preserve">)? Jednalo se již v té době o </w:t>
      </w:r>
      <w:r w:rsidRPr="000B16D5">
        <w:rPr>
          <w:rFonts w:asciiTheme="majorHAnsi" w:hAnsiTheme="majorHAnsi"/>
          <w:b/>
        </w:rPr>
        <w:t>dobře dostupnou rostlinu</w:t>
      </w:r>
      <w:r w:rsidRPr="000B16D5">
        <w:rPr>
          <w:rFonts w:asciiTheme="majorHAnsi" w:hAnsiTheme="majorHAnsi"/>
        </w:rPr>
        <w:t xml:space="preserve">, </w:t>
      </w:r>
      <w:r w:rsidRPr="000B16D5">
        <w:rPr>
          <w:rFonts w:asciiTheme="majorHAnsi" w:hAnsiTheme="majorHAnsi"/>
          <w:b/>
        </w:rPr>
        <w:t>ne</w:t>
      </w:r>
      <w:r w:rsidRPr="000B16D5">
        <w:rPr>
          <w:rFonts w:asciiTheme="majorHAnsi" w:hAnsiTheme="majorHAnsi"/>
        </w:rPr>
        <w:t xml:space="preserve">příliš </w:t>
      </w:r>
      <w:r w:rsidRPr="000B16D5">
        <w:rPr>
          <w:rFonts w:asciiTheme="majorHAnsi" w:hAnsiTheme="majorHAnsi"/>
          <w:b/>
        </w:rPr>
        <w:t>náročnou</w:t>
      </w:r>
      <w:r w:rsidRPr="000B16D5">
        <w:rPr>
          <w:rFonts w:asciiTheme="majorHAnsi" w:hAnsiTheme="majorHAnsi"/>
        </w:rPr>
        <w:t xml:space="preserve"> na prostředí. Pokud se navíc hrách pěstoval vhodným způsobem, </w:t>
      </w:r>
      <w:r w:rsidRPr="000B16D5">
        <w:rPr>
          <w:rFonts w:asciiTheme="majorHAnsi" w:hAnsiTheme="majorHAnsi"/>
          <w:b/>
        </w:rPr>
        <w:t>bylo možno zajistit, že se jednotlivé rostlinky nebudou křížit jinak, než si bude pěstitel přát</w:t>
      </w:r>
      <w:r w:rsidRPr="000B16D5">
        <w:rPr>
          <w:rFonts w:asciiTheme="majorHAnsi" w:hAnsiTheme="majorHAnsi"/>
        </w:rPr>
        <w:t>, což umožnilo Mendelovi získat poměrně rychle čisté linie pro své další pokusy. Křížení prováděl Mendel pomocí štětečku, kterým přenášel pyl ze samčích rostlin na rostlinky samičí.</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Svým způsobem měl Mendel i velké </w:t>
      </w:r>
      <w:r w:rsidRPr="000B16D5">
        <w:rPr>
          <w:rFonts w:asciiTheme="majorHAnsi" w:hAnsiTheme="majorHAnsi"/>
          <w:i/>
        </w:rPr>
        <w:t>štěstí</w:t>
      </w:r>
      <w:r w:rsidRPr="000B16D5">
        <w:rPr>
          <w:rFonts w:asciiTheme="majorHAnsi" w:hAnsiTheme="majorHAnsi"/>
        </w:rPr>
        <w:t xml:space="preserve">, protože na rostlince hrachu bylo možno popsat velké množství znaků (konkrétně tvar semen, zabarvení dělohy, barva květu, tvar lusku, barva lusku, umístění květu na stonku, velikost stonku), které jsou skutečně </w:t>
      </w:r>
      <w:r w:rsidRPr="000B16D5">
        <w:rPr>
          <w:rFonts w:asciiTheme="majorHAnsi" w:hAnsiTheme="majorHAnsi"/>
          <w:b/>
        </w:rPr>
        <w:t>definovány jediným genem</w:t>
      </w:r>
      <w:r w:rsidRPr="000B16D5">
        <w:rPr>
          <w:rFonts w:asciiTheme="majorHAnsi" w:hAnsiTheme="majorHAnsi"/>
        </w:rPr>
        <w:t xml:space="preserve"> (tj. monogenně; kdyby si Mendel zvolil znaky, které jsou polygenní, tj. jejich dědičnost zajišťuje větší množství genů, asi by svých výsledků nedosáhl).</w:t>
      </w:r>
    </w:p>
    <w:p w:rsidR="008618D5" w:rsidRPr="000B16D5" w:rsidRDefault="008618D5" w:rsidP="00236F03">
      <w:pPr>
        <w:spacing w:after="0"/>
        <w:jc w:val="both"/>
        <w:rPr>
          <w:rFonts w:asciiTheme="majorHAnsi" w:hAnsiTheme="majorHAnsi"/>
        </w:rPr>
      </w:pPr>
    </w:p>
    <w:p w:rsidR="00312118" w:rsidRPr="000B16D5" w:rsidRDefault="00312118" w:rsidP="008618D5">
      <w:pPr>
        <w:pStyle w:val="Nadpispodkapitoly"/>
        <w:rPr>
          <w:rFonts w:asciiTheme="majorHAnsi" w:hAnsiTheme="majorHAnsi"/>
        </w:rPr>
      </w:pPr>
      <w:bookmarkStart w:id="26" w:name="_Toc380240599"/>
      <w:r w:rsidRPr="000B16D5">
        <w:rPr>
          <w:rFonts w:asciiTheme="majorHAnsi" w:hAnsiTheme="majorHAnsi"/>
        </w:rPr>
        <w:t>Základní pojmy</w:t>
      </w:r>
      <w:bookmarkEnd w:id="26"/>
    </w:p>
    <w:p w:rsidR="00312118" w:rsidRPr="000B16D5" w:rsidRDefault="00312118" w:rsidP="00236F03">
      <w:pPr>
        <w:spacing w:after="0"/>
        <w:jc w:val="both"/>
        <w:rPr>
          <w:rFonts w:asciiTheme="majorHAnsi" w:hAnsiTheme="majorHAnsi"/>
        </w:rPr>
      </w:pPr>
      <w:r w:rsidRPr="000B16D5">
        <w:rPr>
          <w:rFonts w:asciiTheme="majorHAnsi" w:hAnsiTheme="majorHAnsi"/>
        </w:rPr>
        <w:t xml:space="preserve">Z předchozích kapitol víme, že v jádře buňky se nachází vždy několik (u člověka 23) </w:t>
      </w:r>
      <w:r w:rsidRPr="000B16D5">
        <w:rPr>
          <w:rFonts w:asciiTheme="majorHAnsi" w:hAnsiTheme="majorHAnsi"/>
          <w:b/>
        </w:rPr>
        <w:t>párů</w:t>
      </w:r>
      <w:r w:rsidRPr="000B16D5">
        <w:rPr>
          <w:rFonts w:asciiTheme="majorHAnsi" w:hAnsiTheme="majorHAnsi"/>
        </w:rPr>
        <w:t xml:space="preserve"> chromozomů. Každý pár je „totožný“, co se týče genů (tj. na obou chromozomech jednoho páru se vyskytuje gen např. pro barvu květu), ale může být odlišný, co se týče konkrétní varianty genu, tj. alely (na jednom chromozomu může být alela pro černou barvu, na druhém pro bílou barvu). To, jaká varianta genu se projeví, se odvíjí od toho, jaký je vztah mezi alelami. Tento vztah může být buď v úrovni „</w:t>
      </w:r>
      <w:r w:rsidRPr="000B16D5">
        <w:rPr>
          <w:rFonts w:asciiTheme="majorHAnsi" w:hAnsiTheme="majorHAnsi"/>
          <w:b/>
        </w:rPr>
        <w:t>dominance a recesivity</w:t>
      </w:r>
      <w:r w:rsidRPr="000B16D5">
        <w:rPr>
          <w:rFonts w:asciiTheme="majorHAnsi" w:hAnsiTheme="majorHAnsi"/>
        </w:rPr>
        <w:t>“, „</w:t>
      </w:r>
      <w:r w:rsidRPr="000B16D5">
        <w:rPr>
          <w:rFonts w:asciiTheme="majorHAnsi" w:hAnsiTheme="majorHAnsi"/>
          <w:b/>
        </w:rPr>
        <w:t>neúplné dominance</w:t>
      </w:r>
      <w:r w:rsidRPr="000B16D5">
        <w:rPr>
          <w:rFonts w:asciiTheme="majorHAnsi" w:hAnsiTheme="majorHAnsi"/>
        </w:rPr>
        <w:t>“, nebo „</w:t>
      </w:r>
      <w:r w:rsidRPr="000B16D5">
        <w:rPr>
          <w:rFonts w:asciiTheme="majorHAnsi" w:hAnsiTheme="majorHAnsi"/>
          <w:b/>
        </w:rPr>
        <w:t>kodominance</w:t>
      </w:r>
      <w:r w:rsidRPr="000B16D5">
        <w:rPr>
          <w:rFonts w:asciiTheme="majorHAnsi" w:hAnsiTheme="majorHAnsi"/>
        </w:rPr>
        <w:t>“.</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V případě </w:t>
      </w:r>
      <w:r w:rsidRPr="000B16D5">
        <w:rPr>
          <w:rFonts w:asciiTheme="majorHAnsi" w:hAnsiTheme="majorHAnsi"/>
          <w:b/>
        </w:rPr>
        <w:t>dominance a recesivity</w:t>
      </w:r>
      <w:r w:rsidRPr="000B16D5">
        <w:rPr>
          <w:rFonts w:asciiTheme="majorHAnsi" w:hAnsiTheme="majorHAnsi"/>
        </w:rPr>
        <w:t xml:space="preserve"> je jedna alela ta „hlavní – dominantní“ (označuje se vždy velkým písmenem), a druhá je „poddajná – recesivní“ (označovaná malým písmenem). Vztah mezi alelami se odráží na výsledném fenotypu: pokud jsou v organismu přítomny obě alely, tak se na výsledném fenotypu (vzhledu) projeví jen alela dominantní.</w:t>
      </w:r>
    </w:p>
    <w:p w:rsidR="00312118" w:rsidRPr="000B16D5" w:rsidRDefault="006A3748" w:rsidP="00236F03">
      <w:pPr>
        <w:spacing w:after="0"/>
        <w:jc w:val="both"/>
        <w:rPr>
          <w:rFonts w:asciiTheme="majorHAnsi" w:hAnsiTheme="majorHAnsi"/>
        </w:rPr>
      </w:pPr>
      <w:r w:rsidRPr="000B16D5">
        <w:rPr>
          <w:rFonts w:asciiTheme="majorHAnsi" w:hAnsiTheme="majorHAnsi"/>
        </w:rPr>
        <w:t>Například</w:t>
      </w:r>
      <w:r w:rsidR="00312118" w:rsidRPr="000B16D5">
        <w:rPr>
          <w:rFonts w:asciiTheme="majorHAnsi" w:hAnsiTheme="majorHAnsi"/>
        </w:rPr>
        <w:t xml:space="preserve"> pokud bude mít rostlinka genotyp Bw (kde B je dominantní alela pro černý (</w:t>
      </w:r>
      <w:r w:rsidR="00312118" w:rsidRPr="000B16D5">
        <w:rPr>
          <w:rFonts w:asciiTheme="majorHAnsi" w:hAnsiTheme="majorHAnsi"/>
          <w:i/>
        </w:rPr>
        <w:t>black</w:t>
      </w:r>
      <w:r w:rsidR="00312118" w:rsidRPr="000B16D5">
        <w:rPr>
          <w:rFonts w:asciiTheme="majorHAnsi" w:hAnsiTheme="majorHAnsi"/>
        </w:rPr>
        <w:t>) květ a w je recesivní alela pro bílý (</w:t>
      </w:r>
      <w:r w:rsidR="00312118" w:rsidRPr="000B16D5">
        <w:rPr>
          <w:rFonts w:asciiTheme="majorHAnsi" w:hAnsiTheme="majorHAnsi"/>
          <w:i/>
        </w:rPr>
        <w:t>white</w:t>
      </w:r>
      <w:r w:rsidR="00312118" w:rsidRPr="000B16D5">
        <w:rPr>
          <w:rFonts w:asciiTheme="majorHAnsi" w:hAnsiTheme="majorHAnsi"/>
        </w:rPr>
        <w:t>) květ), bude její květ (fenotyp) černý, protože se projeví pouze dominantní alela. Aby se mohla projevit recesivní alela, musel by být genotyp rostliny ww.</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V případě </w:t>
      </w:r>
      <w:r w:rsidRPr="000B16D5">
        <w:rPr>
          <w:rFonts w:asciiTheme="majorHAnsi" w:hAnsiTheme="majorHAnsi"/>
          <w:b/>
        </w:rPr>
        <w:t>neúplné dominance</w:t>
      </w:r>
      <w:r w:rsidRPr="000B16D5">
        <w:rPr>
          <w:rFonts w:asciiTheme="majorHAnsi" w:hAnsiTheme="majorHAnsi"/>
        </w:rPr>
        <w:t xml:space="preserve"> se u heterozygotních jedinců (Bw) projeví tzv. intermediánní (přechodný) fenotyp. V případě barvy květu by to znamenalo, že by byl šedý (kombinace černé a bílé).</w:t>
      </w:r>
    </w:p>
    <w:p w:rsidR="00312118" w:rsidRPr="000B16D5" w:rsidRDefault="00312118" w:rsidP="00236F03">
      <w:pPr>
        <w:spacing w:after="0"/>
        <w:jc w:val="both"/>
        <w:rPr>
          <w:rFonts w:asciiTheme="majorHAnsi" w:hAnsiTheme="majorHAnsi"/>
        </w:rPr>
      </w:pPr>
      <w:r w:rsidRPr="000B16D5">
        <w:rPr>
          <w:rFonts w:asciiTheme="majorHAnsi" w:hAnsiTheme="majorHAnsi"/>
          <w:b/>
        </w:rPr>
        <w:t>Kodominance</w:t>
      </w:r>
      <w:r w:rsidRPr="000B16D5">
        <w:rPr>
          <w:rFonts w:asciiTheme="majorHAnsi" w:hAnsiTheme="majorHAnsi"/>
        </w:rPr>
        <w:t xml:space="preserve"> je pak takový vztah, kdy jsou si alely vzájemně rovny. Kdyby toto platilo pro výše uvedenou barvu květu, prosadila by se černá i bílá alela stejně a květ by byl černobílý. Lepším příkladem je však dědičnost krevních skupin v sy</w:t>
      </w:r>
      <w:r w:rsidR="00196CA1" w:rsidRPr="000B16D5">
        <w:rPr>
          <w:rFonts w:asciiTheme="majorHAnsi" w:hAnsiTheme="majorHAnsi"/>
        </w:rPr>
        <w:t>s</w:t>
      </w:r>
      <w:r w:rsidRPr="000B16D5">
        <w:rPr>
          <w:rFonts w:asciiTheme="majorHAnsi" w:hAnsiTheme="majorHAnsi"/>
        </w:rPr>
        <w:t xml:space="preserve">tému AB0, kdy alely A a B jsou vůči sobě kodominantní (pokud má jedinec genotyp AB, bude </w:t>
      </w:r>
      <w:r w:rsidRPr="000B16D5">
        <w:rPr>
          <w:rFonts w:asciiTheme="majorHAnsi" w:hAnsiTheme="majorHAnsi"/>
        </w:rPr>
        <w:lastRenderedPageBreak/>
        <w:t>mít krevní skupinu AB), avšak alela 0 je vůči těmto dvěma recesivní (genotypy A0 či B0 se projeví krevní skupino</w:t>
      </w:r>
      <w:r w:rsidR="006A3748" w:rsidRPr="000B16D5">
        <w:rPr>
          <w:rFonts w:asciiTheme="majorHAnsi" w:hAnsiTheme="majorHAnsi"/>
        </w:rPr>
        <w:t>u</w:t>
      </w:r>
      <w:r w:rsidRPr="000B16D5">
        <w:rPr>
          <w:rFonts w:asciiTheme="majorHAnsi" w:hAnsiTheme="majorHAnsi"/>
        </w:rPr>
        <w:t xml:space="preserve"> A nebo B, pouze kombinace 00 se projeví krevní skupinou 0).</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S výše uvedeným úzce souvisejí pojmy </w:t>
      </w:r>
      <w:r w:rsidRPr="000B16D5">
        <w:rPr>
          <w:rFonts w:asciiTheme="majorHAnsi" w:hAnsiTheme="majorHAnsi"/>
          <w:b/>
        </w:rPr>
        <w:t>homozygot</w:t>
      </w:r>
      <w:r w:rsidRPr="000B16D5">
        <w:rPr>
          <w:rFonts w:asciiTheme="majorHAnsi" w:hAnsiTheme="majorHAnsi"/>
        </w:rPr>
        <w:t xml:space="preserve"> a </w:t>
      </w:r>
      <w:r w:rsidRPr="000B16D5">
        <w:rPr>
          <w:rFonts w:asciiTheme="majorHAnsi" w:hAnsiTheme="majorHAnsi"/>
          <w:b/>
        </w:rPr>
        <w:t>heterozygot</w:t>
      </w:r>
      <w:r w:rsidRPr="000B16D5">
        <w:rPr>
          <w:rFonts w:asciiTheme="majorHAnsi" w:hAnsiTheme="majorHAnsi"/>
        </w:rPr>
        <w:t>. Heterozygoti jsou jedinci, kteří ve svém genotypu mají dvě různé varianty daného genu (v našem případě Bw). Homozygoti mohou být buď dominantní (ve svém genotypu mají dvě stejné dominantní alely, např. BB) nebo recesivní (mají dvě stejné recesivní alely, např. ww).</w:t>
      </w:r>
    </w:p>
    <w:p w:rsidR="00312118" w:rsidRPr="000B16D5" w:rsidRDefault="00312118" w:rsidP="00236F03">
      <w:pPr>
        <w:spacing w:after="0"/>
        <w:jc w:val="both"/>
        <w:rPr>
          <w:rFonts w:asciiTheme="majorHAnsi" w:hAnsiTheme="majorHAnsi"/>
        </w:rPr>
      </w:pPr>
    </w:p>
    <w:p w:rsidR="00312118" w:rsidRPr="000B16D5" w:rsidRDefault="00312118" w:rsidP="008618D5">
      <w:pPr>
        <w:pStyle w:val="Nadpispodkapitoly"/>
        <w:rPr>
          <w:rFonts w:asciiTheme="majorHAnsi" w:hAnsiTheme="majorHAnsi"/>
        </w:rPr>
      </w:pPr>
      <w:bookmarkStart w:id="27" w:name="_Toc380240600"/>
      <w:r w:rsidRPr="000B16D5">
        <w:rPr>
          <w:rFonts w:asciiTheme="majorHAnsi" w:hAnsiTheme="majorHAnsi"/>
        </w:rPr>
        <w:t>První Mendelův zákon – zákon o uniformitě potomstva</w:t>
      </w:r>
      <w:bookmarkEnd w:id="27"/>
    </w:p>
    <w:p w:rsidR="00312118" w:rsidRPr="000B16D5" w:rsidRDefault="00312118" w:rsidP="00236F03">
      <w:pPr>
        <w:spacing w:after="0"/>
        <w:jc w:val="both"/>
        <w:rPr>
          <w:rFonts w:asciiTheme="majorHAnsi" w:hAnsiTheme="majorHAnsi"/>
          <w:i/>
        </w:rPr>
      </w:pPr>
      <w:r w:rsidRPr="000B16D5">
        <w:rPr>
          <w:rFonts w:asciiTheme="majorHAnsi" w:hAnsiTheme="majorHAnsi"/>
        </w:rPr>
        <w:t>Pro jednoduchost si první zákon vysvětlíme na barvě květu za předpokladu, že ta může být buď černá (dominantní znak, alela B), nebo bílá (recesivní znak, alela w).</w:t>
      </w:r>
    </w:p>
    <w:p w:rsidR="00312118" w:rsidRPr="000B16D5" w:rsidRDefault="00312118" w:rsidP="00236F03">
      <w:pPr>
        <w:spacing w:after="0"/>
        <w:jc w:val="both"/>
        <w:rPr>
          <w:rFonts w:asciiTheme="majorHAnsi" w:hAnsiTheme="majorHAnsi"/>
        </w:rPr>
      </w:pPr>
      <w:r w:rsidRPr="000B16D5">
        <w:rPr>
          <w:rFonts w:asciiTheme="majorHAnsi" w:hAnsiTheme="majorHAnsi"/>
          <w:b/>
        </w:rPr>
        <w:t xml:space="preserve">Pokud křížíme dva </w:t>
      </w:r>
      <w:r w:rsidRPr="000B16D5">
        <w:rPr>
          <w:rFonts w:asciiTheme="majorHAnsi" w:hAnsiTheme="majorHAnsi"/>
          <w:b/>
          <w:u w:val="single"/>
        </w:rPr>
        <w:t>stejné</w:t>
      </w:r>
      <w:r w:rsidRPr="000B16D5">
        <w:rPr>
          <w:rFonts w:asciiTheme="majorHAnsi" w:hAnsiTheme="majorHAnsi"/>
          <w:b/>
        </w:rPr>
        <w:t xml:space="preserve"> homozygoty</w:t>
      </w:r>
      <w:r w:rsidRPr="000B16D5">
        <w:rPr>
          <w:rFonts w:asciiTheme="majorHAnsi" w:hAnsiTheme="majorHAnsi"/>
        </w:rPr>
        <w:t xml:space="preserve"> (generace P = parentální </w:t>
      </w:r>
      <w:r w:rsidR="006A3748" w:rsidRPr="000B16D5">
        <w:rPr>
          <w:rFonts w:asciiTheme="majorHAnsi" w:hAnsiTheme="majorHAnsi"/>
        </w:rPr>
        <w:t>[</w:t>
      </w:r>
      <w:r w:rsidRPr="000B16D5">
        <w:rPr>
          <w:rFonts w:asciiTheme="majorHAnsi" w:hAnsiTheme="majorHAnsi"/>
        </w:rPr>
        <w:t>rodičovská</w:t>
      </w:r>
      <w:r w:rsidR="006A3748" w:rsidRPr="000B16D5">
        <w:rPr>
          <w:rFonts w:asciiTheme="majorHAnsi" w:hAnsiTheme="majorHAnsi"/>
        </w:rPr>
        <w:t>]</w:t>
      </w:r>
      <w:r w:rsidRPr="000B16D5">
        <w:rPr>
          <w:rFonts w:asciiTheme="majorHAnsi" w:hAnsiTheme="majorHAnsi"/>
        </w:rPr>
        <w:t xml:space="preserve">; BB x BB nebo ww x ww), tj. křížíme jen rostliny s černou barvou květu nebo jen rostliny s bílým květem, </w:t>
      </w:r>
      <w:r w:rsidRPr="000B16D5">
        <w:rPr>
          <w:rFonts w:asciiTheme="majorHAnsi" w:hAnsiTheme="majorHAnsi"/>
          <w:b/>
        </w:rPr>
        <w:t>získáme</w:t>
      </w:r>
      <w:r w:rsidRPr="000B16D5">
        <w:rPr>
          <w:rFonts w:asciiTheme="majorHAnsi" w:hAnsiTheme="majorHAnsi"/>
        </w:rPr>
        <w:t xml:space="preserve"> </w:t>
      </w:r>
      <w:r w:rsidRPr="000B16D5">
        <w:rPr>
          <w:rFonts w:asciiTheme="majorHAnsi" w:hAnsiTheme="majorHAnsi"/>
          <w:b/>
        </w:rPr>
        <w:t>potomstvo</w:t>
      </w:r>
      <w:r w:rsidRPr="000B16D5">
        <w:rPr>
          <w:rFonts w:asciiTheme="majorHAnsi" w:hAnsiTheme="majorHAnsi"/>
        </w:rPr>
        <w:t xml:space="preserve"> (generaci F1 = filiální), které je </w:t>
      </w:r>
      <w:r w:rsidRPr="000B16D5">
        <w:rPr>
          <w:rFonts w:asciiTheme="majorHAnsi" w:hAnsiTheme="majorHAnsi"/>
          <w:b/>
        </w:rPr>
        <w:t>fenotypově i genotypově jednotné</w:t>
      </w:r>
      <w:r w:rsidRPr="000B16D5">
        <w:rPr>
          <w:rFonts w:asciiTheme="majorHAnsi" w:hAnsiTheme="majorHAnsi"/>
        </w:rPr>
        <w:t xml:space="preserve"> (F1: BB nebo ww; rostliny budou mít jen bílý nebo jen černý květ).</w:t>
      </w:r>
    </w:p>
    <w:p w:rsidR="00312118" w:rsidRPr="000B16D5" w:rsidRDefault="00312118" w:rsidP="00236F03">
      <w:pPr>
        <w:spacing w:after="0"/>
        <w:jc w:val="both"/>
        <w:rPr>
          <w:rFonts w:asciiTheme="majorHAnsi" w:hAnsiTheme="majorHAnsi"/>
        </w:rPr>
      </w:pPr>
      <w:r w:rsidRPr="000B16D5">
        <w:rPr>
          <w:rFonts w:asciiTheme="majorHAnsi" w:hAnsiTheme="majorHAnsi"/>
          <w:b/>
        </w:rPr>
        <w:t xml:space="preserve">Pokud křížíme dva </w:t>
      </w:r>
      <w:r w:rsidRPr="000B16D5">
        <w:rPr>
          <w:rFonts w:asciiTheme="majorHAnsi" w:hAnsiTheme="majorHAnsi"/>
          <w:b/>
          <w:u w:val="single"/>
        </w:rPr>
        <w:t>různé</w:t>
      </w:r>
      <w:r w:rsidRPr="000B16D5">
        <w:rPr>
          <w:rFonts w:asciiTheme="majorHAnsi" w:hAnsiTheme="majorHAnsi"/>
          <w:b/>
        </w:rPr>
        <w:t xml:space="preserve"> homozygoty</w:t>
      </w:r>
      <w:r w:rsidRPr="000B16D5">
        <w:rPr>
          <w:rFonts w:asciiTheme="majorHAnsi" w:hAnsiTheme="majorHAnsi"/>
        </w:rPr>
        <w:t xml:space="preserve"> (P: BB x ww), tj. křížíme rostlinku s bílým s rostlinkou s černým květem, </w:t>
      </w:r>
      <w:r w:rsidRPr="000B16D5">
        <w:rPr>
          <w:rFonts w:asciiTheme="majorHAnsi" w:hAnsiTheme="majorHAnsi"/>
          <w:b/>
        </w:rPr>
        <w:t>je potomstvo rovněž fenotypově i genotypově jednotné</w:t>
      </w:r>
      <w:r w:rsidRPr="000B16D5">
        <w:rPr>
          <w:rFonts w:asciiTheme="majorHAnsi" w:hAnsiTheme="majorHAnsi"/>
        </w:rPr>
        <w:t xml:space="preserve"> (barva květu je černá), </w:t>
      </w:r>
      <w:r w:rsidRPr="000B16D5">
        <w:rPr>
          <w:rFonts w:asciiTheme="majorHAnsi" w:hAnsiTheme="majorHAnsi"/>
          <w:b/>
        </w:rPr>
        <w:t>ale</w:t>
      </w:r>
      <w:r w:rsidRPr="000B16D5">
        <w:rPr>
          <w:rFonts w:asciiTheme="majorHAnsi" w:hAnsiTheme="majorHAnsi"/>
        </w:rPr>
        <w:t xml:space="preserve"> získaní potomci jsou heterozygoti (F1: pouze Bw).</w:t>
      </w:r>
    </w:p>
    <w:p w:rsidR="00312118" w:rsidRPr="000B16D5" w:rsidRDefault="00312118" w:rsidP="00236F03">
      <w:pPr>
        <w:spacing w:after="0"/>
        <w:jc w:val="both"/>
        <w:rPr>
          <w:rFonts w:asciiTheme="majorHAnsi" w:hAnsiTheme="majorHAnsi"/>
        </w:rPr>
      </w:pPr>
    </w:p>
    <w:p w:rsidR="008618D5" w:rsidRPr="000B16D5" w:rsidRDefault="00312118" w:rsidP="008618D5">
      <w:pPr>
        <w:keepNext/>
        <w:spacing w:after="0"/>
        <w:jc w:val="center"/>
        <w:rPr>
          <w:rFonts w:asciiTheme="majorHAnsi" w:hAnsiTheme="majorHAnsi"/>
        </w:rPr>
      </w:pPr>
      <w:r w:rsidRPr="000B16D5">
        <w:rPr>
          <w:rFonts w:asciiTheme="majorHAnsi" w:hAnsiTheme="majorHAnsi"/>
          <w:noProof/>
        </w:rPr>
        <w:drawing>
          <wp:inline distT="0" distB="0" distL="0" distR="0" wp14:anchorId="22866606" wp14:editId="1904B5AB">
            <wp:extent cx="5693935" cy="209617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896" cy="2100947"/>
                    </a:xfrm>
                    <a:prstGeom prst="rect">
                      <a:avLst/>
                    </a:prstGeom>
                    <a:noFill/>
                  </pic:spPr>
                </pic:pic>
              </a:graphicData>
            </a:graphic>
          </wp:inline>
        </w:drawing>
      </w:r>
    </w:p>
    <w:p w:rsidR="00312118" w:rsidRPr="000B16D5" w:rsidRDefault="008618D5" w:rsidP="008618D5">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6</w:t>
      </w:r>
      <w:r w:rsidRPr="000B16D5">
        <w:rPr>
          <w:rFonts w:asciiTheme="majorHAnsi" w:hAnsiTheme="majorHAnsi"/>
          <w:i/>
          <w:color w:val="808080" w:themeColor="background1" w:themeShade="80"/>
        </w:rPr>
        <w:fldChar w:fldCharType="end"/>
      </w:r>
      <w:r w:rsidRPr="000B16D5">
        <w:rPr>
          <w:rFonts w:asciiTheme="majorHAnsi" w:hAnsiTheme="majorHAnsi"/>
          <w:i/>
          <w:color w:val="808080" w:themeColor="background1" w:themeShade="80"/>
        </w:rPr>
        <w:t xml:space="preserve"> </w:t>
      </w:r>
      <w:r w:rsidR="00F17D84" w:rsidRPr="000B16D5">
        <w:rPr>
          <w:rFonts w:asciiTheme="majorHAnsi" w:hAnsiTheme="majorHAnsi"/>
          <w:i/>
          <w:color w:val="808080" w:themeColor="background1" w:themeShade="80"/>
        </w:rPr>
        <w:t>–</w:t>
      </w:r>
      <w:r w:rsidRPr="000B16D5">
        <w:rPr>
          <w:rFonts w:asciiTheme="majorHAnsi" w:hAnsiTheme="majorHAnsi"/>
          <w:i/>
          <w:color w:val="808080" w:themeColor="background1" w:themeShade="80"/>
        </w:rPr>
        <w:t xml:space="preserve"> První Mendelův zákon</w:t>
      </w:r>
    </w:p>
    <w:p w:rsidR="008618D5" w:rsidRPr="000B16D5" w:rsidRDefault="008618D5" w:rsidP="008618D5">
      <w:pPr>
        <w:rPr>
          <w:rFonts w:asciiTheme="majorHAnsi" w:hAnsiTheme="majorHAnsi"/>
        </w:rPr>
      </w:pPr>
    </w:p>
    <w:p w:rsidR="00312118" w:rsidRPr="000B16D5" w:rsidRDefault="00312118" w:rsidP="008618D5">
      <w:pPr>
        <w:pStyle w:val="Nadpispodkapitoly"/>
        <w:rPr>
          <w:rFonts w:asciiTheme="majorHAnsi" w:hAnsiTheme="majorHAnsi"/>
        </w:rPr>
      </w:pPr>
      <w:bookmarkStart w:id="28" w:name="_Toc380240601"/>
      <w:r w:rsidRPr="000B16D5">
        <w:rPr>
          <w:rFonts w:asciiTheme="majorHAnsi" w:hAnsiTheme="majorHAnsi"/>
        </w:rPr>
        <w:t>Druhý Mendelův zákon – zákon o náhodné segregaci alel</w:t>
      </w:r>
      <w:bookmarkEnd w:id="28"/>
    </w:p>
    <w:p w:rsidR="00312118" w:rsidRPr="000B16D5" w:rsidRDefault="00312118" w:rsidP="00236F03">
      <w:pPr>
        <w:spacing w:after="0"/>
        <w:jc w:val="both"/>
        <w:rPr>
          <w:rFonts w:asciiTheme="majorHAnsi" w:hAnsiTheme="majorHAnsi"/>
        </w:rPr>
      </w:pPr>
      <w:r w:rsidRPr="000B16D5">
        <w:rPr>
          <w:rFonts w:asciiTheme="majorHAnsi" w:hAnsiTheme="majorHAnsi"/>
        </w:rPr>
        <w:t xml:space="preserve">Druhý Mendelův zákon popisuje, co se děje v případě, že </w:t>
      </w:r>
      <w:r w:rsidRPr="000B16D5">
        <w:rPr>
          <w:rFonts w:asciiTheme="majorHAnsi" w:hAnsiTheme="majorHAnsi"/>
          <w:b/>
        </w:rPr>
        <w:t>křížíme heterozygoty získané předchozím</w:t>
      </w:r>
      <w:r w:rsidRPr="000B16D5">
        <w:rPr>
          <w:rFonts w:asciiTheme="majorHAnsi" w:hAnsiTheme="majorHAnsi"/>
        </w:rPr>
        <w:t xml:space="preserve"> </w:t>
      </w:r>
      <w:r w:rsidRPr="000B16D5">
        <w:rPr>
          <w:rFonts w:asciiTheme="majorHAnsi" w:hAnsiTheme="majorHAnsi"/>
          <w:b/>
        </w:rPr>
        <w:t>křížením</w:t>
      </w:r>
      <w:r w:rsidRPr="000B16D5">
        <w:rPr>
          <w:rFonts w:asciiTheme="majorHAnsi" w:hAnsiTheme="majorHAnsi"/>
        </w:rPr>
        <w:t xml:space="preserve"> (Bw x Bw). Potomek tohoto křížení má </w:t>
      </w:r>
      <w:r w:rsidRPr="000B16D5">
        <w:rPr>
          <w:rFonts w:asciiTheme="majorHAnsi" w:hAnsiTheme="majorHAnsi"/>
          <w:b/>
        </w:rPr>
        <w:t>stejnou pravděpodobnost</w:t>
      </w:r>
      <w:r w:rsidRPr="000B16D5">
        <w:rPr>
          <w:rFonts w:asciiTheme="majorHAnsi" w:hAnsiTheme="majorHAnsi"/>
        </w:rPr>
        <w:t xml:space="preserve">, </w:t>
      </w:r>
      <w:r w:rsidRPr="000B16D5">
        <w:rPr>
          <w:rFonts w:asciiTheme="majorHAnsi" w:hAnsiTheme="majorHAnsi"/>
          <w:b/>
        </w:rPr>
        <w:t>že získá kteroukoliv z alel</w:t>
      </w:r>
      <w:r w:rsidRPr="000B16D5">
        <w:rPr>
          <w:rFonts w:asciiTheme="majorHAnsi" w:hAnsiTheme="majorHAnsi"/>
        </w:rPr>
        <w:t xml:space="preserve"> (dominantní nebo recesivní), dochází k tzv. </w:t>
      </w:r>
      <w:r w:rsidRPr="000B16D5">
        <w:rPr>
          <w:rFonts w:asciiTheme="majorHAnsi" w:hAnsiTheme="majorHAnsi"/>
          <w:b/>
        </w:rPr>
        <w:t>segregaci</w:t>
      </w:r>
      <w:r w:rsidRPr="000B16D5">
        <w:rPr>
          <w:rFonts w:asciiTheme="majorHAnsi" w:hAnsiTheme="majorHAnsi"/>
        </w:rPr>
        <w:t xml:space="preserve"> (rozštěpení, rozestupu) alel.</w:t>
      </w:r>
    </w:p>
    <w:p w:rsidR="00312118" w:rsidRPr="000B16D5" w:rsidRDefault="00312118" w:rsidP="00236F03">
      <w:pPr>
        <w:spacing w:after="0"/>
        <w:jc w:val="both"/>
        <w:rPr>
          <w:rFonts w:asciiTheme="majorHAnsi" w:hAnsiTheme="majorHAnsi"/>
        </w:rPr>
      </w:pPr>
      <w:r w:rsidRPr="000B16D5">
        <w:rPr>
          <w:rFonts w:asciiTheme="majorHAnsi" w:hAnsiTheme="majorHAnsi"/>
        </w:rPr>
        <w:t>Matematická pravděpodobnost, že křížením dvou heterozygotů vznikne dominantní homozygot BB je 25</w:t>
      </w:r>
      <w:r w:rsidR="00E9595C" w:rsidRPr="000B16D5">
        <w:rPr>
          <w:rFonts w:asciiTheme="majorHAnsi" w:hAnsiTheme="majorHAnsi"/>
        </w:rPr>
        <w:t xml:space="preserve"> </w:t>
      </w:r>
      <w:r w:rsidRPr="000B16D5">
        <w:rPr>
          <w:rFonts w:asciiTheme="majorHAnsi" w:hAnsiTheme="majorHAnsi"/>
        </w:rPr>
        <w:t>%, že vznikne heterozygot Bw je 50</w:t>
      </w:r>
      <w:r w:rsidR="00E9595C" w:rsidRPr="000B16D5">
        <w:rPr>
          <w:rFonts w:asciiTheme="majorHAnsi" w:hAnsiTheme="majorHAnsi"/>
        </w:rPr>
        <w:t xml:space="preserve"> </w:t>
      </w:r>
      <w:r w:rsidRPr="000B16D5">
        <w:rPr>
          <w:rFonts w:asciiTheme="majorHAnsi" w:hAnsiTheme="majorHAnsi"/>
        </w:rPr>
        <w:t>%, a že vznikne recesivní homozygot ww je 25</w:t>
      </w:r>
      <w:r w:rsidR="00E9595C" w:rsidRPr="000B16D5">
        <w:rPr>
          <w:rFonts w:asciiTheme="majorHAnsi" w:hAnsiTheme="majorHAnsi"/>
        </w:rPr>
        <w:t xml:space="preserve"> </w:t>
      </w:r>
      <w:r w:rsidRPr="000B16D5">
        <w:rPr>
          <w:rFonts w:asciiTheme="majorHAnsi" w:hAnsiTheme="majorHAnsi"/>
        </w:rPr>
        <w:t>%. Poměr potomstva je tedy 1:2:1, tj. 1 BB: 2 Bw: 1 ww.</w:t>
      </w:r>
    </w:p>
    <w:p w:rsidR="00312118" w:rsidRPr="000B16D5" w:rsidRDefault="00312118" w:rsidP="00236F03">
      <w:pPr>
        <w:spacing w:after="0"/>
        <w:jc w:val="both"/>
        <w:rPr>
          <w:rFonts w:asciiTheme="majorHAnsi" w:hAnsiTheme="majorHAnsi"/>
        </w:rPr>
      </w:pPr>
    </w:p>
    <w:p w:rsidR="008618D5" w:rsidRPr="000B16D5" w:rsidRDefault="00312118" w:rsidP="008618D5">
      <w:pPr>
        <w:keepNext/>
        <w:spacing w:after="0"/>
        <w:jc w:val="center"/>
        <w:rPr>
          <w:rFonts w:asciiTheme="majorHAnsi" w:hAnsiTheme="majorHAnsi"/>
        </w:rPr>
      </w:pPr>
      <w:r w:rsidRPr="000B16D5">
        <w:rPr>
          <w:rFonts w:asciiTheme="majorHAnsi" w:hAnsiTheme="majorHAnsi"/>
          <w:noProof/>
        </w:rPr>
        <w:lastRenderedPageBreak/>
        <w:drawing>
          <wp:inline distT="0" distB="0" distL="0" distR="0" wp14:anchorId="64BA3184" wp14:editId="560A9155">
            <wp:extent cx="4465674" cy="213884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1824" cy="2141792"/>
                    </a:xfrm>
                    <a:prstGeom prst="rect">
                      <a:avLst/>
                    </a:prstGeom>
                    <a:noFill/>
                  </pic:spPr>
                </pic:pic>
              </a:graphicData>
            </a:graphic>
          </wp:inline>
        </w:drawing>
      </w:r>
    </w:p>
    <w:p w:rsidR="00312118" w:rsidRPr="000B16D5" w:rsidRDefault="008618D5" w:rsidP="008618D5">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7</w:t>
      </w:r>
      <w:r w:rsidRPr="000B16D5">
        <w:rPr>
          <w:rFonts w:asciiTheme="majorHAnsi" w:hAnsiTheme="majorHAnsi"/>
          <w:i/>
          <w:color w:val="808080" w:themeColor="background1" w:themeShade="80"/>
        </w:rPr>
        <w:fldChar w:fldCharType="end"/>
      </w:r>
      <w:r w:rsidRPr="000B16D5">
        <w:rPr>
          <w:rFonts w:asciiTheme="majorHAnsi" w:hAnsiTheme="majorHAnsi"/>
          <w:i/>
          <w:color w:val="808080" w:themeColor="background1" w:themeShade="80"/>
        </w:rPr>
        <w:t xml:space="preserve"> </w:t>
      </w:r>
      <w:r w:rsidR="00F17D84" w:rsidRPr="000B16D5">
        <w:rPr>
          <w:rFonts w:asciiTheme="majorHAnsi" w:hAnsiTheme="majorHAnsi"/>
          <w:i/>
          <w:color w:val="808080" w:themeColor="background1" w:themeShade="80"/>
        </w:rPr>
        <w:t>–</w:t>
      </w:r>
      <w:r w:rsidRPr="000B16D5">
        <w:rPr>
          <w:rFonts w:asciiTheme="majorHAnsi" w:hAnsiTheme="majorHAnsi"/>
          <w:i/>
          <w:color w:val="808080" w:themeColor="background1" w:themeShade="80"/>
        </w:rPr>
        <w:t xml:space="preserve"> Druhý Mendelův zákon</w:t>
      </w:r>
    </w:p>
    <w:p w:rsidR="00312118" w:rsidRPr="000B16D5" w:rsidRDefault="00312118" w:rsidP="00236F03">
      <w:pPr>
        <w:spacing w:after="0"/>
        <w:jc w:val="both"/>
        <w:rPr>
          <w:rFonts w:asciiTheme="majorHAnsi" w:hAnsiTheme="majorHAnsi"/>
        </w:rPr>
      </w:pPr>
    </w:p>
    <w:p w:rsidR="00312118" w:rsidRPr="000B16D5" w:rsidRDefault="00312118" w:rsidP="008618D5">
      <w:pPr>
        <w:pStyle w:val="Nadpispodkapitoly"/>
        <w:rPr>
          <w:rFonts w:asciiTheme="majorHAnsi" w:hAnsiTheme="majorHAnsi"/>
        </w:rPr>
      </w:pPr>
      <w:bookmarkStart w:id="29" w:name="_Toc380240602"/>
      <w:r w:rsidRPr="000B16D5">
        <w:rPr>
          <w:rFonts w:asciiTheme="majorHAnsi" w:hAnsiTheme="majorHAnsi"/>
        </w:rPr>
        <w:t>Třetí Mendelův zákon – zákon o nezávislosti výběru</w:t>
      </w:r>
      <w:bookmarkEnd w:id="29"/>
    </w:p>
    <w:p w:rsidR="00312118" w:rsidRPr="000B16D5" w:rsidRDefault="00312118" w:rsidP="00236F03">
      <w:pPr>
        <w:spacing w:after="0"/>
        <w:jc w:val="both"/>
        <w:rPr>
          <w:rFonts w:asciiTheme="majorHAnsi" w:hAnsiTheme="majorHAnsi"/>
        </w:rPr>
      </w:pPr>
      <w:r w:rsidRPr="000B16D5">
        <w:rPr>
          <w:rFonts w:asciiTheme="majorHAnsi" w:hAnsiTheme="majorHAnsi"/>
        </w:rPr>
        <w:t xml:space="preserve">Předchozí zákony se věnovaly pouze přenosu jednoho znaku. V případě, že budeme sledovat dědičnost </w:t>
      </w:r>
      <w:r w:rsidRPr="000B16D5">
        <w:rPr>
          <w:rFonts w:asciiTheme="majorHAnsi" w:hAnsiTheme="majorHAnsi"/>
          <w:b/>
        </w:rPr>
        <w:t xml:space="preserve">dvou </w:t>
      </w:r>
      <w:r w:rsidRPr="000B16D5">
        <w:rPr>
          <w:rFonts w:asciiTheme="majorHAnsi" w:hAnsiTheme="majorHAnsi"/>
          <w:b/>
          <w:i/>
        </w:rPr>
        <w:t>na sobě nezávislých znaků</w:t>
      </w:r>
      <w:r w:rsidRPr="000B16D5">
        <w:rPr>
          <w:rStyle w:val="Znakapoznpodarou"/>
          <w:rFonts w:asciiTheme="majorHAnsi" w:hAnsiTheme="majorHAnsi"/>
          <w:b/>
          <w:smallCaps/>
        </w:rPr>
        <w:footnoteReference w:id="1"/>
      </w:r>
      <w:r w:rsidRPr="000B16D5">
        <w:rPr>
          <w:rFonts w:asciiTheme="majorHAnsi" w:hAnsiTheme="majorHAnsi"/>
        </w:rPr>
        <w:t xml:space="preserve">, budeme v potomstvu </w:t>
      </w:r>
      <w:r w:rsidRPr="000B16D5">
        <w:rPr>
          <w:rFonts w:asciiTheme="majorHAnsi" w:hAnsiTheme="majorHAnsi"/>
          <w:b/>
        </w:rPr>
        <w:t>pozorovat tolik kombinací hybridů</w:t>
      </w:r>
      <w:r w:rsidRPr="000B16D5">
        <w:rPr>
          <w:rFonts w:asciiTheme="majorHAnsi" w:hAnsiTheme="majorHAnsi"/>
        </w:rPr>
        <w:t xml:space="preserve">, </w:t>
      </w:r>
      <w:r w:rsidRPr="000B16D5">
        <w:rPr>
          <w:rFonts w:asciiTheme="majorHAnsi" w:hAnsiTheme="majorHAnsi"/>
          <w:b/>
        </w:rPr>
        <w:t>kolik existuje možných matematických kombinací</w:t>
      </w:r>
      <w:r w:rsidRPr="000B16D5">
        <w:rPr>
          <w:rFonts w:asciiTheme="majorHAnsi" w:hAnsiTheme="majorHAnsi"/>
        </w:rPr>
        <w:t>.</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Např. </w:t>
      </w:r>
      <w:r w:rsidR="00E9595C" w:rsidRPr="000B16D5">
        <w:rPr>
          <w:rFonts w:asciiTheme="majorHAnsi" w:hAnsiTheme="majorHAnsi"/>
        </w:rPr>
        <w:t>p</w:t>
      </w:r>
      <w:r w:rsidRPr="000B16D5">
        <w:rPr>
          <w:rFonts w:asciiTheme="majorHAnsi" w:hAnsiTheme="majorHAnsi"/>
        </w:rPr>
        <w:t xml:space="preserve">okud budeme sledovat barvu květu a zároveň barvu semene (alela G pro zelenou barvu </w:t>
      </w:r>
      <w:r w:rsidR="00E9595C" w:rsidRPr="000B16D5">
        <w:rPr>
          <w:rFonts w:asciiTheme="majorHAnsi" w:hAnsiTheme="majorHAnsi"/>
        </w:rPr>
        <w:t>[</w:t>
      </w:r>
      <w:r w:rsidRPr="000B16D5">
        <w:rPr>
          <w:rFonts w:asciiTheme="majorHAnsi" w:hAnsiTheme="majorHAnsi"/>
        </w:rPr>
        <w:t>na obrázku černá</w:t>
      </w:r>
      <w:r w:rsidR="00E9595C" w:rsidRPr="000B16D5">
        <w:rPr>
          <w:rFonts w:asciiTheme="majorHAnsi" w:hAnsiTheme="majorHAnsi"/>
        </w:rPr>
        <w:t>]</w:t>
      </w:r>
      <w:r w:rsidRPr="000B16D5">
        <w:rPr>
          <w:rFonts w:asciiTheme="majorHAnsi" w:hAnsiTheme="majorHAnsi"/>
        </w:rPr>
        <w:t xml:space="preserve"> je dominantní, alela y pro žlutou barvu </w:t>
      </w:r>
      <w:r w:rsidR="00E9595C" w:rsidRPr="000B16D5">
        <w:rPr>
          <w:rFonts w:asciiTheme="majorHAnsi" w:hAnsiTheme="majorHAnsi"/>
        </w:rPr>
        <w:t>[</w:t>
      </w:r>
      <w:r w:rsidRPr="000B16D5">
        <w:rPr>
          <w:rFonts w:asciiTheme="majorHAnsi" w:hAnsiTheme="majorHAnsi"/>
        </w:rPr>
        <w:t>na obrázku bílá</w:t>
      </w:r>
      <w:r w:rsidR="00E9595C" w:rsidRPr="000B16D5">
        <w:rPr>
          <w:rFonts w:asciiTheme="majorHAnsi" w:hAnsiTheme="majorHAnsi"/>
        </w:rPr>
        <w:t>]</w:t>
      </w:r>
      <w:r w:rsidRPr="000B16D5">
        <w:rPr>
          <w:rFonts w:asciiTheme="majorHAnsi" w:hAnsiTheme="majorHAnsi"/>
        </w:rPr>
        <w:t xml:space="preserve"> je recesivní), vypadalo by křížení dvojitých heterozygotů tak, jak je znázorněno na obrázku.</w:t>
      </w:r>
    </w:p>
    <w:p w:rsidR="00312118" w:rsidRPr="000B16D5" w:rsidRDefault="00312118" w:rsidP="00236F03">
      <w:pPr>
        <w:spacing w:after="0"/>
        <w:jc w:val="both"/>
        <w:rPr>
          <w:rFonts w:asciiTheme="majorHAnsi" w:hAnsiTheme="majorHAnsi"/>
        </w:rPr>
      </w:pPr>
    </w:p>
    <w:p w:rsidR="008618D5" w:rsidRPr="000B16D5" w:rsidRDefault="00312118" w:rsidP="008618D5">
      <w:pPr>
        <w:keepNext/>
        <w:spacing w:after="0"/>
        <w:jc w:val="center"/>
        <w:rPr>
          <w:rFonts w:asciiTheme="majorHAnsi" w:hAnsiTheme="majorHAnsi"/>
        </w:rPr>
      </w:pPr>
      <w:r w:rsidRPr="000B16D5">
        <w:rPr>
          <w:rFonts w:asciiTheme="majorHAnsi" w:hAnsiTheme="majorHAnsi"/>
          <w:noProof/>
        </w:rPr>
        <w:drawing>
          <wp:inline distT="0" distB="0" distL="0" distR="0" wp14:anchorId="6E7657CC" wp14:editId="4D1318DB">
            <wp:extent cx="3902149" cy="315015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6925" cy="3154012"/>
                    </a:xfrm>
                    <a:prstGeom prst="rect">
                      <a:avLst/>
                    </a:prstGeom>
                    <a:noFill/>
                  </pic:spPr>
                </pic:pic>
              </a:graphicData>
            </a:graphic>
          </wp:inline>
        </w:drawing>
      </w:r>
    </w:p>
    <w:p w:rsidR="00312118" w:rsidRPr="000B16D5" w:rsidRDefault="008618D5" w:rsidP="008618D5">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8</w:t>
      </w:r>
      <w:r w:rsidRPr="000B16D5">
        <w:rPr>
          <w:rFonts w:asciiTheme="majorHAnsi" w:hAnsiTheme="majorHAnsi"/>
          <w:i/>
          <w:color w:val="808080" w:themeColor="background1" w:themeShade="80"/>
        </w:rPr>
        <w:fldChar w:fldCharType="end"/>
      </w:r>
      <w:r w:rsidRPr="000B16D5">
        <w:rPr>
          <w:rFonts w:asciiTheme="majorHAnsi" w:hAnsiTheme="majorHAnsi"/>
          <w:i/>
          <w:color w:val="808080" w:themeColor="background1" w:themeShade="80"/>
        </w:rPr>
        <w:t xml:space="preserve"> </w:t>
      </w:r>
      <w:r w:rsidR="00F17D84" w:rsidRPr="000B16D5">
        <w:rPr>
          <w:rFonts w:asciiTheme="majorHAnsi" w:hAnsiTheme="majorHAnsi"/>
          <w:i/>
          <w:color w:val="808080" w:themeColor="background1" w:themeShade="80"/>
        </w:rPr>
        <w:t>–</w:t>
      </w:r>
      <w:r w:rsidRPr="000B16D5">
        <w:rPr>
          <w:rFonts w:asciiTheme="majorHAnsi" w:hAnsiTheme="majorHAnsi"/>
          <w:i/>
          <w:color w:val="808080" w:themeColor="background1" w:themeShade="80"/>
        </w:rPr>
        <w:t xml:space="preserve"> Třetí Mendelův zákon</w:t>
      </w:r>
    </w:p>
    <w:p w:rsidR="00312118" w:rsidRPr="000B16D5" w:rsidRDefault="00312118" w:rsidP="00236F03">
      <w:pPr>
        <w:spacing w:after="0"/>
        <w:jc w:val="both"/>
        <w:rPr>
          <w:rFonts w:asciiTheme="majorHAnsi" w:hAnsiTheme="majorHAnsi"/>
        </w:rPr>
      </w:pP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Mendel těmito zákony jasně položil základy tzv. </w:t>
      </w:r>
      <w:r w:rsidRPr="000B16D5">
        <w:rPr>
          <w:rFonts w:asciiTheme="majorHAnsi" w:hAnsiTheme="majorHAnsi"/>
          <w:b/>
        </w:rPr>
        <w:t>Mendelovské dědičnosti</w:t>
      </w:r>
      <w:r w:rsidRPr="000B16D5">
        <w:rPr>
          <w:rFonts w:asciiTheme="majorHAnsi" w:hAnsiTheme="majorHAnsi"/>
        </w:rPr>
        <w:t xml:space="preserve">. Tato dědičnost se týká pouze znaků, které se dědí tzv. </w:t>
      </w:r>
      <w:r w:rsidRPr="000B16D5">
        <w:rPr>
          <w:rFonts w:asciiTheme="majorHAnsi" w:hAnsiTheme="majorHAnsi"/>
          <w:b/>
        </w:rPr>
        <w:t>monogenně</w:t>
      </w:r>
      <w:r w:rsidRPr="000B16D5">
        <w:rPr>
          <w:rFonts w:asciiTheme="majorHAnsi" w:hAnsiTheme="majorHAnsi"/>
        </w:rPr>
        <w:t xml:space="preserve"> (jsou definovány jedním genem) a pouze genů, které </w:t>
      </w:r>
      <w:r w:rsidRPr="000B16D5">
        <w:rPr>
          <w:rFonts w:asciiTheme="majorHAnsi" w:hAnsiTheme="majorHAnsi"/>
          <w:b/>
        </w:rPr>
        <w:t>nejsou ve vazbě</w:t>
      </w:r>
      <w:r w:rsidRPr="000B16D5">
        <w:rPr>
          <w:rFonts w:asciiTheme="majorHAnsi" w:hAnsiTheme="majorHAnsi"/>
        </w:rPr>
        <w:t xml:space="preserve"> (zjednodušeně řečeno si lze představit, že jde o geny na různých chromozomech, resp. geny dostatečně vzdálené od sebe). V dalších kapitolách této knihy se pak seznámíte s některými nemocemi, které vykazují Mendelovskou dědičnost.</w:t>
      </w:r>
    </w:p>
    <w:p w:rsidR="008618D5" w:rsidRPr="000B16D5" w:rsidRDefault="008618D5" w:rsidP="008618D5">
      <w:pPr>
        <w:spacing w:after="0"/>
        <w:jc w:val="both"/>
        <w:rPr>
          <w:rFonts w:asciiTheme="majorHAnsi" w:hAnsiTheme="majorHAnsi"/>
        </w:rPr>
      </w:pPr>
    </w:p>
    <w:p w:rsidR="008618D5" w:rsidRPr="000B16D5" w:rsidRDefault="008618D5" w:rsidP="008618D5">
      <w:pPr>
        <w:spacing w:after="0"/>
        <w:jc w:val="both"/>
        <w:rPr>
          <w:rFonts w:asciiTheme="majorHAnsi" w:hAnsiTheme="majorHAnsi"/>
        </w:rPr>
      </w:pPr>
    </w:p>
    <w:p w:rsidR="008618D5" w:rsidRPr="000B16D5" w:rsidRDefault="008618D5" w:rsidP="008618D5">
      <w:pPr>
        <w:jc w:val="both"/>
        <w:rPr>
          <w:rFonts w:asciiTheme="majorHAnsi" w:hAnsiTheme="majorHAnsi"/>
        </w:rPr>
      </w:pPr>
      <w:r w:rsidRPr="000B16D5">
        <w:rPr>
          <w:rFonts w:asciiTheme="majorHAnsi" w:hAnsiTheme="majorHAnsi"/>
        </w:rPr>
        <w:t> ____________________________________________</w:t>
      </w:r>
    </w:p>
    <w:p w:rsidR="008618D5" w:rsidRPr="000B16D5" w:rsidRDefault="008618D5" w:rsidP="008618D5">
      <w:pPr>
        <w:spacing w:after="0"/>
        <w:jc w:val="both"/>
        <w:rPr>
          <w:rFonts w:asciiTheme="majorHAnsi" w:hAnsiTheme="majorHAnsi"/>
          <w:b/>
          <w:sz w:val="20"/>
        </w:rPr>
      </w:pPr>
      <w:r w:rsidRPr="000B16D5">
        <w:rPr>
          <w:rFonts w:asciiTheme="majorHAnsi" w:hAnsiTheme="majorHAnsi"/>
          <w:b/>
          <w:sz w:val="20"/>
        </w:rPr>
        <w:t>Zdroje:</w:t>
      </w:r>
    </w:p>
    <w:p w:rsidR="008618D5" w:rsidRPr="000B16D5" w:rsidRDefault="008618D5" w:rsidP="008618D5">
      <w:pPr>
        <w:spacing w:after="0"/>
        <w:jc w:val="both"/>
        <w:rPr>
          <w:rFonts w:asciiTheme="majorHAnsi" w:hAnsiTheme="majorHAnsi"/>
          <w:sz w:val="14"/>
        </w:rPr>
        <w:sectPr w:rsidR="008618D5" w:rsidRPr="000B16D5" w:rsidSect="00A2684E">
          <w:footerReference w:type="default" r:id="rId25"/>
          <w:type w:val="continuous"/>
          <w:pgSz w:w="11906" w:h="16838"/>
          <w:pgMar w:top="720" w:right="720" w:bottom="720" w:left="720" w:header="708" w:footer="708" w:gutter="0"/>
          <w:pgNumType w:start="24"/>
          <w:cols w:space="708"/>
          <w:titlePg/>
          <w:docGrid w:linePitch="360"/>
        </w:sectPr>
      </w:pPr>
    </w:p>
    <w:p w:rsidR="008618D5" w:rsidRPr="000B16D5" w:rsidRDefault="008618D5" w:rsidP="008618D5">
      <w:pPr>
        <w:pStyle w:val="Odstavecseseznamem"/>
        <w:numPr>
          <w:ilvl w:val="0"/>
          <w:numId w:val="18"/>
        </w:numPr>
        <w:spacing w:after="0"/>
        <w:jc w:val="both"/>
        <w:rPr>
          <w:rFonts w:asciiTheme="majorHAnsi" w:hAnsiTheme="majorHAnsi"/>
          <w:sz w:val="16"/>
        </w:rPr>
      </w:pPr>
      <w:r w:rsidRPr="000B16D5">
        <w:rPr>
          <w:rFonts w:asciiTheme="majorHAnsi" w:hAnsiTheme="majorHAnsi"/>
          <w:sz w:val="16"/>
        </w:rPr>
        <w:lastRenderedPageBreak/>
        <w:t xml:space="preserve">D. Peter Snustad, Michael J. Simmons, Jiřina Relichová, Jiří Doškař, Jiří Fajkus, Petr Hořín, Aleš Knoll, Petr Kuglík, Jan Šmarda, Jana Šmardová, Renata Veselská, Boris Vyskot, </w:t>
      </w:r>
      <w:r w:rsidRPr="000B16D5">
        <w:rPr>
          <w:rFonts w:asciiTheme="majorHAnsi" w:hAnsiTheme="majorHAnsi"/>
          <w:b/>
          <w:sz w:val="16"/>
        </w:rPr>
        <w:t>Genetika</w:t>
      </w:r>
      <w:r w:rsidRPr="000B16D5">
        <w:rPr>
          <w:rFonts w:asciiTheme="majorHAnsi" w:hAnsiTheme="majorHAnsi"/>
          <w:sz w:val="16"/>
        </w:rPr>
        <w:t>, 2009, Brno – Masarykova univerzita, ISBN 978-80-210-4852-2</w:t>
      </w:r>
    </w:p>
    <w:p w:rsidR="008618D5" w:rsidRPr="000B16D5" w:rsidRDefault="008618D5" w:rsidP="008618D5">
      <w:pPr>
        <w:pStyle w:val="Odstavecseseznamem"/>
        <w:numPr>
          <w:ilvl w:val="0"/>
          <w:numId w:val="18"/>
        </w:numPr>
        <w:spacing w:after="0"/>
        <w:jc w:val="both"/>
        <w:rPr>
          <w:rFonts w:asciiTheme="majorHAnsi" w:hAnsiTheme="majorHAnsi"/>
          <w:sz w:val="16"/>
        </w:rPr>
      </w:pPr>
      <w:r w:rsidRPr="000B16D5">
        <w:rPr>
          <w:rFonts w:asciiTheme="majorHAnsi" w:hAnsiTheme="majorHAnsi"/>
          <w:sz w:val="16"/>
        </w:rPr>
        <w:lastRenderedPageBreak/>
        <w:t xml:space="preserve">Eduard Kočárek, </w:t>
      </w:r>
      <w:r w:rsidRPr="000B16D5">
        <w:rPr>
          <w:rFonts w:asciiTheme="majorHAnsi" w:hAnsiTheme="majorHAnsi"/>
          <w:b/>
          <w:sz w:val="16"/>
        </w:rPr>
        <w:t>Genetika</w:t>
      </w:r>
      <w:r w:rsidRPr="000B16D5">
        <w:rPr>
          <w:rFonts w:asciiTheme="majorHAnsi" w:hAnsiTheme="majorHAnsi"/>
          <w:sz w:val="16"/>
        </w:rPr>
        <w:t>, 2005, Praha – Scientia, ISBN: 978-80-86960-36-4</w:t>
      </w:r>
    </w:p>
    <w:p w:rsidR="00312118" w:rsidRPr="000B16D5" w:rsidRDefault="008618D5" w:rsidP="00236F03">
      <w:pPr>
        <w:pStyle w:val="Odstavecseseznamem"/>
        <w:numPr>
          <w:ilvl w:val="0"/>
          <w:numId w:val="18"/>
        </w:numPr>
        <w:spacing w:after="0"/>
        <w:jc w:val="both"/>
        <w:rPr>
          <w:rFonts w:asciiTheme="majorHAnsi" w:hAnsiTheme="majorHAnsi"/>
          <w:sz w:val="16"/>
          <w:szCs w:val="16"/>
        </w:rPr>
      </w:pPr>
      <w:r w:rsidRPr="000B16D5">
        <w:rPr>
          <w:rFonts w:asciiTheme="majorHAnsi" w:hAnsiTheme="majorHAnsi"/>
          <w:sz w:val="16"/>
          <w:szCs w:val="16"/>
        </w:rPr>
        <w:t>http://www.wikiskripta.eu/index.php/Mendelovy_pokusy</w:t>
      </w:r>
    </w:p>
    <w:p w:rsidR="008618D5" w:rsidRPr="000B16D5" w:rsidRDefault="008618D5" w:rsidP="008618D5">
      <w:pPr>
        <w:spacing w:after="0"/>
        <w:jc w:val="both"/>
        <w:rPr>
          <w:rFonts w:asciiTheme="majorHAnsi" w:hAnsiTheme="majorHAnsi"/>
          <w:sz w:val="16"/>
        </w:rPr>
        <w:sectPr w:rsidR="008618D5" w:rsidRPr="000B16D5" w:rsidSect="008618D5">
          <w:type w:val="continuous"/>
          <w:pgSz w:w="11906" w:h="16838"/>
          <w:pgMar w:top="720" w:right="720" w:bottom="720" w:left="720" w:header="708" w:footer="708" w:gutter="0"/>
          <w:pgNumType w:start="0"/>
          <w:cols w:num="2" w:space="708"/>
          <w:titlePg/>
          <w:docGrid w:linePitch="360"/>
        </w:sectPr>
      </w:pPr>
    </w:p>
    <w:p w:rsidR="008618D5" w:rsidRPr="000B16D5" w:rsidRDefault="008618D5" w:rsidP="008618D5">
      <w:pPr>
        <w:spacing w:after="0"/>
        <w:jc w:val="both"/>
        <w:rPr>
          <w:rFonts w:asciiTheme="majorHAnsi" w:hAnsiTheme="majorHAnsi"/>
          <w:sz w:val="16"/>
        </w:rPr>
      </w:pPr>
    </w:p>
    <w:p w:rsidR="008618D5" w:rsidRPr="000B16D5" w:rsidRDefault="008618D5">
      <w:pPr>
        <w:rPr>
          <w:rFonts w:asciiTheme="majorHAnsi" w:hAnsiTheme="majorHAnsi"/>
          <w:b/>
          <w:smallCaps/>
          <w:sz w:val="24"/>
          <w:highlight w:val="cyan"/>
        </w:rPr>
      </w:pPr>
      <w:r w:rsidRPr="000B16D5">
        <w:rPr>
          <w:rFonts w:asciiTheme="majorHAnsi" w:hAnsiTheme="majorHAnsi"/>
          <w:highlight w:val="cyan"/>
        </w:rPr>
        <w:br w:type="page"/>
      </w:r>
    </w:p>
    <w:bookmarkStart w:id="30" w:name="_Toc380240603"/>
    <w:p w:rsidR="008618D5" w:rsidRPr="000B16D5" w:rsidRDefault="00100C72" w:rsidP="008618D5">
      <w:pPr>
        <w:pStyle w:val="Nadpiskapitoly"/>
        <w:rPr>
          <w:rFonts w:asciiTheme="majorHAnsi" w:hAnsiTheme="majorHAnsi"/>
        </w:rPr>
      </w:pPr>
      <w:r w:rsidRPr="000B16D5">
        <w:rPr>
          <w:rFonts w:asciiTheme="majorHAnsi" w:hAnsiTheme="majorHAnsi"/>
          <w:noProof/>
        </w:rPr>
        <w:lastRenderedPageBreak/>
        <mc:AlternateContent>
          <mc:Choice Requires="wps">
            <w:drawing>
              <wp:anchor distT="0" distB="0" distL="114300" distR="114300" simplePos="0" relativeHeight="251667456" behindDoc="0" locked="0" layoutInCell="1" allowOverlap="1" wp14:anchorId="70AD6B0A" wp14:editId="47F04489">
                <wp:simplePos x="0" y="0"/>
                <wp:positionH relativeFrom="column">
                  <wp:posOffset>5231130</wp:posOffset>
                </wp:positionH>
                <wp:positionV relativeFrom="paragraph">
                  <wp:posOffset>-46355</wp:posOffset>
                </wp:positionV>
                <wp:extent cx="1303655" cy="1416685"/>
                <wp:effectExtent l="1905" t="77470" r="75565" b="127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618D5">
                            <w:pPr>
                              <w:spacing w:after="0"/>
                              <w:jc w:val="center"/>
                              <w:rPr>
                                <w:rFonts w:ascii="Palatino Linotype" w:hAnsi="Palatino Linotype"/>
                                <w:b/>
                                <w:sz w:val="160"/>
                              </w:rPr>
                            </w:pPr>
                            <w:r>
                              <w:rPr>
                                <w:rFonts w:ascii="Palatino Linotype" w:hAnsi="Palatino Linotype"/>
                                <w:b/>
                                <w:sz w:val="16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D6B0A" id="Text Box 10" o:spid="_x0000_s1032" type="#_x0000_t202" style="position:absolute;left:0;text-align:left;margin-left:411.9pt;margin-top:-3.65pt;width:102.65pt;height:1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" stroked="f">
                <v:shadow on="t" opacity=".5" offset="6pt,-6pt"/>
                <v:textbox>
                  <w:txbxContent>
                    <w:p w:rsidR="00440FD1" w:rsidRPr="008202AD" w:rsidRDefault="00440FD1" w:rsidP="008618D5">
                      <w:pPr>
                        <w:spacing w:after="0"/>
                        <w:jc w:val="center"/>
                        <w:rPr>
                          <w:rFonts w:ascii="Palatino Linotype" w:hAnsi="Palatino Linotype"/>
                          <w:b/>
                          <w:sz w:val="160"/>
                        </w:rPr>
                      </w:pPr>
                      <w:r>
                        <w:rPr>
                          <w:rFonts w:ascii="Palatino Linotype" w:hAnsi="Palatino Linotype"/>
                          <w:b/>
                          <w:sz w:val="160"/>
                        </w:rPr>
                        <w:t>7</w:t>
                      </w:r>
                    </w:p>
                  </w:txbxContent>
                </v:textbox>
              </v:shape>
            </w:pict>
          </mc:Fallback>
        </mc:AlternateContent>
      </w:r>
      <w:r w:rsidR="00312118" w:rsidRPr="000B16D5">
        <w:rPr>
          <w:rFonts w:asciiTheme="majorHAnsi" w:hAnsiTheme="majorHAnsi"/>
        </w:rPr>
        <w:t>Nutrigenetika, nutrigenomika</w:t>
      </w:r>
      <w:bookmarkEnd w:id="30"/>
    </w:p>
    <w:p w:rsidR="008618D5" w:rsidRPr="000B16D5" w:rsidRDefault="008618D5" w:rsidP="008618D5">
      <w:pPr>
        <w:pStyle w:val="Palatino"/>
        <w:rPr>
          <w:rFonts w:asciiTheme="majorHAnsi" w:hAnsiTheme="majorHAnsi"/>
        </w:rPr>
      </w:pPr>
      <w:r w:rsidRPr="000B16D5">
        <w:rPr>
          <w:rFonts w:asciiTheme="majorHAnsi" w:hAnsiTheme="majorHAnsi"/>
        </w:rPr>
        <w:t>D</w:t>
      </w:r>
      <w:r w:rsidR="00312118" w:rsidRPr="000B16D5">
        <w:rPr>
          <w:rFonts w:asciiTheme="majorHAnsi" w:hAnsiTheme="majorHAnsi"/>
        </w:rPr>
        <w:t>efinice</w:t>
      </w:r>
      <w:r w:rsidRPr="000B16D5">
        <w:rPr>
          <w:rFonts w:asciiTheme="majorHAnsi" w:hAnsiTheme="majorHAnsi"/>
        </w:rPr>
        <w:t xml:space="preserve"> pojmu nutrigenetika</w:t>
      </w:r>
    </w:p>
    <w:p w:rsidR="008618D5" w:rsidRPr="000B16D5" w:rsidRDefault="008618D5" w:rsidP="008618D5">
      <w:pPr>
        <w:pStyle w:val="Palatino"/>
        <w:rPr>
          <w:rFonts w:asciiTheme="majorHAnsi" w:hAnsiTheme="majorHAnsi"/>
        </w:rPr>
      </w:pPr>
      <w:r w:rsidRPr="000B16D5">
        <w:rPr>
          <w:rFonts w:asciiTheme="majorHAnsi" w:hAnsiTheme="majorHAnsi"/>
        </w:rPr>
        <w:t>Definice pojmu nutrigenomika</w:t>
      </w:r>
    </w:p>
    <w:p w:rsidR="008618D5" w:rsidRPr="000B16D5" w:rsidRDefault="008618D5" w:rsidP="008618D5">
      <w:pPr>
        <w:pStyle w:val="Palatino"/>
        <w:rPr>
          <w:rFonts w:asciiTheme="majorHAnsi" w:hAnsiTheme="majorHAnsi"/>
        </w:rPr>
      </w:pPr>
      <w:r w:rsidRPr="000B16D5">
        <w:rPr>
          <w:rFonts w:asciiTheme="majorHAnsi" w:hAnsiTheme="majorHAnsi"/>
        </w:rPr>
        <w:t>Význam obou oborů</w:t>
      </w:r>
    </w:p>
    <w:p w:rsidR="008618D5" w:rsidRPr="000B16D5" w:rsidRDefault="008618D5" w:rsidP="008618D5">
      <w:pPr>
        <w:pStyle w:val="Palatino"/>
        <w:rPr>
          <w:rFonts w:asciiTheme="majorHAnsi" w:hAnsiTheme="majorHAnsi"/>
        </w:rPr>
      </w:pPr>
    </w:p>
    <w:p w:rsidR="00312118" w:rsidRPr="000B16D5" w:rsidRDefault="00312118" w:rsidP="008618D5">
      <w:pPr>
        <w:pStyle w:val="Palatino"/>
        <w:rPr>
          <w:rFonts w:asciiTheme="majorHAnsi" w:hAnsiTheme="majorHAnsi"/>
          <w:i/>
        </w:rPr>
      </w:pPr>
      <w:r w:rsidRPr="000B16D5">
        <w:rPr>
          <w:rFonts w:asciiTheme="majorHAnsi" w:hAnsiTheme="majorHAnsi"/>
          <w:i/>
        </w:rPr>
        <w:t>Julie</w:t>
      </w:r>
      <w:r w:rsidR="008618D5" w:rsidRPr="000B16D5">
        <w:rPr>
          <w:rFonts w:asciiTheme="majorHAnsi" w:hAnsiTheme="majorHAnsi"/>
          <w:i/>
        </w:rPr>
        <w:t xml:space="preserve"> Bienertová-Vašků</w:t>
      </w:r>
    </w:p>
    <w:p w:rsidR="008618D5" w:rsidRPr="000B16D5" w:rsidRDefault="008618D5" w:rsidP="008618D5">
      <w:pPr>
        <w:pStyle w:val="Palatino"/>
        <w:rPr>
          <w:rFonts w:asciiTheme="majorHAnsi" w:hAnsiTheme="majorHAnsi"/>
          <w:sz w:val="22"/>
          <w:szCs w:val="22"/>
          <w:highlight w:val="cy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6"/>
      </w:tblGrid>
      <w:tr w:rsidR="00761A69" w:rsidRPr="000B16D5" w:rsidTr="004F7664">
        <w:trPr>
          <w:tblCellSpacing w:w="15" w:type="dxa"/>
        </w:trPr>
        <w:tc>
          <w:tcPr>
            <w:tcW w:w="0" w:type="auto"/>
            <w:hideMark/>
          </w:tcPr>
          <w:p w:rsidR="00761A69" w:rsidRPr="000B16D5" w:rsidRDefault="00761A69" w:rsidP="008618D5">
            <w:pPr>
              <w:spacing w:after="0" w:line="240" w:lineRule="auto"/>
              <w:jc w:val="both"/>
              <w:rPr>
                <w:rFonts w:asciiTheme="majorHAnsi" w:eastAsia="Times New Roman" w:hAnsiTheme="majorHAnsi" w:cs="Times New Roman"/>
              </w:rPr>
            </w:pPr>
            <w:r w:rsidRPr="000B16D5">
              <w:rPr>
                <w:rFonts w:asciiTheme="majorHAnsi" w:eastAsia="Times New Roman" w:hAnsiTheme="majorHAnsi" w:cs="Times New Roman"/>
              </w:rPr>
              <w:t xml:space="preserve">Lidé odpovídají na různé složky výživy podobně jako na léčiva různým způsobem v závislosti na svých genetických vlohách. Interakce mezi geny a přijímanou stravou, ke kterým dochází neustále, mohou různým způsobem ovlivnit zdraví a výkonnost organismu a nazývají se zjednodušeně nutrigenetické interakce. To, jak silná je interakce mezi geny jedince a stravou, kterou tento jedinec přijímá, ukazuje, jak velký význam má zohledňování individuálního nastavení nutričních požadavků na úrovni celé populace. Přepokládáme, že pokud je konzumována strava v dostatečné kvantitě i kvalitě, která je pro daného jedince vhodná, předchází se poškození DNA a </w:t>
            </w:r>
            <w:r w:rsidR="00F114D9" w:rsidRPr="000B16D5">
              <w:rPr>
                <w:rFonts w:asciiTheme="majorHAnsi" w:eastAsia="Times New Roman" w:hAnsiTheme="majorHAnsi" w:cs="Times New Roman"/>
              </w:rPr>
              <w:t xml:space="preserve">tedy </w:t>
            </w:r>
            <w:r w:rsidRPr="000B16D5">
              <w:rPr>
                <w:rFonts w:asciiTheme="majorHAnsi" w:eastAsia="Times New Roman" w:hAnsiTheme="majorHAnsi" w:cs="Times New Roman"/>
              </w:rPr>
              <w:t>i vzniku konkrétních onemocnění.</w:t>
            </w:r>
          </w:p>
          <w:p w:rsidR="00761A69" w:rsidRPr="000B16D5" w:rsidRDefault="00761A69" w:rsidP="00F55D4E">
            <w:pPr>
              <w:spacing w:after="0" w:line="240" w:lineRule="auto"/>
              <w:jc w:val="both"/>
              <w:rPr>
                <w:rFonts w:asciiTheme="majorHAnsi" w:eastAsia="Times New Roman" w:hAnsiTheme="majorHAnsi" w:cs="Times New Roman"/>
              </w:rPr>
            </w:pPr>
            <w:r w:rsidRPr="000B16D5">
              <w:rPr>
                <w:rFonts w:asciiTheme="majorHAnsi" w:eastAsia="Times New Roman" w:hAnsiTheme="majorHAnsi" w:cs="Times New Roman"/>
              </w:rPr>
              <w:t xml:space="preserve">Existuje řada </w:t>
            </w:r>
            <w:r w:rsidR="00F55D4E" w:rsidRPr="000B16D5">
              <w:rPr>
                <w:rFonts w:asciiTheme="majorHAnsi" w:eastAsia="Times New Roman" w:hAnsiTheme="majorHAnsi" w:cs="Times New Roman"/>
              </w:rPr>
              <w:t xml:space="preserve">vitamínů </w:t>
            </w:r>
            <w:r w:rsidRPr="000B16D5">
              <w:rPr>
                <w:rFonts w:asciiTheme="majorHAnsi" w:eastAsia="Times New Roman" w:hAnsiTheme="majorHAnsi" w:cs="Times New Roman"/>
              </w:rPr>
              <w:t>a minerálů, které jsou nezbytné pro optimální fungování kontinuální syntézy DNA i reparačních procesů na úrovni buňky. Mutace, které se v genech objevují, mohou či nemusejí být opravitelné</w:t>
            </w:r>
            <w:r w:rsidR="00F114D9" w:rsidRPr="000B16D5">
              <w:rPr>
                <w:rFonts w:asciiTheme="majorHAnsi" w:eastAsia="Times New Roman" w:hAnsiTheme="majorHAnsi" w:cs="Times New Roman"/>
              </w:rPr>
              <w:t xml:space="preserve"> (</w:t>
            </w:r>
            <w:r w:rsidRPr="000B16D5">
              <w:rPr>
                <w:rFonts w:asciiTheme="majorHAnsi" w:eastAsia="Times New Roman" w:hAnsiTheme="majorHAnsi" w:cs="Times New Roman"/>
              </w:rPr>
              <w:t>reparovatelné</w:t>
            </w:r>
            <w:r w:rsidR="00F114D9" w:rsidRPr="000B16D5">
              <w:rPr>
                <w:rFonts w:asciiTheme="majorHAnsi" w:eastAsia="Times New Roman" w:hAnsiTheme="majorHAnsi" w:cs="Times New Roman"/>
              </w:rPr>
              <w:t>)</w:t>
            </w:r>
            <w:r w:rsidRPr="000B16D5">
              <w:rPr>
                <w:rFonts w:asciiTheme="majorHAnsi" w:eastAsia="Times New Roman" w:hAnsiTheme="majorHAnsi" w:cs="Times New Roman"/>
              </w:rPr>
              <w:t>, přičemž fungování těchto mutovaných genů potom může ovlivnit normální procesy v těle a může vést ke vzniku onemocnění, takže správné fungování syntézy DNA i reparace na úrovni nukleových kyselin je zásadně významné.</w:t>
            </w:r>
          </w:p>
        </w:tc>
      </w:tr>
    </w:tbl>
    <w:p w:rsidR="00761A69" w:rsidRPr="000B16D5" w:rsidRDefault="00761A69" w:rsidP="00946857">
      <w:pPr>
        <w:autoSpaceDE w:val="0"/>
        <w:autoSpaceDN w:val="0"/>
        <w:adjustRightInd w:val="0"/>
        <w:spacing w:after="0"/>
        <w:jc w:val="both"/>
        <w:rPr>
          <w:rFonts w:asciiTheme="majorHAnsi" w:hAnsiTheme="majorHAnsi" w:cs="Times New Roman"/>
        </w:rPr>
      </w:pPr>
      <w:r w:rsidRPr="000B16D5">
        <w:rPr>
          <w:rFonts w:asciiTheme="majorHAnsi" w:hAnsiTheme="majorHAnsi" w:cs="Times New Roman"/>
          <w:b/>
        </w:rPr>
        <w:t>Nutrigenetika i nutrigenomika</w:t>
      </w:r>
      <w:r w:rsidRPr="000B16D5">
        <w:rPr>
          <w:rFonts w:asciiTheme="majorHAnsi" w:hAnsiTheme="majorHAnsi" w:cs="Times New Roman"/>
        </w:rPr>
        <w:t xml:space="preserve"> jako vědní obory vycházejí z následujících pracovních </w:t>
      </w:r>
      <w:r w:rsidRPr="000B16D5">
        <w:rPr>
          <w:rFonts w:asciiTheme="majorHAnsi" w:hAnsiTheme="majorHAnsi" w:cs="Times New Roman"/>
          <w:b/>
        </w:rPr>
        <w:t>hypotéz</w:t>
      </w:r>
      <w:r w:rsidRPr="000B16D5">
        <w:rPr>
          <w:rFonts w:asciiTheme="majorHAnsi" w:hAnsiTheme="majorHAnsi" w:cs="Times New Roman"/>
        </w:rPr>
        <w:t>:</w:t>
      </w:r>
    </w:p>
    <w:p w:rsidR="00761A69" w:rsidRPr="000B16D5" w:rsidRDefault="00946857" w:rsidP="00946857">
      <w:pPr>
        <w:numPr>
          <w:ilvl w:val="0"/>
          <w:numId w:val="11"/>
        </w:numPr>
        <w:autoSpaceDE w:val="0"/>
        <w:autoSpaceDN w:val="0"/>
        <w:adjustRightInd w:val="0"/>
        <w:spacing w:after="0"/>
        <w:jc w:val="both"/>
        <w:rPr>
          <w:rFonts w:asciiTheme="majorHAnsi" w:hAnsiTheme="majorHAnsi" w:cs="Times New Roman"/>
        </w:rPr>
      </w:pPr>
      <w:r w:rsidRPr="000B16D5">
        <w:rPr>
          <w:rFonts w:asciiTheme="majorHAnsi" w:hAnsiTheme="majorHAnsi" w:cs="Times New Roman"/>
        </w:rPr>
        <w:t>E</w:t>
      </w:r>
      <w:r w:rsidR="00761A69" w:rsidRPr="000B16D5">
        <w:rPr>
          <w:rFonts w:asciiTheme="majorHAnsi" w:hAnsiTheme="majorHAnsi" w:cs="Times New Roman"/>
        </w:rPr>
        <w:t>xistuje značná diverzita ve zděděném genomu mezi jednotlivci i etnickými skupinami, která ovlivňuje biologickou dostupnost živiny a její metabolickou stopu.</w:t>
      </w:r>
    </w:p>
    <w:p w:rsidR="00761A69" w:rsidRPr="000B16D5" w:rsidRDefault="00946857" w:rsidP="00946857">
      <w:pPr>
        <w:numPr>
          <w:ilvl w:val="0"/>
          <w:numId w:val="11"/>
        </w:numPr>
        <w:autoSpaceDE w:val="0"/>
        <w:autoSpaceDN w:val="0"/>
        <w:adjustRightInd w:val="0"/>
        <w:spacing w:after="0"/>
        <w:jc w:val="both"/>
        <w:rPr>
          <w:rFonts w:asciiTheme="majorHAnsi" w:hAnsiTheme="majorHAnsi" w:cs="Times New Roman"/>
        </w:rPr>
      </w:pPr>
      <w:r w:rsidRPr="000B16D5">
        <w:rPr>
          <w:rFonts w:asciiTheme="majorHAnsi" w:hAnsiTheme="majorHAnsi" w:cs="Times New Roman"/>
        </w:rPr>
        <w:t>D</w:t>
      </w:r>
      <w:r w:rsidR="00761A69" w:rsidRPr="000B16D5">
        <w:rPr>
          <w:rFonts w:asciiTheme="majorHAnsi" w:hAnsiTheme="majorHAnsi" w:cs="Times New Roman"/>
        </w:rPr>
        <w:t>ostupnost stravy/nutrientů je u lidí rozdílná a volba závisí i na kulturních, ekonomických, geografických i senzorických rozdílech.</w:t>
      </w:r>
    </w:p>
    <w:p w:rsidR="00761A69" w:rsidRPr="000B16D5" w:rsidRDefault="00946857" w:rsidP="00946857">
      <w:pPr>
        <w:numPr>
          <w:ilvl w:val="0"/>
          <w:numId w:val="11"/>
        </w:numPr>
        <w:autoSpaceDE w:val="0"/>
        <w:autoSpaceDN w:val="0"/>
        <w:adjustRightInd w:val="0"/>
        <w:spacing w:after="0"/>
        <w:jc w:val="both"/>
        <w:rPr>
          <w:rFonts w:asciiTheme="majorHAnsi" w:hAnsiTheme="majorHAnsi" w:cs="Times New Roman"/>
        </w:rPr>
      </w:pPr>
      <w:r w:rsidRPr="000B16D5">
        <w:rPr>
          <w:rFonts w:asciiTheme="majorHAnsi" w:hAnsiTheme="majorHAnsi" w:cs="Times New Roman"/>
        </w:rPr>
        <w:t>M</w:t>
      </w:r>
      <w:r w:rsidR="00761A69" w:rsidRPr="000B16D5">
        <w:rPr>
          <w:rFonts w:asciiTheme="majorHAnsi" w:hAnsiTheme="majorHAnsi" w:cs="Times New Roman"/>
        </w:rPr>
        <w:t>alnutrice (ať už ve smyslu nedostatečné či jednostranné výživy) může sama o sobě vést k ovlivnění genové exprese a stability genomu.</w:t>
      </w:r>
    </w:p>
    <w:p w:rsidR="00761A69" w:rsidRPr="000B16D5" w:rsidRDefault="00761A69" w:rsidP="00946857">
      <w:pPr>
        <w:numPr>
          <w:ilvl w:val="0"/>
          <w:numId w:val="11"/>
        </w:numPr>
        <w:autoSpaceDE w:val="0"/>
        <w:autoSpaceDN w:val="0"/>
        <w:adjustRightInd w:val="0"/>
        <w:spacing w:after="0"/>
        <w:jc w:val="both"/>
        <w:rPr>
          <w:rFonts w:asciiTheme="majorHAnsi" w:hAnsiTheme="majorHAnsi" w:cs="Times New Roman"/>
        </w:rPr>
      </w:pPr>
      <w:r w:rsidRPr="000B16D5">
        <w:rPr>
          <w:rFonts w:asciiTheme="majorHAnsi" w:hAnsiTheme="majorHAnsi" w:cs="Times New Roman"/>
        </w:rPr>
        <w:t>Různé složky stravy mohou mít různý vliv na genovou expresi.</w:t>
      </w:r>
    </w:p>
    <w:p w:rsidR="00761A69" w:rsidRPr="000B16D5" w:rsidRDefault="00761A69" w:rsidP="00946857">
      <w:pPr>
        <w:autoSpaceDE w:val="0"/>
        <w:autoSpaceDN w:val="0"/>
        <w:adjustRightInd w:val="0"/>
        <w:spacing w:after="0"/>
        <w:jc w:val="both"/>
        <w:rPr>
          <w:rFonts w:asciiTheme="majorHAnsi" w:hAnsiTheme="majorHAnsi" w:cs="Times New Roman"/>
        </w:rPr>
      </w:pPr>
    </w:p>
    <w:p w:rsidR="00761A69" w:rsidRPr="000B16D5" w:rsidRDefault="00761A69" w:rsidP="00946857">
      <w:pPr>
        <w:autoSpaceDE w:val="0"/>
        <w:autoSpaceDN w:val="0"/>
        <w:adjustRightInd w:val="0"/>
        <w:spacing w:after="0"/>
        <w:jc w:val="both"/>
        <w:rPr>
          <w:rFonts w:asciiTheme="majorHAnsi" w:hAnsiTheme="majorHAnsi" w:cs="Times New Roman"/>
        </w:rPr>
      </w:pPr>
      <w:r w:rsidRPr="000B16D5">
        <w:rPr>
          <w:rFonts w:asciiTheme="majorHAnsi" w:hAnsiTheme="majorHAnsi" w:cs="Times New Roman"/>
        </w:rPr>
        <w:t xml:space="preserve">Na základě toho lze definovat </w:t>
      </w:r>
      <w:r w:rsidRPr="000B16D5">
        <w:rPr>
          <w:rFonts w:asciiTheme="majorHAnsi" w:hAnsiTheme="majorHAnsi" w:cs="Times New Roman"/>
          <w:b/>
        </w:rPr>
        <w:t>hlavní východiska nutrigenetiky/nutrigenomiky</w:t>
      </w:r>
      <w:r w:rsidRPr="000B16D5">
        <w:rPr>
          <w:rFonts w:asciiTheme="majorHAnsi" w:hAnsiTheme="majorHAnsi" w:cs="Times New Roman"/>
        </w:rPr>
        <w:t>:</w:t>
      </w:r>
    </w:p>
    <w:p w:rsidR="00761A69" w:rsidRPr="000B16D5" w:rsidRDefault="00761A69" w:rsidP="00946857">
      <w:pPr>
        <w:numPr>
          <w:ilvl w:val="0"/>
          <w:numId w:val="12"/>
        </w:numPr>
        <w:autoSpaceDE w:val="0"/>
        <w:autoSpaceDN w:val="0"/>
        <w:adjustRightInd w:val="0"/>
        <w:spacing w:after="0"/>
        <w:jc w:val="both"/>
        <w:rPr>
          <w:rFonts w:asciiTheme="majorHAnsi" w:hAnsiTheme="majorHAnsi" w:cs="Times New Roman"/>
        </w:rPr>
      </w:pPr>
      <w:r w:rsidRPr="000B16D5">
        <w:rPr>
          <w:rFonts w:asciiTheme="majorHAnsi" w:hAnsiTheme="majorHAnsi" w:cs="Times New Roman"/>
        </w:rPr>
        <w:t>Výživa může mít přímý dopad na zdraví přímým ovlivněním exprese genů v kritických metabolických drahách a/nebo nepřímo ovlivněním incidence genetických mutací v základní sekvenci DNA nebo na chromo</w:t>
      </w:r>
      <w:r w:rsidR="000E274D" w:rsidRPr="000B16D5">
        <w:rPr>
          <w:rFonts w:asciiTheme="majorHAnsi" w:hAnsiTheme="majorHAnsi" w:cs="Times New Roman"/>
        </w:rPr>
        <w:t>z</w:t>
      </w:r>
      <w:r w:rsidRPr="000B16D5">
        <w:rPr>
          <w:rFonts w:asciiTheme="majorHAnsi" w:hAnsiTheme="majorHAnsi" w:cs="Times New Roman"/>
        </w:rPr>
        <w:t>omální úrovni, což může dále ovlivňovat genovou expresi a tvorbu proteinu.</w:t>
      </w:r>
    </w:p>
    <w:p w:rsidR="00761A69" w:rsidRPr="000B16D5" w:rsidRDefault="00761A69" w:rsidP="00946857">
      <w:pPr>
        <w:numPr>
          <w:ilvl w:val="0"/>
          <w:numId w:val="12"/>
        </w:numPr>
        <w:autoSpaceDE w:val="0"/>
        <w:autoSpaceDN w:val="0"/>
        <w:adjustRightInd w:val="0"/>
        <w:spacing w:after="0"/>
        <w:jc w:val="both"/>
        <w:rPr>
          <w:rFonts w:asciiTheme="majorHAnsi" w:hAnsiTheme="majorHAnsi" w:cs="Times New Roman"/>
        </w:rPr>
      </w:pPr>
      <w:r w:rsidRPr="000B16D5">
        <w:rPr>
          <w:rFonts w:asciiTheme="majorHAnsi" w:hAnsiTheme="majorHAnsi" w:cs="Times New Roman"/>
        </w:rPr>
        <w:t>Účinky nutrientů a jejich kombinací na zdraví závisejí na genetických variantách, které ovlivňují příjem a metabolismus nutrientů a/nebo molekulární interakce enzymů s jejich nutričními kofaktory a tím ovlivňují aktivitu různých biochemických reakcí.</w:t>
      </w:r>
    </w:p>
    <w:p w:rsidR="00761A69" w:rsidRPr="000B16D5" w:rsidRDefault="00761A69" w:rsidP="00946857">
      <w:pPr>
        <w:numPr>
          <w:ilvl w:val="0"/>
          <w:numId w:val="12"/>
        </w:numPr>
        <w:autoSpaceDE w:val="0"/>
        <w:autoSpaceDN w:val="0"/>
        <w:adjustRightInd w:val="0"/>
        <w:spacing w:after="0"/>
        <w:jc w:val="both"/>
        <w:rPr>
          <w:rFonts w:asciiTheme="majorHAnsi" w:hAnsiTheme="majorHAnsi" w:cs="Times New Roman"/>
        </w:rPr>
      </w:pPr>
      <w:r w:rsidRPr="000B16D5">
        <w:rPr>
          <w:rFonts w:asciiTheme="majorHAnsi" w:hAnsiTheme="majorHAnsi" w:cs="Times New Roman"/>
        </w:rPr>
        <w:t>Pokud by nutriční požadavky jedinců byly zohledněny v kontextu zděděných i získaných genetických charakteristik jedince, jeho přirozených stravovacích preferencí i zdravotního stavu, bylo by možné dosáhnout zlepšení zdravotního stavu celé populace.</w:t>
      </w:r>
    </w:p>
    <w:p w:rsidR="00761A69" w:rsidRPr="000B16D5" w:rsidRDefault="00761A69" w:rsidP="00946857">
      <w:pPr>
        <w:spacing w:after="0"/>
        <w:jc w:val="both"/>
        <w:rPr>
          <w:rFonts w:asciiTheme="majorHAnsi" w:eastAsia="Times New Roman" w:hAnsiTheme="majorHAnsi" w:cs="Times New Roman"/>
        </w:rPr>
      </w:pPr>
    </w:p>
    <w:p w:rsidR="00761A69" w:rsidRPr="000B16D5" w:rsidRDefault="00761A69" w:rsidP="00946857">
      <w:pPr>
        <w:spacing w:after="0"/>
        <w:jc w:val="both"/>
        <w:rPr>
          <w:rFonts w:asciiTheme="majorHAnsi" w:eastAsia="Times New Roman" w:hAnsiTheme="majorHAnsi" w:cs="Times New Roman"/>
        </w:rPr>
      </w:pPr>
      <w:r w:rsidRPr="000B16D5">
        <w:rPr>
          <w:rFonts w:asciiTheme="majorHAnsi" w:eastAsia="Times New Roman" w:hAnsiTheme="majorHAnsi" w:cs="Times New Roman"/>
        </w:rPr>
        <w:t xml:space="preserve">Ačkoli nutrigenetika i nutrigenomika spolu nutně souvisejí, význam i účel těchto oborů je zásadně rozdílný, pokud se zaměříme na vztah mezi stravou a geny. </w:t>
      </w:r>
    </w:p>
    <w:p w:rsidR="00946857" w:rsidRPr="000B16D5" w:rsidRDefault="00946857" w:rsidP="00946857">
      <w:pPr>
        <w:spacing w:after="0"/>
        <w:jc w:val="both"/>
        <w:rPr>
          <w:rFonts w:asciiTheme="majorHAnsi" w:eastAsia="Times New Roman" w:hAnsiTheme="majorHAnsi" w:cs="Times New Roman"/>
          <w:b/>
        </w:rPr>
      </w:pPr>
    </w:p>
    <w:p w:rsidR="00761A69" w:rsidRPr="000B16D5" w:rsidRDefault="00761A69" w:rsidP="00946857">
      <w:pPr>
        <w:spacing w:after="0"/>
        <w:jc w:val="both"/>
        <w:rPr>
          <w:rFonts w:asciiTheme="majorHAnsi" w:eastAsia="Times New Roman" w:hAnsiTheme="majorHAnsi" w:cs="Times New Roman"/>
        </w:rPr>
      </w:pPr>
      <w:r w:rsidRPr="000B16D5">
        <w:rPr>
          <w:rFonts w:asciiTheme="majorHAnsi" w:eastAsia="Times New Roman" w:hAnsiTheme="majorHAnsi" w:cs="Times New Roman"/>
          <w:b/>
        </w:rPr>
        <w:t>Nutrigenetika</w:t>
      </w:r>
      <w:r w:rsidRPr="000B16D5">
        <w:rPr>
          <w:rFonts w:asciiTheme="majorHAnsi" w:eastAsia="Times New Roman" w:hAnsiTheme="majorHAnsi" w:cs="Times New Roman"/>
        </w:rPr>
        <w:t xml:space="preserve"> – staví svůj výzkum na účincích zděděných vloh, konkrétně daných genových variant na způsob, jakým jedinec odpovídá na konkrétní živinu nebo typ stravy a na způsob ovlivnění metabolismu, zdravotního stavu a rizika onemocnění. </w:t>
      </w:r>
    </w:p>
    <w:p w:rsidR="00761A69" w:rsidRPr="000B16D5" w:rsidRDefault="00761A69" w:rsidP="00946857">
      <w:pPr>
        <w:spacing w:after="0"/>
        <w:jc w:val="both"/>
        <w:rPr>
          <w:rFonts w:asciiTheme="majorHAnsi" w:eastAsia="Times New Roman" w:hAnsiTheme="majorHAnsi" w:cs="Times New Roman"/>
        </w:rPr>
      </w:pPr>
      <w:r w:rsidRPr="000B16D5">
        <w:rPr>
          <w:rFonts w:asciiTheme="majorHAnsi" w:eastAsia="Times New Roman" w:hAnsiTheme="majorHAnsi" w:cs="Times New Roman"/>
          <w:b/>
        </w:rPr>
        <w:t>Nutrigenomika</w:t>
      </w:r>
      <w:r w:rsidRPr="000B16D5">
        <w:rPr>
          <w:rFonts w:asciiTheme="majorHAnsi" w:eastAsia="Times New Roman" w:hAnsiTheme="majorHAnsi" w:cs="Times New Roman"/>
        </w:rPr>
        <w:t xml:space="preserve"> – výzkum se zaměřuje na to, jakým způsobem živiny nebo složky stravy obecně mění genovou expresi, koncentrace proteinů a metabolitů a na to, jakým způsobem tyto složky ovlivňují metabolismus, zdravotní stav a riziko onemocnění. </w:t>
      </w:r>
    </w:p>
    <w:p w:rsidR="00761A69" w:rsidRPr="000B16D5" w:rsidRDefault="00761A69" w:rsidP="00946857">
      <w:pPr>
        <w:spacing w:after="0"/>
        <w:jc w:val="both"/>
        <w:rPr>
          <w:rFonts w:asciiTheme="majorHAnsi" w:eastAsia="Times New Roman" w:hAnsiTheme="majorHAnsi" w:cs="Times New Roman"/>
        </w:rPr>
      </w:pPr>
      <w:r w:rsidRPr="000B16D5">
        <w:rPr>
          <w:rFonts w:asciiTheme="majorHAnsi" w:eastAsia="Times New Roman" w:hAnsiTheme="majorHAnsi" w:cs="Times New Roman"/>
        </w:rPr>
        <w:t>Oba termíny se někdy sdružují pod názvem „nutriční genomika“.</w:t>
      </w:r>
    </w:p>
    <w:p w:rsidR="00946857" w:rsidRDefault="00946857" w:rsidP="00946857">
      <w:pPr>
        <w:spacing w:after="0"/>
        <w:jc w:val="both"/>
        <w:rPr>
          <w:rFonts w:asciiTheme="majorHAnsi" w:eastAsia="Times New Roman" w:hAnsiTheme="majorHAnsi" w:cs="Times New Roman"/>
          <w:b/>
          <w:u w:val="single"/>
        </w:rPr>
      </w:pPr>
    </w:p>
    <w:p w:rsidR="00B53C27" w:rsidRPr="000B16D5" w:rsidRDefault="00B53C27" w:rsidP="00946857">
      <w:pPr>
        <w:spacing w:after="0"/>
        <w:jc w:val="both"/>
        <w:rPr>
          <w:rFonts w:asciiTheme="majorHAnsi" w:eastAsia="Times New Roman" w:hAnsiTheme="majorHAnsi" w:cs="Times New Roman"/>
          <w:b/>
          <w:u w:val="single"/>
        </w:rPr>
      </w:pPr>
    </w:p>
    <w:p w:rsidR="00761A69" w:rsidRPr="000B16D5" w:rsidRDefault="00761A69" w:rsidP="00946857">
      <w:pPr>
        <w:pStyle w:val="Nadpispodkapitoly"/>
        <w:rPr>
          <w:rFonts w:asciiTheme="majorHAnsi" w:hAnsiTheme="majorHAnsi"/>
        </w:rPr>
      </w:pPr>
      <w:bookmarkStart w:id="31" w:name="_Toc380240604"/>
      <w:r w:rsidRPr="000B16D5">
        <w:rPr>
          <w:rFonts w:asciiTheme="majorHAnsi" w:hAnsiTheme="majorHAnsi"/>
        </w:rPr>
        <w:lastRenderedPageBreak/>
        <w:t>Nutrigenetika</w:t>
      </w:r>
      <w:bookmarkEnd w:id="31"/>
    </w:p>
    <w:p w:rsidR="00761A69" w:rsidRPr="000B16D5" w:rsidRDefault="00761A69" w:rsidP="00946857">
      <w:pPr>
        <w:spacing w:after="0"/>
        <w:jc w:val="both"/>
        <w:rPr>
          <w:rFonts w:asciiTheme="majorHAnsi" w:eastAsia="Times New Roman" w:hAnsiTheme="majorHAnsi" w:cs="Times New Roman"/>
        </w:rPr>
      </w:pPr>
      <w:r w:rsidRPr="000B16D5">
        <w:rPr>
          <w:rFonts w:asciiTheme="majorHAnsi" w:eastAsia="Times New Roman" w:hAnsiTheme="majorHAnsi" w:cs="Times New Roman"/>
        </w:rPr>
        <w:t>Příklady nutrigenetického výzkumu zahrnují:</w:t>
      </w:r>
    </w:p>
    <w:p w:rsidR="00761A69" w:rsidRPr="000B16D5" w:rsidRDefault="00761A69" w:rsidP="00946857">
      <w:pPr>
        <w:pStyle w:val="Odstavecseseznamem"/>
        <w:numPr>
          <w:ilvl w:val="0"/>
          <w:numId w:val="13"/>
        </w:numPr>
        <w:spacing w:after="0"/>
        <w:jc w:val="both"/>
        <w:rPr>
          <w:rFonts w:asciiTheme="majorHAnsi" w:eastAsia="Times New Roman" w:hAnsiTheme="majorHAnsi" w:cs="Times New Roman"/>
        </w:rPr>
      </w:pPr>
      <w:r w:rsidRPr="000B16D5">
        <w:rPr>
          <w:rFonts w:asciiTheme="majorHAnsi" w:eastAsia="Times New Roman" w:hAnsiTheme="majorHAnsi" w:cs="Times New Roman"/>
        </w:rPr>
        <w:t>Studie genu pro apolipoprotein E4, který se účastní metabolismu cholesterolu. Lidé jsou nositeli různých forem genu pro ApoE4, které u nich ovlivňují hladinu cholesterolu a triacylglyceridů v krvi, což může zvyšovat náchylnost ke kardiovaskulárním chorobám. Při podávání nutričních doplňků s rybím olejem, které mají obvykle protizánětlivé a kardioprotektivní účinky, může dojít u jedinců, kteří nesou jednu z variant apolipoproteinu E4, k výraznému nárůstu hladiny LDL cholesterolu, což může mít přesně opačný účinek, než jakého chceme docílit podávání</w:t>
      </w:r>
      <w:r w:rsidR="009651A2" w:rsidRPr="000B16D5">
        <w:rPr>
          <w:rFonts w:asciiTheme="majorHAnsi" w:eastAsia="Times New Roman" w:hAnsiTheme="majorHAnsi" w:cs="Times New Roman"/>
        </w:rPr>
        <w:t>m</w:t>
      </w:r>
      <w:r w:rsidRPr="000B16D5">
        <w:rPr>
          <w:rFonts w:asciiTheme="majorHAnsi" w:eastAsia="Times New Roman" w:hAnsiTheme="majorHAnsi" w:cs="Times New Roman"/>
        </w:rPr>
        <w:t xml:space="preserve"> daného nutričního doplňku. Tito jedinci ovšem mohou také lépe odpovídat na dietu snižující hladinu cholesterolu</w:t>
      </w:r>
      <w:r w:rsidR="00DC2C56" w:rsidRPr="000B16D5">
        <w:rPr>
          <w:rFonts w:asciiTheme="majorHAnsi" w:eastAsia="Times New Roman" w:hAnsiTheme="majorHAnsi" w:cs="Times New Roman"/>
        </w:rPr>
        <w:t>.</w:t>
      </w:r>
      <w:r w:rsidRPr="000B16D5">
        <w:rPr>
          <w:rFonts w:asciiTheme="majorHAnsi" w:eastAsia="Times New Roman" w:hAnsiTheme="majorHAnsi" w:cs="Times New Roman"/>
        </w:rPr>
        <w:t xml:space="preserve"> (1,2)</w:t>
      </w:r>
    </w:p>
    <w:p w:rsidR="00761A69" w:rsidRPr="000B16D5" w:rsidRDefault="00761A69" w:rsidP="00946857">
      <w:pPr>
        <w:pStyle w:val="Odstavecseseznamem"/>
        <w:numPr>
          <w:ilvl w:val="0"/>
          <w:numId w:val="13"/>
        </w:numPr>
        <w:spacing w:after="0"/>
        <w:jc w:val="both"/>
        <w:rPr>
          <w:rFonts w:asciiTheme="majorHAnsi" w:eastAsia="Times New Roman" w:hAnsiTheme="majorHAnsi" w:cs="Times New Roman"/>
        </w:rPr>
      </w:pPr>
      <w:r w:rsidRPr="000B16D5">
        <w:rPr>
          <w:rFonts w:asciiTheme="majorHAnsi" w:eastAsia="Times New Roman" w:hAnsiTheme="majorHAnsi" w:cs="Times New Roman"/>
        </w:rPr>
        <w:t>Studie genu pro metylentetrahydrofolát reduktázu (MTHFR), genu, účastnícího se metabolismu kyseliny listové. Lidé se dvěma konkrétními kopiemi genu pro MTHFR, zvanými MTHFR 677T</w:t>
      </w:r>
      <w:r w:rsidR="009651A2" w:rsidRPr="000B16D5">
        <w:rPr>
          <w:rFonts w:asciiTheme="majorHAnsi" w:eastAsia="Times New Roman" w:hAnsiTheme="majorHAnsi" w:cs="Times New Roman"/>
        </w:rPr>
        <w:t>,</w:t>
      </w:r>
      <w:r w:rsidRPr="000B16D5">
        <w:rPr>
          <w:rFonts w:asciiTheme="majorHAnsi" w:eastAsia="Times New Roman" w:hAnsiTheme="majorHAnsi" w:cs="Times New Roman"/>
        </w:rPr>
        <w:t xml:space="preserve"> mají zvýšenou náchylnost k rozštěpovým vadám nervové trubice během těhotenství a předpokládá se u nich i zvýšená náchylnost k některým kardiovaskulárním onemocněním (3,4). Bylo prokázáno, že dostatečný příjem folátů ve stravě tato rizika snižuje. Existuje zde ovšem několik závažných problémů. Zaprvé, pokud by se jednalo o genetickou variantu, která by byla extrémně nevýhodná, vznikl by proti ní pravděpodobně silný selekční tlak, který není v případě 677 C/T polymorfismu v genu pro MTHFR pozorován, spíše naopak. Navíc může existovat určitá selekční výhoda spojená s existencí heterozygotního stavu, která zatím není v tomto případě známa. Polymorfní varianta TT je navíc přítomna až u cca 15</w:t>
      </w:r>
      <w:r w:rsidR="009651A2" w:rsidRPr="000B16D5">
        <w:rPr>
          <w:rFonts w:asciiTheme="majorHAnsi" w:eastAsia="Times New Roman" w:hAnsiTheme="majorHAnsi" w:cs="Times New Roman"/>
        </w:rPr>
        <w:t>–</w:t>
      </w:r>
      <w:r w:rsidRPr="000B16D5">
        <w:rPr>
          <w:rFonts w:asciiTheme="majorHAnsi" w:eastAsia="Times New Roman" w:hAnsiTheme="majorHAnsi" w:cs="Times New Roman"/>
        </w:rPr>
        <w:t>20</w:t>
      </w:r>
      <w:r w:rsidR="009651A2" w:rsidRPr="000B16D5">
        <w:rPr>
          <w:rFonts w:asciiTheme="majorHAnsi" w:eastAsia="Times New Roman" w:hAnsiTheme="majorHAnsi" w:cs="Times New Roman"/>
        </w:rPr>
        <w:t xml:space="preserve"> </w:t>
      </w:r>
      <w:r w:rsidRPr="000B16D5">
        <w:rPr>
          <w:rFonts w:asciiTheme="majorHAnsi" w:eastAsia="Times New Roman" w:hAnsiTheme="majorHAnsi" w:cs="Times New Roman"/>
        </w:rPr>
        <w:t>% evropské populace, což vede k otázce, proč se tato varianta v evropské populaci hojně udržuje. Za druhé: dle databáze Ensembl (www.ensembl.org) (5) je odhadovaný počet lidských genů 22218 a zkoumání 15</w:t>
      </w:r>
      <w:r w:rsidR="009651A2" w:rsidRPr="000B16D5">
        <w:rPr>
          <w:rFonts w:asciiTheme="majorHAnsi" w:eastAsia="Times New Roman" w:hAnsiTheme="majorHAnsi" w:cs="Times New Roman"/>
        </w:rPr>
        <w:t>–</w:t>
      </w:r>
      <w:r w:rsidRPr="000B16D5">
        <w:rPr>
          <w:rFonts w:asciiTheme="majorHAnsi" w:eastAsia="Times New Roman" w:hAnsiTheme="majorHAnsi" w:cs="Times New Roman"/>
        </w:rPr>
        <w:t>20 z nich, jak je nabízeno komerčními společnost</w:t>
      </w:r>
      <w:r w:rsidR="009651A2" w:rsidRPr="000B16D5">
        <w:rPr>
          <w:rFonts w:asciiTheme="majorHAnsi" w:eastAsia="Times New Roman" w:hAnsiTheme="majorHAnsi" w:cs="Times New Roman"/>
        </w:rPr>
        <w:t>m</w:t>
      </w:r>
      <w:r w:rsidRPr="000B16D5">
        <w:rPr>
          <w:rFonts w:asciiTheme="majorHAnsi" w:eastAsia="Times New Roman" w:hAnsiTheme="majorHAnsi" w:cs="Times New Roman"/>
        </w:rPr>
        <w:t>i, představuje do určité míry hledání jehly v kupce sena. Mezi jednotlivými geny jsou pravděpodobně další složité interakce, které jednoduché testování v rámci nutrigenetického vyšetření nemá šanci postihnout. Je tak pravděpodobné, že i když u části jedinců s „nevýhodnou“ variantou MTHFR genu bude suplementace folátem opravdu vést k prodloužení délky života a zlepšení jeho kvality, u jiné subpopulace TT homozygotů bude mít suplementace nepříznivé důsledky pro celkové zdraví, které nejsme v daném okamžiku schopni předpovědět.</w:t>
      </w:r>
    </w:p>
    <w:p w:rsidR="00761A69" w:rsidRPr="000B16D5" w:rsidRDefault="00761A69" w:rsidP="00946857">
      <w:pPr>
        <w:spacing w:after="0" w:line="240" w:lineRule="auto"/>
        <w:jc w:val="both"/>
        <w:rPr>
          <w:rFonts w:asciiTheme="majorHAnsi" w:eastAsia="Times New Roman" w:hAnsiTheme="majorHAnsi" w:cs="Times New Roman"/>
        </w:rPr>
      </w:pPr>
    </w:p>
    <w:p w:rsidR="00761A69" w:rsidRPr="000B16D5" w:rsidRDefault="00761A69" w:rsidP="00946857">
      <w:pPr>
        <w:pStyle w:val="Nadpispodkapitoly"/>
        <w:rPr>
          <w:rFonts w:asciiTheme="majorHAnsi" w:hAnsiTheme="majorHAnsi"/>
        </w:rPr>
      </w:pPr>
      <w:bookmarkStart w:id="32" w:name="_Toc380240605"/>
      <w:r w:rsidRPr="000B16D5">
        <w:rPr>
          <w:rFonts w:asciiTheme="majorHAnsi" w:hAnsiTheme="majorHAnsi"/>
        </w:rPr>
        <w:t>Nutrigenomika</w:t>
      </w:r>
      <w:bookmarkEnd w:id="32"/>
    </w:p>
    <w:p w:rsidR="00761A69" w:rsidRPr="000B16D5" w:rsidRDefault="00761A69" w:rsidP="00946857">
      <w:pPr>
        <w:spacing w:after="0"/>
        <w:jc w:val="both"/>
        <w:rPr>
          <w:rFonts w:asciiTheme="majorHAnsi" w:eastAsia="Times New Roman" w:hAnsiTheme="majorHAnsi" w:cs="Times New Roman"/>
        </w:rPr>
      </w:pPr>
      <w:r w:rsidRPr="000B16D5">
        <w:rPr>
          <w:rFonts w:asciiTheme="majorHAnsi" w:eastAsia="Times New Roman" w:hAnsiTheme="majorHAnsi" w:cs="Times New Roman"/>
        </w:rPr>
        <w:t>Zatímco nutrigenetické studie se zabývají odlišnou odpovědí na stravu mezi lidmi s různými genetickými vlohami, nutrigenomika zkoumá úroveň změn hladiny genetického materiálu, proteinů i metabolitů v rámci odpovědi na různé nutrienty. Mohou se používat současné technologie ke zkoumání rozsáhlých oblastí DNA, konkrétně rozsáhlých genových sekvencí, genové exprese, exprese proteinů i koncentrace metabolitů v celogenomovém měřítku, což znamená zkoumání kompletní lidské genetické sekvence s cílem identifikovat významné interakce. Alternativně se nutrigenomický výzkum může zaměřit na stanovení interakce jednoho či více genů s živinami a na význam konkrétního genu v patofyziologii sledovaného onemocnění. Genová exprese představuje proces, při kterém je sekvence DNA v genech přepisována do RNA</w:t>
      </w:r>
      <w:r w:rsidR="00FE27A7" w:rsidRPr="000B16D5">
        <w:rPr>
          <w:rFonts w:asciiTheme="majorHAnsi" w:eastAsia="Times New Roman" w:hAnsiTheme="majorHAnsi" w:cs="Times New Roman"/>
        </w:rPr>
        <w:t>.</w:t>
      </w:r>
      <w:r w:rsidRPr="000B16D5">
        <w:rPr>
          <w:rFonts w:asciiTheme="majorHAnsi" w:eastAsia="Times New Roman" w:hAnsiTheme="majorHAnsi" w:cs="Times New Roman"/>
        </w:rPr>
        <w:t xml:space="preserve"> </w:t>
      </w:r>
      <w:r w:rsidR="00FE27A7" w:rsidRPr="000B16D5">
        <w:rPr>
          <w:rFonts w:asciiTheme="majorHAnsi" w:eastAsia="Times New Roman" w:hAnsiTheme="majorHAnsi" w:cs="Times New Roman"/>
        </w:rPr>
        <w:t xml:space="preserve">Genová exprese </w:t>
      </w:r>
      <w:r w:rsidRPr="000B16D5">
        <w:rPr>
          <w:rFonts w:asciiTheme="majorHAnsi" w:eastAsia="Times New Roman" w:hAnsiTheme="majorHAnsi" w:cs="Times New Roman"/>
        </w:rPr>
        <w:t xml:space="preserve">slouží jako jakýsi „posel“, </w:t>
      </w:r>
      <w:r w:rsidR="00FE27A7" w:rsidRPr="000B16D5">
        <w:rPr>
          <w:rFonts w:asciiTheme="majorHAnsi" w:eastAsia="Times New Roman" w:hAnsiTheme="majorHAnsi" w:cs="Times New Roman"/>
        </w:rPr>
        <w:t xml:space="preserve">jenž </w:t>
      </w:r>
      <w:r w:rsidRPr="000B16D5">
        <w:rPr>
          <w:rFonts w:asciiTheme="majorHAnsi" w:eastAsia="Times New Roman" w:hAnsiTheme="majorHAnsi" w:cs="Times New Roman"/>
        </w:rPr>
        <w:t>je vyslán mimo jádro buňky</w:t>
      </w:r>
      <w:r w:rsidR="00FE27A7" w:rsidRPr="000B16D5">
        <w:rPr>
          <w:rFonts w:asciiTheme="majorHAnsi" w:eastAsia="Times New Roman" w:hAnsiTheme="majorHAnsi" w:cs="Times New Roman"/>
        </w:rPr>
        <w:t>,</w:t>
      </w:r>
      <w:r w:rsidRPr="000B16D5">
        <w:rPr>
          <w:rFonts w:asciiTheme="majorHAnsi" w:eastAsia="Times New Roman" w:hAnsiTheme="majorHAnsi" w:cs="Times New Roman"/>
        </w:rPr>
        <w:t xml:space="preserve"> </w:t>
      </w:r>
      <w:r w:rsidR="00FE27A7" w:rsidRPr="000B16D5">
        <w:rPr>
          <w:rFonts w:asciiTheme="majorHAnsi" w:eastAsia="Times New Roman" w:hAnsiTheme="majorHAnsi" w:cs="Times New Roman"/>
        </w:rPr>
        <w:t xml:space="preserve">přičemž </w:t>
      </w:r>
      <w:r w:rsidRPr="000B16D5">
        <w:rPr>
          <w:rFonts w:asciiTheme="majorHAnsi" w:eastAsia="Times New Roman" w:hAnsiTheme="majorHAnsi" w:cs="Times New Roman"/>
        </w:rPr>
        <w:t xml:space="preserve">je využita jako matrice pro přepis do struktury proteinu. Regulace genové exprese je absolutně nezbytná pro to, aby mohly různé typy buněk provádět svoje specializované funkce. Specifické nutrienty jsou schopné modulovat genovou expresi přímo nebo nepřímo interakcí s tzv. „transkripčními faktory“. Je známo, že různé typy stravovacích režimů mohou mít specifický přínos pro zdraví jedince, takže může být užitečné znát geny, které jsou exprimovány v rámci odpovědi na konkrétní živiny. </w:t>
      </w:r>
    </w:p>
    <w:p w:rsidR="00761A69" w:rsidRPr="000B16D5" w:rsidRDefault="00761A69" w:rsidP="00946857">
      <w:pPr>
        <w:spacing w:after="0"/>
        <w:jc w:val="both"/>
        <w:rPr>
          <w:rFonts w:asciiTheme="majorHAnsi" w:eastAsia="Times New Roman" w:hAnsiTheme="majorHAnsi" w:cs="Times New Roman"/>
        </w:rPr>
      </w:pPr>
      <w:r w:rsidRPr="000B16D5">
        <w:rPr>
          <w:rFonts w:asciiTheme="majorHAnsi" w:eastAsia="Times New Roman" w:hAnsiTheme="majorHAnsi" w:cs="Times New Roman"/>
        </w:rPr>
        <w:t>Vzorce působení nutrientů na úrovni buňky lze definovat a označují se jako takzvané „dietní podpisy“ či „dietní otisky“ (dietary signatures). Tyto dietní podpisy mohou být buněčně/tkáňově specifické, mohou být specifické pro konkrétní organismy a mohou být typické pro konkrétní kombinace nutrientů, což dává nutrigenomice do rukou mocný nástroj zkoumání těchto závislostí (6)</w:t>
      </w:r>
      <w:r w:rsidR="004E3897" w:rsidRPr="000B16D5">
        <w:rPr>
          <w:rFonts w:asciiTheme="majorHAnsi" w:eastAsia="Times New Roman" w:hAnsiTheme="majorHAnsi" w:cs="Times New Roman"/>
        </w:rPr>
        <w:t>.</w:t>
      </w:r>
    </w:p>
    <w:p w:rsidR="00761A69" w:rsidRDefault="00761A69" w:rsidP="00946857">
      <w:pPr>
        <w:spacing w:after="0"/>
        <w:jc w:val="both"/>
        <w:rPr>
          <w:rFonts w:asciiTheme="majorHAnsi" w:eastAsia="Times New Roman" w:hAnsiTheme="majorHAnsi" w:cs="Times New Roman"/>
        </w:rPr>
      </w:pPr>
    </w:p>
    <w:p w:rsidR="00B53C27" w:rsidRDefault="00B53C27" w:rsidP="00946857">
      <w:pPr>
        <w:spacing w:after="0"/>
        <w:jc w:val="both"/>
        <w:rPr>
          <w:rFonts w:asciiTheme="majorHAnsi" w:eastAsia="Times New Roman" w:hAnsiTheme="majorHAnsi" w:cs="Times New Roman"/>
        </w:rPr>
      </w:pPr>
    </w:p>
    <w:p w:rsidR="00B53C27" w:rsidRPr="000B16D5" w:rsidRDefault="00B53C27" w:rsidP="00946857">
      <w:pPr>
        <w:spacing w:after="0"/>
        <w:jc w:val="both"/>
        <w:rPr>
          <w:rFonts w:asciiTheme="majorHAnsi" w:eastAsia="Times New Roman" w:hAnsiTheme="majorHAnsi" w:cs="Times New Roman"/>
        </w:rPr>
      </w:pPr>
    </w:p>
    <w:p w:rsidR="00761A69" w:rsidRDefault="00761A69" w:rsidP="00946857">
      <w:pPr>
        <w:spacing w:after="0"/>
        <w:jc w:val="both"/>
        <w:rPr>
          <w:rFonts w:asciiTheme="majorHAnsi" w:eastAsia="Times New Roman" w:hAnsiTheme="majorHAnsi" w:cs="Times New Roman"/>
          <w:u w:val="single"/>
        </w:rPr>
      </w:pPr>
      <w:r w:rsidRPr="000B16D5">
        <w:rPr>
          <w:rFonts w:asciiTheme="majorHAnsi" w:eastAsia="Times New Roman" w:hAnsiTheme="majorHAnsi" w:cs="Times New Roman"/>
          <w:u w:val="single"/>
        </w:rPr>
        <w:lastRenderedPageBreak/>
        <w:t>Příklady nut</w:t>
      </w:r>
      <w:r w:rsidR="00946857" w:rsidRPr="000B16D5">
        <w:rPr>
          <w:rFonts w:asciiTheme="majorHAnsi" w:eastAsia="Times New Roman" w:hAnsiTheme="majorHAnsi" w:cs="Times New Roman"/>
          <w:u w:val="single"/>
        </w:rPr>
        <w:t>rigenomického výzkumu zahrnují:</w:t>
      </w:r>
    </w:p>
    <w:p w:rsidR="00B53C27" w:rsidRPr="000B16D5" w:rsidRDefault="00B53C27" w:rsidP="00946857">
      <w:pPr>
        <w:spacing w:after="0"/>
        <w:jc w:val="both"/>
        <w:rPr>
          <w:rFonts w:asciiTheme="majorHAnsi" w:eastAsia="Times New Roman" w:hAnsiTheme="majorHAnsi" w:cs="Times New Roman"/>
          <w:u w:val="single"/>
        </w:rPr>
      </w:pPr>
    </w:p>
    <w:p w:rsidR="00761A69" w:rsidRPr="000B16D5" w:rsidRDefault="00761A69" w:rsidP="00946857">
      <w:pPr>
        <w:pStyle w:val="Odstavecseseznamem"/>
        <w:numPr>
          <w:ilvl w:val="0"/>
          <w:numId w:val="14"/>
        </w:numPr>
        <w:spacing w:after="0"/>
        <w:jc w:val="both"/>
        <w:rPr>
          <w:rFonts w:asciiTheme="majorHAnsi" w:eastAsia="Times New Roman" w:hAnsiTheme="majorHAnsi" w:cs="Times New Roman"/>
        </w:rPr>
      </w:pPr>
      <w:r w:rsidRPr="000B16D5">
        <w:rPr>
          <w:rFonts w:asciiTheme="majorHAnsi" w:eastAsia="Times New Roman" w:hAnsiTheme="majorHAnsi" w:cs="Times New Roman"/>
        </w:rPr>
        <w:t>Zkoumání změn genové exprese po podávání olivového oleje. Jedna exploratorní studie zkoumala, které součásti středozemské diety mají ochranný účinek proti kardiovaskulárním onemocněním (Khymenets et al. 2009). Byl sledován charakter genové exprese po požití diety s panenským olivovým olejem či bez ní. Ve studii byla identifikována řada genů, které byly v bílých krvinkách aktivovány, včetně:</w:t>
      </w:r>
    </w:p>
    <w:p w:rsidR="00761A69" w:rsidRPr="000B16D5" w:rsidRDefault="009547FC" w:rsidP="00946857">
      <w:pPr>
        <w:pStyle w:val="Odstavecseseznamem"/>
        <w:numPr>
          <w:ilvl w:val="0"/>
          <w:numId w:val="15"/>
        </w:numPr>
        <w:spacing w:after="0"/>
        <w:jc w:val="both"/>
        <w:rPr>
          <w:rFonts w:asciiTheme="majorHAnsi" w:eastAsia="Times New Roman" w:hAnsiTheme="majorHAnsi" w:cs="Times New Roman"/>
        </w:rPr>
      </w:pPr>
      <w:r w:rsidRPr="000B16D5">
        <w:rPr>
          <w:rFonts w:asciiTheme="majorHAnsi" w:eastAsia="Times New Roman" w:hAnsiTheme="majorHAnsi" w:cs="Times New Roman"/>
        </w:rPr>
        <w:t xml:space="preserve">genů </w:t>
      </w:r>
      <w:r w:rsidR="00761A69" w:rsidRPr="000B16D5">
        <w:rPr>
          <w:rFonts w:asciiTheme="majorHAnsi" w:eastAsia="Times New Roman" w:hAnsiTheme="majorHAnsi" w:cs="Times New Roman"/>
        </w:rPr>
        <w:t>účastnících se reparace DNA</w:t>
      </w:r>
      <w:r w:rsidRPr="000B16D5">
        <w:rPr>
          <w:rFonts w:asciiTheme="majorHAnsi" w:eastAsia="Times New Roman" w:hAnsiTheme="majorHAnsi" w:cs="Times New Roman"/>
        </w:rPr>
        <w:t>,</w:t>
      </w:r>
    </w:p>
    <w:p w:rsidR="00761A69" w:rsidRPr="000B16D5" w:rsidRDefault="009547FC" w:rsidP="00946857">
      <w:pPr>
        <w:pStyle w:val="Odstavecseseznamem"/>
        <w:numPr>
          <w:ilvl w:val="0"/>
          <w:numId w:val="15"/>
        </w:numPr>
        <w:spacing w:after="0"/>
        <w:jc w:val="both"/>
        <w:rPr>
          <w:rFonts w:asciiTheme="majorHAnsi" w:eastAsia="Times New Roman" w:hAnsiTheme="majorHAnsi" w:cs="Times New Roman"/>
        </w:rPr>
      </w:pPr>
      <w:r w:rsidRPr="000B16D5">
        <w:rPr>
          <w:rFonts w:asciiTheme="majorHAnsi" w:eastAsia="Times New Roman" w:hAnsiTheme="majorHAnsi" w:cs="Times New Roman"/>
        </w:rPr>
        <w:t xml:space="preserve">genů </w:t>
      </w:r>
      <w:r w:rsidR="00761A69" w:rsidRPr="000B16D5">
        <w:rPr>
          <w:rFonts w:asciiTheme="majorHAnsi" w:eastAsia="Times New Roman" w:hAnsiTheme="majorHAnsi" w:cs="Times New Roman"/>
        </w:rPr>
        <w:t>chránících buňku proti oxidativnímu stresu</w:t>
      </w:r>
      <w:r w:rsidRPr="000B16D5">
        <w:rPr>
          <w:rFonts w:asciiTheme="majorHAnsi" w:eastAsia="Times New Roman" w:hAnsiTheme="majorHAnsi" w:cs="Times New Roman"/>
        </w:rPr>
        <w:t>,</w:t>
      </w:r>
    </w:p>
    <w:p w:rsidR="00761A69" w:rsidRPr="000B16D5" w:rsidRDefault="009547FC" w:rsidP="00946857">
      <w:pPr>
        <w:pStyle w:val="Odstavecseseznamem"/>
        <w:numPr>
          <w:ilvl w:val="0"/>
          <w:numId w:val="15"/>
        </w:numPr>
        <w:spacing w:after="0"/>
        <w:jc w:val="both"/>
        <w:rPr>
          <w:rFonts w:asciiTheme="majorHAnsi" w:eastAsia="Times New Roman" w:hAnsiTheme="majorHAnsi" w:cs="Times New Roman"/>
        </w:rPr>
      </w:pPr>
      <w:r w:rsidRPr="000B16D5">
        <w:rPr>
          <w:rFonts w:asciiTheme="majorHAnsi" w:eastAsia="Times New Roman" w:hAnsiTheme="majorHAnsi" w:cs="Times New Roman"/>
        </w:rPr>
        <w:t>genů</w:t>
      </w:r>
      <w:r w:rsidR="00761A69" w:rsidRPr="000B16D5">
        <w:rPr>
          <w:rFonts w:asciiTheme="majorHAnsi" w:eastAsia="Times New Roman" w:hAnsiTheme="majorHAnsi" w:cs="Times New Roman"/>
        </w:rPr>
        <w:t xml:space="preserve">, které zprostředkovávají zánět a buněčnou smrt, což jsou procesy, které se účastní i vzniku atherosklerózy. </w:t>
      </w:r>
    </w:p>
    <w:p w:rsidR="00761A69" w:rsidRPr="000B16D5" w:rsidRDefault="00761A69" w:rsidP="00946857">
      <w:pPr>
        <w:pStyle w:val="Odstavecseseznamem"/>
        <w:numPr>
          <w:ilvl w:val="0"/>
          <w:numId w:val="14"/>
        </w:numPr>
        <w:spacing w:after="0"/>
        <w:jc w:val="both"/>
        <w:rPr>
          <w:rFonts w:asciiTheme="majorHAnsi" w:eastAsia="Times New Roman" w:hAnsiTheme="majorHAnsi" w:cs="Times New Roman"/>
        </w:rPr>
      </w:pPr>
      <w:r w:rsidRPr="000B16D5">
        <w:rPr>
          <w:rFonts w:asciiTheme="majorHAnsi" w:eastAsia="Times New Roman" w:hAnsiTheme="majorHAnsi" w:cs="Times New Roman"/>
        </w:rPr>
        <w:t xml:space="preserve">Regulace genové exprese </w:t>
      </w:r>
      <w:r w:rsidR="00F55D4E" w:rsidRPr="000B16D5">
        <w:rPr>
          <w:rFonts w:asciiTheme="majorHAnsi" w:eastAsia="Times New Roman" w:hAnsiTheme="majorHAnsi" w:cs="Times New Roman"/>
        </w:rPr>
        <w:t xml:space="preserve">vitamínem </w:t>
      </w:r>
      <w:r w:rsidRPr="000B16D5">
        <w:rPr>
          <w:rFonts w:asciiTheme="majorHAnsi" w:eastAsia="Times New Roman" w:hAnsiTheme="majorHAnsi" w:cs="Times New Roman"/>
        </w:rPr>
        <w:t xml:space="preserve">D a souvislost s roztroušenou sklerózou (RS). Nedávno provedená studie zjistila, že </w:t>
      </w:r>
      <w:r w:rsidR="00F55D4E" w:rsidRPr="000B16D5">
        <w:rPr>
          <w:rFonts w:asciiTheme="majorHAnsi" w:eastAsia="Times New Roman" w:hAnsiTheme="majorHAnsi" w:cs="Times New Roman"/>
        </w:rPr>
        <w:t xml:space="preserve">vitamín </w:t>
      </w:r>
      <w:r w:rsidRPr="000B16D5">
        <w:rPr>
          <w:rFonts w:asciiTheme="majorHAnsi" w:eastAsia="Times New Roman" w:hAnsiTheme="majorHAnsi" w:cs="Times New Roman"/>
        </w:rPr>
        <w:t xml:space="preserve">D pomáhá kontrolovat geny související s roztroušenou sklerózou (7). U populace ze severní Evropy je vyšší riziko vzniku RS, protože tato populace je obecně velmi málo exponována slunečnímu záření, což souvisí s nižší produkcí </w:t>
      </w:r>
      <w:r w:rsidR="00F55D4E" w:rsidRPr="000B16D5">
        <w:rPr>
          <w:rFonts w:asciiTheme="majorHAnsi" w:eastAsia="Times New Roman" w:hAnsiTheme="majorHAnsi" w:cs="Times New Roman"/>
        </w:rPr>
        <w:t xml:space="preserve">vitamínu </w:t>
      </w:r>
      <w:r w:rsidRPr="000B16D5">
        <w:rPr>
          <w:rFonts w:asciiTheme="majorHAnsi" w:eastAsia="Times New Roman" w:hAnsiTheme="majorHAnsi" w:cs="Times New Roman"/>
        </w:rPr>
        <w:t xml:space="preserve">D v těle. Populace severní Evropy je často nositelem genové varianty zvané DRB1*1501. Studie zjistila, že </w:t>
      </w:r>
      <w:r w:rsidR="00F55D4E" w:rsidRPr="000B16D5">
        <w:rPr>
          <w:rFonts w:asciiTheme="majorHAnsi" w:eastAsia="Times New Roman" w:hAnsiTheme="majorHAnsi" w:cs="Times New Roman"/>
        </w:rPr>
        <w:t xml:space="preserve">vitamín </w:t>
      </w:r>
      <w:r w:rsidRPr="000B16D5">
        <w:rPr>
          <w:rFonts w:asciiTheme="majorHAnsi" w:eastAsia="Times New Roman" w:hAnsiTheme="majorHAnsi" w:cs="Times New Roman"/>
        </w:rPr>
        <w:t>D specificky ovlivňuje expresi této variant</w:t>
      </w:r>
      <w:r w:rsidR="009547FC" w:rsidRPr="000B16D5">
        <w:rPr>
          <w:rFonts w:asciiTheme="majorHAnsi" w:eastAsia="Times New Roman" w:hAnsiTheme="majorHAnsi" w:cs="Times New Roman"/>
        </w:rPr>
        <w:t>y</w:t>
      </w:r>
      <w:r w:rsidRPr="000B16D5">
        <w:rPr>
          <w:rFonts w:asciiTheme="majorHAnsi" w:eastAsia="Times New Roman" w:hAnsiTheme="majorHAnsi" w:cs="Times New Roman"/>
        </w:rPr>
        <w:t xml:space="preserve"> více než jiných variant. Bylo zjištěno, že nedostatek </w:t>
      </w:r>
      <w:r w:rsidR="00F55D4E" w:rsidRPr="000B16D5">
        <w:rPr>
          <w:rFonts w:asciiTheme="majorHAnsi" w:eastAsia="Times New Roman" w:hAnsiTheme="majorHAnsi" w:cs="Times New Roman"/>
        </w:rPr>
        <w:t xml:space="preserve">vitamínu </w:t>
      </w:r>
      <w:r w:rsidRPr="000B16D5">
        <w:rPr>
          <w:rFonts w:asciiTheme="majorHAnsi" w:eastAsia="Times New Roman" w:hAnsiTheme="majorHAnsi" w:cs="Times New Roman"/>
        </w:rPr>
        <w:t xml:space="preserve">D v časné fázi života může u jedinců, kteří jsou nositeli DRB1*1501 varianty, narušit imunitní systém, které poté může atakovat nervový systém a způsobit RS. Bylo proto doporučeno, aby během těhotenství a v časném období po porodu byl zajištěn dostatek </w:t>
      </w:r>
      <w:r w:rsidR="00F55D4E" w:rsidRPr="000B16D5">
        <w:rPr>
          <w:rFonts w:asciiTheme="majorHAnsi" w:eastAsia="Times New Roman" w:hAnsiTheme="majorHAnsi" w:cs="Times New Roman"/>
        </w:rPr>
        <w:t xml:space="preserve">vitamínu </w:t>
      </w:r>
      <w:r w:rsidRPr="000B16D5">
        <w:rPr>
          <w:rFonts w:asciiTheme="majorHAnsi" w:eastAsia="Times New Roman" w:hAnsiTheme="majorHAnsi" w:cs="Times New Roman"/>
        </w:rPr>
        <w:t xml:space="preserve">D ve stravě nebo formou nutričních doplňků. </w:t>
      </w:r>
    </w:p>
    <w:p w:rsidR="00761A69" w:rsidRPr="000B16D5" w:rsidRDefault="00761A69" w:rsidP="00946857">
      <w:pPr>
        <w:spacing w:after="0"/>
        <w:jc w:val="both"/>
        <w:rPr>
          <w:rFonts w:asciiTheme="majorHAnsi" w:eastAsia="Times New Roman" w:hAnsiTheme="majorHAnsi" w:cs="Times New Roman"/>
        </w:rPr>
      </w:pPr>
    </w:p>
    <w:p w:rsidR="00761A69" w:rsidRPr="000B16D5" w:rsidRDefault="00761A69" w:rsidP="00946857">
      <w:pPr>
        <w:pStyle w:val="Nadpispodkapitoly"/>
        <w:rPr>
          <w:rFonts w:asciiTheme="majorHAnsi" w:hAnsiTheme="majorHAnsi"/>
        </w:rPr>
      </w:pPr>
      <w:bookmarkStart w:id="33" w:name="_Toc380240606"/>
      <w:r w:rsidRPr="000B16D5">
        <w:rPr>
          <w:rFonts w:asciiTheme="majorHAnsi" w:hAnsiTheme="majorHAnsi"/>
        </w:rPr>
        <w:t>Vliv genetických informací na praxi nutričního terapeuta</w:t>
      </w:r>
      <w:bookmarkEnd w:id="33"/>
    </w:p>
    <w:p w:rsidR="00761A69" w:rsidRPr="000B16D5" w:rsidRDefault="00761A69" w:rsidP="00946857">
      <w:pPr>
        <w:spacing w:after="0"/>
        <w:jc w:val="both"/>
        <w:rPr>
          <w:rFonts w:asciiTheme="majorHAnsi" w:eastAsia="Times New Roman" w:hAnsiTheme="majorHAnsi" w:cs="Times New Roman"/>
        </w:rPr>
      </w:pPr>
      <w:r w:rsidRPr="000B16D5">
        <w:rPr>
          <w:rFonts w:asciiTheme="majorHAnsi" w:hAnsiTheme="majorHAnsi" w:cs="Times New Roman"/>
        </w:rPr>
        <w:t>Obecně platí, že čím jasněji je definovaná patogeneze konkrétního onemocnění ve vztahu k výživě, tím lépe je toto onemocnění výživou obvykle ovlivnitelné. Naopak, čím komplexnější a komplikovanější je vztah exprese onemocnění a výživy, tím složitější jsou i možné nutrigenetické či nutrigenomické interakce a možnost diagnostického i terapeutické použití konkrétních lokusů či konkrétní nutriční intervence se tím výrazně komplikuje</w:t>
      </w:r>
      <w:r w:rsidR="009547FC" w:rsidRPr="000B16D5">
        <w:rPr>
          <w:rFonts w:asciiTheme="majorHAnsi" w:hAnsiTheme="majorHAnsi" w:cs="Times New Roman"/>
        </w:rPr>
        <w:t>.</w:t>
      </w:r>
    </w:p>
    <w:p w:rsidR="00761A69" w:rsidRPr="000B16D5" w:rsidRDefault="00761A69" w:rsidP="00946857">
      <w:pPr>
        <w:spacing w:after="0"/>
        <w:jc w:val="both"/>
        <w:rPr>
          <w:rFonts w:asciiTheme="majorHAnsi" w:hAnsiTheme="majorHAnsi" w:cs="Times New Roman"/>
        </w:rPr>
      </w:pPr>
      <w:r w:rsidRPr="000B16D5">
        <w:rPr>
          <w:rFonts w:asciiTheme="majorHAnsi" w:hAnsiTheme="majorHAnsi" w:cs="Times New Roman"/>
        </w:rPr>
        <w:t>Personalizované nutriční poradenství nepochybně představuje jeden z postupů medicíny budoucnosti. Úroveň znalostí současné vědy, zejména co se týče interpretace významu jednotlivých jednonukleotidových polymorfismů pro vznik civilizačních chorob</w:t>
      </w:r>
      <w:r w:rsidR="00235B19" w:rsidRPr="000B16D5">
        <w:rPr>
          <w:rFonts w:asciiTheme="majorHAnsi" w:hAnsiTheme="majorHAnsi" w:cs="Times New Roman"/>
        </w:rPr>
        <w:t xml:space="preserve"> (</w:t>
      </w:r>
      <w:r w:rsidRPr="000B16D5">
        <w:rPr>
          <w:rFonts w:asciiTheme="majorHAnsi" w:hAnsiTheme="majorHAnsi" w:cs="Times New Roman"/>
        </w:rPr>
        <w:t>což je jeden ze základních kamenů současné nutrigenetiky, resp. nutrigenomiky</w:t>
      </w:r>
      <w:r w:rsidR="00235B19" w:rsidRPr="000B16D5">
        <w:rPr>
          <w:rFonts w:asciiTheme="majorHAnsi" w:hAnsiTheme="majorHAnsi" w:cs="Times New Roman"/>
        </w:rPr>
        <w:t>)</w:t>
      </w:r>
      <w:r w:rsidRPr="000B16D5">
        <w:rPr>
          <w:rFonts w:asciiTheme="majorHAnsi" w:hAnsiTheme="majorHAnsi" w:cs="Times New Roman"/>
        </w:rPr>
        <w:t xml:space="preserve">, neodpovídá ovšem v současnosti takové úrovni, která by umožnila </w:t>
      </w:r>
      <w:r w:rsidR="009547FC" w:rsidRPr="000B16D5">
        <w:rPr>
          <w:rFonts w:asciiTheme="majorHAnsi" w:hAnsiTheme="majorHAnsi" w:cs="Times New Roman"/>
        </w:rPr>
        <w:t xml:space="preserve">činit </w:t>
      </w:r>
      <w:r w:rsidRPr="000B16D5">
        <w:rPr>
          <w:rFonts w:asciiTheme="majorHAnsi" w:hAnsiTheme="majorHAnsi" w:cs="Times New Roman"/>
        </w:rPr>
        <w:t xml:space="preserve">kvalitní závěry, tak jak je tomu v jiných odvětvích (např. ve farmakogenomice/farmakogenetice apod). Dr. Muin Khoury, </w:t>
      </w:r>
      <w:r w:rsidR="004A7EA2" w:rsidRPr="000B16D5">
        <w:rPr>
          <w:rFonts w:asciiTheme="majorHAnsi" w:hAnsiTheme="majorHAnsi" w:cs="Times New Roman"/>
        </w:rPr>
        <w:t>zástupce U. S.</w:t>
      </w:r>
      <w:r w:rsidRPr="000B16D5">
        <w:rPr>
          <w:rFonts w:asciiTheme="majorHAnsi" w:hAnsiTheme="majorHAnsi" w:cs="Times New Roman"/>
        </w:rPr>
        <w:t xml:space="preserve"> Office for Genomics and Disease Prevention, Centers for Disease </w:t>
      </w:r>
      <w:r w:rsidR="00277758" w:rsidRPr="000B16D5">
        <w:rPr>
          <w:rFonts w:asciiTheme="majorHAnsi" w:hAnsiTheme="majorHAnsi" w:cs="Times New Roman"/>
        </w:rPr>
        <w:t>Control</w:t>
      </w:r>
      <w:r w:rsidRPr="000B16D5">
        <w:rPr>
          <w:rFonts w:asciiTheme="majorHAnsi" w:hAnsiTheme="majorHAnsi" w:cs="Times New Roman"/>
        </w:rPr>
        <w:t xml:space="preserve">, potvrzuje v prestižním časopise </w:t>
      </w:r>
      <w:r w:rsidRPr="000B16D5">
        <w:rPr>
          <w:rFonts w:asciiTheme="majorHAnsi" w:hAnsiTheme="majorHAnsi" w:cs="Times New Roman"/>
          <w:i/>
        </w:rPr>
        <w:t>Nature Genetics</w:t>
      </w:r>
      <w:r w:rsidRPr="000B16D5">
        <w:rPr>
          <w:rFonts w:asciiTheme="majorHAnsi" w:hAnsiTheme="majorHAnsi" w:cs="Times New Roman"/>
        </w:rPr>
        <w:t xml:space="preserve"> již v roce 2003 (8), že ačkoli použití genetiky pro podporu zdravého životního stylu představuje velmi slibnou modalitu, nenastala ještě doba, kdy by toto poradenství mohlo být rutinně používáno. Do budoucna ovšem nutrigenetika i nutrigenomika bezesporu nabídnou nesmírně slibné diagnostické i léčebné modality, navíc s obrovským ekonomickým potenciálem.</w:t>
      </w:r>
    </w:p>
    <w:p w:rsidR="00761A69" w:rsidRPr="000B16D5" w:rsidRDefault="00761A69" w:rsidP="00761A69">
      <w:pPr>
        <w:jc w:val="both"/>
        <w:rPr>
          <w:rFonts w:asciiTheme="majorHAnsi" w:hAnsiTheme="majorHAnsi" w:cs="Times New Roman"/>
        </w:rPr>
      </w:pPr>
    </w:p>
    <w:p w:rsidR="00946857" w:rsidRDefault="0094685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Default="00B53C27" w:rsidP="00946857">
      <w:pPr>
        <w:spacing w:after="0"/>
        <w:jc w:val="both"/>
        <w:rPr>
          <w:rFonts w:asciiTheme="majorHAnsi" w:hAnsiTheme="majorHAnsi"/>
        </w:rPr>
      </w:pPr>
    </w:p>
    <w:p w:rsidR="00B53C27" w:rsidRPr="000B16D5" w:rsidRDefault="00B53C27" w:rsidP="00946857">
      <w:pPr>
        <w:spacing w:after="0"/>
        <w:jc w:val="both"/>
        <w:rPr>
          <w:rFonts w:asciiTheme="majorHAnsi" w:hAnsiTheme="majorHAnsi"/>
        </w:rPr>
      </w:pPr>
    </w:p>
    <w:p w:rsidR="00946857" w:rsidRPr="000B16D5" w:rsidRDefault="00946857" w:rsidP="00946857">
      <w:pPr>
        <w:jc w:val="both"/>
        <w:rPr>
          <w:rFonts w:asciiTheme="majorHAnsi" w:hAnsiTheme="majorHAnsi"/>
        </w:rPr>
      </w:pPr>
      <w:r w:rsidRPr="000B16D5">
        <w:rPr>
          <w:rFonts w:asciiTheme="majorHAnsi" w:hAnsiTheme="majorHAnsi"/>
        </w:rPr>
        <w:lastRenderedPageBreak/>
        <w:t>____________________________________________</w:t>
      </w:r>
    </w:p>
    <w:p w:rsidR="00946857" w:rsidRPr="000B16D5" w:rsidRDefault="00946857" w:rsidP="00946857">
      <w:pPr>
        <w:spacing w:after="0"/>
        <w:jc w:val="both"/>
        <w:rPr>
          <w:rFonts w:asciiTheme="majorHAnsi" w:hAnsiTheme="majorHAnsi"/>
          <w:b/>
          <w:sz w:val="20"/>
        </w:rPr>
      </w:pPr>
      <w:r w:rsidRPr="000B16D5">
        <w:rPr>
          <w:rFonts w:asciiTheme="majorHAnsi" w:hAnsiTheme="majorHAnsi"/>
          <w:b/>
          <w:sz w:val="20"/>
        </w:rPr>
        <w:t>Zdroje:</w:t>
      </w:r>
    </w:p>
    <w:p w:rsidR="00946857" w:rsidRPr="000B16D5" w:rsidRDefault="00946857" w:rsidP="00946857">
      <w:pPr>
        <w:spacing w:after="0"/>
        <w:jc w:val="both"/>
        <w:rPr>
          <w:rFonts w:asciiTheme="majorHAnsi" w:hAnsiTheme="majorHAnsi"/>
          <w:sz w:val="14"/>
        </w:rPr>
        <w:sectPr w:rsidR="00946857" w:rsidRPr="000B16D5" w:rsidSect="00A2684E">
          <w:footerReference w:type="default" r:id="rId26"/>
          <w:type w:val="continuous"/>
          <w:pgSz w:w="11906" w:h="16838"/>
          <w:pgMar w:top="720" w:right="720" w:bottom="720" w:left="720" w:header="708" w:footer="708" w:gutter="0"/>
          <w:pgNumType w:start="28"/>
          <w:cols w:space="708"/>
          <w:titlePg/>
          <w:docGrid w:linePitch="360"/>
        </w:sectPr>
      </w:pPr>
    </w:p>
    <w:p w:rsidR="00761A69" w:rsidRPr="000B16D5" w:rsidRDefault="00761A69" w:rsidP="00761A69">
      <w:pPr>
        <w:pStyle w:val="Odstavecseseznamem"/>
        <w:numPr>
          <w:ilvl w:val="0"/>
          <w:numId w:val="16"/>
        </w:numPr>
        <w:spacing w:after="160" w:line="259" w:lineRule="auto"/>
        <w:jc w:val="both"/>
        <w:rPr>
          <w:rFonts w:asciiTheme="majorHAnsi" w:hAnsiTheme="majorHAnsi" w:cs="Times New Roman"/>
          <w:sz w:val="16"/>
        </w:rPr>
      </w:pPr>
      <w:r w:rsidRPr="000B16D5">
        <w:rPr>
          <w:rFonts w:asciiTheme="majorHAnsi" w:hAnsiTheme="majorHAnsi" w:cs="Times New Roman"/>
          <w:sz w:val="16"/>
        </w:rPr>
        <w:lastRenderedPageBreak/>
        <w:t xml:space="preserve">Minihane AM, Khan S, Leigh-Firbank EC, Talmud P, Wright JW, Murphy MC, Griffin BA, Williams CM. </w:t>
      </w:r>
      <w:hyperlink r:id="rId27" w:history="1">
        <w:r w:rsidRPr="000B16D5">
          <w:rPr>
            <w:rFonts w:asciiTheme="majorHAnsi" w:hAnsiTheme="majorHAnsi" w:cs="Times New Roman"/>
            <w:b/>
            <w:sz w:val="16"/>
          </w:rPr>
          <w:t>ApoE polymorphism and fish oil supplementation in subjects with an atherogenic lipoprotein phenotype</w:t>
        </w:r>
        <w:r w:rsidRPr="000B16D5">
          <w:rPr>
            <w:rFonts w:asciiTheme="majorHAnsi" w:hAnsiTheme="majorHAnsi" w:cs="Times New Roman"/>
            <w:sz w:val="16"/>
          </w:rPr>
          <w:t>.</w:t>
        </w:r>
      </w:hyperlink>
      <w:r w:rsidRPr="000B16D5">
        <w:rPr>
          <w:rFonts w:asciiTheme="majorHAnsi" w:hAnsiTheme="majorHAnsi" w:cs="Times New Roman"/>
          <w:sz w:val="16"/>
        </w:rPr>
        <w:t xml:space="preserve"> Arterioscler Thromb Vasc Biol. 2000 Aug;20(8):1990-7.</w:t>
      </w:r>
    </w:p>
    <w:p w:rsidR="00761A69" w:rsidRPr="000B16D5" w:rsidRDefault="008468D9" w:rsidP="00761A69">
      <w:pPr>
        <w:pStyle w:val="Odstavecseseznamem"/>
        <w:numPr>
          <w:ilvl w:val="0"/>
          <w:numId w:val="16"/>
        </w:numPr>
        <w:spacing w:after="160" w:line="259" w:lineRule="auto"/>
        <w:jc w:val="both"/>
        <w:rPr>
          <w:rFonts w:asciiTheme="majorHAnsi" w:hAnsiTheme="majorHAnsi" w:cs="Times New Roman"/>
          <w:sz w:val="16"/>
        </w:rPr>
      </w:pPr>
      <w:hyperlink r:id="rId28" w:history="1">
        <w:r w:rsidR="00761A69" w:rsidRPr="000B16D5">
          <w:rPr>
            <w:rFonts w:asciiTheme="majorHAnsi" w:hAnsiTheme="majorHAnsi" w:cs="Times New Roman"/>
            <w:sz w:val="16"/>
          </w:rPr>
          <w:t>Caslake MJ</w:t>
        </w:r>
      </w:hyperlink>
      <w:r w:rsidR="00761A69" w:rsidRPr="000B16D5">
        <w:rPr>
          <w:rFonts w:asciiTheme="majorHAnsi" w:hAnsiTheme="majorHAnsi" w:cs="Times New Roman"/>
          <w:sz w:val="16"/>
        </w:rPr>
        <w:t xml:space="preserve">, </w:t>
      </w:r>
      <w:hyperlink r:id="rId29" w:history="1">
        <w:r w:rsidR="00761A69" w:rsidRPr="000B16D5">
          <w:rPr>
            <w:rFonts w:asciiTheme="majorHAnsi" w:hAnsiTheme="majorHAnsi" w:cs="Times New Roman"/>
            <w:sz w:val="16"/>
          </w:rPr>
          <w:t>Miles EA</w:t>
        </w:r>
      </w:hyperlink>
      <w:r w:rsidR="00761A69" w:rsidRPr="000B16D5">
        <w:rPr>
          <w:rFonts w:asciiTheme="majorHAnsi" w:hAnsiTheme="majorHAnsi" w:cs="Times New Roman"/>
          <w:sz w:val="16"/>
        </w:rPr>
        <w:t xml:space="preserve">, </w:t>
      </w:r>
      <w:hyperlink r:id="rId30" w:history="1">
        <w:r w:rsidR="00761A69" w:rsidRPr="000B16D5">
          <w:rPr>
            <w:rFonts w:asciiTheme="majorHAnsi" w:hAnsiTheme="majorHAnsi" w:cs="Times New Roman"/>
            <w:sz w:val="16"/>
          </w:rPr>
          <w:t>Kofler BM</w:t>
        </w:r>
      </w:hyperlink>
      <w:r w:rsidR="00761A69" w:rsidRPr="000B16D5">
        <w:rPr>
          <w:rFonts w:asciiTheme="majorHAnsi" w:hAnsiTheme="majorHAnsi" w:cs="Times New Roman"/>
          <w:sz w:val="16"/>
        </w:rPr>
        <w:t xml:space="preserve">, </w:t>
      </w:r>
      <w:hyperlink r:id="rId31" w:history="1">
        <w:r w:rsidR="00761A69" w:rsidRPr="000B16D5">
          <w:rPr>
            <w:rFonts w:asciiTheme="majorHAnsi" w:hAnsiTheme="majorHAnsi" w:cs="Times New Roman"/>
            <w:sz w:val="16"/>
          </w:rPr>
          <w:t>Lietz G</w:t>
        </w:r>
      </w:hyperlink>
      <w:r w:rsidR="00761A69" w:rsidRPr="000B16D5">
        <w:rPr>
          <w:rFonts w:asciiTheme="majorHAnsi" w:hAnsiTheme="majorHAnsi" w:cs="Times New Roman"/>
          <w:sz w:val="16"/>
        </w:rPr>
        <w:t xml:space="preserve">, </w:t>
      </w:r>
      <w:hyperlink r:id="rId32" w:history="1">
        <w:r w:rsidR="00761A69" w:rsidRPr="000B16D5">
          <w:rPr>
            <w:rFonts w:asciiTheme="majorHAnsi" w:hAnsiTheme="majorHAnsi" w:cs="Times New Roman"/>
            <w:sz w:val="16"/>
          </w:rPr>
          <w:t>Curtis P</w:t>
        </w:r>
      </w:hyperlink>
      <w:r w:rsidR="00761A69" w:rsidRPr="000B16D5">
        <w:rPr>
          <w:rFonts w:asciiTheme="majorHAnsi" w:hAnsiTheme="majorHAnsi" w:cs="Times New Roman"/>
          <w:sz w:val="16"/>
        </w:rPr>
        <w:t xml:space="preserve">, </w:t>
      </w:r>
      <w:hyperlink r:id="rId33" w:history="1">
        <w:r w:rsidR="00761A69" w:rsidRPr="000B16D5">
          <w:rPr>
            <w:rFonts w:asciiTheme="majorHAnsi" w:hAnsiTheme="majorHAnsi" w:cs="Times New Roman"/>
            <w:sz w:val="16"/>
          </w:rPr>
          <w:t>Armah CK</w:t>
        </w:r>
      </w:hyperlink>
      <w:r w:rsidR="00761A69" w:rsidRPr="000B16D5">
        <w:rPr>
          <w:rFonts w:asciiTheme="majorHAnsi" w:hAnsiTheme="majorHAnsi" w:cs="Times New Roman"/>
          <w:sz w:val="16"/>
        </w:rPr>
        <w:t xml:space="preserve">, </w:t>
      </w:r>
      <w:hyperlink r:id="rId34" w:history="1">
        <w:r w:rsidR="00761A69" w:rsidRPr="000B16D5">
          <w:rPr>
            <w:rFonts w:asciiTheme="majorHAnsi" w:hAnsiTheme="majorHAnsi" w:cs="Times New Roman"/>
            <w:sz w:val="16"/>
          </w:rPr>
          <w:t>Kimber AC</w:t>
        </w:r>
      </w:hyperlink>
      <w:r w:rsidR="00761A69" w:rsidRPr="000B16D5">
        <w:rPr>
          <w:rFonts w:asciiTheme="majorHAnsi" w:hAnsiTheme="majorHAnsi" w:cs="Times New Roman"/>
          <w:sz w:val="16"/>
        </w:rPr>
        <w:t xml:space="preserve">, </w:t>
      </w:r>
      <w:hyperlink r:id="rId35" w:history="1">
        <w:r w:rsidR="00761A69" w:rsidRPr="000B16D5">
          <w:rPr>
            <w:rFonts w:asciiTheme="majorHAnsi" w:hAnsiTheme="majorHAnsi" w:cs="Times New Roman"/>
            <w:sz w:val="16"/>
          </w:rPr>
          <w:t>Grew JP</w:t>
        </w:r>
      </w:hyperlink>
      <w:r w:rsidR="00761A69" w:rsidRPr="000B16D5">
        <w:rPr>
          <w:rFonts w:asciiTheme="majorHAnsi" w:hAnsiTheme="majorHAnsi" w:cs="Times New Roman"/>
          <w:sz w:val="16"/>
        </w:rPr>
        <w:t xml:space="preserve">, </w:t>
      </w:r>
      <w:hyperlink r:id="rId36" w:history="1">
        <w:r w:rsidR="00761A69" w:rsidRPr="000B16D5">
          <w:rPr>
            <w:rFonts w:asciiTheme="majorHAnsi" w:hAnsiTheme="majorHAnsi" w:cs="Times New Roman"/>
            <w:sz w:val="16"/>
          </w:rPr>
          <w:t>Farrell L</w:t>
        </w:r>
      </w:hyperlink>
      <w:r w:rsidR="00761A69" w:rsidRPr="000B16D5">
        <w:rPr>
          <w:rFonts w:asciiTheme="majorHAnsi" w:hAnsiTheme="majorHAnsi" w:cs="Times New Roman"/>
          <w:sz w:val="16"/>
        </w:rPr>
        <w:t xml:space="preserve">, </w:t>
      </w:r>
      <w:hyperlink r:id="rId37" w:history="1">
        <w:r w:rsidR="00761A69" w:rsidRPr="000B16D5">
          <w:rPr>
            <w:rFonts w:asciiTheme="majorHAnsi" w:hAnsiTheme="majorHAnsi" w:cs="Times New Roman"/>
            <w:sz w:val="16"/>
          </w:rPr>
          <w:t>Stannard J</w:t>
        </w:r>
      </w:hyperlink>
      <w:r w:rsidR="00761A69" w:rsidRPr="000B16D5">
        <w:rPr>
          <w:rFonts w:asciiTheme="majorHAnsi" w:hAnsiTheme="majorHAnsi" w:cs="Times New Roman"/>
          <w:sz w:val="16"/>
        </w:rPr>
        <w:t xml:space="preserve">, </w:t>
      </w:r>
      <w:hyperlink r:id="rId38" w:history="1">
        <w:r w:rsidR="00761A69" w:rsidRPr="000B16D5">
          <w:rPr>
            <w:rFonts w:asciiTheme="majorHAnsi" w:hAnsiTheme="majorHAnsi" w:cs="Times New Roman"/>
            <w:sz w:val="16"/>
          </w:rPr>
          <w:t>Napper FL</w:t>
        </w:r>
      </w:hyperlink>
      <w:r w:rsidR="00761A69" w:rsidRPr="000B16D5">
        <w:rPr>
          <w:rFonts w:asciiTheme="majorHAnsi" w:hAnsiTheme="majorHAnsi" w:cs="Times New Roman"/>
          <w:sz w:val="16"/>
        </w:rPr>
        <w:t xml:space="preserve">, </w:t>
      </w:r>
      <w:hyperlink r:id="rId39" w:history="1">
        <w:r w:rsidR="00761A69" w:rsidRPr="000B16D5">
          <w:rPr>
            <w:rFonts w:asciiTheme="majorHAnsi" w:hAnsiTheme="majorHAnsi" w:cs="Times New Roman"/>
            <w:sz w:val="16"/>
          </w:rPr>
          <w:t>Sala-Vila A</w:t>
        </w:r>
      </w:hyperlink>
      <w:r w:rsidR="00761A69" w:rsidRPr="000B16D5">
        <w:rPr>
          <w:rFonts w:asciiTheme="majorHAnsi" w:hAnsiTheme="majorHAnsi" w:cs="Times New Roman"/>
          <w:sz w:val="16"/>
        </w:rPr>
        <w:t xml:space="preserve">, </w:t>
      </w:r>
      <w:hyperlink r:id="rId40" w:history="1">
        <w:r w:rsidR="00761A69" w:rsidRPr="000B16D5">
          <w:rPr>
            <w:rFonts w:asciiTheme="majorHAnsi" w:hAnsiTheme="majorHAnsi" w:cs="Times New Roman"/>
            <w:sz w:val="16"/>
          </w:rPr>
          <w:t>West AL</w:t>
        </w:r>
      </w:hyperlink>
      <w:r w:rsidR="00761A69" w:rsidRPr="000B16D5">
        <w:rPr>
          <w:rFonts w:asciiTheme="majorHAnsi" w:hAnsiTheme="majorHAnsi" w:cs="Times New Roman"/>
          <w:sz w:val="16"/>
        </w:rPr>
        <w:t xml:space="preserve">, </w:t>
      </w:r>
      <w:hyperlink r:id="rId41" w:history="1">
        <w:r w:rsidR="00761A69" w:rsidRPr="000B16D5">
          <w:rPr>
            <w:rFonts w:asciiTheme="majorHAnsi" w:hAnsiTheme="majorHAnsi" w:cs="Times New Roman"/>
            <w:sz w:val="16"/>
          </w:rPr>
          <w:t>Mathers JC</w:t>
        </w:r>
      </w:hyperlink>
      <w:r w:rsidR="00761A69" w:rsidRPr="000B16D5">
        <w:rPr>
          <w:rFonts w:asciiTheme="majorHAnsi" w:hAnsiTheme="majorHAnsi" w:cs="Times New Roman"/>
          <w:sz w:val="16"/>
        </w:rPr>
        <w:t xml:space="preserve">, </w:t>
      </w:r>
      <w:hyperlink r:id="rId42" w:history="1">
        <w:r w:rsidR="00761A69" w:rsidRPr="000B16D5">
          <w:rPr>
            <w:rFonts w:asciiTheme="majorHAnsi" w:hAnsiTheme="majorHAnsi" w:cs="Times New Roman"/>
            <w:sz w:val="16"/>
          </w:rPr>
          <w:t>Packard C</w:t>
        </w:r>
      </w:hyperlink>
      <w:r w:rsidR="00761A69" w:rsidRPr="000B16D5">
        <w:rPr>
          <w:rFonts w:asciiTheme="majorHAnsi" w:hAnsiTheme="majorHAnsi" w:cs="Times New Roman"/>
          <w:sz w:val="16"/>
        </w:rPr>
        <w:t xml:space="preserve">, </w:t>
      </w:r>
      <w:hyperlink r:id="rId43" w:history="1">
        <w:r w:rsidR="00761A69" w:rsidRPr="000B16D5">
          <w:rPr>
            <w:rFonts w:asciiTheme="majorHAnsi" w:hAnsiTheme="majorHAnsi" w:cs="Times New Roman"/>
            <w:sz w:val="16"/>
          </w:rPr>
          <w:t>Williams CM</w:t>
        </w:r>
      </w:hyperlink>
      <w:r w:rsidR="00761A69" w:rsidRPr="000B16D5">
        <w:rPr>
          <w:rFonts w:asciiTheme="majorHAnsi" w:hAnsiTheme="majorHAnsi" w:cs="Times New Roman"/>
          <w:sz w:val="16"/>
        </w:rPr>
        <w:t xml:space="preserve">, </w:t>
      </w:r>
      <w:hyperlink r:id="rId44" w:history="1">
        <w:r w:rsidR="00761A69" w:rsidRPr="000B16D5">
          <w:rPr>
            <w:rFonts w:asciiTheme="majorHAnsi" w:hAnsiTheme="majorHAnsi" w:cs="Times New Roman"/>
            <w:sz w:val="16"/>
          </w:rPr>
          <w:t>Calder PC</w:t>
        </w:r>
      </w:hyperlink>
      <w:r w:rsidR="00761A69" w:rsidRPr="000B16D5">
        <w:rPr>
          <w:rFonts w:asciiTheme="majorHAnsi" w:hAnsiTheme="majorHAnsi" w:cs="Times New Roman"/>
          <w:sz w:val="16"/>
        </w:rPr>
        <w:t xml:space="preserve">, </w:t>
      </w:r>
      <w:hyperlink r:id="rId45" w:history="1">
        <w:r w:rsidR="00761A69" w:rsidRPr="000B16D5">
          <w:rPr>
            <w:rFonts w:asciiTheme="majorHAnsi" w:hAnsiTheme="majorHAnsi" w:cs="Times New Roman"/>
            <w:sz w:val="16"/>
          </w:rPr>
          <w:t>Minihane AM</w:t>
        </w:r>
      </w:hyperlink>
      <w:r w:rsidR="00761A69" w:rsidRPr="000B16D5">
        <w:rPr>
          <w:rFonts w:asciiTheme="majorHAnsi" w:hAnsiTheme="majorHAnsi" w:cs="Times New Roman"/>
          <w:sz w:val="16"/>
        </w:rPr>
        <w:t xml:space="preserve">. </w:t>
      </w:r>
      <w:r w:rsidR="00761A69" w:rsidRPr="000B16D5">
        <w:rPr>
          <w:rFonts w:asciiTheme="majorHAnsi" w:hAnsiTheme="majorHAnsi" w:cs="Times New Roman"/>
          <w:b/>
          <w:sz w:val="16"/>
        </w:rPr>
        <w:t>Effect of sex and genotype on cardiovascular biomarker response to fish oils: the FINGEN Study</w:t>
      </w:r>
      <w:r w:rsidR="00761A69" w:rsidRPr="000B16D5">
        <w:rPr>
          <w:rFonts w:asciiTheme="majorHAnsi" w:hAnsiTheme="majorHAnsi" w:cs="Times New Roman"/>
          <w:sz w:val="16"/>
        </w:rPr>
        <w:t xml:space="preserve">. </w:t>
      </w:r>
      <w:hyperlink r:id="rId46" w:tooltip="The American journal of clinical nutrition." w:history="1">
        <w:r w:rsidR="00761A69" w:rsidRPr="000B16D5">
          <w:rPr>
            <w:rFonts w:asciiTheme="majorHAnsi" w:hAnsiTheme="majorHAnsi" w:cs="Times New Roman"/>
            <w:sz w:val="16"/>
          </w:rPr>
          <w:t>Am J Clin Nutr.</w:t>
        </w:r>
      </w:hyperlink>
      <w:r w:rsidR="00761A69" w:rsidRPr="000B16D5">
        <w:rPr>
          <w:rFonts w:asciiTheme="majorHAnsi" w:hAnsiTheme="majorHAnsi" w:cs="Times New Roman"/>
          <w:sz w:val="16"/>
        </w:rPr>
        <w:t xml:space="preserve"> 2008 Sep;88(3):618-29.</w:t>
      </w:r>
    </w:p>
    <w:p w:rsidR="00761A69" w:rsidRPr="000B16D5" w:rsidRDefault="00761A69" w:rsidP="00761A69">
      <w:pPr>
        <w:pStyle w:val="Odstavecseseznamem"/>
        <w:numPr>
          <w:ilvl w:val="0"/>
          <w:numId w:val="16"/>
        </w:numPr>
        <w:spacing w:after="160" w:line="259" w:lineRule="auto"/>
        <w:jc w:val="both"/>
        <w:rPr>
          <w:rFonts w:asciiTheme="majorHAnsi" w:hAnsiTheme="majorHAnsi" w:cs="Times New Roman"/>
          <w:sz w:val="16"/>
        </w:rPr>
      </w:pPr>
      <w:r w:rsidRPr="000B16D5">
        <w:rPr>
          <w:rFonts w:asciiTheme="majorHAnsi" w:hAnsiTheme="majorHAnsi" w:cs="Times New Roman"/>
          <w:sz w:val="16"/>
        </w:rPr>
        <w:t xml:space="preserve">Klerk M, Verhoef P, Clarke R, Blom HJ, Kok FJ, Schouten EG; MTHFR Studies Collaboration Group. </w:t>
      </w:r>
      <w:r w:rsidRPr="000B16D5">
        <w:rPr>
          <w:rFonts w:asciiTheme="majorHAnsi" w:hAnsiTheme="majorHAnsi" w:cs="Times New Roman"/>
          <w:b/>
          <w:sz w:val="16"/>
        </w:rPr>
        <w:t>MTHFR 677C--&gt;T polymorphism and risk of coronary heart disease: a meta-analysis</w:t>
      </w:r>
      <w:r w:rsidRPr="000B16D5">
        <w:rPr>
          <w:rFonts w:asciiTheme="majorHAnsi" w:hAnsiTheme="majorHAnsi" w:cs="Times New Roman"/>
          <w:sz w:val="16"/>
        </w:rPr>
        <w:t>. JAMA. 2002 Oct 23-30;288(16):2023-31.</w:t>
      </w:r>
    </w:p>
    <w:p w:rsidR="00761A69" w:rsidRPr="000B16D5" w:rsidRDefault="00761A69" w:rsidP="00761A69">
      <w:pPr>
        <w:pStyle w:val="Odstavecseseznamem"/>
        <w:numPr>
          <w:ilvl w:val="0"/>
          <w:numId w:val="16"/>
        </w:numPr>
        <w:spacing w:after="160" w:line="259" w:lineRule="auto"/>
        <w:jc w:val="both"/>
        <w:rPr>
          <w:rFonts w:asciiTheme="majorHAnsi" w:hAnsiTheme="majorHAnsi" w:cs="Times New Roman"/>
          <w:sz w:val="16"/>
        </w:rPr>
      </w:pPr>
      <w:r w:rsidRPr="000B16D5">
        <w:rPr>
          <w:rFonts w:asciiTheme="majorHAnsi" w:hAnsiTheme="majorHAnsi" w:cs="Times New Roman"/>
          <w:sz w:val="16"/>
        </w:rPr>
        <w:t xml:space="preserve">van der Linden IJ, den Heijer M, Afman LA, Gellekink H, Vermeulen SH, Kluijtmans LA, Blom HJ. </w:t>
      </w:r>
      <w:r w:rsidRPr="000B16D5">
        <w:rPr>
          <w:rFonts w:asciiTheme="majorHAnsi" w:hAnsiTheme="majorHAnsi" w:cs="Times New Roman"/>
          <w:b/>
          <w:sz w:val="16"/>
        </w:rPr>
        <w:t>The methionine synthase reductase 66A&amp;gt;G polymorphism is a maternal risk factor for spina bifida</w:t>
      </w:r>
      <w:r w:rsidRPr="000B16D5">
        <w:rPr>
          <w:rFonts w:asciiTheme="majorHAnsi" w:hAnsiTheme="majorHAnsi" w:cs="Times New Roman"/>
          <w:sz w:val="16"/>
        </w:rPr>
        <w:t>. J Mol Med (Berl). 2006 Dec;84(12):1047-54. Epub 2006 Oct 6.</w:t>
      </w:r>
    </w:p>
    <w:p w:rsidR="00761A69" w:rsidRPr="000B16D5" w:rsidRDefault="00761A69" w:rsidP="00761A69">
      <w:pPr>
        <w:pStyle w:val="Odstavecseseznamem"/>
        <w:numPr>
          <w:ilvl w:val="0"/>
          <w:numId w:val="16"/>
        </w:numPr>
        <w:spacing w:after="160" w:line="259" w:lineRule="auto"/>
        <w:jc w:val="both"/>
        <w:rPr>
          <w:rFonts w:asciiTheme="majorHAnsi" w:hAnsiTheme="majorHAnsi" w:cs="Times New Roman"/>
          <w:sz w:val="16"/>
        </w:rPr>
      </w:pPr>
      <w:r w:rsidRPr="000B16D5">
        <w:rPr>
          <w:rFonts w:asciiTheme="majorHAnsi" w:hAnsiTheme="majorHAnsi" w:cs="Times New Roman"/>
          <w:sz w:val="16"/>
        </w:rPr>
        <w:lastRenderedPageBreak/>
        <w:t xml:space="preserve">Saukko PM, Reed M, Britten N, Hogarth S. </w:t>
      </w:r>
      <w:r w:rsidRPr="000B16D5">
        <w:rPr>
          <w:rFonts w:asciiTheme="majorHAnsi" w:hAnsiTheme="majorHAnsi" w:cs="Times New Roman"/>
          <w:b/>
          <w:sz w:val="16"/>
        </w:rPr>
        <w:t>Negotiating the boundary between medicine and consumer culture: online marketing of nutrigenetic tests.</w:t>
      </w:r>
      <w:r w:rsidRPr="000B16D5">
        <w:rPr>
          <w:rFonts w:asciiTheme="majorHAnsi" w:hAnsiTheme="majorHAnsi" w:cs="Times New Roman"/>
          <w:sz w:val="16"/>
        </w:rPr>
        <w:t xml:space="preserve"> Soc. Sci. Med. 2010 Mar;70(5):744-53. </w:t>
      </w:r>
    </w:p>
    <w:p w:rsidR="00761A69" w:rsidRPr="000B16D5" w:rsidRDefault="00761A69" w:rsidP="00761A69">
      <w:pPr>
        <w:pStyle w:val="Odstavecseseznamem"/>
        <w:numPr>
          <w:ilvl w:val="0"/>
          <w:numId w:val="16"/>
        </w:numPr>
        <w:spacing w:after="160" w:line="259" w:lineRule="auto"/>
        <w:jc w:val="both"/>
        <w:rPr>
          <w:rFonts w:asciiTheme="majorHAnsi" w:hAnsiTheme="majorHAnsi" w:cs="Times New Roman"/>
          <w:sz w:val="16"/>
        </w:rPr>
      </w:pPr>
      <w:r w:rsidRPr="000B16D5">
        <w:rPr>
          <w:rFonts w:asciiTheme="majorHAnsi" w:hAnsiTheme="majorHAnsi" w:cs="Times New Roman"/>
          <w:sz w:val="16"/>
        </w:rPr>
        <w:t xml:space="preserve">van Ommen B. </w:t>
      </w:r>
      <w:r w:rsidRPr="000B16D5">
        <w:rPr>
          <w:rFonts w:asciiTheme="majorHAnsi" w:hAnsiTheme="majorHAnsi" w:cs="Times New Roman"/>
          <w:b/>
          <w:sz w:val="16"/>
        </w:rPr>
        <w:t>Nutrigenomics: exploiting systems biology in the nutrition and health arenas</w:t>
      </w:r>
      <w:r w:rsidRPr="000B16D5">
        <w:rPr>
          <w:rFonts w:asciiTheme="majorHAnsi" w:hAnsiTheme="majorHAnsi" w:cs="Times New Roman"/>
          <w:sz w:val="16"/>
        </w:rPr>
        <w:t xml:space="preserve">. Nutrition. 2004 Jan;20(1):4-8. </w:t>
      </w:r>
    </w:p>
    <w:p w:rsidR="00761A69" w:rsidRPr="000B16D5" w:rsidRDefault="00761A69" w:rsidP="00761A69">
      <w:pPr>
        <w:pStyle w:val="Odstavecseseznamem"/>
        <w:numPr>
          <w:ilvl w:val="0"/>
          <w:numId w:val="16"/>
        </w:numPr>
        <w:spacing w:after="160" w:line="259" w:lineRule="auto"/>
        <w:jc w:val="both"/>
        <w:rPr>
          <w:rFonts w:asciiTheme="majorHAnsi" w:hAnsiTheme="majorHAnsi" w:cs="Times New Roman"/>
          <w:sz w:val="16"/>
        </w:rPr>
      </w:pPr>
      <w:r w:rsidRPr="000B16D5">
        <w:rPr>
          <w:rFonts w:asciiTheme="majorHAnsi" w:hAnsiTheme="majorHAnsi" w:cs="Times New Roman"/>
          <w:sz w:val="16"/>
        </w:rPr>
        <w:t>Ramagopalan SV, Maugeri NJ, Handunnetthi L, Lincoln MR, Orton SM, Dyment DA, Deluca GC, Herrera BM, Chao MJ, Sadovnick AD, Ebers GC, Knight JC</w:t>
      </w:r>
      <w:r w:rsidRPr="000B16D5">
        <w:rPr>
          <w:rFonts w:asciiTheme="majorHAnsi" w:hAnsiTheme="majorHAnsi" w:cs="Times New Roman"/>
          <w:b/>
          <w:sz w:val="16"/>
        </w:rPr>
        <w:t>. Expression of the multiple sclerosis-associated MHC class II Allele HLA-DRB1*1501 is regulated by vitamin D.</w:t>
      </w:r>
      <w:r w:rsidRPr="000B16D5">
        <w:rPr>
          <w:rFonts w:asciiTheme="majorHAnsi" w:hAnsiTheme="majorHAnsi" w:cs="Times New Roman"/>
          <w:sz w:val="16"/>
        </w:rPr>
        <w:t xml:space="preserve"> PLoS Genet. 2009 Feb;5(2):e1000369.</w:t>
      </w:r>
    </w:p>
    <w:p w:rsidR="00761A69" w:rsidRPr="000B16D5" w:rsidRDefault="00761A69" w:rsidP="00761A69">
      <w:pPr>
        <w:pStyle w:val="Odstavecseseznamem"/>
        <w:numPr>
          <w:ilvl w:val="0"/>
          <w:numId w:val="16"/>
        </w:numPr>
        <w:spacing w:after="160" w:line="259" w:lineRule="auto"/>
        <w:jc w:val="both"/>
        <w:rPr>
          <w:rFonts w:asciiTheme="majorHAnsi" w:hAnsiTheme="majorHAnsi" w:cs="Times New Roman"/>
          <w:sz w:val="16"/>
        </w:rPr>
      </w:pPr>
      <w:r w:rsidRPr="000B16D5">
        <w:rPr>
          <w:rFonts w:asciiTheme="majorHAnsi" w:hAnsiTheme="majorHAnsi" w:cs="Times New Roman"/>
          <w:sz w:val="16"/>
        </w:rPr>
        <w:t xml:space="preserve">Haga S. Khoury M. Burke W. </w:t>
      </w:r>
      <w:r w:rsidRPr="000B16D5">
        <w:rPr>
          <w:rFonts w:asciiTheme="majorHAnsi" w:hAnsiTheme="majorHAnsi" w:cs="Times New Roman"/>
          <w:b/>
          <w:sz w:val="16"/>
        </w:rPr>
        <w:t>Genomic profiling to promote healthy lifestyle: not ready for prime time</w:t>
      </w:r>
      <w:r w:rsidRPr="000B16D5">
        <w:rPr>
          <w:rFonts w:asciiTheme="majorHAnsi" w:hAnsiTheme="majorHAnsi" w:cs="Times New Roman"/>
          <w:sz w:val="16"/>
        </w:rPr>
        <w:t>. Nat. Genet. 2003;34(4):347–350.</w:t>
      </w:r>
    </w:p>
    <w:p w:rsidR="00946857" w:rsidRPr="000B16D5" w:rsidRDefault="00946857">
      <w:pPr>
        <w:rPr>
          <w:rFonts w:asciiTheme="majorHAnsi" w:hAnsiTheme="majorHAnsi"/>
          <w:highlight w:val="cyan"/>
        </w:rPr>
      </w:pPr>
    </w:p>
    <w:p w:rsidR="00946857" w:rsidRPr="000B16D5" w:rsidRDefault="00946857">
      <w:pPr>
        <w:rPr>
          <w:rFonts w:asciiTheme="majorHAnsi" w:hAnsiTheme="majorHAnsi"/>
          <w:highlight w:val="cyan"/>
        </w:rPr>
      </w:pPr>
    </w:p>
    <w:p w:rsidR="00946857" w:rsidRPr="000B16D5" w:rsidRDefault="00946857">
      <w:pPr>
        <w:rPr>
          <w:rFonts w:asciiTheme="majorHAnsi" w:hAnsiTheme="majorHAnsi"/>
          <w:highlight w:val="cyan"/>
        </w:rPr>
        <w:sectPr w:rsidR="00946857" w:rsidRPr="000B16D5" w:rsidSect="00946857">
          <w:type w:val="continuous"/>
          <w:pgSz w:w="11906" w:h="16838"/>
          <w:pgMar w:top="720" w:right="720" w:bottom="720" w:left="720" w:header="708" w:footer="708" w:gutter="0"/>
          <w:pgNumType w:start="0"/>
          <w:cols w:num="2" w:space="708"/>
          <w:titlePg/>
          <w:docGrid w:linePitch="360"/>
        </w:sectPr>
      </w:pPr>
    </w:p>
    <w:p w:rsidR="00236F03" w:rsidRPr="000B16D5" w:rsidRDefault="00236F03">
      <w:pPr>
        <w:rPr>
          <w:rFonts w:asciiTheme="majorHAnsi" w:hAnsiTheme="majorHAnsi"/>
          <w:highlight w:val="cyan"/>
        </w:rPr>
      </w:pPr>
      <w:r w:rsidRPr="000B16D5">
        <w:rPr>
          <w:rFonts w:asciiTheme="majorHAnsi" w:hAnsiTheme="majorHAnsi"/>
          <w:highlight w:val="cyan"/>
        </w:rPr>
        <w:lastRenderedPageBreak/>
        <w:br w:type="page"/>
      </w:r>
    </w:p>
    <w:p w:rsidR="00236F03" w:rsidRPr="000B16D5" w:rsidRDefault="00236F03" w:rsidP="00236F03">
      <w:pPr>
        <w:pBdr>
          <w:bottom w:val="single" w:sz="6" w:space="1" w:color="auto"/>
        </w:pBdr>
        <w:spacing w:before="4000"/>
        <w:jc w:val="center"/>
        <w:rPr>
          <w:rFonts w:asciiTheme="majorHAnsi" w:hAnsiTheme="majorHAnsi"/>
          <w:b/>
          <w:sz w:val="80"/>
          <w:szCs w:val="80"/>
        </w:rPr>
      </w:pPr>
    </w:p>
    <w:p w:rsidR="002B3117" w:rsidRPr="000B16D5" w:rsidRDefault="002B3117" w:rsidP="00236F03">
      <w:pPr>
        <w:pBdr>
          <w:bottom w:val="single" w:sz="6" w:space="1" w:color="auto"/>
        </w:pBdr>
        <w:spacing w:before="4000"/>
        <w:jc w:val="center"/>
        <w:rPr>
          <w:rFonts w:asciiTheme="majorHAnsi" w:hAnsiTheme="majorHAnsi"/>
          <w:b/>
          <w:sz w:val="80"/>
          <w:szCs w:val="80"/>
        </w:rPr>
      </w:pPr>
      <w:r w:rsidRPr="000B16D5">
        <w:rPr>
          <w:rFonts w:asciiTheme="majorHAnsi" w:hAnsiTheme="majorHAnsi"/>
          <w:b/>
          <w:sz w:val="80"/>
          <w:szCs w:val="80"/>
        </w:rPr>
        <w:t>Část 2</w:t>
      </w:r>
    </w:p>
    <w:p w:rsidR="002B3117" w:rsidRPr="000B16D5" w:rsidRDefault="002B3117" w:rsidP="00236F03">
      <w:pPr>
        <w:jc w:val="center"/>
        <w:rPr>
          <w:rFonts w:asciiTheme="majorHAnsi" w:hAnsiTheme="majorHAnsi"/>
          <w:sz w:val="56"/>
        </w:rPr>
      </w:pPr>
      <w:r w:rsidRPr="000B16D5">
        <w:rPr>
          <w:rFonts w:asciiTheme="majorHAnsi" w:hAnsiTheme="majorHAnsi"/>
          <w:sz w:val="56"/>
        </w:rPr>
        <w:t>- Speciální genetika -</w:t>
      </w:r>
    </w:p>
    <w:p w:rsidR="002B3117" w:rsidRPr="000B16D5" w:rsidRDefault="002B3117" w:rsidP="00236F03">
      <w:pPr>
        <w:jc w:val="both"/>
        <w:rPr>
          <w:rFonts w:asciiTheme="majorHAnsi" w:hAnsiTheme="majorHAnsi"/>
          <w:b/>
          <w:smallCaps/>
          <w:sz w:val="24"/>
          <w:highlight w:val="cyan"/>
        </w:rPr>
      </w:pPr>
      <w:r w:rsidRPr="000B16D5">
        <w:rPr>
          <w:rFonts w:asciiTheme="majorHAnsi" w:hAnsiTheme="majorHAnsi"/>
          <w:highlight w:val="cyan"/>
        </w:rPr>
        <w:br w:type="page"/>
      </w:r>
    </w:p>
    <w:bookmarkStart w:id="34" w:name="_Toc380240607"/>
    <w:p w:rsidR="0002282B" w:rsidRPr="000B16D5" w:rsidRDefault="00100C72" w:rsidP="00614607">
      <w:pPr>
        <w:pStyle w:val="Nadpiskapitoly"/>
        <w:rPr>
          <w:rFonts w:asciiTheme="majorHAnsi" w:hAnsiTheme="majorHAnsi"/>
        </w:rPr>
      </w:pPr>
      <w:r w:rsidRPr="000B16D5">
        <w:rPr>
          <w:rFonts w:asciiTheme="majorHAnsi" w:hAnsiTheme="majorHAnsi"/>
          <w:noProof/>
        </w:rPr>
        <w:lastRenderedPageBreak/>
        <mc:AlternateContent>
          <mc:Choice Requires="wps">
            <w:drawing>
              <wp:anchor distT="0" distB="0" distL="114300" distR="114300" simplePos="0" relativeHeight="251668480" behindDoc="0" locked="0" layoutInCell="1" allowOverlap="1" wp14:anchorId="678216CE" wp14:editId="04B1D147">
                <wp:simplePos x="0" y="0"/>
                <wp:positionH relativeFrom="column">
                  <wp:posOffset>5232400</wp:posOffset>
                </wp:positionH>
                <wp:positionV relativeFrom="paragraph">
                  <wp:posOffset>-80645</wp:posOffset>
                </wp:positionV>
                <wp:extent cx="1303655" cy="1416685"/>
                <wp:effectExtent l="3175" t="71755" r="74295" b="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614607">
                            <w:pPr>
                              <w:spacing w:after="0"/>
                              <w:jc w:val="center"/>
                              <w:rPr>
                                <w:rFonts w:ascii="Palatino Linotype" w:hAnsi="Palatino Linotype"/>
                                <w:b/>
                                <w:sz w:val="160"/>
                              </w:rPr>
                            </w:pPr>
                            <w:r>
                              <w:rPr>
                                <w:rFonts w:ascii="Palatino Linotype" w:hAnsi="Palatino Linotype"/>
                                <w:b/>
                                <w:sz w:val="16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216CE" id="Text Box 11" o:spid="_x0000_s1033" type="#_x0000_t202" style="position:absolute;left:0;text-align:left;margin-left:412pt;margin-top:-6.35pt;width:102.65pt;height:1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" stroked="f">
                <v:shadow on="t" opacity=".5" offset="6pt,-6pt"/>
                <v:textbox>
                  <w:txbxContent>
                    <w:p w:rsidR="00440FD1" w:rsidRPr="008202AD" w:rsidRDefault="00440FD1" w:rsidP="00614607">
                      <w:pPr>
                        <w:spacing w:after="0"/>
                        <w:jc w:val="center"/>
                        <w:rPr>
                          <w:rFonts w:ascii="Palatino Linotype" w:hAnsi="Palatino Linotype"/>
                          <w:b/>
                          <w:sz w:val="160"/>
                        </w:rPr>
                      </w:pPr>
                      <w:r>
                        <w:rPr>
                          <w:rFonts w:ascii="Palatino Linotype" w:hAnsi="Palatino Linotype"/>
                          <w:b/>
                          <w:sz w:val="160"/>
                        </w:rPr>
                        <w:t>8</w:t>
                      </w:r>
                    </w:p>
                  </w:txbxContent>
                </v:textbox>
              </v:shape>
            </w:pict>
          </mc:Fallback>
        </mc:AlternateContent>
      </w:r>
      <w:r w:rsidR="00312118" w:rsidRPr="000B16D5">
        <w:rPr>
          <w:rFonts w:asciiTheme="majorHAnsi" w:hAnsiTheme="majorHAnsi"/>
        </w:rPr>
        <w:t>Genetika a výživa</w:t>
      </w:r>
      <w:bookmarkEnd w:id="34"/>
    </w:p>
    <w:p w:rsidR="0002282B" w:rsidRPr="000B16D5" w:rsidRDefault="0002282B" w:rsidP="0002282B">
      <w:pPr>
        <w:pStyle w:val="Palatino"/>
        <w:rPr>
          <w:rFonts w:asciiTheme="majorHAnsi" w:hAnsiTheme="majorHAnsi"/>
        </w:rPr>
      </w:pPr>
      <w:r w:rsidRPr="000B16D5">
        <w:rPr>
          <w:rFonts w:asciiTheme="majorHAnsi" w:hAnsiTheme="majorHAnsi"/>
        </w:rPr>
        <w:t>P</w:t>
      </w:r>
      <w:r w:rsidR="00312118" w:rsidRPr="000B16D5">
        <w:rPr>
          <w:rFonts w:asciiTheme="majorHAnsi" w:hAnsiTheme="majorHAnsi"/>
        </w:rPr>
        <w:t>říklady genetických onemocnění ovlivnitelných výživou</w:t>
      </w:r>
    </w:p>
    <w:p w:rsidR="0002282B" w:rsidRPr="000B16D5" w:rsidRDefault="0002282B" w:rsidP="0002282B">
      <w:pPr>
        <w:pStyle w:val="Palatino"/>
        <w:rPr>
          <w:rFonts w:asciiTheme="majorHAnsi" w:hAnsiTheme="majorHAnsi"/>
        </w:rPr>
      </w:pPr>
      <w:r w:rsidRPr="000B16D5">
        <w:rPr>
          <w:rFonts w:asciiTheme="majorHAnsi" w:hAnsiTheme="majorHAnsi"/>
        </w:rPr>
        <w:t>F</w:t>
      </w:r>
      <w:r w:rsidR="00312118" w:rsidRPr="000B16D5">
        <w:rPr>
          <w:rFonts w:asciiTheme="majorHAnsi" w:hAnsiTheme="majorHAnsi"/>
        </w:rPr>
        <w:t xml:space="preserve">enylketonurie, </w:t>
      </w:r>
      <w:r w:rsidR="00277758" w:rsidRPr="000B16D5">
        <w:rPr>
          <w:rFonts w:asciiTheme="majorHAnsi" w:hAnsiTheme="majorHAnsi"/>
        </w:rPr>
        <w:t>hemochromatóza</w:t>
      </w:r>
      <w:r w:rsidR="00312118" w:rsidRPr="000B16D5">
        <w:rPr>
          <w:rFonts w:asciiTheme="majorHAnsi" w:hAnsiTheme="majorHAnsi"/>
        </w:rPr>
        <w:t>,</w:t>
      </w:r>
      <w:r w:rsidR="00736EEF" w:rsidRPr="000B16D5">
        <w:rPr>
          <w:rFonts w:asciiTheme="majorHAnsi" w:hAnsiTheme="majorHAnsi"/>
        </w:rPr>
        <w:t xml:space="preserve"> </w:t>
      </w:r>
      <w:r w:rsidR="00277758" w:rsidRPr="000B16D5">
        <w:rPr>
          <w:rFonts w:asciiTheme="majorHAnsi" w:hAnsiTheme="majorHAnsi"/>
        </w:rPr>
        <w:t xml:space="preserve">syndrom </w:t>
      </w:r>
      <w:r w:rsidR="00736EEF" w:rsidRPr="000B16D5">
        <w:rPr>
          <w:rFonts w:asciiTheme="majorHAnsi" w:hAnsiTheme="majorHAnsi"/>
        </w:rPr>
        <w:t>Prader-Willi,</w:t>
      </w:r>
      <w:r w:rsidR="00312118" w:rsidRPr="000B16D5">
        <w:rPr>
          <w:rFonts w:asciiTheme="majorHAnsi" w:hAnsiTheme="majorHAnsi"/>
        </w:rPr>
        <w:t xml:space="preserve"> </w:t>
      </w:r>
    </w:p>
    <w:p w:rsidR="0002282B" w:rsidRPr="000B16D5" w:rsidRDefault="00736EEF" w:rsidP="0002282B">
      <w:pPr>
        <w:pStyle w:val="Palatino"/>
        <w:rPr>
          <w:rFonts w:asciiTheme="majorHAnsi" w:hAnsiTheme="majorHAnsi"/>
        </w:rPr>
      </w:pPr>
      <w:r w:rsidRPr="000B16D5">
        <w:rPr>
          <w:rFonts w:asciiTheme="majorHAnsi" w:hAnsiTheme="majorHAnsi"/>
        </w:rPr>
        <w:t>familiární hypercholesterolémie</w:t>
      </w:r>
    </w:p>
    <w:p w:rsidR="00736EEF" w:rsidRPr="000B16D5" w:rsidRDefault="00736EEF" w:rsidP="0002282B">
      <w:pPr>
        <w:pStyle w:val="Palatino"/>
        <w:rPr>
          <w:rFonts w:asciiTheme="majorHAnsi" w:hAnsiTheme="majorHAnsi"/>
        </w:rPr>
      </w:pPr>
    </w:p>
    <w:p w:rsidR="00312118" w:rsidRPr="000B16D5" w:rsidRDefault="0002282B" w:rsidP="0002282B">
      <w:pPr>
        <w:pStyle w:val="Palatino"/>
        <w:rPr>
          <w:rFonts w:asciiTheme="majorHAnsi" w:hAnsiTheme="majorHAnsi"/>
          <w:i/>
        </w:rPr>
      </w:pPr>
      <w:r w:rsidRPr="000B16D5">
        <w:rPr>
          <w:rFonts w:asciiTheme="majorHAnsi" w:hAnsiTheme="majorHAnsi"/>
          <w:i/>
        </w:rPr>
        <w:t>Julie</w:t>
      </w:r>
      <w:r w:rsidR="00312118" w:rsidRPr="000B16D5">
        <w:rPr>
          <w:rFonts w:asciiTheme="majorHAnsi" w:hAnsiTheme="majorHAnsi"/>
          <w:i/>
        </w:rPr>
        <w:t xml:space="preserve"> Bienertová</w:t>
      </w:r>
      <w:r w:rsidRPr="000B16D5">
        <w:rPr>
          <w:rFonts w:asciiTheme="majorHAnsi" w:hAnsiTheme="majorHAnsi"/>
          <w:i/>
        </w:rPr>
        <w:t>-Vašků</w:t>
      </w:r>
    </w:p>
    <w:p w:rsidR="00761A69" w:rsidRPr="000B16D5" w:rsidRDefault="00761A69" w:rsidP="0002282B">
      <w:pPr>
        <w:pStyle w:val="Palatino"/>
        <w:rPr>
          <w:rFonts w:asciiTheme="majorHAnsi" w:hAnsiTheme="majorHAnsi"/>
        </w:rPr>
      </w:pPr>
    </w:p>
    <w:p w:rsidR="00761A69" w:rsidRPr="000B16D5" w:rsidRDefault="00761A69" w:rsidP="00614607">
      <w:pPr>
        <w:spacing w:after="0"/>
        <w:jc w:val="both"/>
        <w:rPr>
          <w:rFonts w:asciiTheme="majorHAnsi" w:hAnsiTheme="majorHAnsi"/>
        </w:rPr>
      </w:pPr>
      <w:r w:rsidRPr="000B16D5">
        <w:rPr>
          <w:rFonts w:asciiTheme="majorHAnsi" w:hAnsiTheme="majorHAnsi"/>
          <w:szCs w:val="24"/>
        </w:rPr>
        <w:t>Strava člověka, ať už ve</w:t>
      </w:r>
      <w:r w:rsidRPr="000B16D5">
        <w:rPr>
          <w:rFonts w:asciiTheme="majorHAnsi" w:hAnsiTheme="majorHAnsi"/>
        </w:rPr>
        <w:t xml:space="preserve"> smyslu prostého kvalitativního či kvantitativního zastoupení jednotlivých složek</w:t>
      </w:r>
      <w:r w:rsidR="00277758" w:rsidRPr="000B16D5">
        <w:rPr>
          <w:rFonts w:asciiTheme="majorHAnsi" w:hAnsiTheme="majorHAnsi"/>
        </w:rPr>
        <w:t>,</w:t>
      </w:r>
      <w:r w:rsidRPr="000B16D5">
        <w:rPr>
          <w:rFonts w:asciiTheme="majorHAnsi" w:hAnsiTheme="majorHAnsi"/>
        </w:rPr>
        <w:t xml:space="preserve"> nebo jako celkový behaviorální koncept zahrnující i cirkadiánní rytm</w:t>
      </w:r>
      <w:r w:rsidR="00614607" w:rsidRPr="000B16D5">
        <w:rPr>
          <w:rFonts w:asciiTheme="majorHAnsi" w:hAnsiTheme="majorHAnsi"/>
        </w:rPr>
        <w:t>i</w:t>
      </w:r>
      <w:r w:rsidRPr="000B16D5">
        <w:rPr>
          <w:rFonts w:asciiTheme="majorHAnsi" w:hAnsiTheme="majorHAnsi"/>
        </w:rPr>
        <w:t xml:space="preserve">citu a socializační funkci jídla, značně ovlivňuje lidské zdraví, růst i celkový vývoj organismu v čase. Stravování se odehrává vždy v konkrétním sociálním, kulturním, politickém i ekonomickém prostředí, které může zdraví populace zhoršovat, pokud nejsou aktivně implementována preventivní opatření sloužící podpoře zdraví. </w:t>
      </w:r>
    </w:p>
    <w:p w:rsidR="00761A69" w:rsidRPr="000B16D5" w:rsidRDefault="00761A69" w:rsidP="00614607">
      <w:pPr>
        <w:spacing w:after="0"/>
        <w:jc w:val="both"/>
        <w:rPr>
          <w:rFonts w:asciiTheme="majorHAnsi" w:hAnsiTheme="majorHAnsi"/>
        </w:rPr>
      </w:pPr>
      <w:r w:rsidRPr="000B16D5">
        <w:rPr>
          <w:rFonts w:asciiTheme="majorHAnsi" w:hAnsiTheme="majorHAnsi"/>
        </w:rPr>
        <w:t xml:space="preserve">V současnosti se vracíme ke konceptu kontinuálního ovlivňování rizika chronických onemocnění již od fetálního života přes vlivy působící v časném postnatálním období až k vlivům </w:t>
      </w:r>
      <w:r w:rsidR="00614607" w:rsidRPr="000B16D5">
        <w:rPr>
          <w:rFonts w:asciiTheme="majorHAnsi" w:hAnsiTheme="majorHAnsi"/>
        </w:rPr>
        <w:t>ovlivňujícím</w:t>
      </w:r>
      <w:r w:rsidRPr="000B16D5">
        <w:rPr>
          <w:rFonts w:asciiTheme="majorHAnsi" w:hAnsiTheme="majorHAnsi"/>
        </w:rPr>
        <w:t xml:space="preserve"> starší jedince. Vlivy uplatňující se během vývoje jedince v děloze se pochopitelně uplatňují odlišným způsobem než faktory působící později během života, přičemž obecně se má za to, že prenatální faktory mají silnější vliv na pozdější manifestaci chronických onemocnění, přičemž tyto závěry se opírají o řadu epidemiologických studií. V současné době převládá názor, že známé rizikové faktory zvyšují riziko konkrétních chronických onemocnění i později během života a naopak, že úprava životního stylu i v pozdějších fázích života může mít výrazný vliv na riziko propuknutí či zhoršení chronického onemocnění. Z toho pohledu hraje významnou roli jak podvýživa, tak nadměrná výživa. </w:t>
      </w:r>
    </w:p>
    <w:p w:rsidR="00761A69" w:rsidRPr="000B16D5" w:rsidRDefault="00761A69" w:rsidP="00614607">
      <w:pPr>
        <w:pStyle w:val="Normlnweb"/>
        <w:spacing w:before="12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 xml:space="preserve">Existuje kontinuální spektrum vlivů, které přispívají k rozvoji chronických onemocnění a které zároveň představují možnou oblast preventivního působení. Tyto vlivy mají jednak biologickou povahu, ať už se jedná o biologické vlastnosti nositele (např. konkrétní varianty genů), jednak biologickou povahu působících vlivů (bakterie, viry…), ale i povahu socioekonomických faktorů, které mohou výrazně ovlivnit složení stravy a tím i zdravotní stav populace, a to nejen u </w:t>
      </w:r>
      <w:r w:rsidR="00277758" w:rsidRPr="000B16D5">
        <w:rPr>
          <w:rFonts w:asciiTheme="majorHAnsi" w:hAnsiTheme="majorHAnsi"/>
          <w:sz w:val="22"/>
          <w:szCs w:val="22"/>
        </w:rPr>
        <w:t xml:space="preserve">stávající </w:t>
      </w:r>
      <w:r w:rsidRPr="000B16D5">
        <w:rPr>
          <w:rFonts w:asciiTheme="majorHAnsi" w:hAnsiTheme="majorHAnsi"/>
          <w:sz w:val="22"/>
          <w:szCs w:val="22"/>
        </w:rPr>
        <w:t>generace, ale i u generací příštích. Je jasné, že v rámci práce nutričního terapeuta je nutné zohledňovat individuální vlivy působící na jednotlivé pacienty-klienty</w:t>
      </w:r>
      <w:r w:rsidR="00277758" w:rsidRPr="000B16D5">
        <w:rPr>
          <w:rFonts w:asciiTheme="majorHAnsi" w:hAnsiTheme="majorHAnsi"/>
          <w:sz w:val="22"/>
          <w:szCs w:val="22"/>
        </w:rPr>
        <w:t>.</w:t>
      </w:r>
      <w:r w:rsidRPr="000B16D5">
        <w:rPr>
          <w:rFonts w:asciiTheme="majorHAnsi" w:hAnsiTheme="majorHAnsi"/>
          <w:sz w:val="22"/>
          <w:szCs w:val="22"/>
        </w:rPr>
        <w:t xml:space="preserve"> </w:t>
      </w:r>
      <w:r w:rsidR="00277758" w:rsidRPr="000B16D5">
        <w:rPr>
          <w:rFonts w:asciiTheme="majorHAnsi" w:hAnsiTheme="majorHAnsi"/>
          <w:sz w:val="22"/>
          <w:szCs w:val="22"/>
        </w:rPr>
        <w:t>N</w:t>
      </w:r>
      <w:r w:rsidRPr="000B16D5">
        <w:rPr>
          <w:rFonts w:asciiTheme="majorHAnsi" w:hAnsiTheme="majorHAnsi"/>
          <w:sz w:val="22"/>
          <w:szCs w:val="22"/>
        </w:rPr>
        <w:t>a druhou stranu je</w:t>
      </w:r>
      <w:r w:rsidR="00277758" w:rsidRPr="000B16D5">
        <w:rPr>
          <w:rFonts w:asciiTheme="majorHAnsi" w:hAnsiTheme="majorHAnsi"/>
          <w:sz w:val="22"/>
          <w:szCs w:val="22"/>
        </w:rPr>
        <w:t xml:space="preserve"> však zapotřebí</w:t>
      </w:r>
      <w:r w:rsidRPr="000B16D5">
        <w:rPr>
          <w:rFonts w:asciiTheme="majorHAnsi" w:hAnsiTheme="majorHAnsi"/>
          <w:sz w:val="22"/>
          <w:szCs w:val="22"/>
        </w:rPr>
        <w:t xml:space="preserve"> realizovat </w:t>
      </w:r>
      <w:r w:rsidR="00277758" w:rsidRPr="000B16D5">
        <w:rPr>
          <w:rFonts w:asciiTheme="majorHAnsi" w:hAnsiTheme="majorHAnsi"/>
          <w:sz w:val="22"/>
          <w:szCs w:val="22"/>
        </w:rPr>
        <w:t xml:space="preserve">i </w:t>
      </w:r>
      <w:r w:rsidRPr="000B16D5">
        <w:rPr>
          <w:rFonts w:asciiTheme="majorHAnsi" w:hAnsiTheme="majorHAnsi"/>
          <w:sz w:val="22"/>
          <w:szCs w:val="22"/>
        </w:rPr>
        <w:t xml:space="preserve">pokusy </w:t>
      </w:r>
      <w:r w:rsidR="00523B6B" w:rsidRPr="000B16D5">
        <w:rPr>
          <w:rFonts w:asciiTheme="majorHAnsi" w:hAnsiTheme="majorHAnsi"/>
          <w:sz w:val="22"/>
          <w:szCs w:val="22"/>
        </w:rPr>
        <w:t>ovlivnit</w:t>
      </w:r>
      <w:r w:rsidRPr="000B16D5">
        <w:rPr>
          <w:rFonts w:asciiTheme="majorHAnsi" w:hAnsiTheme="majorHAnsi"/>
          <w:sz w:val="22"/>
          <w:szCs w:val="22"/>
        </w:rPr>
        <w:t xml:space="preserve"> širší společenské povědomí ve smyslu chápání </w:t>
      </w:r>
      <w:r w:rsidR="00D11630" w:rsidRPr="000B16D5">
        <w:rPr>
          <w:rFonts w:asciiTheme="majorHAnsi" w:hAnsiTheme="majorHAnsi"/>
          <w:sz w:val="22"/>
          <w:szCs w:val="22"/>
        </w:rPr>
        <w:t xml:space="preserve">významu </w:t>
      </w:r>
      <w:r w:rsidRPr="000B16D5">
        <w:rPr>
          <w:rFonts w:asciiTheme="majorHAnsi" w:hAnsiTheme="majorHAnsi"/>
          <w:sz w:val="22"/>
          <w:szCs w:val="22"/>
        </w:rPr>
        <w:t xml:space="preserve">kvalitní a dostatečné stravy. Tyto aktivity musejí jít vždy ruku v ruce s aktivitami veřejného zdravotnictví, protože vedle kvalitního odborného zázemí i adekvátní ekonomického </w:t>
      </w:r>
      <w:r w:rsidR="00DA6189" w:rsidRPr="000B16D5">
        <w:rPr>
          <w:rFonts w:asciiTheme="majorHAnsi" w:hAnsiTheme="majorHAnsi"/>
          <w:sz w:val="22"/>
          <w:szCs w:val="22"/>
        </w:rPr>
        <w:t xml:space="preserve">zajištění </w:t>
      </w:r>
      <w:r w:rsidRPr="000B16D5">
        <w:rPr>
          <w:rFonts w:asciiTheme="majorHAnsi" w:hAnsiTheme="majorHAnsi"/>
          <w:sz w:val="22"/>
          <w:szCs w:val="22"/>
        </w:rPr>
        <w:t>vyžadují i adekvátní propagaci.</w:t>
      </w:r>
    </w:p>
    <w:p w:rsidR="00736EEF" w:rsidRPr="000B16D5" w:rsidRDefault="00736EEF" w:rsidP="00614607">
      <w:pPr>
        <w:spacing w:after="0"/>
        <w:jc w:val="both"/>
        <w:outlineLvl w:val="1"/>
        <w:rPr>
          <w:rFonts w:asciiTheme="majorHAnsi" w:eastAsia="Times New Roman" w:hAnsiTheme="majorHAnsi" w:cs="Times New Roman"/>
          <w:b/>
          <w:bCs/>
        </w:rPr>
      </w:pPr>
    </w:p>
    <w:p w:rsidR="00761A69" w:rsidRPr="000B16D5" w:rsidRDefault="00761A69" w:rsidP="00736EEF">
      <w:pPr>
        <w:pStyle w:val="Nadpispodkapitoly"/>
        <w:rPr>
          <w:rFonts w:asciiTheme="majorHAnsi" w:hAnsiTheme="majorHAnsi"/>
        </w:rPr>
      </w:pPr>
      <w:bookmarkStart w:id="35" w:name="_Toc380240608"/>
      <w:r w:rsidRPr="000B16D5">
        <w:rPr>
          <w:rFonts w:asciiTheme="majorHAnsi" w:hAnsiTheme="majorHAnsi"/>
        </w:rPr>
        <w:t>Strava, výživa a prevence chronických onemocnění během života</w:t>
      </w:r>
      <w:bookmarkEnd w:id="35"/>
    </w:p>
    <w:p w:rsidR="00761A69" w:rsidRPr="000B16D5" w:rsidRDefault="00761A69" w:rsidP="00614607">
      <w:pPr>
        <w:spacing w:after="0"/>
        <w:jc w:val="both"/>
        <w:outlineLvl w:val="1"/>
        <w:rPr>
          <w:rFonts w:asciiTheme="majorHAnsi" w:eastAsia="Times New Roman" w:hAnsiTheme="majorHAnsi" w:cs="Times New Roman"/>
          <w:bCs/>
        </w:rPr>
      </w:pPr>
      <w:r w:rsidRPr="000B16D5">
        <w:rPr>
          <w:rFonts w:asciiTheme="majorHAnsi" w:eastAsia="Times New Roman" w:hAnsiTheme="majorHAnsi" w:cs="Times New Roman"/>
          <w:bCs/>
        </w:rPr>
        <w:t>V rozvinutých zemích pozorujeme trend ve smyslu dlouhodobého nárůstu očekávané délky života, přičemž tento trend</w:t>
      </w:r>
      <w:r w:rsidR="000A3699" w:rsidRPr="000B16D5">
        <w:rPr>
          <w:rFonts w:asciiTheme="majorHAnsi" w:eastAsia="Times New Roman" w:hAnsiTheme="majorHAnsi" w:cs="Times New Roman"/>
          <w:bCs/>
        </w:rPr>
        <w:t xml:space="preserve"> s</w:t>
      </w:r>
      <w:r w:rsidRPr="000B16D5">
        <w:rPr>
          <w:rFonts w:asciiTheme="majorHAnsi" w:eastAsia="Times New Roman" w:hAnsiTheme="majorHAnsi" w:cs="Times New Roman"/>
          <w:bCs/>
        </w:rPr>
        <w:t xml:space="preserve"> sebou nese i rostoucí zátěž chronickými onemocněními, ze kterých se tak stala jedna z klíčových determinant celkového veřejného zd</w:t>
      </w:r>
      <w:r w:rsidR="000A3699" w:rsidRPr="000B16D5">
        <w:rPr>
          <w:rFonts w:asciiTheme="majorHAnsi" w:eastAsia="Times New Roman" w:hAnsiTheme="majorHAnsi" w:cs="Times New Roman"/>
          <w:bCs/>
        </w:rPr>
        <w:t>r</w:t>
      </w:r>
      <w:r w:rsidRPr="000B16D5">
        <w:rPr>
          <w:rFonts w:asciiTheme="majorHAnsi" w:eastAsia="Times New Roman" w:hAnsiTheme="majorHAnsi" w:cs="Times New Roman"/>
          <w:bCs/>
        </w:rPr>
        <w:t>aví. Až 79</w:t>
      </w:r>
      <w:r w:rsidR="000A3699" w:rsidRPr="000B16D5">
        <w:rPr>
          <w:rFonts w:asciiTheme="majorHAnsi" w:eastAsia="Times New Roman" w:hAnsiTheme="majorHAnsi" w:cs="Times New Roman"/>
          <w:bCs/>
        </w:rPr>
        <w:t xml:space="preserve"> </w:t>
      </w:r>
      <w:r w:rsidRPr="000B16D5">
        <w:rPr>
          <w:rFonts w:asciiTheme="majorHAnsi" w:eastAsia="Times New Roman" w:hAnsiTheme="majorHAnsi" w:cs="Times New Roman"/>
          <w:bCs/>
        </w:rPr>
        <w:t xml:space="preserve">% úmrtí připisovaných chronických onemocněním se ovšem objevuje v rozvojových zemích, a to zejména u mužů středního věku (1). Objevuje se rostoucí množství důkazů o tom, že riziko chronických onemocnění se zakládá již během fetálního života a pokračuje dlouho do dospělosti. Chronická onemocnění dospělých tak lze považovat za jakýsi odraz celoživotní kumulativní expozice poškozujícím faktorům, ať už fyzickým či sociálním. </w:t>
      </w:r>
    </w:p>
    <w:p w:rsidR="00761A69" w:rsidRPr="000B16D5" w:rsidRDefault="00761A69" w:rsidP="00614607">
      <w:pPr>
        <w:spacing w:after="0"/>
        <w:jc w:val="both"/>
        <w:outlineLvl w:val="1"/>
        <w:rPr>
          <w:rFonts w:asciiTheme="majorHAnsi" w:eastAsia="Times New Roman" w:hAnsiTheme="majorHAnsi" w:cs="Times New Roman"/>
          <w:b/>
          <w:bCs/>
          <w:u w:val="single"/>
        </w:rPr>
      </w:pPr>
      <w:r w:rsidRPr="000B16D5">
        <w:rPr>
          <w:rFonts w:asciiTheme="majorHAnsi" w:eastAsia="Times New Roman" w:hAnsiTheme="majorHAnsi" w:cs="Times New Roman"/>
          <w:bCs/>
        </w:rPr>
        <w:t xml:space="preserve">Během života prochází jedinec různými obdobími, z nichž všechna mají z hlediska patogeneze chronických onemocnění svůj význam. </w:t>
      </w:r>
      <w:r w:rsidRPr="000B16D5">
        <w:rPr>
          <w:rFonts w:asciiTheme="majorHAnsi" w:eastAsia="Times New Roman" w:hAnsiTheme="majorHAnsi" w:cs="Times New Roman"/>
          <w:b/>
          <w:bCs/>
          <w:u w:val="single"/>
        </w:rPr>
        <w:t xml:space="preserve">Jsou to: prenatální období, kojenecké období, dětství a adolescence, dospělost a stáří. </w:t>
      </w:r>
    </w:p>
    <w:p w:rsidR="00736EEF" w:rsidRPr="000B16D5" w:rsidRDefault="00736EEF" w:rsidP="00614607">
      <w:pPr>
        <w:pStyle w:val="Normlnweb"/>
        <w:spacing w:before="0" w:beforeAutospacing="0" w:after="0" w:afterAutospacing="0" w:line="276" w:lineRule="auto"/>
        <w:jc w:val="both"/>
        <w:rPr>
          <w:rFonts w:asciiTheme="majorHAnsi" w:hAnsiTheme="majorHAnsi"/>
          <w:b/>
          <w:sz w:val="22"/>
          <w:szCs w:val="22"/>
        </w:rPr>
      </w:pPr>
    </w:p>
    <w:p w:rsidR="00761A69" w:rsidRPr="000B16D5" w:rsidRDefault="00761A69" w:rsidP="00736EEF">
      <w:pPr>
        <w:pStyle w:val="Palatino"/>
        <w:rPr>
          <w:rFonts w:asciiTheme="majorHAnsi" w:hAnsiTheme="majorHAnsi"/>
          <w:b/>
        </w:rPr>
      </w:pPr>
      <w:r w:rsidRPr="000B16D5">
        <w:rPr>
          <w:rFonts w:asciiTheme="majorHAnsi" w:hAnsiTheme="majorHAnsi"/>
          <w:b/>
        </w:rPr>
        <w:t>Fetální období a období prenatálního vývoje</w:t>
      </w:r>
    </w:p>
    <w:p w:rsidR="00736EEF"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Základními čtyřmi faktory, které mohou plod ovlivnit v úzké souvislosti s jeho prenatálním vývojem, jsou</w:t>
      </w:r>
      <w:r w:rsidR="00736EEF" w:rsidRPr="000B16D5">
        <w:rPr>
          <w:rFonts w:asciiTheme="majorHAnsi" w:hAnsiTheme="majorHAnsi"/>
          <w:sz w:val="22"/>
          <w:szCs w:val="22"/>
        </w:rPr>
        <w:t>:</w:t>
      </w:r>
    </w:p>
    <w:p w:rsidR="00736EEF" w:rsidRPr="000B16D5" w:rsidRDefault="00761A69" w:rsidP="00736EEF">
      <w:pPr>
        <w:pStyle w:val="Normlnweb"/>
        <w:numPr>
          <w:ilvl w:val="0"/>
          <w:numId w:val="24"/>
        </w:numPr>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intrauterinní růstová retardace</w:t>
      </w:r>
      <w:r w:rsidR="000A3699" w:rsidRPr="000B16D5">
        <w:rPr>
          <w:rFonts w:asciiTheme="majorHAnsi" w:hAnsiTheme="majorHAnsi"/>
          <w:sz w:val="22"/>
          <w:szCs w:val="22"/>
        </w:rPr>
        <w:t>,</w:t>
      </w:r>
    </w:p>
    <w:p w:rsidR="00736EEF" w:rsidRPr="000B16D5" w:rsidRDefault="00761A69" w:rsidP="00736EEF">
      <w:pPr>
        <w:pStyle w:val="Normlnweb"/>
        <w:numPr>
          <w:ilvl w:val="0"/>
          <w:numId w:val="24"/>
        </w:numPr>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předčasný porod plodu, který v děloze ovšem rostl normálně vzhledem ke svému gestačnímu věku</w:t>
      </w:r>
      <w:r w:rsidR="000A3699" w:rsidRPr="000B16D5">
        <w:rPr>
          <w:rFonts w:asciiTheme="majorHAnsi" w:hAnsiTheme="majorHAnsi"/>
          <w:sz w:val="22"/>
          <w:szCs w:val="22"/>
        </w:rPr>
        <w:t>,</w:t>
      </w:r>
    </w:p>
    <w:p w:rsidR="00736EEF" w:rsidRPr="000B16D5" w:rsidRDefault="00761A69" w:rsidP="00736EEF">
      <w:pPr>
        <w:pStyle w:val="Normlnweb"/>
        <w:numPr>
          <w:ilvl w:val="0"/>
          <w:numId w:val="24"/>
        </w:numPr>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nadměrná výživa v</w:t>
      </w:r>
      <w:r w:rsidR="000A3699" w:rsidRPr="000B16D5">
        <w:rPr>
          <w:rFonts w:asciiTheme="majorHAnsi" w:hAnsiTheme="majorHAnsi"/>
          <w:sz w:val="22"/>
          <w:szCs w:val="22"/>
        </w:rPr>
        <w:t> </w:t>
      </w:r>
      <w:r w:rsidRPr="000B16D5">
        <w:rPr>
          <w:rFonts w:asciiTheme="majorHAnsi" w:hAnsiTheme="majorHAnsi"/>
          <w:sz w:val="22"/>
          <w:szCs w:val="22"/>
        </w:rPr>
        <w:t>děloze</w:t>
      </w:r>
      <w:r w:rsidR="000A3699" w:rsidRPr="000B16D5">
        <w:rPr>
          <w:rFonts w:asciiTheme="majorHAnsi" w:hAnsiTheme="majorHAnsi"/>
          <w:sz w:val="22"/>
          <w:szCs w:val="22"/>
        </w:rPr>
        <w:t>,</w:t>
      </w:r>
    </w:p>
    <w:p w:rsidR="00736EEF" w:rsidRPr="000B16D5" w:rsidRDefault="00736EEF" w:rsidP="00736EEF">
      <w:pPr>
        <w:pStyle w:val="Normlnweb"/>
        <w:numPr>
          <w:ilvl w:val="0"/>
          <w:numId w:val="24"/>
        </w:numPr>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t</w:t>
      </w:r>
      <w:r w:rsidR="00761A69" w:rsidRPr="000B16D5">
        <w:rPr>
          <w:rFonts w:asciiTheme="majorHAnsi" w:hAnsiTheme="majorHAnsi"/>
          <w:sz w:val="22"/>
          <w:szCs w:val="22"/>
        </w:rPr>
        <w:t>ransgenerační efekty</w:t>
      </w:r>
      <w:r w:rsidR="000A3699" w:rsidRPr="000B16D5">
        <w:rPr>
          <w:rFonts w:asciiTheme="majorHAnsi" w:hAnsiTheme="majorHAnsi"/>
          <w:sz w:val="22"/>
          <w:szCs w:val="22"/>
        </w:rPr>
        <w:t>.</w:t>
      </w:r>
    </w:p>
    <w:p w:rsidR="00736EEF" w:rsidRPr="000B16D5" w:rsidRDefault="00736EEF" w:rsidP="00736EEF">
      <w:pPr>
        <w:pStyle w:val="Normlnweb"/>
        <w:spacing w:before="0" w:beforeAutospacing="0" w:after="0" w:afterAutospacing="0" w:line="276" w:lineRule="auto"/>
        <w:jc w:val="both"/>
        <w:rPr>
          <w:rFonts w:asciiTheme="majorHAnsi" w:hAnsiTheme="majorHAnsi"/>
          <w:sz w:val="22"/>
          <w:szCs w:val="22"/>
        </w:rPr>
      </w:pPr>
    </w:p>
    <w:p w:rsidR="00761A69" w:rsidRPr="000B16D5" w:rsidRDefault="00761A69" w:rsidP="00736EEF">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lastRenderedPageBreak/>
        <w:t>Existuje značné množství studií, které dokazují, že intrauterinní růstová retardace (IUGR), tedy zpomalený nebo neproporcionální růst plodu v děloze, je spojen se zvýšeným rizikem ischemické choroby srdeční, mozkové mrtvice, diabetu a zvýšeného krevního tlaku (2</w:t>
      </w:r>
      <w:r w:rsidR="00597419" w:rsidRPr="000B16D5">
        <w:rPr>
          <w:rFonts w:asciiTheme="majorHAnsi" w:hAnsiTheme="majorHAnsi"/>
          <w:sz w:val="22"/>
          <w:szCs w:val="22"/>
        </w:rPr>
        <w:t>–</w:t>
      </w:r>
      <w:r w:rsidRPr="000B16D5">
        <w:rPr>
          <w:rFonts w:asciiTheme="majorHAnsi" w:hAnsiTheme="majorHAnsi"/>
          <w:sz w:val="22"/>
          <w:szCs w:val="22"/>
        </w:rPr>
        <w:t>13). Je také možné, že vlastní patologické konsekvence nemá vlastní omezený růst plodu během života v děloze, ale rychlá tendence „dohnat růst“ (růstový catch-up) v časném poporodním období, je-li k dispozici dostatečně kalorická strava. Nadměrná velikost plodu při porodu (makrosomie) je nicméně také spjata s řadou dalších rizik, např. zvýšeným rizikem diabetu a kardiovaskulárních onemocnění</w:t>
      </w:r>
      <w:r w:rsidR="00D27CF7" w:rsidRPr="000B16D5">
        <w:rPr>
          <w:rFonts w:asciiTheme="majorHAnsi" w:hAnsiTheme="majorHAnsi"/>
          <w:sz w:val="22"/>
          <w:szCs w:val="22"/>
        </w:rPr>
        <w:t xml:space="preserve">. </w:t>
      </w:r>
      <w:r w:rsidRPr="000B16D5">
        <w:rPr>
          <w:rFonts w:asciiTheme="majorHAnsi" w:hAnsiTheme="majorHAnsi"/>
          <w:sz w:val="22"/>
          <w:szCs w:val="22"/>
        </w:rPr>
        <w:t>(14,</w:t>
      </w:r>
      <w:r w:rsidR="000A3699" w:rsidRPr="000B16D5">
        <w:rPr>
          <w:rFonts w:asciiTheme="majorHAnsi" w:hAnsiTheme="majorHAnsi"/>
          <w:sz w:val="22"/>
          <w:szCs w:val="22"/>
        </w:rPr>
        <w:t xml:space="preserve"> </w:t>
      </w:r>
      <w:r w:rsidRPr="000B16D5">
        <w:rPr>
          <w:rFonts w:asciiTheme="majorHAnsi" w:hAnsiTheme="majorHAnsi"/>
          <w:sz w:val="22"/>
          <w:szCs w:val="22"/>
        </w:rPr>
        <w:t xml:space="preserve">15) </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 xml:space="preserve">Celkově lze říci, že existuje určitá optimální porodní délka a hmotnost, při které očekáváme nejnižší morbiditu i mortalitu nejen v časném poporodním období, ale i s ohledem na chronická onemocnění později během života. </w:t>
      </w:r>
    </w:p>
    <w:p w:rsidR="00736EEF" w:rsidRPr="000B16D5" w:rsidRDefault="00736EEF" w:rsidP="00614607">
      <w:pPr>
        <w:pStyle w:val="Normlnweb"/>
        <w:spacing w:before="0" w:beforeAutospacing="0" w:after="0" w:afterAutospacing="0" w:line="276" w:lineRule="auto"/>
        <w:jc w:val="both"/>
        <w:rPr>
          <w:rFonts w:asciiTheme="majorHAnsi" w:hAnsiTheme="majorHAnsi"/>
          <w:sz w:val="22"/>
          <w:szCs w:val="22"/>
        </w:rPr>
      </w:pPr>
    </w:p>
    <w:p w:rsidR="00761A69" w:rsidRPr="000B16D5" w:rsidRDefault="00761A69" w:rsidP="00736EEF">
      <w:pPr>
        <w:pStyle w:val="Palatino"/>
        <w:rPr>
          <w:rFonts w:asciiTheme="majorHAnsi" w:hAnsiTheme="majorHAnsi"/>
          <w:b/>
        </w:rPr>
      </w:pPr>
      <w:bookmarkStart w:id="36" w:name="bm06.3.1"/>
      <w:bookmarkEnd w:id="36"/>
      <w:r w:rsidRPr="000B16D5">
        <w:rPr>
          <w:rFonts w:asciiTheme="majorHAnsi" w:hAnsiTheme="majorHAnsi"/>
          <w:b/>
        </w:rPr>
        <w:t>Shlukování rizikových faktorů</w:t>
      </w:r>
    </w:p>
    <w:p w:rsidR="00761A69" w:rsidRPr="000B16D5" w:rsidRDefault="00761A69" w:rsidP="00614607">
      <w:pPr>
        <w:spacing w:after="0"/>
        <w:jc w:val="both"/>
        <w:rPr>
          <w:rFonts w:asciiTheme="majorHAnsi" w:hAnsiTheme="majorHAnsi"/>
        </w:rPr>
      </w:pPr>
      <w:r w:rsidRPr="000B16D5">
        <w:rPr>
          <w:rFonts w:asciiTheme="majorHAnsi" w:hAnsiTheme="majorHAnsi"/>
        </w:rPr>
        <w:t>Narušená glukózová tolerance a nevhodný lipidový profil jsou často pozorovány již v dětství a v adolescenci, kde se často vyskytují spolu se zvýšeným tlakem krve a silně souvisejí s obezitou, zejména androidního typu (</w:t>
      </w:r>
      <w:r w:rsidRPr="000B16D5">
        <w:rPr>
          <w:rFonts w:asciiTheme="majorHAnsi" w:hAnsiTheme="majorHAnsi"/>
          <w:i/>
          <w:iCs/>
        </w:rPr>
        <w:t>16</w:t>
      </w:r>
      <w:r w:rsidR="000A3699" w:rsidRPr="000B16D5">
        <w:rPr>
          <w:rFonts w:asciiTheme="majorHAnsi" w:hAnsiTheme="majorHAnsi"/>
          <w:i/>
          <w:iCs/>
        </w:rPr>
        <w:t>–</w:t>
      </w:r>
      <w:r w:rsidRPr="000B16D5">
        <w:rPr>
          <w:rFonts w:asciiTheme="majorHAnsi" w:hAnsiTheme="majorHAnsi"/>
          <w:i/>
          <w:iCs/>
        </w:rPr>
        <w:t>19</w:t>
      </w:r>
      <w:r w:rsidRPr="000B16D5">
        <w:rPr>
          <w:rFonts w:asciiTheme="majorHAnsi" w:hAnsiTheme="majorHAnsi"/>
        </w:rPr>
        <w:t xml:space="preserve">). Zvýšený tlak krve, narušená glukózová tolerance a dyslipidémie </w:t>
      </w:r>
      <w:r w:rsidR="000A3699" w:rsidRPr="000B16D5">
        <w:rPr>
          <w:rFonts w:asciiTheme="majorHAnsi" w:hAnsiTheme="majorHAnsi"/>
        </w:rPr>
        <w:t>se zejména vyskytují</w:t>
      </w:r>
      <w:r w:rsidRPr="000B16D5">
        <w:rPr>
          <w:rFonts w:asciiTheme="majorHAnsi" w:hAnsiTheme="majorHAnsi"/>
        </w:rPr>
        <w:t xml:space="preserve"> u dětí a adolescentů s nezdravým životním stylem, např</w:t>
      </w:r>
      <w:r w:rsidR="00736EEF" w:rsidRPr="000B16D5">
        <w:rPr>
          <w:rFonts w:asciiTheme="majorHAnsi" w:hAnsiTheme="majorHAnsi"/>
        </w:rPr>
        <w:t>.</w:t>
      </w:r>
      <w:r w:rsidRPr="000B16D5">
        <w:rPr>
          <w:rFonts w:asciiTheme="majorHAnsi" w:hAnsiTheme="majorHAnsi"/>
        </w:rPr>
        <w:t xml:space="preserve"> u těch, kteří mají excesivní příjem nasycených tuků, cholesterolu a soli a neadekvátní příjem vlákniny. Toto shlukování, neboli „klastrování“ rizikových faktorů je velmi typické pro onemocnění, která označujeme také jako civilizační choroby, tedy typicky pro onemocnění chronická, objevující se později v dospělosti, se silnou účastí rizikových faktorů. Toto klastrování rizikových faktorů je dobře prozkoumaným fenoménem (20)</w:t>
      </w:r>
      <w:r w:rsidR="004E3897" w:rsidRPr="000B16D5">
        <w:rPr>
          <w:rFonts w:asciiTheme="majorHAnsi" w:hAnsiTheme="majorHAnsi"/>
        </w:rPr>
        <w:t>.</w:t>
      </w:r>
    </w:p>
    <w:p w:rsidR="00736EEF" w:rsidRPr="000B16D5" w:rsidRDefault="00736EEF" w:rsidP="00614607">
      <w:pPr>
        <w:spacing w:after="0"/>
        <w:jc w:val="both"/>
        <w:rPr>
          <w:rFonts w:asciiTheme="majorHAnsi" w:hAnsiTheme="majorHAnsi"/>
        </w:rPr>
      </w:pPr>
      <w:bookmarkStart w:id="37" w:name="bm06.3.2"/>
      <w:bookmarkEnd w:id="37"/>
    </w:p>
    <w:p w:rsidR="00761A69" w:rsidRPr="000B16D5" w:rsidRDefault="00761A69" w:rsidP="00614607">
      <w:pPr>
        <w:spacing w:after="0"/>
        <w:jc w:val="both"/>
        <w:rPr>
          <w:rFonts w:asciiTheme="majorHAnsi" w:hAnsiTheme="majorHAnsi"/>
          <w:b/>
        </w:rPr>
      </w:pPr>
      <w:r w:rsidRPr="000B16D5">
        <w:rPr>
          <w:rFonts w:asciiTheme="majorHAnsi" w:hAnsiTheme="majorHAnsi"/>
          <w:b/>
        </w:rPr>
        <w:t>Transgenerační účinky</w:t>
      </w:r>
    </w:p>
    <w:p w:rsidR="00761A69" w:rsidRPr="000B16D5" w:rsidRDefault="00761A69" w:rsidP="00614607">
      <w:pPr>
        <w:spacing w:after="0"/>
        <w:jc w:val="both"/>
        <w:rPr>
          <w:rFonts w:asciiTheme="majorHAnsi" w:hAnsiTheme="majorHAnsi"/>
        </w:rPr>
      </w:pPr>
      <w:r w:rsidRPr="000B16D5">
        <w:rPr>
          <w:rFonts w:asciiTheme="majorHAnsi" w:hAnsiTheme="majorHAnsi"/>
        </w:rPr>
        <w:t>Kojenci ženského pohlaví, kteří v časném poporodním období nerostou adekvátně, dosahují v dospělosti menší tělesné výšky a je u nich pravděpodobnější narození dětí s nízkou porodní hmotností, které budou pokračovat v tomto cyklu, protože je u nich opět větší pravděpodobnost, že v dospělosti nebudou mít adekvátní výšku (21). Porodní hmotnost matky je významným prediktorem porodní hmotnosti dítěte i po adjustaci výsledku na gestační věk, pohlaví dítěte, socioekonomický status a věk matky (21). Existují jasné ukazatele transgeneračních vlivů u obezity, např. při výskytu obezity u rodiče, při výskytu gestačního diabetu u matky a také s ohledem na porodní hmotnost matky. Nízká porodní hmotnost matky je spojena s vyšším krevním tlakem u potomstva. Nezdravý životní styl může mít tedy přímý vliv na zdraví dalších generací, např. při kouření v</w:t>
      </w:r>
      <w:r w:rsidR="004E3897" w:rsidRPr="000B16D5">
        <w:rPr>
          <w:rFonts w:asciiTheme="majorHAnsi" w:hAnsiTheme="majorHAnsi"/>
        </w:rPr>
        <w:t> </w:t>
      </w:r>
      <w:r w:rsidRPr="000B16D5">
        <w:rPr>
          <w:rFonts w:asciiTheme="majorHAnsi" w:hAnsiTheme="majorHAnsi"/>
        </w:rPr>
        <w:t>těhotenství</w:t>
      </w:r>
      <w:r w:rsidR="004E3897" w:rsidRPr="000B16D5">
        <w:rPr>
          <w:rFonts w:asciiTheme="majorHAnsi" w:hAnsiTheme="majorHAnsi"/>
        </w:rPr>
        <w:t xml:space="preserve"> </w:t>
      </w:r>
      <w:r w:rsidRPr="000B16D5">
        <w:rPr>
          <w:rFonts w:asciiTheme="majorHAnsi" w:hAnsiTheme="majorHAnsi"/>
        </w:rPr>
        <w:t>(22</w:t>
      </w:r>
      <w:r w:rsidR="00597419" w:rsidRPr="000B16D5">
        <w:rPr>
          <w:rFonts w:asciiTheme="majorHAnsi" w:hAnsiTheme="majorHAnsi"/>
        </w:rPr>
        <w:t>–</w:t>
      </w:r>
      <w:r w:rsidRPr="000B16D5">
        <w:rPr>
          <w:rFonts w:asciiTheme="majorHAnsi" w:hAnsiTheme="majorHAnsi"/>
        </w:rPr>
        <w:t>23)</w:t>
      </w:r>
      <w:r w:rsidR="004E3897" w:rsidRPr="000B16D5">
        <w:rPr>
          <w:rFonts w:asciiTheme="majorHAnsi" w:hAnsiTheme="majorHAnsi"/>
        </w:rPr>
        <w:t>.</w:t>
      </w:r>
    </w:p>
    <w:p w:rsidR="00761A69" w:rsidRPr="000B16D5" w:rsidRDefault="00761A69" w:rsidP="00614607">
      <w:pPr>
        <w:spacing w:after="0"/>
        <w:jc w:val="both"/>
        <w:rPr>
          <w:rFonts w:asciiTheme="majorHAnsi" w:hAnsiTheme="majorHAnsi"/>
        </w:rPr>
      </w:pPr>
    </w:p>
    <w:p w:rsidR="00761A69" w:rsidRPr="000B16D5" w:rsidRDefault="00761A69" w:rsidP="00614607">
      <w:pPr>
        <w:spacing w:after="0"/>
        <w:jc w:val="both"/>
        <w:rPr>
          <w:rFonts w:asciiTheme="majorHAnsi" w:hAnsiTheme="majorHAnsi"/>
        </w:rPr>
      </w:pPr>
      <w:r w:rsidRPr="000B16D5">
        <w:rPr>
          <w:rFonts w:asciiTheme="majorHAnsi" w:hAnsiTheme="majorHAnsi"/>
        </w:rPr>
        <w:t>V nejširším slova smyslu má výživa vliv opravdu na veškerá onemocnění, ať už se jedná o striktně „monogenní“ choroby nebo o onemocnění multigenní, svou roli hraje výživa i u onemocnění typu úrazů, tj. v nejširším slova smyslu ji lze považovat za významný faktor účastnící se průběhu z choroby. Dále jsou uvedena některá onemocnění, ať už monogenní, chromozomální či multifaktoriální, u kterých hraje výživa obzvláště významnou úlohu.</w:t>
      </w:r>
    </w:p>
    <w:p w:rsidR="00736EEF" w:rsidRPr="000B16D5" w:rsidRDefault="00736EEF" w:rsidP="00614607">
      <w:pPr>
        <w:pStyle w:val="Normlnweb"/>
        <w:spacing w:before="0" w:beforeAutospacing="0" w:after="0" w:afterAutospacing="0" w:line="276" w:lineRule="auto"/>
        <w:jc w:val="both"/>
        <w:rPr>
          <w:rFonts w:asciiTheme="majorHAnsi" w:hAnsiTheme="majorHAnsi"/>
          <w:b/>
          <w:sz w:val="22"/>
          <w:szCs w:val="22"/>
        </w:rPr>
      </w:pPr>
    </w:p>
    <w:p w:rsidR="00761A69" w:rsidRPr="000B16D5" w:rsidRDefault="00761A69" w:rsidP="00736EEF">
      <w:pPr>
        <w:pStyle w:val="Nadpispodkapitoly"/>
        <w:rPr>
          <w:rFonts w:asciiTheme="majorHAnsi" w:hAnsiTheme="majorHAnsi"/>
        </w:rPr>
      </w:pPr>
      <w:bookmarkStart w:id="38" w:name="_Toc380240609"/>
      <w:r w:rsidRPr="000B16D5">
        <w:rPr>
          <w:rFonts w:asciiTheme="majorHAnsi" w:hAnsiTheme="majorHAnsi"/>
        </w:rPr>
        <w:t>Fenylketonurie</w:t>
      </w:r>
      <w:bookmarkEnd w:id="38"/>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 xml:space="preserve">Fenylketonurie (PKU) je dědičné metabolické onemocnění charakterizované chyběním enzymu fenylalaninhydroxylázy. Ztráta tohoto enzymu vede k mentální retardaci, orgánovému poškození, neobvyklému držení těla a v případě PKU u matky, i k závažnému narušení vývoje plodu. </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 xml:space="preserve">Klasická forma PKU je autozomálně recesivní onemocnění způsobené mutacemi v obou alelách genu pro fenylalaninhydroxylázu (PAH), který se nalézá na chromozomu 12. V těle konvertuje fenylalaninhydroxyláza aminokyselinu fenylalanin na tyrozin. Mutace v obou kopiích PAH genu vede k tomu, že enzym není přítomen, nebo je méně účinný, a v těle tak může docházet ke hromadění fenylalaninu až do toxických hladin. V některých případech mohou mutace v PAH genů vést k fenotypicky mírné formě PKU zvané hyperfenylalaninémie. Jak klasická forma, tak mírná forma fenylketonurie vznikají v důsledku řady mutací v PAH lokusu, v těchto případech platí, že pokud má pacient dvě různé mutace v PAH genu, tak převažuje fenotyp daný mírnější mutací. </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lastRenderedPageBreak/>
        <w:t>U myší byla objevena myší forma fenylketonurie</w:t>
      </w:r>
      <w:r w:rsidR="00AE5EDA" w:rsidRPr="000B16D5">
        <w:rPr>
          <w:rFonts w:asciiTheme="majorHAnsi" w:hAnsiTheme="majorHAnsi"/>
          <w:sz w:val="22"/>
          <w:szCs w:val="22"/>
        </w:rPr>
        <w:t xml:space="preserve">; </w:t>
      </w:r>
      <w:r w:rsidRPr="000B16D5">
        <w:rPr>
          <w:rFonts w:asciiTheme="majorHAnsi" w:hAnsiTheme="majorHAnsi"/>
          <w:sz w:val="22"/>
          <w:szCs w:val="22"/>
        </w:rPr>
        <w:t>tyto modelové organismy nám pomáhají tomuto onemocnění lépe rozumět a lépe proti němu bojovat. Lidé s PKU mohou při pečlivém dodržování přísně specifikované diety vést normální život a matky s onemocněním mohou donosit a porodit zdravé děti.</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 xml:space="preserve">Jak bylo zmíněno výše, neléčená fenylketonurie vede k mentální retardaci, epileptickým záchvatům a různých zdravotním poruchám. Základem terapie klasické formy fenylketonurie je dieta s omezeným množstvím fenylalaninu doplněná o přípravek obsahující aminokyseliny a další živiny. Dle v současnosti platných doporučení by tato dieta měla být dodržována po celý život. U pacientů s časnou diagnózou lze danou dietou dosáhnout normální délky života a normálního mentálního vývoje, i když se má obecně za to, že při doplnění diety o aminokyselinové přípravky je vývoj ještě příznivější než u samotné diety. </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p>
    <w:p w:rsidR="00761A69" w:rsidRPr="000B16D5" w:rsidRDefault="00761A69" w:rsidP="00736EEF">
      <w:pPr>
        <w:pStyle w:val="Nadpispodkapitoly"/>
        <w:rPr>
          <w:rStyle w:val="Nzev1"/>
          <w:rFonts w:asciiTheme="majorHAnsi" w:hAnsiTheme="majorHAnsi"/>
          <w:b w:val="0"/>
          <w:color w:val="000000" w:themeColor="text1"/>
          <w:szCs w:val="24"/>
        </w:rPr>
      </w:pPr>
      <w:bookmarkStart w:id="39" w:name="_Toc380240610"/>
      <w:r w:rsidRPr="000B16D5">
        <w:rPr>
          <w:rStyle w:val="Nzev1"/>
          <w:rFonts w:asciiTheme="majorHAnsi" w:hAnsiTheme="majorHAnsi"/>
          <w:color w:val="000000" w:themeColor="text1"/>
          <w:szCs w:val="24"/>
        </w:rPr>
        <w:t>Hereditární hemochromatóza</w:t>
      </w:r>
      <w:bookmarkEnd w:id="39"/>
    </w:p>
    <w:p w:rsidR="00761A69" w:rsidRPr="000B16D5" w:rsidRDefault="00761A69" w:rsidP="00614607">
      <w:pPr>
        <w:spacing w:after="0"/>
        <w:jc w:val="both"/>
        <w:rPr>
          <w:rFonts w:asciiTheme="majorHAnsi" w:hAnsiTheme="majorHAnsi"/>
        </w:rPr>
      </w:pPr>
      <w:r w:rsidRPr="000B16D5">
        <w:rPr>
          <w:rFonts w:asciiTheme="majorHAnsi" w:hAnsiTheme="majorHAnsi"/>
        </w:rPr>
        <w:t xml:space="preserve">Hemochromatóza představuje jedno z nejčastějších genetických onemocnění u lidí v severní </w:t>
      </w:r>
      <w:r w:rsidR="0010382A" w:rsidRPr="000B16D5">
        <w:rPr>
          <w:rFonts w:asciiTheme="majorHAnsi" w:hAnsiTheme="majorHAnsi"/>
        </w:rPr>
        <w:t xml:space="preserve">Evropě </w:t>
      </w:r>
      <w:r w:rsidRPr="000B16D5">
        <w:rPr>
          <w:rFonts w:asciiTheme="majorHAnsi" w:hAnsiTheme="majorHAnsi"/>
        </w:rPr>
        <w:t xml:space="preserve">s prevalencí až </w:t>
      </w:r>
      <w:r w:rsidR="0010382A" w:rsidRPr="000B16D5">
        <w:rPr>
          <w:rFonts w:asciiTheme="majorHAnsi" w:hAnsiTheme="majorHAnsi"/>
        </w:rPr>
        <w:t xml:space="preserve">jeden </w:t>
      </w:r>
      <w:r w:rsidRPr="000B16D5">
        <w:rPr>
          <w:rFonts w:asciiTheme="majorHAnsi" w:hAnsiTheme="majorHAnsi"/>
        </w:rPr>
        <w:t xml:space="preserve">pacient na 200 zdravých jedinců. Onemocnění má velmi variabilní penetranci a přibližně </w:t>
      </w:r>
      <w:r w:rsidR="0010382A" w:rsidRPr="000B16D5">
        <w:rPr>
          <w:rFonts w:asciiTheme="majorHAnsi" w:hAnsiTheme="majorHAnsi"/>
        </w:rPr>
        <w:t xml:space="preserve">jedna </w:t>
      </w:r>
      <w:r w:rsidRPr="000B16D5">
        <w:rPr>
          <w:rFonts w:asciiTheme="majorHAnsi" w:hAnsiTheme="majorHAnsi"/>
        </w:rPr>
        <w:t>osoba z </w:t>
      </w:r>
      <w:r w:rsidR="0010382A" w:rsidRPr="000B16D5">
        <w:rPr>
          <w:rFonts w:asciiTheme="majorHAnsi" w:hAnsiTheme="majorHAnsi"/>
        </w:rPr>
        <w:t xml:space="preserve">deseti </w:t>
      </w:r>
      <w:r w:rsidRPr="000B16D5">
        <w:rPr>
          <w:rFonts w:asciiTheme="majorHAnsi" w:hAnsiTheme="majorHAnsi"/>
        </w:rPr>
        <w:t>v této demografické oblasti nese mutaci v jednom z genů kontrolujících metabolismus železa. Genetické studie naznačují, že původní mutace způsobující hemochromatózu vznikla u jediné osoby (efekt zakladatele), pravděpodobně keltského původu, která žila před 60</w:t>
      </w:r>
      <w:r w:rsidR="00CE1594" w:rsidRPr="000B16D5">
        <w:rPr>
          <w:rFonts w:asciiTheme="majorHAnsi" w:hAnsiTheme="majorHAnsi"/>
        </w:rPr>
        <w:t>–</w:t>
      </w:r>
      <w:r w:rsidRPr="000B16D5">
        <w:rPr>
          <w:rFonts w:asciiTheme="majorHAnsi" w:hAnsiTheme="majorHAnsi"/>
        </w:rPr>
        <w:t>70 generacemi (24). V době, kdy byl příjem železa ve stravě podstatně nižší než dnes a kdy bylo také podstatně pravděpodobnější, že u daného jedince dojde k výrazné nebo opakované krevní ztrátě, mohla tato mutovaná alela poskytovat evoluční výhodu proti přirozené selekci.</w:t>
      </w:r>
    </w:p>
    <w:p w:rsidR="00761A69" w:rsidRPr="000B16D5" w:rsidRDefault="00761A69" w:rsidP="00614607">
      <w:pPr>
        <w:spacing w:after="0"/>
        <w:jc w:val="both"/>
        <w:rPr>
          <w:rFonts w:asciiTheme="majorHAnsi" w:hAnsiTheme="majorHAnsi"/>
        </w:rPr>
      </w:pPr>
      <w:r w:rsidRPr="000B16D5">
        <w:rPr>
          <w:rFonts w:asciiTheme="majorHAnsi" w:hAnsiTheme="majorHAnsi"/>
        </w:rPr>
        <w:t xml:space="preserve">U hereditární hemochromatózy obecně dochází ke zvyšování množství železa v těle, přičemž železo je zvýšeně absorbováno v zažívacím traktu. Symptomy onemocnění souvisejí s nadměrným ukládáním železa v řadě tělesných orgánů. Železo se nejčastěji ukládá v játrech, kde způsobuje jaterní cirhózu a u malého množství pacientů s cirhózou i hepatocelulární karcinom. Železo se ukládá také ve slinivce, kde může časem způsobit destrukci beta buněk pankreatických ostrůvků a vznik cukrovky. Nadměrné ukládání železa se může objevit i ve formě kardiomyopatie, oblastí kožních pigmentací a ve formě artritidy. </w:t>
      </w:r>
    </w:p>
    <w:p w:rsidR="00761A69" w:rsidRPr="000B16D5" w:rsidRDefault="00761A69" w:rsidP="00614607">
      <w:pPr>
        <w:spacing w:after="0"/>
        <w:jc w:val="both"/>
        <w:rPr>
          <w:rFonts w:asciiTheme="majorHAnsi" w:hAnsiTheme="majorHAnsi"/>
        </w:rPr>
      </w:pPr>
      <w:r w:rsidRPr="000B16D5">
        <w:rPr>
          <w:rFonts w:asciiTheme="majorHAnsi" w:hAnsiTheme="majorHAnsi"/>
        </w:rPr>
        <w:t>Hemochromatózu může způsobit mnoho mutací v transportním systému proteinů pro železo, nicméně většina případů onemocnění je způsobena mutací HFE genu. Tento gen je umístěn na chromozomu 6 a jedna ze známých mutací zde způsobuje záměnu 282. aminokyseliny vznikajícího proteinu,</w:t>
      </w:r>
      <w:r w:rsidR="0010382A" w:rsidRPr="000B16D5">
        <w:rPr>
          <w:rFonts w:asciiTheme="majorHAnsi" w:hAnsiTheme="majorHAnsi"/>
        </w:rPr>
        <w:t xml:space="preserve"> přičemž</w:t>
      </w:r>
      <w:r w:rsidRPr="000B16D5">
        <w:rPr>
          <w:rFonts w:asciiTheme="majorHAnsi" w:hAnsiTheme="majorHAnsi"/>
        </w:rPr>
        <w:t xml:space="preserve"> tato mutace způsobuje záměnu cysteinu za tyrozin, a proto se nazývá C282Y. Má se za to, že záměna aminokyselin ovlivňuje způsob interakce HFE proteinu s transferinovým receptorem (TFR1), který hraje významnou úlohu v metabolismu a homeostáze železa v organismu. V HFE genu byla identifikována i méně častá mutace, H63D, která také způsobuje hemochromatózu.</w:t>
      </w:r>
    </w:p>
    <w:p w:rsidR="00736EEF" w:rsidRPr="000B16D5" w:rsidRDefault="00761A69" w:rsidP="00736EEF">
      <w:pPr>
        <w:keepNext/>
        <w:spacing w:after="0"/>
        <w:jc w:val="center"/>
        <w:rPr>
          <w:rFonts w:asciiTheme="majorHAnsi" w:hAnsiTheme="majorHAnsi"/>
        </w:rPr>
      </w:pPr>
      <w:r w:rsidRPr="000B16D5">
        <w:rPr>
          <w:rFonts w:asciiTheme="majorHAnsi" w:hAnsiTheme="majorHAnsi"/>
          <w:noProof/>
          <w:color w:val="0000FF"/>
          <w:highlight w:val="green"/>
        </w:rPr>
        <w:drawing>
          <wp:inline distT="0" distB="0" distL="0" distR="0" wp14:anchorId="5D81B1C2" wp14:editId="538D3F29">
            <wp:extent cx="1636044" cy="1423358"/>
            <wp:effectExtent l="0" t="0" r="0" b="0"/>
            <wp:docPr id="9" name="Obrázek 9" descr="The HFE protein. The HFE protein is similar in structure to MHC class I, consisting of two pairs of alpha and beta chains.">
              <a:hlinkClick xmlns:a="http://schemas.openxmlformats.org/drawingml/2006/main" r:id="rId47" tgtFrame="&quot;object&quot;" tooltip="&quot;The HFE prote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FE protein. The HFE protein is similar in structure to MHC class I, consisting of two pairs of alpha and beta chains.">
                      <a:hlinkClick r:id="rId47" tgtFrame="&quot;object&quot;" tooltip="&quot;The HFE protein&quot;"/>
                    </pic:cNvPr>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2241" cy="1428749"/>
                    </a:xfrm>
                    <a:prstGeom prst="rect">
                      <a:avLst/>
                    </a:prstGeom>
                    <a:noFill/>
                    <a:ln>
                      <a:noFill/>
                    </a:ln>
                  </pic:spPr>
                </pic:pic>
              </a:graphicData>
            </a:graphic>
          </wp:inline>
        </w:drawing>
      </w:r>
    </w:p>
    <w:p w:rsidR="00761A69" w:rsidRPr="000B16D5" w:rsidRDefault="00736EEF" w:rsidP="00736EEF">
      <w:pPr>
        <w:pStyle w:val="Titulek"/>
        <w:jc w:val="center"/>
        <w:rPr>
          <w:rFonts w:asciiTheme="majorHAnsi" w:hAnsiTheme="majorHAnsi"/>
          <w:i/>
          <w:color w:val="808080" w:themeColor="background1" w:themeShade="80"/>
          <w:highlight w:val="green"/>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9</w:t>
      </w:r>
      <w:r w:rsidRPr="000B16D5">
        <w:rPr>
          <w:rFonts w:asciiTheme="majorHAnsi" w:hAnsiTheme="majorHAnsi"/>
          <w:i/>
          <w:color w:val="808080" w:themeColor="background1" w:themeShade="80"/>
        </w:rPr>
        <w:fldChar w:fldCharType="end"/>
      </w:r>
      <w:r w:rsidRPr="000B16D5">
        <w:rPr>
          <w:rFonts w:asciiTheme="majorHAnsi" w:hAnsiTheme="majorHAnsi"/>
          <w:i/>
          <w:color w:val="808080" w:themeColor="background1" w:themeShade="80"/>
        </w:rPr>
        <w:t xml:space="preserve"> </w:t>
      </w:r>
      <w:r w:rsidR="00F17D84" w:rsidRPr="000B16D5">
        <w:rPr>
          <w:rFonts w:asciiTheme="majorHAnsi" w:hAnsiTheme="majorHAnsi"/>
          <w:i/>
          <w:color w:val="808080" w:themeColor="background1" w:themeShade="80"/>
        </w:rPr>
        <w:t>–</w:t>
      </w:r>
      <w:r w:rsidRPr="000B16D5">
        <w:rPr>
          <w:rFonts w:asciiTheme="majorHAnsi" w:hAnsiTheme="majorHAnsi"/>
          <w:i/>
          <w:color w:val="808080" w:themeColor="background1" w:themeShade="80"/>
        </w:rPr>
        <w:t xml:space="preserve"> HFE protein</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 xml:space="preserve">V bělošské </w:t>
      </w:r>
      <w:r w:rsidR="0010382A" w:rsidRPr="000B16D5">
        <w:rPr>
          <w:rFonts w:asciiTheme="majorHAnsi" w:hAnsiTheme="majorHAnsi"/>
          <w:sz w:val="22"/>
          <w:szCs w:val="22"/>
        </w:rPr>
        <w:t xml:space="preserve">populaci </w:t>
      </w:r>
      <w:r w:rsidRPr="000B16D5">
        <w:rPr>
          <w:rFonts w:asciiTheme="majorHAnsi" w:hAnsiTheme="majorHAnsi"/>
          <w:sz w:val="22"/>
          <w:szCs w:val="22"/>
        </w:rPr>
        <w:t>ve Spojených státech je hemochromatóza jedním z nejčastějších autozomálně recesivních onemocnění, u většiny jedinců onemocnění probíhá bez příznaků. To lze vysvětlit jednak stravou (při nedostatku železa ve stravě nedochází k excesivnímu vstřebávání), jednak krevními ztrátami (ženy ve fertilním věku mají menší náchylnost k závažným formám onemocnění, protože ztrácejí mnoho železa menstruací a eventuálními událostmi souvisejícími s těhotenstvím/porodem).</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Možnosti léčby zahrnují opakované venepunkce (odběr krve), dietu s nízkým zastoupením železa, některé farmakologické preparáty (deferoxamin mesylát).</w:t>
      </w:r>
    </w:p>
    <w:p w:rsidR="00736EEF" w:rsidRDefault="00736EEF" w:rsidP="00614607">
      <w:pPr>
        <w:pStyle w:val="Normlnweb"/>
        <w:spacing w:before="0" w:beforeAutospacing="0" w:after="0" w:afterAutospacing="0" w:line="276" w:lineRule="auto"/>
        <w:jc w:val="both"/>
        <w:rPr>
          <w:rFonts w:asciiTheme="majorHAnsi" w:hAnsiTheme="majorHAnsi"/>
          <w:b/>
          <w:sz w:val="22"/>
          <w:szCs w:val="22"/>
        </w:rPr>
      </w:pPr>
    </w:p>
    <w:p w:rsidR="00DC0816" w:rsidRDefault="00DC0816" w:rsidP="00614607">
      <w:pPr>
        <w:pStyle w:val="Normlnweb"/>
        <w:spacing w:before="0" w:beforeAutospacing="0" w:after="0" w:afterAutospacing="0" w:line="276" w:lineRule="auto"/>
        <w:jc w:val="both"/>
        <w:rPr>
          <w:rFonts w:asciiTheme="majorHAnsi" w:hAnsiTheme="majorHAnsi"/>
          <w:b/>
          <w:sz w:val="22"/>
          <w:szCs w:val="22"/>
        </w:rPr>
      </w:pPr>
    </w:p>
    <w:p w:rsidR="00DC0816" w:rsidRPr="000B16D5" w:rsidRDefault="00DC0816" w:rsidP="00614607">
      <w:pPr>
        <w:pStyle w:val="Normlnweb"/>
        <w:spacing w:before="0" w:beforeAutospacing="0" w:after="0" w:afterAutospacing="0" w:line="276" w:lineRule="auto"/>
        <w:jc w:val="both"/>
        <w:rPr>
          <w:rFonts w:asciiTheme="majorHAnsi" w:hAnsiTheme="majorHAnsi"/>
          <w:b/>
          <w:sz w:val="22"/>
          <w:szCs w:val="22"/>
        </w:rPr>
      </w:pPr>
    </w:p>
    <w:p w:rsidR="00761A69" w:rsidRPr="000B16D5" w:rsidRDefault="00761A69" w:rsidP="00736EEF">
      <w:pPr>
        <w:pStyle w:val="Nadpispodkapitoly"/>
        <w:rPr>
          <w:rFonts w:asciiTheme="majorHAnsi" w:hAnsiTheme="majorHAnsi"/>
        </w:rPr>
      </w:pPr>
      <w:bookmarkStart w:id="40" w:name="_Toc380240611"/>
      <w:r w:rsidRPr="000B16D5">
        <w:rPr>
          <w:rFonts w:asciiTheme="majorHAnsi" w:hAnsiTheme="majorHAnsi"/>
        </w:rPr>
        <w:lastRenderedPageBreak/>
        <w:t>Syndrom Prader-Willi</w:t>
      </w:r>
      <w:bookmarkEnd w:id="40"/>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Syndrom Prader-Willi (PWS) je relativně vzácné genetické onemocnění, charakterizované mentální retardací, v kojeneckém věku svalovou hypotonií a obtížným krmením, často v důsledku chabého sacího reflexu, který později v batolecím a předškolním období vystřídá neukojitelný apetit, vedoucí postupně ke vzniku život ohrožující obezity. Syndrom byl popsán poprvé v roce 1956 ve Švýcarsku.</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Syndrom Prader-Willi patří mezi chromozomální aberace, konkrétně se jedná o tzv. mikrodeleční syndrom, a je způsoben absencí segmentu 11</w:t>
      </w:r>
      <w:r w:rsidR="0010382A" w:rsidRPr="000B16D5">
        <w:rPr>
          <w:rFonts w:asciiTheme="majorHAnsi" w:hAnsiTheme="majorHAnsi"/>
          <w:sz w:val="22"/>
          <w:szCs w:val="22"/>
        </w:rPr>
        <w:t>–</w:t>
      </w:r>
      <w:r w:rsidRPr="000B16D5">
        <w:rPr>
          <w:rFonts w:asciiTheme="majorHAnsi" w:hAnsiTheme="majorHAnsi"/>
          <w:sz w:val="22"/>
          <w:szCs w:val="22"/>
        </w:rPr>
        <w:t>13 na dlouhém raménku paternálního chromozomu 15. U 70</w:t>
      </w:r>
      <w:r w:rsidR="0010382A" w:rsidRPr="000B16D5">
        <w:rPr>
          <w:rFonts w:asciiTheme="majorHAnsi" w:hAnsiTheme="majorHAnsi"/>
          <w:sz w:val="22"/>
          <w:szCs w:val="22"/>
        </w:rPr>
        <w:t>–</w:t>
      </w:r>
      <w:r w:rsidRPr="000B16D5">
        <w:rPr>
          <w:rFonts w:asciiTheme="majorHAnsi" w:hAnsiTheme="majorHAnsi"/>
          <w:sz w:val="22"/>
          <w:szCs w:val="22"/>
        </w:rPr>
        <w:t>80</w:t>
      </w:r>
      <w:r w:rsidR="0010382A" w:rsidRPr="000B16D5">
        <w:rPr>
          <w:rFonts w:asciiTheme="majorHAnsi" w:hAnsiTheme="majorHAnsi"/>
          <w:sz w:val="22"/>
          <w:szCs w:val="22"/>
        </w:rPr>
        <w:t xml:space="preserve"> </w:t>
      </w:r>
      <w:r w:rsidRPr="000B16D5">
        <w:rPr>
          <w:rFonts w:asciiTheme="majorHAnsi" w:hAnsiTheme="majorHAnsi"/>
          <w:sz w:val="22"/>
          <w:szCs w:val="22"/>
        </w:rPr>
        <w:t xml:space="preserve">% případů s PWS tato oblast chybí z důvodu delece. Určité geny v této oblasti jsou normálně na mateřském chromozomu potlačeny, takže aby došlo k normálnímu vývoji jedince, musí se exprimovat kopie na otcovském chromozomu. Jestliže tyto otcovské geny chybějí (delece), nebo jsou narušeny (nevhodný imprinting), objevuje se fenotyp PWS. Pokud stejný segment chybí na mateřském chromozomu 15, vzniká zcela odlišné onemocnění, Angelmanův syndrom. Tento typ dědičnosti, kdy exprese genu závisí na tom, zda je gen zděděn od otce či matky, se nazývá genomický imprinting. Mechanismus imprintingu není zatím zcela pochopen, ale předpokládá se účast DNA metylace, což jsou epigenetické procesy. </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Geny, které se nacházejí v chromozomální oblasti PWS</w:t>
      </w:r>
      <w:r w:rsidR="0010382A" w:rsidRPr="000B16D5">
        <w:rPr>
          <w:rFonts w:asciiTheme="majorHAnsi" w:hAnsiTheme="majorHAnsi"/>
          <w:sz w:val="22"/>
          <w:szCs w:val="22"/>
        </w:rPr>
        <w:t>,</w:t>
      </w:r>
      <w:r w:rsidRPr="000B16D5">
        <w:rPr>
          <w:rFonts w:asciiTheme="majorHAnsi" w:hAnsiTheme="majorHAnsi"/>
          <w:sz w:val="22"/>
          <w:szCs w:val="22"/>
        </w:rPr>
        <w:t xml:space="preserve"> kódují malý ribonukleoprotein N (SNRPN). Tento protein se účastní zpracovávání mRNA, kroku mezi transkripcí a translací. U myší vzniká při vyblokování SNRPN lokusu stav, který velmi připomíná PWS. </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 xml:space="preserve">Kauzální léčba tohoto onemocnění neexistuje. Děti s PWS vyžadují komplexní péči zahrnující adekvátní výživu </w:t>
      </w:r>
      <w:r w:rsidR="0010382A" w:rsidRPr="000B16D5">
        <w:rPr>
          <w:rFonts w:asciiTheme="majorHAnsi" w:hAnsiTheme="majorHAnsi"/>
          <w:sz w:val="22"/>
          <w:szCs w:val="22"/>
        </w:rPr>
        <w:t>–</w:t>
      </w:r>
      <w:r w:rsidRPr="000B16D5">
        <w:rPr>
          <w:rFonts w:asciiTheme="majorHAnsi" w:hAnsiTheme="majorHAnsi"/>
          <w:sz w:val="22"/>
          <w:szCs w:val="22"/>
        </w:rPr>
        <w:t xml:space="preserve"> v kojeneckém věku vysokokalorické formule, později naopak nízkokalorická strava; substituci růstového hormonu; substituci pohlavních hormonů a komplexní rehabilitační, pedagogicko-psychologickou a logopedickou péči. </w:t>
      </w:r>
    </w:p>
    <w:p w:rsidR="00736EEF" w:rsidRPr="000B16D5" w:rsidRDefault="00736EEF" w:rsidP="00614607">
      <w:pPr>
        <w:pStyle w:val="Normlnweb"/>
        <w:spacing w:before="0" w:beforeAutospacing="0" w:after="0" w:afterAutospacing="0" w:line="276" w:lineRule="auto"/>
        <w:jc w:val="both"/>
        <w:rPr>
          <w:rFonts w:asciiTheme="majorHAnsi" w:hAnsiTheme="majorHAnsi"/>
          <w:b/>
          <w:sz w:val="22"/>
          <w:szCs w:val="22"/>
        </w:rPr>
      </w:pPr>
    </w:p>
    <w:p w:rsidR="00761A69" w:rsidRPr="000B16D5" w:rsidRDefault="00761A69" w:rsidP="00736EEF">
      <w:pPr>
        <w:pStyle w:val="Nadpispodkapitoly"/>
        <w:rPr>
          <w:rFonts w:asciiTheme="majorHAnsi" w:hAnsiTheme="majorHAnsi"/>
        </w:rPr>
      </w:pPr>
      <w:bookmarkStart w:id="41" w:name="_Toc380240612"/>
      <w:r w:rsidRPr="000B16D5">
        <w:rPr>
          <w:rFonts w:asciiTheme="majorHAnsi" w:hAnsiTheme="majorHAnsi"/>
        </w:rPr>
        <w:t>Familiární hypercholesterolémie</w:t>
      </w:r>
      <w:bookmarkEnd w:id="41"/>
    </w:p>
    <w:p w:rsidR="00761A69" w:rsidRPr="000B16D5" w:rsidRDefault="007A1485"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Familiární hypercholesterolémie je g</w:t>
      </w:r>
      <w:r w:rsidR="00761A69" w:rsidRPr="000B16D5">
        <w:rPr>
          <w:rFonts w:asciiTheme="majorHAnsi" w:hAnsiTheme="majorHAnsi"/>
          <w:sz w:val="22"/>
          <w:szCs w:val="22"/>
        </w:rPr>
        <w:t xml:space="preserve">enetické, v typické formě autosomálně dominantní onemocnění charakterizované vysokými či extrémně vysokými hladinami cholesterolu, zejména cholesterolu s nízkou hustotou (LDL), v krvi a časným rozvojem kardiovaskulárních onemocnění. Onemocnění se ve většině zemí vyskytuje ve frekvenci </w:t>
      </w:r>
      <w:r w:rsidR="000A4E3C" w:rsidRPr="000B16D5">
        <w:rPr>
          <w:rFonts w:asciiTheme="majorHAnsi" w:hAnsiTheme="majorHAnsi"/>
          <w:sz w:val="22"/>
          <w:szCs w:val="22"/>
        </w:rPr>
        <w:t xml:space="preserve">jeden </w:t>
      </w:r>
      <w:r w:rsidR="00761A69" w:rsidRPr="000B16D5">
        <w:rPr>
          <w:rFonts w:asciiTheme="majorHAnsi" w:hAnsiTheme="majorHAnsi"/>
          <w:sz w:val="22"/>
          <w:szCs w:val="22"/>
        </w:rPr>
        <w:t>případ na cca 500 zdravých jedinců, přičemž homozygotní forma je mnohem vzácnější (</w:t>
      </w:r>
      <w:r w:rsidR="000A4E3C" w:rsidRPr="000B16D5">
        <w:rPr>
          <w:rFonts w:asciiTheme="majorHAnsi" w:hAnsiTheme="majorHAnsi"/>
          <w:sz w:val="22"/>
          <w:szCs w:val="22"/>
        </w:rPr>
        <w:t xml:space="preserve">jeden </w:t>
      </w:r>
      <w:r w:rsidR="00761A69" w:rsidRPr="000B16D5">
        <w:rPr>
          <w:rFonts w:asciiTheme="majorHAnsi" w:hAnsiTheme="majorHAnsi"/>
          <w:sz w:val="22"/>
          <w:szCs w:val="22"/>
        </w:rPr>
        <w:t>postižený jedinec na 1</w:t>
      </w:r>
      <w:r w:rsidR="000A4E3C" w:rsidRPr="000B16D5">
        <w:rPr>
          <w:rFonts w:asciiTheme="majorHAnsi" w:hAnsiTheme="majorHAnsi"/>
          <w:sz w:val="22"/>
          <w:szCs w:val="22"/>
        </w:rPr>
        <w:t> </w:t>
      </w:r>
      <w:r w:rsidR="00761A69" w:rsidRPr="000B16D5">
        <w:rPr>
          <w:rFonts w:asciiTheme="majorHAnsi" w:hAnsiTheme="majorHAnsi"/>
          <w:sz w:val="22"/>
          <w:szCs w:val="22"/>
        </w:rPr>
        <w:t>000</w:t>
      </w:r>
      <w:r w:rsidR="000A4E3C" w:rsidRPr="000B16D5">
        <w:rPr>
          <w:rFonts w:asciiTheme="majorHAnsi" w:hAnsiTheme="majorHAnsi"/>
          <w:sz w:val="22"/>
          <w:szCs w:val="22"/>
        </w:rPr>
        <w:t xml:space="preserve"> </w:t>
      </w:r>
      <w:r w:rsidR="00761A69" w:rsidRPr="000B16D5">
        <w:rPr>
          <w:rFonts w:asciiTheme="majorHAnsi" w:hAnsiTheme="majorHAnsi"/>
          <w:sz w:val="22"/>
          <w:szCs w:val="22"/>
        </w:rPr>
        <w:t>000 porodů zdravých dětí). Vysoká hladina cholesterolu u familiární hypercholesterolémie hůře odpovídá na bežné léčebné metody (dieta a léky ze skupiny statinů), protože biochemické procesy v těle jsou u těchto pacientů poněkud odlišné. Mnoho pacientů s familiární hypercholesterolémií má mutaci v LDLR genu, který kóduje protein LDL receptor, který za normálních podmínek vychytává LDL z cirkulace, nebo mutaci v apolipoproteinu B (ApoB), který je součástí LDL a váže se na tento receptor. Pacienti s jednou mutovanou kopií genu pro LDLR (heterozygoti) mohou onemocnět závažnou formou kardiovaskulárního onemocnění již ve věku 30 až 40 let. Přítomnost dvou mutovaných kopií (homozygotní forma onemocnění) může způsobit závažné kardiovaskulární onemocnění již v dětství, klasicky během puberty (infarkt před 20. rokem věku).</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 xml:space="preserve">Heterozygotní forma onemocnění se obvykle léčí statiny, sekvestranty žlučových kyselin nebo jinými přípravky pro snížení hhladiny cholesterolu. U závažných forem se provádí LDL aferéza (odstranění LDL z krve na podobném principu jako u dialýzy) a příležitostně se provádí transplantace jater. U homozygotní formy familiární hypercholesterolémie se nyní již </w:t>
      </w:r>
      <w:r w:rsidR="005D2042" w:rsidRPr="000B16D5">
        <w:rPr>
          <w:rFonts w:asciiTheme="majorHAnsi" w:hAnsiTheme="majorHAnsi"/>
          <w:sz w:val="22"/>
          <w:szCs w:val="22"/>
        </w:rPr>
        <w:t xml:space="preserve">provádějí </w:t>
      </w:r>
      <w:r w:rsidRPr="000B16D5">
        <w:rPr>
          <w:rFonts w:asciiTheme="majorHAnsi" w:hAnsiTheme="majorHAnsi"/>
          <w:sz w:val="22"/>
          <w:szCs w:val="22"/>
        </w:rPr>
        <w:t>první klinické pokusy s preparáty připravenými postupy genové terapie.</w:t>
      </w:r>
    </w:p>
    <w:p w:rsidR="00761A69" w:rsidRPr="000B16D5" w:rsidRDefault="00761A69" w:rsidP="00614607">
      <w:pPr>
        <w:pStyle w:val="Normlnweb"/>
        <w:spacing w:before="0" w:beforeAutospacing="0" w:after="0" w:afterAutospacing="0" w:line="276" w:lineRule="auto"/>
        <w:jc w:val="both"/>
        <w:rPr>
          <w:rFonts w:asciiTheme="majorHAnsi" w:hAnsiTheme="majorHAnsi"/>
          <w:sz w:val="22"/>
          <w:szCs w:val="22"/>
        </w:rPr>
      </w:pPr>
      <w:r w:rsidRPr="000B16D5">
        <w:rPr>
          <w:rFonts w:asciiTheme="majorHAnsi" w:hAnsiTheme="majorHAnsi"/>
          <w:sz w:val="22"/>
          <w:szCs w:val="22"/>
        </w:rPr>
        <w:t>Vysoké hladiny cholesterolu obvykle nezpůsobují pacientovi řadu let klinické obtíže. Cholesterol se může ukládat na různých místech v těle a může způsobovat např. nažloutlá políčka okolo očních víček (</w:t>
      </w:r>
      <w:r w:rsidRPr="000B16D5">
        <w:rPr>
          <w:rFonts w:asciiTheme="majorHAnsi" w:hAnsiTheme="majorHAnsi"/>
          <w:i/>
          <w:sz w:val="22"/>
          <w:szCs w:val="22"/>
        </w:rPr>
        <w:t>xanthelasma palpebrarum</w:t>
      </w:r>
      <w:r w:rsidRPr="000B16D5">
        <w:rPr>
          <w:rFonts w:asciiTheme="majorHAnsi" w:hAnsiTheme="majorHAnsi"/>
          <w:sz w:val="22"/>
          <w:szCs w:val="22"/>
        </w:rPr>
        <w:t>), kolem vnějšího obvodu duhovky (</w:t>
      </w:r>
      <w:r w:rsidRPr="000B16D5">
        <w:rPr>
          <w:rFonts w:asciiTheme="majorHAnsi" w:hAnsiTheme="majorHAnsi"/>
          <w:i/>
          <w:sz w:val="22"/>
          <w:szCs w:val="22"/>
        </w:rPr>
        <w:t>arcus senilis corneae</w:t>
      </w:r>
      <w:r w:rsidRPr="000B16D5">
        <w:rPr>
          <w:rFonts w:asciiTheme="majorHAnsi" w:hAnsiTheme="majorHAnsi"/>
          <w:sz w:val="22"/>
          <w:szCs w:val="22"/>
        </w:rPr>
        <w:t>) a ve formě bulek na šlachách rukou, nohou, lokte, zejména v oblasti Achillovy šlachy (xantom šlachy). U všech pacientů s těmito projevy by mělo být provedeno vyšetření lipidového profilu</w:t>
      </w:r>
      <w:r w:rsidR="00F92B77" w:rsidRPr="000B16D5">
        <w:rPr>
          <w:rFonts w:asciiTheme="majorHAnsi" w:hAnsiTheme="majorHAnsi"/>
          <w:sz w:val="22"/>
          <w:szCs w:val="22"/>
        </w:rPr>
        <w:t>,</w:t>
      </w:r>
      <w:r w:rsidRPr="000B16D5">
        <w:rPr>
          <w:rFonts w:asciiTheme="majorHAnsi" w:hAnsiTheme="majorHAnsi"/>
          <w:sz w:val="22"/>
          <w:szCs w:val="22"/>
        </w:rPr>
        <w:t xml:space="preserve"> a pokud se výrazná hypercholesterolémie potvrdí, měli by být vyšetřeni i relevantní rodinní příslušníci (rodiče, prarodiče, sourozenci, děti).</w:t>
      </w:r>
    </w:p>
    <w:p w:rsidR="00736EEF" w:rsidRDefault="00736EEF" w:rsidP="00736EEF">
      <w:pPr>
        <w:spacing w:after="0"/>
        <w:jc w:val="both"/>
        <w:rPr>
          <w:rFonts w:asciiTheme="majorHAnsi" w:hAnsiTheme="majorHAnsi"/>
        </w:rPr>
      </w:pPr>
    </w:p>
    <w:p w:rsidR="00DC0816" w:rsidRPr="000B16D5" w:rsidRDefault="00DC0816" w:rsidP="00736EEF">
      <w:pPr>
        <w:spacing w:after="0"/>
        <w:jc w:val="both"/>
        <w:rPr>
          <w:rFonts w:asciiTheme="majorHAnsi" w:hAnsiTheme="majorHAnsi"/>
        </w:rPr>
      </w:pPr>
    </w:p>
    <w:p w:rsidR="00736EEF" w:rsidRPr="000B16D5" w:rsidRDefault="00736EEF" w:rsidP="00736EEF">
      <w:pPr>
        <w:jc w:val="both"/>
        <w:rPr>
          <w:rFonts w:asciiTheme="majorHAnsi" w:hAnsiTheme="majorHAnsi"/>
        </w:rPr>
      </w:pPr>
      <w:r w:rsidRPr="000B16D5">
        <w:rPr>
          <w:rFonts w:asciiTheme="majorHAnsi" w:hAnsiTheme="majorHAnsi"/>
        </w:rPr>
        <w:lastRenderedPageBreak/>
        <w:t>____________________________________________</w:t>
      </w:r>
    </w:p>
    <w:p w:rsidR="00736EEF" w:rsidRPr="000B16D5" w:rsidRDefault="00736EEF" w:rsidP="00736EEF">
      <w:pPr>
        <w:spacing w:after="0"/>
        <w:jc w:val="both"/>
        <w:rPr>
          <w:rFonts w:asciiTheme="majorHAnsi" w:hAnsiTheme="majorHAnsi"/>
          <w:b/>
          <w:sz w:val="20"/>
        </w:rPr>
      </w:pPr>
      <w:r w:rsidRPr="000B16D5">
        <w:rPr>
          <w:rFonts w:asciiTheme="majorHAnsi" w:hAnsiTheme="majorHAnsi"/>
          <w:b/>
          <w:sz w:val="20"/>
        </w:rPr>
        <w:t>Zdroje:</w:t>
      </w:r>
    </w:p>
    <w:p w:rsidR="00736EEF" w:rsidRPr="000B16D5" w:rsidRDefault="00736EEF" w:rsidP="00736EEF">
      <w:pPr>
        <w:spacing w:after="0"/>
        <w:jc w:val="both"/>
        <w:rPr>
          <w:rFonts w:asciiTheme="majorHAnsi" w:hAnsiTheme="majorHAnsi"/>
          <w:sz w:val="14"/>
        </w:rPr>
        <w:sectPr w:rsidR="00736EEF" w:rsidRPr="000B16D5" w:rsidSect="00A2684E">
          <w:footerReference w:type="default" r:id="rId50"/>
          <w:type w:val="continuous"/>
          <w:pgSz w:w="11906" w:h="16838"/>
          <w:pgMar w:top="720" w:right="720" w:bottom="720" w:left="720" w:header="708" w:footer="708" w:gutter="0"/>
          <w:pgNumType w:start="32"/>
          <w:cols w:space="708"/>
          <w:titlePg/>
          <w:docGrid w:linePitch="360"/>
        </w:sectPr>
      </w:pPr>
    </w:p>
    <w:p w:rsidR="00736EEF" w:rsidRPr="000B16D5" w:rsidRDefault="00761A69" w:rsidP="00736EEF">
      <w:pPr>
        <w:pStyle w:val="Normlnweb"/>
        <w:numPr>
          <w:ilvl w:val="0"/>
          <w:numId w:val="25"/>
        </w:numPr>
        <w:spacing w:before="0" w:beforeAutospacing="0" w:after="0" w:afterAutospacing="0"/>
        <w:jc w:val="both"/>
        <w:rPr>
          <w:rFonts w:asciiTheme="majorHAnsi" w:hAnsiTheme="majorHAnsi"/>
          <w:sz w:val="16"/>
        </w:rPr>
      </w:pPr>
      <w:r w:rsidRPr="000B16D5">
        <w:rPr>
          <w:rFonts w:asciiTheme="majorHAnsi" w:hAnsiTheme="majorHAnsi"/>
          <w:i/>
          <w:iCs/>
          <w:sz w:val="16"/>
        </w:rPr>
        <w:lastRenderedPageBreak/>
        <w:t>Diet, physical activity and health.</w:t>
      </w:r>
      <w:r w:rsidRPr="000B16D5">
        <w:rPr>
          <w:rFonts w:asciiTheme="majorHAnsi" w:hAnsiTheme="majorHAnsi"/>
          <w:sz w:val="16"/>
        </w:rPr>
        <w:t xml:space="preserve"> Geneva, World Health Organization, 2002 (documents A55/16 and A55/16 Corr.1).</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i/>
          <w:iCs/>
          <w:sz w:val="16"/>
        </w:rPr>
        <w:t xml:space="preserve">Programming of chronic disease by impaired fetal nutrition: evidence and implications for policy and intervention strategies. </w:t>
      </w:r>
      <w:r w:rsidRPr="000B16D5">
        <w:rPr>
          <w:rFonts w:asciiTheme="majorHAnsi" w:hAnsiTheme="majorHAnsi"/>
          <w:sz w:val="16"/>
        </w:rPr>
        <w:t>Geneva, World Health Organization, 2002 (documents WHO/NHD/02.3 and WHO/NPH/02.1).</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Aboderin I et al. </w:t>
      </w:r>
      <w:r w:rsidRPr="000B16D5">
        <w:rPr>
          <w:rFonts w:asciiTheme="majorHAnsi" w:hAnsiTheme="majorHAnsi"/>
          <w:i/>
          <w:iCs/>
          <w:sz w:val="16"/>
        </w:rPr>
        <w:t xml:space="preserve">Life course perspectives on coronary heart disease, stroke and diabetes: the evidence and implications for policy and research. </w:t>
      </w:r>
      <w:r w:rsidRPr="000B16D5">
        <w:rPr>
          <w:rFonts w:asciiTheme="majorHAnsi" w:hAnsiTheme="majorHAnsi"/>
          <w:sz w:val="16"/>
        </w:rPr>
        <w:t>Geneva, World Health Organization, 2002 (document WHO/NMH/NPH/02.1).</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Godfrey KM, Barker DJ. </w:t>
      </w:r>
      <w:r w:rsidRPr="000B16D5">
        <w:rPr>
          <w:rFonts w:asciiTheme="majorHAnsi" w:hAnsiTheme="majorHAnsi"/>
          <w:sz w:val="16"/>
        </w:rPr>
        <w:t xml:space="preserve">Fetal nutrition and adult disease. </w:t>
      </w:r>
      <w:r w:rsidRPr="000B16D5">
        <w:rPr>
          <w:rFonts w:asciiTheme="majorHAnsi" w:hAnsiTheme="majorHAnsi"/>
          <w:i/>
          <w:iCs/>
          <w:sz w:val="16"/>
        </w:rPr>
        <w:t>American Journal of Clinical Nutrition</w:t>
      </w:r>
      <w:r w:rsidRPr="000B16D5">
        <w:rPr>
          <w:rFonts w:asciiTheme="majorHAnsi" w:hAnsiTheme="majorHAnsi"/>
          <w:sz w:val="16"/>
        </w:rPr>
        <w:t xml:space="preserve">, 2000, </w:t>
      </w:r>
      <w:r w:rsidRPr="000B16D5">
        <w:rPr>
          <w:rFonts w:asciiTheme="majorHAnsi" w:hAnsiTheme="majorHAnsi"/>
          <w:b/>
          <w:bCs/>
          <w:sz w:val="16"/>
        </w:rPr>
        <w:t>71</w:t>
      </w:r>
      <w:r w:rsidRPr="000B16D5">
        <w:rPr>
          <w:rFonts w:asciiTheme="majorHAnsi" w:hAnsiTheme="majorHAnsi"/>
          <w:sz w:val="16"/>
        </w:rPr>
        <w:t>(Suppl. 5):S1344-S1352.</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Forsén T et al. </w:t>
      </w:r>
      <w:r w:rsidRPr="000B16D5">
        <w:rPr>
          <w:rFonts w:asciiTheme="majorHAnsi" w:hAnsiTheme="majorHAnsi"/>
          <w:sz w:val="16"/>
        </w:rPr>
        <w:t xml:space="preserve">The fetal and childhood growth of persons who develop type II diabetes. </w:t>
      </w:r>
      <w:r w:rsidRPr="000B16D5">
        <w:rPr>
          <w:rFonts w:asciiTheme="majorHAnsi" w:hAnsiTheme="majorHAnsi"/>
          <w:i/>
          <w:iCs/>
          <w:sz w:val="16"/>
        </w:rPr>
        <w:t>Annals of Internal Medicine</w:t>
      </w:r>
      <w:r w:rsidRPr="000B16D5">
        <w:rPr>
          <w:rFonts w:asciiTheme="majorHAnsi" w:hAnsiTheme="majorHAnsi"/>
          <w:sz w:val="16"/>
        </w:rPr>
        <w:t xml:space="preserve">, 2000, </w:t>
      </w:r>
      <w:r w:rsidRPr="000B16D5">
        <w:rPr>
          <w:rFonts w:asciiTheme="majorHAnsi" w:hAnsiTheme="majorHAnsi"/>
          <w:b/>
          <w:bCs/>
          <w:sz w:val="16"/>
        </w:rPr>
        <w:t>33</w:t>
      </w:r>
      <w:r w:rsidRPr="000B16D5">
        <w:rPr>
          <w:rFonts w:asciiTheme="majorHAnsi" w:hAnsiTheme="majorHAnsi"/>
          <w:sz w:val="16"/>
        </w:rPr>
        <w:t>:176-182.</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Eriksson JG et al. </w:t>
      </w:r>
      <w:r w:rsidRPr="000B16D5">
        <w:rPr>
          <w:rFonts w:asciiTheme="majorHAnsi" w:hAnsiTheme="majorHAnsi"/>
          <w:sz w:val="16"/>
        </w:rPr>
        <w:t xml:space="preserve">Catch-up growth in childhood and death from coronary heart disease: a longitudinal study. </w:t>
      </w:r>
      <w:r w:rsidRPr="000B16D5">
        <w:rPr>
          <w:rFonts w:asciiTheme="majorHAnsi" w:hAnsiTheme="majorHAnsi"/>
          <w:i/>
          <w:iCs/>
          <w:sz w:val="16"/>
        </w:rPr>
        <w:t>British Medical Journal</w:t>
      </w:r>
      <w:r w:rsidRPr="000B16D5">
        <w:rPr>
          <w:rFonts w:asciiTheme="majorHAnsi" w:hAnsiTheme="majorHAnsi"/>
          <w:sz w:val="16"/>
        </w:rPr>
        <w:t xml:space="preserve">, 1999, </w:t>
      </w:r>
      <w:r w:rsidRPr="000B16D5">
        <w:rPr>
          <w:rFonts w:asciiTheme="majorHAnsi" w:hAnsiTheme="majorHAnsi"/>
          <w:b/>
          <w:bCs/>
          <w:sz w:val="16"/>
        </w:rPr>
        <w:t>318</w:t>
      </w:r>
      <w:r w:rsidR="00736EEF" w:rsidRPr="000B16D5">
        <w:rPr>
          <w:rFonts w:asciiTheme="majorHAnsi" w:hAnsiTheme="majorHAnsi"/>
          <w:sz w:val="16"/>
        </w:rPr>
        <w:t>:427-431.</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Forsén T et al. </w:t>
      </w:r>
      <w:r w:rsidRPr="000B16D5">
        <w:rPr>
          <w:rFonts w:asciiTheme="majorHAnsi" w:hAnsiTheme="majorHAnsi"/>
          <w:sz w:val="16"/>
        </w:rPr>
        <w:t>Growth in utero and during childhood in women who develop coronary heart disease: a longitudinal study.</w:t>
      </w:r>
      <w:r w:rsidRPr="000B16D5">
        <w:rPr>
          <w:rFonts w:asciiTheme="majorHAnsi" w:hAnsiTheme="majorHAnsi"/>
          <w:i/>
          <w:iCs/>
          <w:sz w:val="16"/>
        </w:rPr>
        <w:t xml:space="preserve"> British Medical Journal</w:t>
      </w:r>
      <w:r w:rsidRPr="000B16D5">
        <w:rPr>
          <w:rFonts w:asciiTheme="majorHAnsi" w:hAnsiTheme="majorHAnsi"/>
          <w:sz w:val="16"/>
        </w:rPr>
        <w:t xml:space="preserve">, 1999, </w:t>
      </w:r>
      <w:r w:rsidRPr="000B16D5">
        <w:rPr>
          <w:rFonts w:asciiTheme="majorHAnsi" w:hAnsiTheme="majorHAnsi"/>
          <w:b/>
          <w:bCs/>
          <w:sz w:val="16"/>
        </w:rPr>
        <w:t>319</w:t>
      </w:r>
      <w:r w:rsidRPr="000B16D5">
        <w:rPr>
          <w:rFonts w:asciiTheme="majorHAnsi" w:hAnsiTheme="majorHAnsi"/>
          <w:sz w:val="16"/>
        </w:rPr>
        <w:t>:1403-1407.</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Rich-Edwards JW et al. </w:t>
      </w:r>
      <w:r w:rsidRPr="000B16D5">
        <w:rPr>
          <w:rFonts w:asciiTheme="majorHAnsi" w:hAnsiTheme="majorHAnsi"/>
          <w:sz w:val="16"/>
        </w:rPr>
        <w:t xml:space="preserve">Birth weight and the risk of type II diabetes mellitus in adult women. </w:t>
      </w:r>
      <w:r w:rsidRPr="000B16D5">
        <w:rPr>
          <w:rFonts w:asciiTheme="majorHAnsi" w:hAnsiTheme="majorHAnsi"/>
          <w:i/>
          <w:iCs/>
          <w:sz w:val="16"/>
        </w:rPr>
        <w:t>Annals of Internal Medicine</w:t>
      </w:r>
      <w:r w:rsidRPr="000B16D5">
        <w:rPr>
          <w:rFonts w:asciiTheme="majorHAnsi" w:hAnsiTheme="majorHAnsi"/>
          <w:sz w:val="16"/>
        </w:rPr>
        <w:t xml:space="preserve">, 1999, </w:t>
      </w:r>
      <w:r w:rsidRPr="000B16D5">
        <w:rPr>
          <w:rFonts w:asciiTheme="majorHAnsi" w:hAnsiTheme="majorHAnsi"/>
          <w:b/>
          <w:bCs/>
          <w:sz w:val="16"/>
        </w:rPr>
        <w:t>130</w:t>
      </w:r>
      <w:r w:rsidRPr="000B16D5">
        <w:rPr>
          <w:rFonts w:asciiTheme="majorHAnsi" w:hAnsiTheme="majorHAnsi"/>
          <w:sz w:val="16"/>
        </w:rPr>
        <w:t>:278-284.</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Leon DA et al. </w:t>
      </w:r>
      <w:r w:rsidRPr="000B16D5">
        <w:rPr>
          <w:rFonts w:asciiTheme="majorHAnsi" w:hAnsiTheme="majorHAnsi"/>
          <w:sz w:val="16"/>
        </w:rPr>
        <w:t xml:space="preserve">Reduced fetal growth rate and increased risk of death from ischaemic heart disease: cohort study of 15 000 Swedish men and women born 1915-29. </w:t>
      </w:r>
      <w:r w:rsidRPr="000B16D5">
        <w:rPr>
          <w:rFonts w:asciiTheme="majorHAnsi" w:hAnsiTheme="majorHAnsi"/>
          <w:i/>
          <w:iCs/>
          <w:sz w:val="16"/>
        </w:rPr>
        <w:t>British Medical Journal</w:t>
      </w:r>
      <w:r w:rsidRPr="000B16D5">
        <w:rPr>
          <w:rFonts w:asciiTheme="majorHAnsi" w:hAnsiTheme="majorHAnsi"/>
          <w:sz w:val="16"/>
        </w:rPr>
        <w:t xml:space="preserve">, 1998, </w:t>
      </w:r>
      <w:r w:rsidRPr="000B16D5">
        <w:rPr>
          <w:rFonts w:asciiTheme="majorHAnsi" w:hAnsiTheme="majorHAnsi"/>
          <w:b/>
          <w:bCs/>
          <w:sz w:val="16"/>
        </w:rPr>
        <w:t>317</w:t>
      </w:r>
      <w:r w:rsidRPr="000B16D5">
        <w:rPr>
          <w:rFonts w:asciiTheme="majorHAnsi" w:hAnsiTheme="majorHAnsi"/>
          <w:sz w:val="16"/>
        </w:rPr>
        <w:t>:241-245.</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McKeigue PM. </w:t>
      </w:r>
      <w:r w:rsidRPr="000B16D5">
        <w:rPr>
          <w:rFonts w:asciiTheme="majorHAnsi" w:hAnsiTheme="majorHAnsi"/>
          <w:sz w:val="16"/>
        </w:rPr>
        <w:t xml:space="preserve">Diabetes and insulin action. In: Kuh D, Ben-Shlomo Y, eds. </w:t>
      </w:r>
      <w:r w:rsidRPr="000B16D5">
        <w:rPr>
          <w:rFonts w:asciiTheme="majorHAnsi" w:hAnsiTheme="majorHAnsi"/>
          <w:i/>
          <w:iCs/>
          <w:sz w:val="16"/>
        </w:rPr>
        <w:t>A life course approach to chronic disease epidemiology</w:t>
      </w:r>
      <w:r w:rsidRPr="000B16D5">
        <w:rPr>
          <w:rFonts w:asciiTheme="majorHAnsi" w:hAnsiTheme="majorHAnsi"/>
          <w:sz w:val="16"/>
        </w:rPr>
        <w:t>. Oxford, Oxford University Press, 1997:78-100.</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Lithell HO et al. </w:t>
      </w:r>
      <w:r w:rsidRPr="000B16D5">
        <w:rPr>
          <w:rFonts w:asciiTheme="majorHAnsi" w:hAnsiTheme="majorHAnsi"/>
          <w:sz w:val="16"/>
        </w:rPr>
        <w:t xml:space="preserve">Relation of size at birth to non-insulin dependent diabetes and insulin concentrations in men aged 50-60 years. </w:t>
      </w:r>
      <w:r w:rsidRPr="000B16D5">
        <w:rPr>
          <w:rFonts w:asciiTheme="majorHAnsi" w:hAnsiTheme="majorHAnsi"/>
          <w:i/>
          <w:iCs/>
          <w:sz w:val="16"/>
        </w:rPr>
        <w:t>British Medical Journal</w:t>
      </w:r>
      <w:r w:rsidRPr="000B16D5">
        <w:rPr>
          <w:rFonts w:asciiTheme="majorHAnsi" w:hAnsiTheme="majorHAnsi"/>
          <w:sz w:val="16"/>
        </w:rPr>
        <w:t xml:space="preserve">, 1996, </w:t>
      </w:r>
      <w:r w:rsidRPr="000B16D5">
        <w:rPr>
          <w:rFonts w:asciiTheme="majorHAnsi" w:hAnsiTheme="majorHAnsi"/>
          <w:b/>
          <w:bCs/>
          <w:sz w:val="16"/>
        </w:rPr>
        <w:t>312</w:t>
      </w:r>
      <w:r w:rsidRPr="000B16D5">
        <w:rPr>
          <w:rFonts w:asciiTheme="majorHAnsi" w:hAnsiTheme="majorHAnsi"/>
          <w:sz w:val="16"/>
        </w:rPr>
        <w:t>:406-410.</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lastRenderedPageBreak/>
        <w:t xml:space="preserve">Martyn CN, Barker DJ, Osmond C. </w:t>
      </w:r>
      <w:r w:rsidRPr="000B16D5">
        <w:rPr>
          <w:rFonts w:asciiTheme="majorHAnsi" w:hAnsiTheme="majorHAnsi"/>
          <w:sz w:val="16"/>
        </w:rPr>
        <w:t xml:space="preserve">Mother’s pelvic size, fetal growth and death from stroke and coronary heart disease in men in the UK. </w:t>
      </w:r>
      <w:r w:rsidRPr="000B16D5">
        <w:rPr>
          <w:rFonts w:asciiTheme="majorHAnsi" w:hAnsiTheme="majorHAnsi"/>
          <w:i/>
          <w:iCs/>
          <w:sz w:val="16"/>
        </w:rPr>
        <w:t>Lancet</w:t>
      </w:r>
      <w:r w:rsidRPr="000B16D5">
        <w:rPr>
          <w:rFonts w:asciiTheme="majorHAnsi" w:hAnsiTheme="majorHAnsi"/>
          <w:sz w:val="16"/>
        </w:rPr>
        <w:t xml:space="preserve">, 1996, </w:t>
      </w:r>
      <w:r w:rsidRPr="000B16D5">
        <w:rPr>
          <w:rFonts w:asciiTheme="majorHAnsi" w:hAnsiTheme="majorHAnsi"/>
          <w:b/>
          <w:bCs/>
          <w:sz w:val="16"/>
        </w:rPr>
        <w:t>348</w:t>
      </w:r>
      <w:r w:rsidRPr="000B16D5">
        <w:rPr>
          <w:rFonts w:asciiTheme="majorHAnsi" w:hAnsiTheme="majorHAnsi"/>
          <w:sz w:val="16"/>
        </w:rPr>
        <w:t>:1264-1268.</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Martyn CN, Barker DJ. </w:t>
      </w:r>
      <w:r w:rsidRPr="000B16D5">
        <w:rPr>
          <w:rFonts w:asciiTheme="majorHAnsi" w:hAnsiTheme="majorHAnsi"/>
          <w:sz w:val="16"/>
        </w:rPr>
        <w:t xml:space="preserve">Reduced fetal growth increases risk of cardiovascular disease. </w:t>
      </w:r>
      <w:r w:rsidRPr="000B16D5">
        <w:rPr>
          <w:rFonts w:asciiTheme="majorHAnsi" w:hAnsiTheme="majorHAnsi"/>
          <w:i/>
          <w:iCs/>
          <w:sz w:val="16"/>
        </w:rPr>
        <w:t>Health Reports</w:t>
      </w:r>
      <w:r w:rsidRPr="000B16D5">
        <w:rPr>
          <w:rFonts w:asciiTheme="majorHAnsi" w:hAnsiTheme="majorHAnsi"/>
          <w:sz w:val="16"/>
        </w:rPr>
        <w:t xml:space="preserve">, 1994, </w:t>
      </w:r>
      <w:r w:rsidRPr="000B16D5">
        <w:rPr>
          <w:rFonts w:asciiTheme="majorHAnsi" w:hAnsiTheme="majorHAnsi"/>
          <w:b/>
          <w:bCs/>
          <w:sz w:val="16"/>
        </w:rPr>
        <w:t>6</w:t>
      </w:r>
      <w:r w:rsidRPr="000B16D5">
        <w:rPr>
          <w:rFonts w:asciiTheme="majorHAnsi" w:hAnsiTheme="majorHAnsi"/>
          <w:sz w:val="16"/>
        </w:rPr>
        <w:t>:45-53.</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Berenson GS et al. </w:t>
      </w:r>
      <w:r w:rsidRPr="000B16D5">
        <w:rPr>
          <w:rFonts w:asciiTheme="majorHAnsi" w:hAnsiTheme="majorHAnsi"/>
          <w:i/>
          <w:iCs/>
          <w:sz w:val="16"/>
        </w:rPr>
        <w:t>Cardiovascular risk in early life: the Bogalusa Heart Study</w:t>
      </w:r>
      <w:r w:rsidRPr="000B16D5">
        <w:rPr>
          <w:rFonts w:asciiTheme="majorHAnsi" w:hAnsiTheme="majorHAnsi"/>
          <w:sz w:val="16"/>
        </w:rPr>
        <w:t>. Kalamazoo, MI, The Upjohn Company, 1991 (Current Concepts Series).</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Tan F et al. </w:t>
      </w:r>
      <w:r w:rsidRPr="000B16D5">
        <w:rPr>
          <w:rFonts w:asciiTheme="majorHAnsi" w:hAnsiTheme="majorHAnsi"/>
          <w:sz w:val="16"/>
        </w:rPr>
        <w:t xml:space="preserve">Tracking of cardiovascular risk factors and a cohort study on hyperlipidemia in rural schoolchildren in Japan. </w:t>
      </w:r>
      <w:r w:rsidRPr="000B16D5">
        <w:rPr>
          <w:rFonts w:asciiTheme="majorHAnsi" w:hAnsiTheme="majorHAnsi"/>
          <w:i/>
          <w:iCs/>
          <w:sz w:val="16"/>
        </w:rPr>
        <w:t>Journal of Epidemiology</w:t>
      </w:r>
      <w:r w:rsidRPr="000B16D5">
        <w:rPr>
          <w:rFonts w:asciiTheme="majorHAnsi" w:hAnsiTheme="majorHAnsi"/>
          <w:sz w:val="16"/>
        </w:rPr>
        <w:t xml:space="preserve">, 2000, </w:t>
      </w:r>
      <w:r w:rsidRPr="000B16D5">
        <w:rPr>
          <w:rFonts w:asciiTheme="majorHAnsi" w:hAnsiTheme="majorHAnsi"/>
          <w:b/>
          <w:bCs/>
          <w:sz w:val="16"/>
        </w:rPr>
        <w:t>10</w:t>
      </w:r>
      <w:r w:rsidRPr="000B16D5">
        <w:rPr>
          <w:rFonts w:asciiTheme="majorHAnsi" w:hAnsiTheme="majorHAnsi"/>
          <w:sz w:val="16"/>
        </w:rPr>
        <w:t>:255-261.</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Twisk JW et al. </w:t>
      </w:r>
      <w:r w:rsidRPr="000B16D5">
        <w:rPr>
          <w:rFonts w:asciiTheme="majorHAnsi" w:hAnsiTheme="majorHAnsi"/>
          <w:sz w:val="16"/>
        </w:rPr>
        <w:t xml:space="preserve">Clustering of biological risk factors for cardiovascular disease and the longitudinal relationship with lifestyle of an adolescent population: the Northern Ireland Young Hearts Project. </w:t>
      </w:r>
      <w:r w:rsidRPr="000B16D5">
        <w:rPr>
          <w:rFonts w:asciiTheme="majorHAnsi" w:hAnsiTheme="majorHAnsi"/>
          <w:i/>
          <w:iCs/>
          <w:sz w:val="16"/>
        </w:rPr>
        <w:t>Journal of Cardiovascular Risk</w:t>
      </w:r>
      <w:r w:rsidRPr="000B16D5">
        <w:rPr>
          <w:rFonts w:asciiTheme="majorHAnsi" w:hAnsiTheme="majorHAnsi"/>
          <w:sz w:val="16"/>
        </w:rPr>
        <w:t xml:space="preserve">, 1999, </w:t>
      </w:r>
      <w:r w:rsidRPr="000B16D5">
        <w:rPr>
          <w:rFonts w:asciiTheme="majorHAnsi" w:hAnsiTheme="majorHAnsi"/>
          <w:b/>
          <w:bCs/>
          <w:sz w:val="16"/>
        </w:rPr>
        <w:t>6</w:t>
      </w:r>
      <w:r w:rsidR="00736EEF" w:rsidRPr="000B16D5">
        <w:rPr>
          <w:rFonts w:asciiTheme="majorHAnsi" w:hAnsiTheme="majorHAnsi"/>
          <w:sz w:val="16"/>
        </w:rPr>
        <w:t>:355-362.</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Raitakari OT et al. </w:t>
      </w:r>
      <w:r w:rsidRPr="000B16D5">
        <w:rPr>
          <w:rFonts w:asciiTheme="majorHAnsi" w:hAnsiTheme="majorHAnsi"/>
          <w:sz w:val="16"/>
        </w:rPr>
        <w:t xml:space="preserve">Clustering of risk factors for coronary heart disease in children and adolescents. The Cardiovascular Risk in Young Finns Study. </w:t>
      </w:r>
      <w:r w:rsidRPr="000B16D5">
        <w:rPr>
          <w:rFonts w:asciiTheme="majorHAnsi" w:hAnsiTheme="majorHAnsi"/>
          <w:i/>
          <w:iCs/>
          <w:sz w:val="16"/>
        </w:rPr>
        <w:t>Acta Paediatrica</w:t>
      </w:r>
      <w:r w:rsidRPr="000B16D5">
        <w:rPr>
          <w:rFonts w:asciiTheme="majorHAnsi" w:hAnsiTheme="majorHAnsi"/>
          <w:sz w:val="16"/>
        </w:rPr>
        <w:t xml:space="preserve">, 1994, </w:t>
      </w:r>
      <w:r w:rsidRPr="000B16D5">
        <w:rPr>
          <w:rFonts w:asciiTheme="majorHAnsi" w:hAnsiTheme="majorHAnsi"/>
          <w:b/>
          <w:bCs/>
          <w:sz w:val="16"/>
        </w:rPr>
        <w:t>83</w:t>
      </w:r>
      <w:r w:rsidR="00736EEF" w:rsidRPr="000B16D5">
        <w:rPr>
          <w:rFonts w:asciiTheme="majorHAnsi" w:hAnsiTheme="majorHAnsi"/>
          <w:sz w:val="16"/>
        </w:rPr>
        <w:t>:935-940.</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sz w:val="16"/>
        </w:rPr>
        <w:t>Costa FF et al.</w:t>
      </w:r>
      <w:r w:rsidRPr="000B16D5">
        <w:rPr>
          <w:rFonts w:asciiTheme="majorHAnsi" w:hAnsiTheme="majorHAnsi"/>
          <w:sz w:val="16"/>
        </w:rPr>
        <w:t xml:space="preserve"> Clustering of risk factors for non communicable diseases in adults from Florianopolis, SC. Rev Bras Epidemiol. 2013 Jun;16(2):398-408.</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sz w:val="16"/>
        </w:rPr>
        <w:t>Nouira et al.</w:t>
      </w:r>
      <w:r w:rsidRPr="000B16D5">
        <w:rPr>
          <w:rFonts w:asciiTheme="majorHAnsi" w:hAnsiTheme="majorHAnsi"/>
          <w:sz w:val="16"/>
        </w:rPr>
        <w:t xml:space="preserve"> Clustering of risk factors in the smoking habits of schoolchildren in Sousse, Tunisia. Int J Adolesc Med Health. 2013 Jul 26:1-7. doi: 10.1515/ijamh-2013-0511.</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Koo LC et al. </w:t>
      </w:r>
      <w:r w:rsidRPr="000B16D5">
        <w:rPr>
          <w:rFonts w:asciiTheme="majorHAnsi" w:hAnsiTheme="majorHAnsi"/>
          <w:sz w:val="16"/>
        </w:rPr>
        <w:t xml:space="preserve">Dietary and lifestyle correlates of passive smoking in Hong Kong, Japan, Sweden, and the USA. </w:t>
      </w:r>
      <w:r w:rsidRPr="000B16D5">
        <w:rPr>
          <w:rFonts w:asciiTheme="majorHAnsi" w:hAnsiTheme="majorHAnsi"/>
          <w:i/>
          <w:iCs/>
          <w:sz w:val="16"/>
        </w:rPr>
        <w:t>Social Science and Medicine</w:t>
      </w:r>
      <w:r w:rsidRPr="000B16D5">
        <w:rPr>
          <w:rFonts w:asciiTheme="majorHAnsi" w:hAnsiTheme="majorHAnsi"/>
          <w:sz w:val="16"/>
        </w:rPr>
        <w:t xml:space="preserve">, 1997, </w:t>
      </w:r>
      <w:r w:rsidRPr="000B16D5">
        <w:rPr>
          <w:rFonts w:asciiTheme="majorHAnsi" w:hAnsiTheme="majorHAnsi"/>
          <w:b/>
          <w:bCs/>
          <w:sz w:val="16"/>
        </w:rPr>
        <w:t>45</w:t>
      </w:r>
      <w:r w:rsidR="00736EEF" w:rsidRPr="000B16D5">
        <w:rPr>
          <w:rFonts w:asciiTheme="majorHAnsi" w:hAnsiTheme="majorHAnsi"/>
          <w:sz w:val="16"/>
        </w:rPr>
        <w:t>:159-169.</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United Nations Children’s Fund. </w:t>
      </w:r>
      <w:r w:rsidRPr="000B16D5">
        <w:rPr>
          <w:rFonts w:asciiTheme="majorHAnsi" w:hAnsiTheme="majorHAnsi"/>
          <w:i/>
          <w:iCs/>
          <w:sz w:val="16"/>
        </w:rPr>
        <w:t xml:space="preserve">The state of the world’s children 1998. </w:t>
      </w:r>
      <w:r w:rsidRPr="000B16D5">
        <w:rPr>
          <w:rFonts w:asciiTheme="majorHAnsi" w:hAnsiTheme="majorHAnsi"/>
          <w:sz w:val="16"/>
        </w:rPr>
        <w:t>Oxford and New York</w:t>
      </w:r>
      <w:r w:rsidR="00736EEF" w:rsidRPr="000B16D5">
        <w:rPr>
          <w:rFonts w:asciiTheme="majorHAnsi" w:hAnsiTheme="majorHAnsi"/>
          <w:sz w:val="16"/>
        </w:rPr>
        <w:t>, Oxford University Press, 1998.</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Ramakrishnan U et al. </w:t>
      </w:r>
      <w:r w:rsidRPr="000B16D5">
        <w:rPr>
          <w:rFonts w:asciiTheme="majorHAnsi" w:hAnsiTheme="majorHAnsi"/>
          <w:sz w:val="16"/>
        </w:rPr>
        <w:t xml:space="preserve">Role of intergenerational effects on linear growth. </w:t>
      </w:r>
      <w:r w:rsidRPr="000B16D5">
        <w:rPr>
          <w:rFonts w:asciiTheme="majorHAnsi" w:hAnsiTheme="majorHAnsi"/>
          <w:i/>
          <w:iCs/>
          <w:sz w:val="16"/>
        </w:rPr>
        <w:t>Journal of Nutrition</w:t>
      </w:r>
      <w:r w:rsidRPr="000B16D5">
        <w:rPr>
          <w:rFonts w:asciiTheme="majorHAnsi" w:hAnsiTheme="majorHAnsi"/>
          <w:sz w:val="16"/>
        </w:rPr>
        <w:t xml:space="preserve">, 1999, </w:t>
      </w:r>
      <w:r w:rsidRPr="000B16D5">
        <w:rPr>
          <w:rFonts w:asciiTheme="majorHAnsi" w:hAnsiTheme="majorHAnsi"/>
          <w:b/>
          <w:bCs/>
          <w:sz w:val="16"/>
        </w:rPr>
        <w:t>129</w:t>
      </w:r>
      <w:r w:rsidRPr="000B16D5">
        <w:rPr>
          <w:rFonts w:asciiTheme="majorHAnsi" w:hAnsiTheme="majorHAnsi"/>
          <w:sz w:val="16"/>
        </w:rPr>
        <w:t>(Suppl. 2):S544-S549.</w:t>
      </w:r>
    </w:p>
    <w:p w:rsidR="00736EEF"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bCs/>
          <w:sz w:val="16"/>
        </w:rPr>
        <w:t xml:space="preserve">Montgomery SM, Ekbom A. </w:t>
      </w:r>
      <w:r w:rsidRPr="000B16D5">
        <w:rPr>
          <w:rFonts w:asciiTheme="majorHAnsi" w:hAnsiTheme="majorHAnsi"/>
          <w:sz w:val="16"/>
        </w:rPr>
        <w:t xml:space="preserve">Smoking during pregnancy and diabetes mellitus in a British longitudinal birth cohort. </w:t>
      </w:r>
      <w:r w:rsidRPr="000B16D5">
        <w:rPr>
          <w:rFonts w:asciiTheme="majorHAnsi" w:hAnsiTheme="majorHAnsi"/>
          <w:i/>
          <w:iCs/>
          <w:sz w:val="16"/>
        </w:rPr>
        <w:t>British Medical Journal</w:t>
      </w:r>
      <w:r w:rsidRPr="000B16D5">
        <w:rPr>
          <w:rFonts w:asciiTheme="majorHAnsi" w:hAnsiTheme="majorHAnsi"/>
          <w:sz w:val="16"/>
        </w:rPr>
        <w:t xml:space="preserve">, 2002, </w:t>
      </w:r>
      <w:r w:rsidRPr="000B16D5">
        <w:rPr>
          <w:rFonts w:asciiTheme="majorHAnsi" w:hAnsiTheme="majorHAnsi"/>
          <w:b/>
          <w:bCs/>
          <w:sz w:val="16"/>
        </w:rPr>
        <w:t>324</w:t>
      </w:r>
      <w:r w:rsidRPr="000B16D5">
        <w:rPr>
          <w:rFonts w:asciiTheme="majorHAnsi" w:hAnsiTheme="majorHAnsi"/>
          <w:sz w:val="16"/>
        </w:rPr>
        <w:t>:26-27.</w:t>
      </w:r>
    </w:p>
    <w:p w:rsidR="00761A69" w:rsidRPr="000B16D5" w:rsidRDefault="00761A69" w:rsidP="00736EEF">
      <w:pPr>
        <w:pStyle w:val="Normlnweb"/>
        <w:numPr>
          <w:ilvl w:val="0"/>
          <w:numId w:val="25"/>
        </w:numPr>
        <w:jc w:val="both"/>
        <w:rPr>
          <w:rFonts w:asciiTheme="majorHAnsi" w:hAnsiTheme="majorHAnsi"/>
          <w:sz w:val="16"/>
        </w:rPr>
      </w:pPr>
      <w:r w:rsidRPr="000B16D5">
        <w:rPr>
          <w:rFonts w:asciiTheme="majorHAnsi" w:hAnsiTheme="majorHAnsi"/>
          <w:b/>
          <w:sz w:val="16"/>
        </w:rPr>
        <w:t>Olynyk JK et al.</w:t>
      </w:r>
      <w:r w:rsidRPr="000B16D5">
        <w:rPr>
          <w:rFonts w:asciiTheme="majorHAnsi" w:hAnsiTheme="majorHAnsi"/>
          <w:sz w:val="16"/>
        </w:rPr>
        <w:t xml:space="preserve"> Hereditary hemochromatosis in the post-HFE era. Hepatology. 2008 Sep;48(3):991-1001. doi: 10.1002/hep.22507.</w:t>
      </w:r>
    </w:p>
    <w:p w:rsidR="00736EEF" w:rsidRPr="000B16D5" w:rsidRDefault="00736EEF">
      <w:pPr>
        <w:rPr>
          <w:rFonts w:asciiTheme="majorHAnsi" w:hAnsiTheme="majorHAnsi"/>
        </w:rPr>
        <w:sectPr w:rsidR="00736EEF" w:rsidRPr="000B16D5" w:rsidSect="00A2684E">
          <w:type w:val="continuous"/>
          <w:pgSz w:w="11906" w:h="16838"/>
          <w:pgMar w:top="720" w:right="720" w:bottom="720" w:left="720" w:header="708" w:footer="708" w:gutter="0"/>
          <w:pgNumType w:start="38"/>
          <w:cols w:num="2" w:space="708"/>
          <w:titlePg/>
          <w:docGrid w:linePitch="360"/>
        </w:sectPr>
      </w:pPr>
    </w:p>
    <w:p w:rsidR="00520D6A" w:rsidRPr="000B16D5" w:rsidRDefault="00736EEF">
      <w:pPr>
        <w:rPr>
          <w:rFonts w:asciiTheme="majorHAnsi" w:hAnsiTheme="majorHAnsi"/>
        </w:rPr>
      </w:pPr>
      <w:r w:rsidRPr="000B16D5">
        <w:rPr>
          <w:rFonts w:asciiTheme="majorHAnsi" w:hAnsiTheme="majorHAnsi"/>
        </w:rPr>
        <w:lastRenderedPageBreak/>
        <w:br w:type="page"/>
      </w:r>
    </w:p>
    <w:bookmarkStart w:id="42" w:name="_Toc380240613"/>
    <w:p w:rsidR="00520D6A" w:rsidRPr="000B16D5" w:rsidRDefault="00520D6A" w:rsidP="00520D6A">
      <w:pPr>
        <w:pStyle w:val="Nadpiskapitoly"/>
        <w:rPr>
          <w:rFonts w:asciiTheme="majorHAnsi" w:eastAsia="Arial Unicode MS" w:hAnsiTheme="majorHAnsi"/>
        </w:rPr>
      </w:pPr>
      <w:r w:rsidRPr="000B16D5">
        <w:rPr>
          <w:rFonts w:asciiTheme="majorHAnsi" w:hAnsiTheme="majorHAnsi"/>
          <w:noProof/>
        </w:rPr>
        <w:lastRenderedPageBreak/>
        <mc:AlternateContent>
          <mc:Choice Requires="wps">
            <w:drawing>
              <wp:anchor distT="0" distB="0" distL="114300" distR="114300" simplePos="0" relativeHeight="251677696" behindDoc="0" locked="0" layoutInCell="1" allowOverlap="1" wp14:anchorId="6CBCE002" wp14:editId="24EA9DF2">
                <wp:simplePos x="0" y="0"/>
                <wp:positionH relativeFrom="column">
                  <wp:posOffset>5276850</wp:posOffset>
                </wp:positionH>
                <wp:positionV relativeFrom="paragraph">
                  <wp:posOffset>-44288</wp:posOffset>
                </wp:positionV>
                <wp:extent cx="1303655" cy="1416685"/>
                <wp:effectExtent l="0" t="76200" r="67945" b="0"/>
                <wp:wrapNone/>
                <wp:docPr id="1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520D6A">
                            <w:pPr>
                              <w:spacing w:after="0"/>
                              <w:jc w:val="center"/>
                              <w:rPr>
                                <w:rFonts w:ascii="Palatino Linotype" w:hAnsi="Palatino Linotype"/>
                                <w:b/>
                                <w:sz w:val="160"/>
                              </w:rPr>
                            </w:pPr>
                            <w:r>
                              <w:rPr>
                                <w:rFonts w:ascii="Palatino Linotype" w:hAnsi="Palatino Linotype"/>
                                <w:b/>
                                <w:sz w:val="16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CE002" id="_x0000_s1034" type="#_x0000_t202" style="position:absolute;left:0;text-align:left;margin-left:415.5pt;margin-top:-3.5pt;width:102.65pt;height:1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" stroked="f">
                <v:shadow on="t" opacity=".5" offset="6pt,-6pt"/>
                <v:textbox>
                  <w:txbxContent>
                    <w:p w:rsidR="00440FD1" w:rsidRPr="008202AD" w:rsidRDefault="00440FD1" w:rsidP="00520D6A">
                      <w:pPr>
                        <w:spacing w:after="0"/>
                        <w:jc w:val="center"/>
                        <w:rPr>
                          <w:rFonts w:ascii="Palatino Linotype" w:hAnsi="Palatino Linotype"/>
                          <w:b/>
                          <w:sz w:val="160"/>
                        </w:rPr>
                      </w:pPr>
                      <w:r>
                        <w:rPr>
                          <w:rFonts w:ascii="Palatino Linotype" w:hAnsi="Palatino Linotype"/>
                          <w:b/>
                          <w:sz w:val="160"/>
                        </w:rPr>
                        <w:t>9</w:t>
                      </w:r>
                    </w:p>
                  </w:txbxContent>
                </v:textbox>
              </v:shape>
            </w:pict>
          </mc:Fallback>
        </mc:AlternateContent>
      </w:r>
      <w:r w:rsidRPr="000B16D5">
        <w:rPr>
          <w:rFonts w:asciiTheme="majorHAnsi" w:eastAsia="Arial Unicode MS" w:hAnsiTheme="majorHAnsi"/>
        </w:rPr>
        <w:t>Genetika obezity</w:t>
      </w:r>
      <w:bookmarkEnd w:id="42"/>
    </w:p>
    <w:p w:rsidR="00520D6A" w:rsidRPr="000B16D5" w:rsidRDefault="00520D6A" w:rsidP="00520D6A">
      <w:pPr>
        <w:autoSpaceDE w:val="0"/>
        <w:autoSpaceDN w:val="0"/>
        <w:adjustRightInd w:val="0"/>
        <w:spacing w:after="0" w:line="240" w:lineRule="auto"/>
        <w:jc w:val="both"/>
        <w:rPr>
          <w:rFonts w:asciiTheme="majorHAnsi" w:eastAsia="Arial Unicode MS" w:hAnsiTheme="majorHAnsi" w:cs="Arial Unicode MS"/>
          <w:b/>
          <w:bCs/>
          <w:sz w:val="24"/>
          <w:szCs w:val="24"/>
        </w:rPr>
      </w:pPr>
    </w:p>
    <w:p w:rsidR="00520D6A" w:rsidRPr="000B16D5" w:rsidRDefault="00520D6A" w:rsidP="00520D6A">
      <w:pPr>
        <w:autoSpaceDE w:val="0"/>
        <w:autoSpaceDN w:val="0"/>
        <w:adjustRightInd w:val="0"/>
        <w:spacing w:after="0" w:line="240" w:lineRule="auto"/>
        <w:jc w:val="both"/>
        <w:rPr>
          <w:rFonts w:asciiTheme="majorHAnsi" w:eastAsia="Arial Unicode MS" w:hAnsiTheme="majorHAnsi" w:cs="Arial Unicode MS"/>
          <w:b/>
          <w:bCs/>
          <w:sz w:val="24"/>
          <w:szCs w:val="24"/>
        </w:rPr>
      </w:pPr>
    </w:p>
    <w:p w:rsidR="00520D6A" w:rsidRPr="000B16D5" w:rsidRDefault="00520D6A" w:rsidP="00520D6A">
      <w:pPr>
        <w:autoSpaceDE w:val="0"/>
        <w:autoSpaceDN w:val="0"/>
        <w:adjustRightInd w:val="0"/>
        <w:spacing w:after="0" w:line="240" w:lineRule="auto"/>
        <w:jc w:val="both"/>
        <w:rPr>
          <w:rFonts w:asciiTheme="majorHAnsi" w:eastAsia="Arial Unicode MS" w:hAnsiTheme="majorHAnsi" w:cs="Arial Unicode MS"/>
          <w:b/>
          <w:bCs/>
          <w:sz w:val="24"/>
          <w:szCs w:val="24"/>
        </w:rPr>
      </w:pPr>
    </w:p>
    <w:p w:rsidR="00520D6A" w:rsidRPr="000B16D5" w:rsidRDefault="00520D6A" w:rsidP="009F53ED">
      <w:pPr>
        <w:autoSpaceDE w:val="0"/>
        <w:autoSpaceDN w:val="0"/>
        <w:adjustRightInd w:val="0"/>
        <w:spacing w:after="0"/>
        <w:jc w:val="both"/>
        <w:rPr>
          <w:rFonts w:asciiTheme="majorHAnsi" w:eastAsia="Arial Unicode MS" w:hAnsiTheme="majorHAnsi" w:cs="Arial Unicode MS"/>
          <w:bCs/>
          <w:i/>
          <w:sz w:val="21"/>
          <w:szCs w:val="21"/>
        </w:rPr>
      </w:pPr>
      <w:r w:rsidRPr="000B16D5">
        <w:rPr>
          <w:rFonts w:asciiTheme="majorHAnsi" w:eastAsia="Arial Unicode MS" w:hAnsiTheme="majorHAnsi" w:cs="Arial Unicode MS"/>
          <w:bCs/>
          <w:i/>
          <w:sz w:val="21"/>
          <w:szCs w:val="21"/>
        </w:rPr>
        <w:t>Julie Bienertová-Vašků</w:t>
      </w:r>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sz w:val="24"/>
          <w:szCs w:val="24"/>
        </w:rPr>
      </w:pPr>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sz w:val="24"/>
          <w:szCs w:val="24"/>
        </w:rPr>
      </w:pPr>
    </w:p>
    <w:p w:rsidR="00520D6A" w:rsidRPr="000B16D5" w:rsidRDefault="00520D6A" w:rsidP="009F53ED">
      <w:pPr>
        <w:pStyle w:val="Nadpispodkapitoly"/>
        <w:rPr>
          <w:rFonts w:asciiTheme="majorHAnsi" w:hAnsiTheme="majorHAnsi"/>
        </w:rPr>
      </w:pPr>
      <w:bookmarkStart w:id="43" w:name="_Toc380240614"/>
      <w:r w:rsidRPr="000B16D5">
        <w:rPr>
          <w:rFonts w:asciiTheme="majorHAnsi" w:hAnsiTheme="majorHAnsi"/>
        </w:rPr>
        <w:t>Úvod</w:t>
      </w:r>
      <w:bookmarkEnd w:id="43"/>
    </w:p>
    <w:p w:rsidR="00520D6A" w:rsidRPr="000B16D5" w:rsidRDefault="00520D6A" w:rsidP="009F53ED">
      <w:pPr>
        <w:autoSpaceDE w:val="0"/>
        <w:autoSpaceDN w:val="0"/>
        <w:adjustRightInd w:val="0"/>
        <w:spacing w:after="0"/>
        <w:jc w:val="both"/>
        <w:rPr>
          <w:rFonts w:asciiTheme="majorHAnsi" w:hAnsiTheme="majorHAnsi" w:cs="Arial"/>
          <w:b/>
        </w:rPr>
      </w:pPr>
      <w:r w:rsidRPr="000B16D5">
        <w:rPr>
          <w:rFonts w:asciiTheme="majorHAnsi" w:hAnsiTheme="majorHAnsi" w:cs="Arial"/>
          <w:b/>
        </w:rPr>
        <w:t>Obezita je obecn</w:t>
      </w:r>
      <w:r w:rsidRPr="000B16D5">
        <w:rPr>
          <w:rFonts w:asciiTheme="majorHAnsi" w:eastAsia="TTBDFo00" w:hAnsiTheme="majorHAnsi" w:cs="TTBDFo00"/>
          <w:b/>
        </w:rPr>
        <w:t xml:space="preserve">ě </w:t>
      </w:r>
      <w:r w:rsidRPr="000B16D5">
        <w:rPr>
          <w:rFonts w:asciiTheme="majorHAnsi" w:hAnsiTheme="majorHAnsi" w:cs="Arial"/>
          <w:b/>
        </w:rPr>
        <w:t xml:space="preserve">definována jako extrémní </w:t>
      </w:r>
      <w:r w:rsidRPr="000B16D5">
        <w:rPr>
          <w:rFonts w:asciiTheme="majorHAnsi" w:eastAsia="TTBDFo00" w:hAnsiTheme="majorHAnsi" w:cs="TTBDFo00"/>
          <w:b/>
        </w:rPr>
        <w:t>č</w:t>
      </w:r>
      <w:r w:rsidRPr="000B16D5">
        <w:rPr>
          <w:rFonts w:asciiTheme="majorHAnsi" w:hAnsiTheme="majorHAnsi" w:cs="Arial"/>
          <w:b/>
        </w:rPr>
        <w:t>i atypická akumulace tuku, a</w:t>
      </w:r>
      <w:r w:rsidRPr="000B16D5">
        <w:rPr>
          <w:rFonts w:asciiTheme="majorHAnsi" w:eastAsia="TTBDFo00" w:hAnsiTheme="majorHAnsi" w:cs="TTBDFo00"/>
          <w:b/>
        </w:rPr>
        <w:t xml:space="preserve">ť </w:t>
      </w:r>
      <w:r w:rsidRPr="000B16D5">
        <w:rPr>
          <w:rFonts w:asciiTheme="majorHAnsi" w:hAnsiTheme="majorHAnsi" w:cs="Arial"/>
          <w:b/>
        </w:rPr>
        <w:t xml:space="preserve">už podkožního </w:t>
      </w:r>
      <w:r w:rsidRPr="000B16D5">
        <w:rPr>
          <w:rFonts w:asciiTheme="majorHAnsi" w:eastAsia="TTBDFo00" w:hAnsiTheme="majorHAnsi" w:cs="TTBDFo00"/>
          <w:b/>
        </w:rPr>
        <w:t>č</w:t>
      </w:r>
      <w:r w:rsidRPr="000B16D5">
        <w:rPr>
          <w:rFonts w:asciiTheme="majorHAnsi" w:hAnsiTheme="majorHAnsi" w:cs="Arial"/>
          <w:b/>
        </w:rPr>
        <w:t xml:space="preserve">i viscerálního, která </w:t>
      </w:r>
      <w:r w:rsidR="0068707E" w:rsidRPr="000B16D5">
        <w:rPr>
          <w:rFonts w:asciiTheme="majorHAnsi" w:hAnsiTheme="majorHAnsi" w:cs="Arial"/>
          <w:b/>
        </w:rPr>
        <w:t xml:space="preserve">s </w:t>
      </w:r>
      <w:r w:rsidRPr="000B16D5">
        <w:rPr>
          <w:rFonts w:asciiTheme="majorHAnsi" w:hAnsiTheme="majorHAnsi" w:cs="Arial"/>
          <w:b/>
        </w:rPr>
        <w:t>sebou nese další zdravotní rizika vedoucí ve svém d</w:t>
      </w:r>
      <w:r w:rsidRPr="000B16D5">
        <w:rPr>
          <w:rFonts w:asciiTheme="majorHAnsi" w:eastAsia="TTBDFo00" w:hAnsiTheme="majorHAnsi" w:cs="TTBDFo00"/>
          <w:b/>
        </w:rPr>
        <w:t>ů</w:t>
      </w:r>
      <w:r w:rsidRPr="000B16D5">
        <w:rPr>
          <w:rFonts w:asciiTheme="majorHAnsi" w:hAnsiTheme="majorHAnsi" w:cs="Arial"/>
          <w:b/>
        </w:rPr>
        <w:t>sledku ke zkrácení o</w:t>
      </w:r>
      <w:r w:rsidRPr="000B16D5">
        <w:rPr>
          <w:rFonts w:asciiTheme="majorHAnsi" w:eastAsia="TTBDFo00" w:hAnsiTheme="majorHAnsi" w:cs="TTBDFo00"/>
          <w:b/>
        </w:rPr>
        <w:t>č</w:t>
      </w:r>
      <w:r w:rsidRPr="000B16D5">
        <w:rPr>
          <w:rFonts w:asciiTheme="majorHAnsi" w:hAnsiTheme="majorHAnsi" w:cs="Arial"/>
          <w:b/>
        </w:rPr>
        <w:t>ekávané doby života.</w:t>
      </w: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Jedná se o jeden z aktuálních problémů současného rozvinutého, ale z části i rozvojového světa, přičemž odhad počtu obézních pro rok 2030 se pohybuje kolem 1,12 miliardy [1]. Jde tedy o významný klinický problém. Obezita ovšem představuje i výraznou zátěž ekonomiky státu, jelikož je velmi často spojena s dalšími chorobami, např. diabetem me</w:t>
      </w:r>
      <w:r w:rsidR="009F53ED" w:rsidRPr="000B16D5">
        <w:rPr>
          <w:rFonts w:asciiTheme="majorHAnsi" w:hAnsiTheme="majorHAnsi" w:cs="Arial"/>
        </w:rPr>
        <w:t>l</w:t>
      </w:r>
      <w:r w:rsidRPr="000B16D5">
        <w:rPr>
          <w:rFonts w:asciiTheme="majorHAnsi" w:hAnsiTheme="majorHAnsi" w:cs="Arial"/>
        </w:rPr>
        <w:t xml:space="preserve">litem 2. typu, kardiovaskulárními nemocemi, některými nádorovými onemocněními (karcinom těla děložního, karcinom prsu a vaječníků). V typickém případě je závažná obezita spojena se zkrácením očekávané délky života [2]. </w:t>
      </w: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Na individuální úrovni dochází ke vzniku obezity tehdy, jestliže se v tukové tkáni jedince ukládá nadměrné množství triacylglyceridů, což bývá provázeno zároveň zvýšeným uvolňováním volných mastných kyselin z tukové tkáně (FFA) a dalšími abnormalitami. K nadměrnému hromadění zásob tuku dochází při dlouhodobě pozitivní energetické bilanci, tj. při stavu, kdy příjem energie dlouhodobě převyšuje její výdej. Empirická data z epidemiologických pozorování naznačují, že bezesporu existují rozdíly v genetické predispozici pro různou účinnost energetického metabolismu a „spoření“ s energií. Zásadní otázkou zůstává, nakolik je vlastní klinický projev, „fenotyp“, nahromadění tuku, tj. obezity, dědičný a nakolik se jedná o získaný fenotyp způsobený komplexním působením faktorů vnějšího prostředí u člověka s daným genetickým pozadím.</w:t>
      </w:r>
    </w:p>
    <w:p w:rsidR="00520D6A" w:rsidRPr="000B16D5" w:rsidRDefault="00520D6A" w:rsidP="009F53ED">
      <w:pPr>
        <w:autoSpaceDE w:val="0"/>
        <w:autoSpaceDN w:val="0"/>
        <w:adjustRightInd w:val="0"/>
        <w:spacing w:after="0"/>
        <w:jc w:val="both"/>
        <w:rPr>
          <w:rFonts w:asciiTheme="majorHAnsi" w:hAnsiTheme="majorHAnsi" w:cs="Arial"/>
        </w:rPr>
      </w:pPr>
    </w:p>
    <w:p w:rsidR="00520D6A" w:rsidRPr="000B16D5" w:rsidRDefault="00520D6A" w:rsidP="009F53ED">
      <w:pPr>
        <w:pStyle w:val="Nadpispodkapitoly"/>
        <w:rPr>
          <w:rFonts w:asciiTheme="majorHAnsi" w:hAnsiTheme="majorHAnsi"/>
        </w:rPr>
      </w:pPr>
      <w:bookmarkStart w:id="44" w:name="_Toc380240615"/>
      <w:r w:rsidRPr="000B16D5">
        <w:rPr>
          <w:rFonts w:asciiTheme="majorHAnsi" w:hAnsiTheme="majorHAnsi"/>
        </w:rPr>
        <w:t>Studie dvojčecí a studie adopční</w:t>
      </w:r>
      <w:bookmarkEnd w:id="44"/>
    </w:p>
    <w:p w:rsidR="00520D6A" w:rsidRPr="000B16D5" w:rsidRDefault="00520D6A" w:rsidP="009F53ED">
      <w:pPr>
        <w:autoSpaceDE w:val="0"/>
        <w:autoSpaceDN w:val="0"/>
        <w:adjustRightInd w:val="0"/>
        <w:spacing w:after="0"/>
        <w:jc w:val="both"/>
        <w:rPr>
          <w:rFonts w:asciiTheme="majorHAnsi" w:eastAsia="Arial Unicode MS" w:hAnsiTheme="majorHAnsi" w:cs="Arial Unicode MS"/>
        </w:rPr>
      </w:pPr>
      <w:r w:rsidRPr="000B16D5">
        <w:rPr>
          <w:rFonts w:asciiTheme="majorHAnsi" w:eastAsia="Arial Unicode MS" w:hAnsiTheme="majorHAnsi" w:cs="Arial Unicode MS"/>
        </w:rPr>
        <w:t xml:space="preserve">Velmi užitečným nástrojem pro odhad úlohy genetického pozadí při vzniku onemocnění jsou studie na jednovaječných/dvojvaječných dvojčatech a studie adopční. Výsledky zásadně významné dvojčecí studie, kterou v roce 1977 provedl ústav National Heart, Lung and Blood Institute (NHBLI) v USA, ukazují, že pozorovaná familiární agregace obezity je pravděpodobně způsobena spíše sdílenými genetickými faktory než vlivy vnějšího prostředí [3]. Na tato pozorování v roce 1986 navázal Stunkard </w:t>
      </w:r>
      <w:r w:rsidRPr="000B16D5">
        <w:rPr>
          <w:rFonts w:asciiTheme="majorHAnsi" w:eastAsia="Arial Unicode MS" w:hAnsiTheme="majorHAnsi" w:cs="Arial Unicode MS"/>
          <w:i/>
          <w:iCs/>
        </w:rPr>
        <w:t>et al.</w:t>
      </w:r>
      <w:r w:rsidRPr="000B16D5">
        <w:rPr>
          <w:rFonts w:asciiTheme="majorHAnsi" w:eastAsia="Arial Unicode MS" w:hAnsiTheme="majorHAnsi" w:cs="Arial Unicode MS"/>
          <w:iCs/>
        </w:rPr>
        <w:t>[4]</w:t>
      </w:r>
      <w:r w:rsidRPr="000B16D5">
        <w:rPr>
          <w:rFonts w:asciiTheme="majorHAnsi" w:eastAsia="Arial Unicode MS" w:hAnsiTheme="majorHAnsi" w:cs="Arial Unicode MS"/>
          <w:i/>
          <w:iCs/>
        </w:rPr>
        <w:t>,</w:t>
      </w:r>
      <w:r w:rsidRPr="000B16D5">
        <w:rPr>
          <w:rFonts w:asciiTheme="majorHAnsi" w:eastAsia="Arial Unicode MS" w:hAnsiTheme="majorHAnsi" w:cs="Arial Unicode MS"/>
        </w:rPr>
        <w:t xml:space="preserve"> který zkoumal 1974 jednovaječných a 2097 dvojvaječných párů dvojčat a stanovil koeficient heritability (dědivosti) obezity jako 0,78, což je číslo zjevně vyšší, než se očekávalo. Při dalších 25 letech sledování u stejných subjektů se tento koeficient zvýšil ještě více na 0,81. Tato čísla odpovídají koeficientu heritability výšky (0,80), který byl v této studii také spočítán. Jinými slovy: tělesná hmotnost byla v této studii přibližně stejně „dědičná“ jako tělesná výška, u níž je významná účast genetických vloh jednoznačně širokou veřejností přijímána, na rozdíl od tělesné hmotnosti, která je vnímána spíše jako výsledek „kázně“ daného jedince. Adopční studie provedené stejným týmem vedly k podobným závěrům</w:t>
      </w:r>
      <w:r w:rsidR="0068707E" w:rsidRPr="000B16D5">
        <w:rPr>
          <w:rFonts w:asciiTheme="majorHAnsi" w:eastAsia="Arial Unicode MS" w:hAnsiTheme="majorHAnsi" w:cs="Arial Unicode MS"/>
        </w:rPr>
        <w:t>:</w:t>
      </w:r>
      <w:r w:rsidRPr="000B16D5">
        <w:rPr>
          <w:rFonts w:asciiTheme="majorHAnsi" w:eastAsia="Arial Unicode MS" w:hAnsiTheme="majorHAnsi" w:cs="Arial Unicode MS"/>
        </w:rPr>
        <w:t xml:space="preserve"> autoři udávají, že tělesné proporce adoptovaných dětí byly podobnější biologickým než adoptivním rodičům [5] [48], což dále podporuje hypotézu o silném vlivu dědičných vloh na tělesnou hmotnost. Oba typy studií kombinovala klíčová studie z roku 1990, která zkoumala jednovaječná a dvojvaječná dvojčata, jež žila společně nebo odděleně [6]. Korelační koeficienty pro obezitu v párech jednovaječných dvojčat byly 0,70 u mužů a 0,66 u žen a čísla vedla k podobným odhadům heritability jako předchozí studie. Sdílené vnější prostředí nemělo měřitelný efekt na tělesnou hmotnost a nesdílené prostředí přispívalo k varianci přibližně z</w:t>
      </w:r>
      <w:r w:rsidR="0068707E" w:rsidRPr="000B16D5">
        <w:rPr>
          <w:rFonts w:asciiTheme="majorHAnsi" w:eastAsia="Arial Unicode MS" w:hAnsiTheme="majorHAnsi" w:cs="Arial Unicode MS"/>
        </w:rPr>
        <w:t> </w:t>
      </w:r>
      <w:r w:rsidRPr="000B16D5">
        <w:rPr>
          <w:rFonts w:asciiTheme="majorHAnsi" w:eastAsia="Arial Unicode MS" w:hAnsiTheme="majorHAnsi" w:cs="Arial Unicode MS"/>
        </w:rPr>
        <w:t>30</w:t>
      </w:r>
      <w:r w:rsidR="0068707E" w:rsidRPr="000B16D5">
        <w:rPr>
          <w:rFonts w:asciiTheme="majorHAnsi" w:eastAsia="Arial Unicode MS" w:hAnsiTheme="majorHAnsi" w:cs="Arial Unicode MS"/>
        </w:rPr>
        <w:t xml:space="preserve"> </w:t>
      </w:r>
      <w:r w:rsidRPr="000B16D5">
        <w:rPr>
          <w:rFonts w:asciiTheme="majorHAnsi" w:eastAsia="Arial Unicode MS" w:hAnsiTheme="majorHAnsi" w:cs="Arial Unicode MS"/>
        </w:rPr>
        <w:t xml:space="preserve">%. </w:t>
      </w:r>
    </w:p>
    <w:p w:rsidR="00520D6A" w:rsidRPr="000B16D5" w:rsidRDefault="00520D6A" w:rsidP="009F53ED">
      <w:pPr>
        <w:autoSpaceDE w:val="0"/>
        <w:autoSpaceDN w:val="0"/>
        <w:adjustRightInd w:val="0"/>
        <w:spacing w:after="0"/>
        <w:jc w:val="both"/>
        <w:rPr>
          <w:rFonts w:asciiTheme="majorHAnsi" w:eastAsia="Arial Unicode MS" w:hAnsiTheme="majorHAnsi" w:cs="Arial Unicode MS"/>
        </w:rPr>
      </w:pPr>
    </w:p>
    <w:p w:rsidR="00520D6A" w:rsidRPr="000B16D5" w:rsidRDefault="00520D6A" w:rsidP="009F53ED">
      <w:pPr>
        <w:autoSpaceDE w:val="0"/>
        <w:autoSpaceDN w:val="0"/>
        <w:adjustRightInd w:val="0"/>
        <w:spacing w:after="0"/>
        <w:jc w:val="both"/>
        <w:rPr>
          <w:rFonts w:asciiTheme="majorHAnsi" w:eastAsia="Arial Unicode MS" w:hAnsiTheme="majorHAnsi" w:cs="Arial Unicode MS"/>
        </w:rPr>
      </w:pPr>
      <w:r w:rsidRPr="000B16D5">
        <w:rPr>
          <w:rFonts w:asciiTheme="majorHAnsi" w:eastAsia="Arial Unicode MS" w:hAnsiTheme="majorHAnsi" w:cs="Arial Unicode MS"/>
        </w:rPr>
        <w:t xml:space="preserve">Ačkoli tělesná hmotnost a BMI jsou jednoduchá měření a jsou vhodná pro zkoumání běžné populace na velkých populačních vzorcích, jedná se o relativně hrubé parametry, zatížené možným zkreslením a nevhodné pro </w:t>
      </w:r>
      <w:r w:rsidRPr="000B16D5">
        <w:rPr>
          <w:rFonts w:asciiTheme="majorHAnsi" w:eastAsia="Arial Unicode MS" w:hAnsiTheme="majorHAnsi" w:cs="Arial Unicode MS"/>
        </w:rPr>
        <w:lastRenderedPageBreak/>
        <w:t>okrajové varianty distribuce znaků v populaci (např. pro jedince s vysokým podílem aktivní tělesné hmoty), a proto se dále hledaly jiné informativní parametry, které by bylo možné použít k popisu (fenotypizaci) obezity.</w:t>
      </w:r>
    </w:p>
    <w:p w:rsidR="00520D6A" w:rsidRPr="000B16D5" w:rsidRDefault="00520D6A" w:rsidP="009F53ED">
      <w:pPr>
        <w:autoSpaceDE w:val="0"/>
        <w:autoSpaceDN w:val="0"/>
        <w:adjustRightInd w:val="0"/>
        <w:spacing w:after="0"/>
        <w:jc w:val="both"/>
        <w:rPr>
          <w:rFonts w:asciiTheme="majorHAnsi" w:eastAsia="Arial Unicode MS" w:hAnsiTheme="majorHAnsi" w:cs="Arial Unicode MS"/>
        </w:rPr>
      </w:pPr>
    </w:p>
    <w:p w:rsidR="00520D6A" w:rsidRPr="000B16D5" w:rsidRDefault="00520D6A" w:rsidP="009F53ED">
      <w:pPr>
        <w:pStyle w:val="Nadpispodkapitoly"/>
        <w:rPr>
          <w:rFonts w:asciiTheme="majorHAnsi" w:eastAsia="Arial Unicode MS" w:hAnsiTheme="majorHAnsi"/>
        </w:rPr>
      </w:pPr>
      <w:bookmarkStart w:id="45" w:name="_Toc380240616"/>
      <w:r w:rsidRPr="000B16D5">
        <w:rPr>
          <w:rFonts w:asciiTheme="majorHAnsi" w:eastAsia="Arial Unicode MS" w:hAnsiTheme="majorHAnsi"/>
        </w:rPr>
        <w:t>Studie BMI a antropometrických znaků souvisejících s obezitou</w:t>
      </w:r>
      <w:bookmarkEnd w:id="45"/>
    </w:p>
    <w:p w:rsidR="00520D6A" w:rsidRPr="000B16D5" w:rsidRDefault="00520D6A" w:rsidP="009F53ED">
      <w:pPr>
        <w:autoSpaceDE w:val="0"/>
        <w:autoSpaceDN w:val="0"/>
        <w:adjustRightInd w:val="0"/>
        <w:spacing w:after="0"/>
        <w:jc w:val="both"/>
        <w:rPr>
          <w:rFonts w:asciiTheme="majorHAnsi" w:eastAsia="Arial Unicode MS" w:hAnsiTheme="majorHAnsi" w:cs="Arial Unicode MS"/>
        </w:rPr>
      </w:pPr>
      <w:r w:rsidRPr="000B16D5">
        <w:rPr>
          <w:rFonts w:asciiTheme="majorHAnsi" w:eastAsia="Arial Unicode MS" w:hAnsiTheme="majorHAnsi" w:cs="Arial Unicode MS"/>
        </w:rPr>
        <w:t>V roce 1989 Hassteddt a kolegové [7] navrhli model dědičnosti pro genetické znaky obezity odvozený jako poměr tloušťky subskapulární kožní řasy k součtu subskapulární a suprailiakální kožní řasy. Ve stejném roce byl tentýž koeficient použit jako měřítko množství centrálně distribuovaného tuku v NHLBI souboru s hodnotou 0,43 po adjustaci na celkovou obezitu [8]. Rozsáhlá finská studie na 4884 dvojčatech a 2509 dětech z jednočetných gravidit ve věku 16</w:t>
      </w:r>
      <w:r w:rsidR="003F31F2" w:rsidRPr="000B16D5">
        <w:rPr>
          <w:rFonts w:asciiTheme="majorHAnsi" w:hAnsiTheme="majorHAnsi"/>
        </w:rPr>
        <w:t>–</w:t>
      </w:r>
      <w:r w:rsidRPr="000B16D5">
        <w:rPr>
          <w:rFonts w:asciiTheme="majorHAnsi" w:eastAsia="Arial Unicode MS" w:hAnsiTheme="majorHAnsi" w:cs="Arial Unicode MS"/>
        </w:rPr>
        <w:t>17 let vedla k závěru, že cca 80 % rozdílů mezi jedinci v BMI jde na vrub genetického pozadí [9] a k podobným závěrům dospěli i odborníci v</w:t>
      </w:r>
      <w:r w:rsidRPr="000B16D5">
        <w:rPr>
          <w:rFonts w:asciiTheme="majorHAnsi" w:hAnsiTheme="majorHAnsi" w:cs="Arial"/>
        </w:rPr>
        <w:t xml:space="preserve"> britské studii [10]. Nedávný výzkum dědivosti BMI, tlouš</w:t>
      </w:r>
      <w:r w:rsidRPr="000B16D5">
        <w:rPr>
          <w:rFonts w:asciiTheme="majorHAnsi" w:eastAsia="TTBE8o00" w:hAnsiTheme="majorHAnsi" w:cs="TTBE8o00"/>
        </w:rPr>
        <w:t>ť</w:t>
      </w:r>
      <w:r w:rsidRPr="000B16D5">
        <w:rPr>
          <w:rFonts w:asciiTheme="majorHAnsi" w:hAnsiTheme="majorHAnsi" w:cs="Arial"/>
        </w:rPr>
        <w:t xml:space="preserve">ky kožních </w:t>
      </w:r>
      <w:r w:rsidRPr="000B16D5">
        <w:rPr>
          <w:rFonts w:asciiTheme="majorHAnsi" w:eastAsia="TTBE8o00" w:hAnsiTheme="majorHAnsi" w:cs="TTBE8o00"/>
        </w:rPr>
        <w:t>ř</w:t>
      </w:r>
      <w:r w:rsidRPr="000B16D5">
        <w:rPr>
          <w:rFonts w:asciiTheme="majorHAnsi" w:hAnsiTheme="majorHAnsi" w:cs="Arial"/>
        </w:rPr>
        <w:t>as a obvodu</w:t>
      </w:r>
      <w:r w:rsidRPr="000B16D5">
        <w:rPr>
          <w:rFonts w:asciiTheme="majorHAnsi" w:eastAsia="Arial Unicode MS" w:hAnsiTheme="majorHAnsi" w:cs="Arial Unicode MS"/>
        </w:rPr>
        <w:t xml:space="preserve"> </w:t>
      </w:r>
      <w:r w:rsidRPr="000B16D5">
        <w:rPr>
          <w:rFonts w:asciiTheme="majorHAnsi" w:hAnsiTheme="majorHAnsi" w:cs="Arial"/>
        </w:rPr>
        <w:t>pasu u 102 b</w:t>
      </w:r>
      <w:r w:rsidRPr="000B16D5">
        <w:rPr>
          <w:rFonts w:asciiTheme="majorHAnsi" w:eastAsia="TTBE8o00" w:hAnsiTheme="majorHAnsi" w:cs="TTBE8o00"/>
        </w:rPr>
        <w:t>ě</w:t>
      </w:r>
      <w:r w:rsidRPr="000B16D5">
        <w:rPr>
          <w:rFonts w:asciiTheme="majorHAnsi" w:hAnsiTheme="majorHAnsi" w:cs="Arial"/>
        </w:rPr>
        <w:t>lošských rodin vedl k odhadu korelace 0,46</w:t>
      </w:r>
      <w:r w:rsidR="001E2492" w:rsidRPr="000B16D5">
        <w:rPr>
          <w:rFonts w:asciiTheme="majorHAnsi" w:hAnsiTheme="majorHAnsi" w:cs="Arial"/>
        </w:rPr>
        <w:t>–</w:t>
      </w:r>
      <w:r w:rsidRPr="000B16D5">
        <w:rPr>
          <w:rFonts w:asciiTheme="majorHAnsi" w:hAnsiTheme="majorHAnsi" w:cs="Arial"/>
        </w:rPr>
        <w:t>0,60 pro parametry</w:t>
      </w:r>
      <w:r w:rsidRPr="000B16D5">
        <w:rPr>
          <w:rFonts w:asciiTheme="majorHAnsi" w:eastAsia="Arial Unicode MS" w:hAnsiTheme="majorHAnsi" w:cs="Arial Unicode MS"/>
        </w:rPr>
        <w:t xml:space="preserve"> </w:t>
      </w:r>
      <w:r w:rsidRPr="000B16D5">
        <w:rPr>
          <w:rFonts w:asciiTheme="majorHAnsi" w:hAnsiTheme="majorHAnsi" w:cs="Arial"/>
        </w:rPr>
        <w:t>nadváhy, nap</w:t>
      </w:r>
      <w:r w:rsidRPr="000B16D5">
        <w:rPr>
          <w:rFonts w:asciiTheme="majorHAnsi" w:eastAsia="TTBE8o00" w:hAnsiTheme="majorHAnsi" w:cs="TTBE8o00"/>
        </w:rPr>
        <w:t>ř</w:t>
      </w:r>
      <w:r w:rsidRPr="000B16D5">
        <w:rPr>
          <w:rFonts w:asciiTheme="majorHAnsi" w:hAnsiTheme="majorHAnsi" w:cs="Arial"/>
        </w:rPr>
        <w:t>. BMI, a 0,29</w:t>
      </w:r>
      <w:r w:rsidR="001E2492" w:rsidRPr="000B16D5">
        <w:rPr>
          <w:rFonts w:asciiTheme="majorHAnsi" w:hAnsiTheme="majorHAnsi" w:cs="Arial"/>
        </w:rPr>
        <w:t>–</w:t>
      </w:r>
      <w:r w:rsidRPr="000B16D5">
        <w:rPr>
          <w:rFonts w:asciiTheme="majorHAnsi" w:hAnsiTheme="majorHAnsi" w:cs="Arial"/>
        </w:rPr>
        <w:t>0,48 pro parametry distribuce tuku, jako je obvod pasu</w:t>
      </w:r>
      <w:r w:rsidRPr="000B16D5">
        <w:rPr>
          <w:rFonts w:asciiTheme="majorHAnsi" w:eastAsia="Arial Unicode MS" w:hAnsiTheme="majorHAnsi" w:cs="Arial Unicode MS"/>
        </w:rPr>
        <w:t xml:space="preserve"> </w:t>
      </w:r>
      <w:r w:rsidRPr="000B16D5">
        <w:rPr>
          <w:rFonts w:asciiTheme="majorHAnsi" w:hAnsiTheme="majorHAnsi" w:cs="Arial"/>
        </w:rPr>
        <w:t>adjustovaný na BMI, nezávisle na celkovém množství tukové tkán</w:t>
      </w:r>
      <w:r w:rsidRPr="000B16D5">
        <w:rPr>
          <w:rFonts w:asciiTheme="majorHAnsi" w:eastAsia="TTBE8o00" w:hAnsiTheme="majorHAnsi" w:cs="TTBE8o00"/>
        </w:rPr>
        <w:t>ě [11]</w:t>
      </w:r>
      <w:r w:rsidRPr="000B16D5">
        <w:rPr>
          <w:rFonts w:asciiTheme="majorHAnsi" w:hAnsiTheme="majorHAnsi" w:cs="Arial"/>
        </w:rPr>
        <w:t>. Tyto</w:t>
      </w:r>
      <w:r w:rsidRPr="000B16D5">
        <w:rPr>
          <w:rFonts w:asciiTheme="majorHAnsi" w:eastAsia="Arial Unicode MS" w:hAnsiTheme="majorHAnsi" w:cs="Arial Unicode MS"/>
        </w:rPr>
        <w:t xml:space="preserve"> </w:t>
      </w:r>
      <w:r w:rsidRPr="000B16D5">
        <w:rPr>
          <w:rFonts w:asciiTheme="majorHAnsi" w:hAnsiTheme="majorHAnsi" w:cs="Arial"/>
        </w:rPr>
        <w:t>hodnoty dob</w:t>
      </w:r>
      <w:r w:rsidRPr="000B16D5">
        <w:rPr>
          <w:rFonts w:asciiTheme="majorHAnsi" w:eastAsia="TTBE8o00" w:hAnsiTheme="majorHAnsi" w:cs="TTBE8o00"/>
        </w:rPr>
        <w:t>ř</w:t>
      </w:r>
      <w:r w:rsidRPr="000B16D5">
        <w:rPr>
          <w:rFonts w:asciiTheme="majorHAnsi" w:hAnsiTheme="majorHAnsi" w:cs="Arial"/>
        </w:rPr>
        <w:t>e zapadají do odhad</w:t>
      </w:r>
      <w:r w:rsidRPr="000B16D5">
        <w:rPr>
          <w:rFonts w:asciiTheme="majorHAnsi" w:eastAsia="TTBE8o00" w:hAnsiTheme="majorHAnsi" w:cs="TTBE8o00"/>
        </w:rPr>
        <w:t xml:space="preserve">ů vycházejících </w:t>
      </w:r>
      <w:r w:rsidRPr="000B16D5">
        <w:rPr>
          <w:rFonts w:asciiTheme="majorHAnsi" w:hAnsiTheme="majorHAnsi" w:cs="Arial"/>
        </w:rPr>
        <w:t>ze studií na dvoj</w:t>
      </w:r>
      <w:r w:rsidRPr="000B16D5">
        <w:rPr>
          <w:rFonts w:asciiTheme="majorHAnsi" w:eastAsia="TTBE8o00" w:hAnsiTheme="majorHAnsi" w:cs="TTBE8o00"/>
        </w:rPr>
        <w:t>č</w:t>
      </w:r>
      <w:r w:rsidRPr="000B16D5">
        <w:rPr>
          <w:rFonts w:asciiTheme="majorHAnsi" w:hAnsiTheme="majorHAnsi" w:cs="Arial"/>
        </w:rPr>
        <w:t>atech a celkov</w:t>
      </w:r>
      <w:r w:rsidRPr="000B16D5">
        <w:rPr>
          <w:rFonts w:asciiTheme="majorHAnsi" w:eastAsia="TTBE8o00" w:hAnsiTheme="majorHAnsi" w:cs="TTBE8o00"/>
        </w:rPr>
        <w:t xml:space="preserve">ě </w:t>
      </w:r>
      <w:r w:rsidRPr="000B16D5">
        <w:rPr>
          <w:rFonts w:asciiTheme="majorHAnsi" w:hAnsiTheme="majorHAnsi" w:cs="Arial"/>
        </w:rPr>
        <w:t>vedou k</w:t>
      </w:r>
      <w:r w:rsidRPr="000B16D5">
        <w:rPr>
          <w:rFonts w:asciiTheme="majorHAnsi" w:eastAsia="Arial Unicode MS" w:hAnsiTheme="majorHAnsi" w:cs="Arial Unicode MS"/>
        </w:rPr>
        <w:t xml:space="preserve"> </w:t>
      </w:r>
      <w:r w:rsidRPr="000B16D5">
        <w:rPr>
          <w:rFonts w:asciiTheme="majorHAnsi" w:hAnsiTheme="majorHAnsi" w:cs="Arial"/>
        </w:rPr>
        <w:t>odhadu minimální dědivosti celkového množství tukové tkán</w:t>
      </w:r>
      <w:r w:rsidRPr="000B16D5">
        <w:rPr>
          <w:rFonts w:asciiTheme="majorHAnsi" w:eastAsia="TTBE8o00" w:hAnsiTheme="majorHAnsi" w:cs="TTBE8o00"/>
        </w:rPr>
        <w:t xml:space="preserve">ě </w:t>
      </w:r>
      <w:r w:rsidRPr="000B16D5">
        <w:rPr>
          <w:rFonts w:asciiTheme="majorHAnsi" w:hAnsiTheme="majorHAnsi" w:cs="Arial"/>
        </w:rPr>
        <w:t>v t</w:t>
      </w:r>
      <w:r w:rsidRPr="000B16D5">
        <w:rPr>
          <w:rFonts w:asciiTheme="majorHAnsi" w:eastAsia="TTBE8o00" w:hAnsiTheme="majorHAnsi" w:cs="TTBE8o00"/>
        </w:rPr>
        <w:t>ě</w:t>
      </w:r>
      <w:r w:rsidRPr="000B16D5">
        <w:rPr>
          <w:rFonts w:asciiTheme="majorHAnsi" w:hAnsiTheme="majorHAnsi" w:cs="Arial"/>
        </w:rPr>
        <w:t>le na 0,40, tj. hrubě lze říci, že 40</w:t>
      </w:r>
      <w:r w:rsidR="001E2492" w:rsidRPr="000B16D5">
        <w:rPr>
          <w:rFonts w:asciiTheme="majorHAnsi" w:hAnsiTheme="majorHAnsi" w:cs="Arial"/>
        </w:rPr>
        <w:t xml:space="preserve"> </w:t>
      </w:r>
      <w:r w:rsidRPr="000B16D5">
        <w:rPr>
          <w:rFonts w:asciiTheme="majorHAnsi" w:hAnsiTheme="majorHAnsi" w:cs="Arial"/>
        </w:rPr>
        <w:t>% z celkového množství naší tukové tkáně je „zadáno“ geneticky.</w:t>
      </w:r>
    </w:p>
    <w:p w:rsidR="00520D6A" w:rsidRPr="000B16D5" w:rsidRDefault="00520D6A" w:rsidP="009F53ED">
      <w:pPr>
        <w:autoSpaceDE w:val="0"/>
        <w:autoSpaceDN w:val="0"/>
        <w:adjustRightInd w:val="0"/>
        <w:spacing w:after="0"/>
        <w:jc w:val="both"/>
        <w:rPr>
          <w:rFonts w:asciiTheme="majorHAnsi" w:hAnsiTheme="majorHAnsi" w:cs="Arial"/>
        </w:rPr>
      </w:pP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Ve dvojčecích studiích byl také intenzivně zkoumán relativní podíl nadm</w:t>
      </w:r>
      <w:r w:rsidRPr="000B16D5">
        <w:rPr>
          <w:rFonts w:asciiTheme="majorHAnsi" w:eastAsia="TTBE8o00" w:hAnsiTheme="majorHAnsi" w:cs="TTBE8o00"/>
        </w:rPr>
        <w:t>ě</w:t>
      </w:r>
      <w:r w:rsidRPr="000B16D5">
        <w:rPr>
          <w:rFonts w:asciiTheme="majorHAnsi" w:hAnsiTheme="majorHAnsi" w:cs="Arial"/>
        </w:rPr>
        <w:t>rného energetického p</w:t>
      </w:r>
      <w:r w:rsidRPr="000B16D5">
        <w:rPr>
          <w:rFonts w:asciiTheme="majorHAnsi" w:eastAsia="TTBE8o00" w:hAnsiTheme="majorHAnsi" w:cs="TTBE8o00"/>
        </w:rPr>
        <w:t>ř</w:t>
      </w:r>
      <w:r w:rsidRPr="000B16D5">
        <w:rPr>
          <w:rFonts w:asciiTheme="majorHAnsi" w:hAnsiTheme="majorHAnsi" w:cs="Arial"/>
        </w:rPr>
        <w:t>íjmu a redukovaného výdeje energie na rozvoji obezity. V roce 1990 Bouchard se svými spolupracovníky provedli výzkum na párech dvoj</w:t>
      </w:r>
      <w:r w:rsidRPr="000B16D5">
        <w:rPr>
          <w:rFonts w:asciiTheme="majorHAnsi" w:eastAsia="TTBE8o00" w:hAnsiTheme="majorHAnsi" w:cs="TTBE8o00"/>
        </w:rPr>
        <w:t>č</w:t>
      </w:r>
      <w:r w:rsidRPr="000B16D5">
        <w:rPr>
          <w:rFonts w:asciiTheme="majorHAnsi" w:hAnsiTheme="majorHAnsi" w:cs="Arial"/>
        </w:rPr>
        <w:t>at, která p</w:t>
      </w:r>
      <w:r w:rsidRPr="000B16D5">
        <w:rPr>
          <w:rFonts w:asciiTheme="majorHAnsi" w:eastAsia="TTBE8o00" w:hAnsiTheme="majorHAnsi" w:cs="TTBE8o00"/>
        </w:rPr>
        <w:t>ř</w:t>
      </w:r>
      <w:r w:rsidRPr="000B16D5">
        <w:rPr>
          <w:rFonts w:asciiTheme="majorHAnsi" w:hAnsiTheme="majorHAnsi" w:cs="Arial"/>
        </w:rPr>
        <w:t>ijímala b</w:t>
      </w:r>
      <w:r w:rsidRPr="000B16D5">
        <w:rPr>
          <w:rFonts w:asciiTheme="majorHAnsi" w:eastAsia="TTBE8o00" w:hAnsiTheme="majorHAnsi" w:cs="TTBE8o00"/>
        </w:rPr>
        <w:t>ě</w:t>
      </w:r>
      <w:r w:rsidRPr="000B16D5">
        <w:rPr>
          <w:rFonts w:asciiTheme="majorHAnsi" w:hAnsiTheme="majorHAnsi" w:cs="Arial"/>
        </w:rPr>
        <w:t>hem trvání studie nadm</w:t>
      </w:r>
      <w:r w:rsidRPr="000B16D5">
        <w:rPr>
          <w:rFonts w:asciiTheme="majorHAnsi" w:eastAsia="TTBE8o00" w:hAnsiTheme="majorHAnsi" w:cs="TTBE8o00"/>
        </w:rPr>
        <w:t>ě</w:t>
      </w:r>
      <w:r w:rsidRPr="000B16D5">
        <w:rPr>
          <w:rFonts w:asciiTheme="majorHAnsi" w:hAnsiTheme="majorHAnsi" w:cs="Arial"/>
        </w:rPr>
        <w:t>rné množství potravy, přičemž odhalil, že korelace nár</w:t>
      </w:r>
      <w:r w:rsidRPr="000B16D5">
        <w:rPr>
          <w:rFonts w:asciiTheme="majorHAnsi" w:eastAsia="TTBE8o00" w:hAnsiTheme="majorHAnsi" w:cs="TTBE8o00"/>
        </w:rPr>
        <w:t>ů</w:t>
      </w:r>
      <w:r w:rsidRPr="000B16D5">
        <w:rPr>
          <w:rFonts w:asciiTheme="majorHAnsi" w:hAnsiTheme="majorHAnsi" w:cs="Arial"/>
        </w:rPr>
        <w:t>stu hmotnosti uvnit</w:t>
      </w:r>
      <w:r w:rsidRPr="000B16D5">
        <w:rPr>
          <w:rFonts w:asciiTheme="majorHAnsi" w:eastAsia="TTBE8o00" w:hAnsiTheme="majorHAnsi" w:cs="TTBE8o00"/>
        </w:rPr>
        <w:t xml:space="preserve">ř </w:t>
      </w:r>
      <w:r w:rsidRPr="000B16D5">
        <w:rPr>
          <w:rFonts w:asciiTheme="majorHAnsi" w:hAnsiTheme="majorHAnsi" w:cs="Arial"/>
        </w:rPr>
        <w:t>pár</w:t>
      </w:r>
      <w:r w:rsidRPr="000B16D5">
        <w:rPr>
          <w:rFonts w:asciiTheme="majorHAnsi" w:eastAsia="TTBE8o00" w:hAnsiTheme="majorHAnsi" w:cs="TTBE8o00"/>
        </w:rPr>
        <w:t xml:space="preserve">ů </w:t>
      </w:r>
      <w:r w:rsidRPr="000B16D5">
        <w:rPr>
          <w:rFonts w:asciiTheme="majorHAnsi" w:hAnsiTheme="majorHAnsi" w:cs="Arial"/>
        </w:rPr>
        <w:t>byla vysoká (vyšší než 70</w:t>
      </w:r>
      <w:r w:rsidR="001E2492" w:rsidRPr="000B16D5">
        <w:rPr>
          <w:rFonts w:asciiTheme="majorHAnsi" w:hAnsiTheme="majorHAnsi" w:cs="Arial"/>
        </w:rPr>
        <w:t xml:space="preserve"> </w:t>
      </w:r>
      <w:r w:rsidRPr="000B16D5">
        <w:rPr>
          <w:rFonts w:asciiTheme="majorHAnsi" w:hAnsiTheme="majorHAnsi" w:cs="Arial"/>
        </w:rPr>
        <w:t>%), p</w:t>
      </w:r>
      <w:r w:rsidRPr="000B16D5">
        <w:rPr>
          <w:rFonts w:asciiTheme="majorHAnsi" w:eastAsia="TTBE8o00" w:hAnsiTheme="majorHAnsi" w:cs="TTBE8o00"/>
        </w:rPr>
        <w:t>ř</w:t>
      </w:r>
      <w:r w:rsidRPr="000B16D5">
        <w:rPr>
          <w:rFonts w:asciiTheme="majorHAnsi" w:hAnsiTheme="majorHAnsi" w:cs="Arial"/>
        </w:rPr>
        <w:t>estože n</w:t>
      </w:r>
      <w:r w:rsidRPr="000B16D5">
        <w:rPr>
          <w:rFonts w:asciiTheme="majorHAnsi" w:eastAsia="TTBE8o00" w:hAnsiTheme="majorHAnsi" w:cs="TTBE8o00"/>
        </w:rPr>
        <w:t>ě</w:t>
      </w:r>
      <w:r w:rsidRPr="000B16D5">
        <w:rPr>
          <w:rFonts w:asciiTheme="majorHAnsi" w:hAnsiTheme="majorHAnsi" w:cs="Arial"/>
        </w:rPr>
        <w:t>které páry dvoj</w:t>
      </w:r>
      <w:r w:rsidRPr="000B16D5">
        <w:rPr>
          <w:rFonts w:asciiTheme="majorHAnsi" w:eastAsia="TTBE8o00" w:hAnsiTheme="majorHAnsi" w:cs="TTBE8o00"/>
        </w:rPr>
        <w:t>č</w:t>
      </w:r>
      <w:r w:rsidRPr="000B16D5">
        <w:rPr>
          <w:rFonts w:asciiTheme="majorHAnsi" w:hAnsiTheme="majorHAnsi" w:cs="Arial"/>
        </w:rPr>
        <w:t>at p</w:t>
      </w:r>
      <w:r w:rsidRPr="000B16D5">
        <w:rPr>
          <w:rFonts w:asciiTheme="majorHAnsi" w:eastAsia="TTBE8o00" w:hAnsiTheme="majorHAnsi" w:cs="TTBE8o00"/>
        </w:rPr>
        <w:t>ř</w:t>
      </w:r>
      <w:r w:rsidRPr="000B16D5">
        <w:rPr>
          <w:rFonts w:asciiTheme="majorHAnsi" w:hAnsiTheme="majorHAnsi" w:cs="Arial"/>
        </w:rPr>
        <w:t>ibraly pouze 4,3 kg a jiné až 13,3 kg [12]. Je pozoruhodné, že po skon</w:t>
      </w:r>
      <w:r w:rsidRPr="000B16D5">
        <w:rPr>
          <w:rFonts w:asciiTheme="majorHAnsi" w:eastAsia="TTBE8o00" w:hAnsiTheme="majorHAnsi" w:cs="TTBE8o00"/>
        </w:rPr>
        <w:t>č</w:t>
      </w:r>
      <w:r w:rsidRPr="000B16D5">
        <w:rPr>
          <w:rFonts w:asciiTheme="majorHAnsi" w:hAnsiTheme="majorHAnsi" w:cs="Arial"/>
        </w:rPr>
        <w:t>ení studie došlo u většiny subjekt</w:t>
      </w:r>
      <w:r w:rsidRPr="000B16D5">
        <w:rPr>
          <w:rFonts w:asciiTheme="majorHAnsi" w:eastAsia="TTBE8o00" w:hAnsiTheme="majorHAnsi" w:cs="TTBE8o00"/>
        </w:rPr>
        <w:t>ů ke spontánnímu návratu</w:t>
      </w:r>
      <w:r w:rsidRPr="000B16D5">
        <w:rPr>
          <w:rFonts w:asciiTheme="majorHAnsi" w:hAnsiTheme="majorHAnsi" w:cs="Arial"/>
        </w:rPr>
        <w:t xml:space="preserve"> k obvyklým stravovacím zvyklostem a k úbytku na váze, p</w:t>
      </w:r>
      <w:r w:rsidRPr="000B16D5">
        <w:rPr>
          <w:rFonts w:asciiTheme="majorHAnsi" w:eastAsia="TTBE8o00" w:hAnsiTheme="majorHAnsi" w:cs="TTBE8o00"/>
        </w:rPr>
        <w:t>ř</w:t>
      </w:r>
      <w:r w:rsidRPr="000B16D5">
        <w:rPr>
          <w:rFonts w:asciiTheme="majorHAnsi" w:hAnsiTheme="majorHAnsi" w:cs="Arial"/>
        </w:rPr>
        <w:t>i</w:t>
      </w:r>
      <w:r w:rsidRPr="000B16D5">
        <w:rPr>
          <w:rFonts w:asciiTheme="majorHAnsi" w:eastAsia="TTBE8o00" w:hAnsiTheme="majorHAnsi" w:cs="TTBE8o00"/>
        </w:rPr>
        <w:t>č</w:t>
      </w:r>
      <w:r w:rsidRPr="000B16D5">
        <w:rPr>
          <w:rFonts w:asciiTheme="majorHAnsi" w:hAnsiTheme="majorHAnsi" w:cs="Arial"/>
        </w:rPr>
        <w:t>emž tato redukce hmotnosti op</w:t>
      </w:r>
      <w:r w:rsidRPr="000B16D5">
        <w:rPr>
          <w:rFonts w:asciiTheme="majorHAnsi" w:eastAsia="TTBE8o00" w:hAnsiTheme="majorHAnsi" w:cs="TTBE8o00"/>
        </w:rPr>
        <w:t>ě</w:t>
      </w:r>
      <w:r w:rsidRPr="000B16D5">
        <w:rPr>
          <w:rFonts w:asciiTheme="majorHAnsi" w:hAnsiTheme="majorHAnsi" w:cs="Arial"/>
        </w:rPr>
        <w:t xml:space="preserve">t vykazovala genetickou závislost (jinými slovy, dvojčata přibírala i hubla spolu). Tento fenomén byl dále potvrzen u </w:t>
      </w:r>
      <w:r w:rsidRPr="000B16D5">
        <w:rPr>
          <w:rFonts w:asciiTheme="majorHAnsi" w:eastAsia="TTBE8o00" w:hAnsiTheme="majorHAnsi" w:cs="TTBE8o00"/>
        </w:rPr>
        <w:t>č</w:t>
      </w:r>
      <w:r w:rsidRPr="000B16D5">
        <w:rPr>
          <w:rFonts w:asciiTheme="majorHAnsi" w:hAnsiTheme="majorHAnsi" w:cs="Arial"/>
        </w:rPr>
        <w:t>eských dvoj</w:t>
      </w:r>
      <w:r w:rsidRPr="000B16D5">
        <w:rPr>
          <w:rFonts w:asciiTheme="majorHAnsi" w:eastAsia="TTBE8o00" w:hAnsiTheme="majorHAnsi" w:cs="TTBE8o00"/>
        </w:rPr>
        <w:t>č</w:t>
      </w:r>
      <w:r w:rsidRPr="000B16D5">
        <w:rPr>
          <w:rFonts w:asciiTheme="majorHAnsi" w:hAnsiTheme="majorHAnsi" w:cs="Arial"/>
        </w:rPr>
        <w:t>at na nízkokalorické dietě, s intrapárovou korelací 0,88 pro ztrátu tuku b</w:t>
      </w:r>
      <w:r w:rsidRPr="000B16D5">
        <w:rPr>
          <w:rFonts w:asciiTheme="majorHAnsi" w:eastAsia="TTBE8o00" w:hAnsiTheme="majorHAnsi" w:cs="TTBE8o00"/>
        </w:rPr>
        <w:t>ě</w:t>
      </w:r>
      <w:r w:rsidRPr="000B16D5">
        <w:rPr>
          <w:rFonts w:asciiTheme="majorHAnsi" w:hAnsiTheme="majorHAnsi" w:cs="Arial"/>
        </w:rPr>
        <w:t>hem studie [13]. Familiární agregaci celkového p</w:t>
      </w:r>
      <w:r w:rsidRPr="000B16D5">
        <w:rPr>
          <w:rFonts w:asciiTheme="majorHAnsi" w:eastAsia="TTBE8o00" w:hAnsiTheme="majorHAnsi" w:cs="TTBE8o00"/>
        </w:rPr>
        <w:t>ř</w:t>
      </w:r>
      <w:r w:rsidRPr="000B16D5">
        <w:rPr>
          <w:rFonts w:asciiTheme="majorHAnsi" w:hAnsiTheme="majorHAnsi" w:cs="Arial"/>
        </w:rPr>
        <w:t>íjmu energie a makronutrient</w:t>
      </w:r>
      <w:r w:rsidRPr="000B16D5">
        <w:rPr>
          <w:rFonts w:asciiTheme="majorHAnsi" w:eastAsia="TTBE8o00" w:hAnsiTheme="majorHAnsi" w:cs="TTBE8o00"/>
        </w:rPr>
        <w:t xml:space="preserve">ů </w:t>
      </w:r>
      <w:r w:rsidRPr="000B16D5">
        <w:rPr>
          <w:rFonts w:asciiTheme="majorHAnsi" w:hAnsiTheme="majorHAnsi" w:cs="Arial"/>
        </w:rPr>
        <w:t xml:space="preserve">nezávislou na antropometrických parametrech, jako je výška a váha, popsal ve své studii i Faith </w:t>
      </w:r>
      <w:r w:rsidRPr="000B16D5">
        <w:rPr>
          <w:rFonts w:asciiTheme="majorHAnsi" w:hAnsiTheme="majorHAnsi" w:cs="Arial"/>
          <w:i/>
          <w:iCs/>
        </w:rPr>
        <w:t>etal</w:t>
      </w:r>
      <w:r w:rsidRPr="000B16D5">
        <w:rPr>
          <w:rFonts w:asciiTheme="majorHAnsi" w:hAnsiTheme="majorHAnsi" w:cs="Arial"/>
        </w:rPr>
        <w:t>., p</w:t>
      </w:r>
      <w:r w:rsidRPr="000B16D5">
        <w:rPr>
          <w:rFonts w:asciiTheme="majorHAnsi" w:eastAsia="TTBE8o00" w:hAnsiTheme="majorHAnsi" w:cs="TTBE8o00"/>
        </w:rPr>
        <w:t>ř</w:t>
      </w:r>
      <w:r w:rsidRPr="000B16D5">
        <w:rPr>
          <w:rFonts w:asciiTheme="majorHAnsi" w:hAnsiTheme="majorHAnsi" w:cs="Arial"/>
        </w:rPr>
        <w:t>i</w:t>
      </w:r>
      <w:r w:rsidRPr="000B16D5">
        <w:rPr>
          <w:rFonts w:asciiTheme="majorHAnsi" w:eastAsia="TTBE8o00" w:hAnsiTheme="majorHAnsi" w:cs="TTBE8o00"/>
        </w:rPr>
        <w:t>č</w:t>
      </w:r>
      <w:r w:rsidRPr="000B16D5">
        <w:rPr>
          <w:rFonts w:asciiTheme="majorHAnsi" w:hAnsiTheme="majorHAnsi" w:cs="Arial"/>
        </w:rPr>
        <w:t>emž tato studie podporuje hypotézu o p</w:t>
      </w:r>
      <w:r w:rsidRPr="000B16D5">
        <w:rPr>
          <w:rFonts w:asciiTheme="majorHAnsi" w:eastAsia="TTBE8o00" w:hAnsiTheme="majorHAnsi" w:cs="TTBE8o00"/>
        </w:rPr>
        <w:t>ř</w:t>
      </w:r>
      <w:r w:rsidRPr="000B16D5">
        <w:rPr>
          <w:rFonts w:asciiTheme="majorHAnsi" w:hAnsiTheme="majorHAnsi" w:cs="Arial"/>
        </w:rPr>
        <w:t>ítomnosti jak genetických, tak environmentálních vliv</w:t>
      </w:r>
      <w:r w:rsidRPr="000B16D5">
        <w:rPr>
          <w:rFonts w:asciiTheme="majorHAnsi" w:eastAsia="TTBE8o00" w:hAnsiTheme="majorHAnsi" w:cs="TTBE8o00"/>
        </w:rPr>
        <w:t xml:space="preserve">ů </w:t>
      </w:r>
      <w:r w:rsidRPr="000B16D5">
        <w:rPr>
          <w:rFonts w:asciiTheme="majorHAnsi" w:hAnsiTheme="majorHAnsi" w:cs="Arial"/>
        </w:rPr>
        <w:t>specifických pro potravní chování [14]. Bohužel, dosud existuje pouze omezené množství d</w:t>
      </w:r>
      <w:r w:rsidRPr="000B16D5">
        <w:rPr>
          <w:rFonts w:asciiTheme="majorHAnsi" w:eastAsia="TTBE8o00" w:hAnsiTheme="majorHAnsi" w:cs="TTBE8o00"/>
        </w:rPr>
        <w:t>ů</w:t>
      </w:r>
      <w:r w:rsidRPr="000B16D5">
        <w:rPr>
          <w:rFonts w:asciiTheme="majorHAnsi" w:hAnsiTheme="majorHAnsi" w:cs="Arial"/>
        </w:rPr>
        <w:t>kaz</w:t>
      </w:r>
      <w:r w:rsidRPr="000B16D5">
        <w:rPr>
          <w:rFonts w:asciiTheme="majorHAnsi" w:eastAsia="TTBE8o00" w:hAnsiTheme="majorHAnsi" w:cs="TTBE8o00"/>
        </w:rPr>
        <w:t xml:space="preserve">ů o </w:t>
      </w:r>
      <w:r w:rsidRPr="000B16D5">
        <w:rPr>
          <w:rFonts w:asciiTheme="majorHAnsi" w:hAnsiTheme="majorHAnsi" w:cs="Arial"/>
        </w:rPr>
        <w:t>účasti genetických faktor</w:t>
      </w:r>
      <w:r w:rsidRPr="000B16D5">
        <w:rPr>
          <w:rFonts w:asciiTheme="majorHAnsi" w:eastAsia="TTBE8o00" w:hAnsiTheme="majorHAnsi" w:cs="TTBE8o00"/>
        </w:rPr>
        <w:t xml:space="preserve">ů </w:t>
      </w:r>
      <w:r w:rsidRPr="000B16D5">
        <w:rPr>
          <w:rFonts w:asciiTheme="majorHAnsi" w:hAnsiTheme="majorHAnsi" w:cs="Arial"/>
        </w:rPr>
        <w:t>na regulaci účinnosti energetického metabolismu, pravd</w:t>
      </w:r>
      <w:r w:rsidRPr="000B16D5">
        <w:rPr>
          <w:rFonts w:asciiTheme="majorHAnsi" w:eastAsia="TTBE8o00" w:hAnsiTheme="majorHAnsi" w:cs="TTBE8o00"/>
        </w:rPr>
        <w:t>ě</w:t>
      </w:r>
      <w:r w:rsidRPr="000B16D5">
        <w:rPr>
          <w:rFonts w:asciiTheme="majorHAnsi" w:hAnsiTheme="majorHAnsi" w:cs="Arial"/>
        </w:rPr>
        <w:t>podobn</w:t>
      </w:r>
      <w:r w:rsidRPr="000B16D5">
        <w:rPr>
          <w:rFonts w:asciiTheme="majorHAnsi" w:eastAsia="TTBE8o00" w:hAnsiTheme="majorHAnsi" w:cs="TTBE8o00"/>
        </w:rPr>
        <w:t xml:space="preserve">ě </w:t>
      </w:r>
      <w:r w:rsidRPr="000B16D5">
        <w:rPr>
          <w:rFonts w:asciiTheme="majorHAnsi" w:hAnsiTheme="majorHAnsi" w:cs="Arial"/>
        </w:rPr>
        <w:t>proto, že je tém</w:t>
      </w:r>
      <w:r w:rsidRPr="000B16D5">
        <w:rPr>
          <w:rFonts w:asciiTheme="majorHAnsi" w:eastAsia="TTBE8o00" w:hAnsiTheme="majorHAnsi" w:cs="TTBE8o00"/>
        </w:rPr>
        <w:t xml:space="preserve">ěř </w:t>
      </w:r>
      <w:r w:rsidRPr="000B16D5">
        <w:rPr>
          <w:rFonts w:asciiTheme="majorHAnsi" w:hAnsiTheme="majorHAnsi" w:cs="Arial"/>
        </w:rPr>
        <w:t>nemožné tyto děje spolehliv</w:t>
      </w:r>
      <w:r w:rsidRPr="000B16D5">
        <w:rPr>
          <w:rFonts w:asciiTheme="majorHAnsi" w:eastAsia="TTBE8o00" w:hAnsiTheme="majorHAnsi" w:cs="TTBE8o00"/>
        </w:rPr>
        <w:t xml:space="preserve">ě </w:t>
      </w:r>
      <w:r w:rsidRPr="000B16D5">
        <w:rPr>
          <w:rFonts w:asciiTheme="majorHAnsi" w:hAnsiTheme="majorHAnsi" w:cs="Arial"/>
        </w:rPr>
        <w:t xml:space="preserve">stanovovat </w:t>
      </w:r>
      <w:r w:rsidRPr="000B16D5">
        <w:rPr>
          <w:rFonts w:asciiTheme="majorHAnsi" w:hAnsiTheme="majorHAnsi" w:cs="Arial"/>
          <w:i/>
          <w:iCs/>
        </w:rPr>
        <w:t>in vivo</w:t>
      </w:r>
      <w:r w:rsidRPr="000B16D5">
        <w:rPr>
          <w:rFonts w:asciiTheme="majorHAnsi" w:hAnsiTheme="majorHAnsi" w:cs="Arial"/>
        </w:rPr>
        <w:t xml:space="preserve"> či modelovat.</w:t>
      </w:r>
    </w:p>
    <w:p w:rsidR="00520D6A" w:rsidRPr="000B16D5" w:rsidRDefault="00520D6A" w:rsidP="009F53ED">
      <w:pPr>
        <w:autoSpaceDE w:val="0"/>
        <w:autoSpaceDN w:val="0"/>
        <w:adjustRightInd w:val="0"/>
        <w:spacing w:after="0"/>
        <w:jc w:val="both"/>
        <w:rPr>
          <w:rFonts w:asciiTheme="majorHAnsi" w:hAnsiTheme="majorHAnsi" w:cs="Arial"/>
        </w:rPr>
      </w:pP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Další důkaz pro existenci nezpochybnitelného genetického pozadí obezity poskytují studie na vzácných populacích a populačních izolátech. Nap</w:t>
      </w:r>
      <w:r w:rsidRPr="000B16D5">
        <w:rPr>
          <w:rFonts w:asciiTheme="majorHAnsi" w:eastAsia="TTBE8o00" w:hAnsiTheme="majorHAnsi" w:cs="TTBE8o00"/>
        </w:rPr>
        <w:t>ř</w:t>
      </w:r>
      <w:r w:rsidRPr="000B16D5">
        <w:rPr>
          <w:rFonts w:asciiTheme="majorHAnsi" w:hAnsiTheme="majorHAnsi" w:cs="Arial"/>
        </w:rPr>
        <w:t xml:space="preserve">íklad u Pima </w:t>
      </w:r>
      <w:r w:rsidR="001E2492" w:rsidRPr="000B16D5">
        <w:rPr>
          <w:rFonts w:asciiTheme="majorHAnsi" w:hAnsiTheme="majorHAnsi" w:cs="Arial"/>
        </w:rPr>
        <w:t>indián</w:t>
      </w:r>
      <w:r w:rsidR="001E2492" w:rsidRPr="000B16D5">
        <w:rPr>
          <w:rFonts w:asciiTheme="majorHAnsi" w:eastAsia="TTBE8o00" w:hAnsiTheme="majorHAnsi" w:cs="TTBE8o00"/>
        </w:rPr>
        <w:t>ů</w:t>
      </w:r>
      <w:r w:rsidRPr="000B16D5">
        <w:rPr>
          <w:rFonts w:asciiTheme="majorHAnsi" w:hAnsiTheme="majorHAnsi" w:cs="Arial"/>
        </w:rPr>
        <w:t>, kte</w:t>
      </w:r>
      <w:r w:rsidRPr="000B16D5">
        <w:rPr>
          <w:rFonts w:asciiTheme="majorHAnsi" w:eastAsia="TTBE8o00" w:hAnsiTheme="majorHAnsi" w:cs="TTBE8o00"/>
        </w:rPr>
        <w:t>ř</w:t>
      </w:r>
      <w:r w:rsidRPr="000B16D5">
        <w:rPr>
          <w:rFonts w:asciiTheme="majorHAnsi" w:hAnsiTheme="majorHAnsi" w:cs="Arial"/>
        </w:rPr>
        <w:t>í p</w:t>
      </w:r>
      <w:r w:rsidRPr="000B16D5">
        <w:rPr>
          <w:rFonts w:asciiTheme="majorHAnsi" w:eastAsia="TTBE8o00" w:hAnsiTheme="majorHAnsi" w:cs="TTBE8o00"/>
        </w:rPr>
        <w:t>ř</w:t>
      </w:r>
      <w:r w:rsidRPr="000B16D5">
        <w:rPr>
          <w:rFonts w:asciiTheme="majorHAnsi" w:hAnsiTheme="majorHAnsi" w:cs="Arial"/>
        </w:rPr>
        <w:t>edstavují typickou populaci náchylnou k rozvoji obezity, je stupe</w:t>
      </w:r>
      <w:r w:rsidRPr="000B16D5">
        <w:rPr>
          <w:rFonts w:asciiTheme="majorHAnsi" w:eastAsia="TTBE8o00" w:hAnsiTheme="majorHAnsi" w:cs="TTBE8o00"/>
        </w:rPr>
        <w:t xml:space="preserve">ň </w:t>
      </w:r>
      <w:r w:rsidRPr="000B16D5">
        <w:rPr>
          <w:rFonts w:asciiTheme="majorHAnsi" w:hAnsiTheme="majorHAnsi" w:cs="Arial"/>
        </w:rPr>
        <w:t>míšení s okolní nep</w:t>
      </w:r>
      <w:r w:rsidRPr="000B16D5">
        <w:rPr>
          <w:rFonts w:asciiTheme="majorHAnsi" w:eastAsia="TTBE8o00" w:hAnsiTheme="majorHAnsi" w:cs="TTBE8o00"/>
        </w:rPr>
        <w:t>ř</w:t>
      </w:r>
      <w:r w:rsidRPr="000B16D5">
        <w:rPr>
          <w:rFonts w:asciiTheme="majorHAnsi" w:hAnsiTheme="majorHAnsi" w:cs="Arial"/>
        </w:rPr>
        <w:t>íbuznou populací negativn</w:t>
      </w:r>
      <w:r w:rsidRPr="000B16D5">
        <w:rPr>
          <w:rFonts w:asciiTheme="majorHAnsi" w:eastAsia="TTBE8o00" w:hAnsiTheme="majorHAnsi" w:cs="TTBE8o00"/>
        </w:rPr>
        <w:t xml:space="preserve">ě </w:t>
      </w:r>
      <w:r w:rsidRPr="000B16D5">
        <w:rPr>
          <w:rFonts w:asciiTheme="majorHAnsi" w:hAnsiTheme="majorHAnsi" w:cs="Arial"/>
        </w:rPr>
        <w:t>korelován s výskytem obezity a diabetu, což pravděpodobně znamená, že daná populace vykazuje silnou náchylnost k tomuto onemocn</w:t>
      </w:r>
      <w:r w:rsidRPr="000B16D5">
        <w:rPr>
          <w:rFonts w:asciiTheme="majorHAnsi" w:eastAsia="TTBE8o00" w:hAnsiTheme="majorHAnsi" w:cs="TTBE8o00"/>
        </w:rPr>
        <w:t>ě</w:t>
      </w:r>
      <w:r w:rsidRPr="000B16D5">
        <w:rPr>
          <w:rFonts w:asciiTheme="majorHAnsi" w:hAnsiTheme="majorHAnsi" w:cs="Arial"/>
        </w:rPr>
        <w:t>ní [15] (tj. čím příbuznější jsou jedinci v této populaci, tím vyšší riziko, že se u jejich potomstva objeví obezita či diabetes).</w:t>
      </w: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Vzhledem k rostoucí závažnosti obezity jako medicínsko-spole</w:t>
      </w:r>
      <w:r w:rsidRPr="000B16D5">
        <w:rPr>
          <w:rFonts w:asciiTheme="majorHAnsi" w:eastAsia="TTBE8o00" w:hAnsiTheme="majorHAnsi" w:cs="TTBE8o00"/>
        </w:rPr>
        <w:t>č</w:t>
      </w:r>
      <w:r w:rsidRPr="000B16D5">
        <w:rPr>
          <w:rFonts w:asciiTheme="majorHAnsi" w:hAnsiTheme="majorHAnsi" w:cs="Arial"/>
        </w:rPr>
        <w:t>enského problému a vzhledem k množství d</w:t>
      </w:r>
      <w:r w:rsidRPr="000B16D5">
        <w:rPr>
          <w:rFonts w:asciiTheme="majorHAnsi" w:eastAsia="TTBE8o00" w:hAnsiTheme="majorHAnsi" w:cs="TTBE8o00"/>
        </w:rPr>
        <w:t>ů</w:t>
      </w:r>
      <w:r w:rsidRPr="000B16D5">
        <w:rPr>
          <w:rFonts w:asciiTheme="majorHAnsi" w:hAnsiTheme="majorHAnsi" w:cs="Arial"/>
        </w:rPr>
        <w:t>kaz</w:t>
      </w:r>
      <w:r w:rsidRPr="000B16D5">
        <w:rPr>
          <w:rFonts w:asciiTheme="majorHAnsi" w:eastAsia="TTBE8o00" w:hAnsiTheme="majorHAnsi" w:cs="TTBE8o00"/>
        </w:rPr>
        <w:t>ů</w:t>
      </w:r>
      <w:r w:rsidRPr="000B16D5">
        <w:rPr>
          <w:rFonts w:asciiTheme="majorHAnsi" w:hAnsiTheme="majorHAnsi" w:cs="Arial"/>
        </w:rPr>
        <w:t>, které nazna</w:t>
      </w:r>
      <w:r w:rsidRPr="000B16D5">
        <w:rPr>
          <w:rFonts w:asciiTheme="majorHAnsi" w:eastAsia="TTBE8o00" w:hAnsiTheme="majorHAnsi" w:cs="TTBE8o00"/>
        </w:rPr>
        <w:t>č</w:t>
      </w:r>
      <w:r w:rsidRPr="000B16D5">
        <w:rPr>
          <w:rFonts w:asciiTheme="majorHAnsi" w:hAnsiTheme="majorHAnsi" w:cs="Arial"/>
        </w:rPr>
        <w:t>ují silný genetický vliv, probíhají v současnosti po celém sv</w:t>
      </w:r>
      <w:r w:rsidRPr="000B16D5">
        <w:rPr>
          <w:rFonts w:asciiTheme="majorHAnsi" w:eastAsia="TTBE8o00" w:hAnsiTheme="majorHAnsi" w:cs="TTBE8o00"/>
        </w:rPr>
        <w:t>ě</w:t>
      </w:r>
      <w:r w:rsidRPr="000B16D5">
        <w:rPr>
          <w:rFonts w:asciiTheme="majorHAnsi" w:hAnsiTheme="majorHAnsi" w:cs="Arial"/>
        </w:rPr>
        <w:t>t</w:t>
      </w:r>
      <w:r w:rsidRPr="000B16D5">
        <w:rPr>
          <w:rFonts w:asciiTheme="majorHAnsi" w:eastAsia="TTBE8o00" w:hAnsiTheme="majorHAnsi" w:cs="TTBE8o00"/>
        </w:rPr>
        <w:t>ě č</w:t>
      </w:r>
      <w:r w:rsidRPr="000B16D5">
        <w:rPr>
          <w:rFonts w:asciiTheme="majorHAnsi" w:hAnsiTheme="majorHAnsi" w:cs="Arial"/>
        </w:rPr>
        <w:t>etné projekty zabývající se genetikou obezity.</w:t>
      </w:r>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rPr>
      </w:pPr>
    </w:p>
    <w:p w:rsidR="00520D6A" w:rsidRPr="000B16D5" w:rsidRDefault="00520D6A" w:rsidP="009F53ED">
      <w:pPr>
        <w:autoSpaceDE w:val="0"/>
        <w:autoSpaceDN w:val="0"/>
        <w:adjustRightInd w:val="0"/>
        <w:spacing w:after="0"/>
        <w:jc w:val="both"/>
        <w:rPr>
          <w:rFonts w:asciiTheme="majorHAnsi" w:hAnsiTheme="majorHAnsi" w:cs="Arial"/>
          <w:b/>
        </w:rPr>
      </w:pPr>
      <w:r w:rsidRPr="000B16D5">
        <w:rPr>
          <w:rFonts w:asciiTheme="majorHAnsi" w:hAnsiTheme="majorHAnsi" w:cs="Arial"/>
          <w:b/>
        </w:rPr>
        <w:t>Ve vztahu ke genetickému pozadí obezity rozlišujeme několik forem</w:t>
      </w:r>
      <w:r w:rsidR="001E2492" w:rsidRPr="000B16D5">
        <w:rPr>
          <w:rFonts w:asciiTheme="majorHAnsi" w:hAnsiTheme="majorHAnsi" w:cs="Arial"/>
          <w:b/>
        </w:rPr>
        <w:t>:</w:t>
      </w:r>
      <w:r w:rsidRPr="000B16D5">
        <w:rPr>
          <w:rFonts w:asciiTheme="majorHAnsi" w:hAnsiTheme="majorHAnsi" w:cs="Arial"/>
          <w:b/>
        </w:rPr>
        <w:t xml:space="preserve"> formy syndromické, formy převážně „monogenní“ a v populaci častou multifaktoriální formu obezity, u které předpokládáme účast velkého počtu genů (označuje se také jako forma „polygenní</w:t>
      </w:r>
      <w:r w:rsidR="003D717C" w:rsidRPr="000B16D5">
        <w:rPr>
          <w:rFonts w:asciiTheme="majorHAnsi" w:hAnsiTheme="majorHAnsi" w:cs="Arial"/>
          <w:b/>
        </w:rPr>
        <w:t>“</w:t>
      </w:r>
      <w:r w:rsidRPr="000B16D5">
        <w:rPr>
          <w:rFonts w:asciiTheme="majorHAnsi" w:hAnsiTheme="majorHAnsi" w:cs="Arial"/>
          <w:b/>
        </w:rPr>
        <w:t xml:space="preserve">). </w:t>
      </w:r>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rPr>
      </w:pPr>
      <w:r w:rsidRPr="000B16D5">
        <w:rPr>
          <w:rFonts w:asciiTheme="majorHAnsi" w:hAnsiTheme="majorHAnsi" w:cs="Arial"/>
          <w:b/>
        </w:rPr>
        <w:br/>
      </w:r>
    </w:p>
    <w:p w:rsidR="00520D6A" w:rsidRPr="000B16D5" w:rsidRDefault="00520D6A" w:rsidP="009F53ED">
      <w:pPr>
        <w:pStyle w:val="Nadpispodkapitoly"/>
        <w:rPr>
          <w:rFonts w:asciiTheme="majorHAnsi" w:eastAsia="Arial Unicode MS" w:hAnsiTheme="majorHAnsi"/>
        </w:rPr>
      </w:pPr>
      <w:bookmarkStart w:id="46" w:name="_Toc380240617"/>
      <w:r w:rsidRPr="000B16D5">
        <w:rPr>
          <w:rFonts w:asciiTheme="majorHAnsi" w:eastAsia="Arial Unicode MS" w:hAnsiTheme="majorHAnsi"/>
        </w:rPr>
        <w:t>Syndromické formy obezity</w:t>
      </w:r>
      <w:bookmarkEnd w:id="46"/>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rPr>
      </w:pPr>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rPr>
      </w:pPr>
      <w:r w:rsidRPr="000B16D5">
        <w:rPr>
          <w:rFonts w:asciiTheme="majorHAnsi" w:eastAsia="Arial Unicode MS" w:hAnsiTheme="majorHAnsi" w:cs="Arial Unicode MS"/>
          <w:b/>
          <w:bCs/>
        </w:rPr>
        <w:t xml:space="preserve">Jedná se o komplexní syndromy s významnou dědičnou složkou, u nichž obezita představuje jeden z projevů, doprovázený dalšími klinickými znaky typickými pro daný syndrom. Tyto syndromy bývají </w:t>
      </w:r>
      <w:r w:rsidRPr="000B16D5">
        <w:rPr>
          <w:rFonts w:asciiTheme="majorHAnsi" w:eastAsia="Arial Unicode MS" w:hAnsiTheme="majorHAnsi" w:cs="Arial Unicode MS"/>
          <w:b/>
          <w:bCs/>
        </w:rPr>
        <w:lastRenderedPageBreak/>
        <w:t>poměrně vzácné, klinicky závažné a často kombinované s dalšími závažnými poruchami (např. mentální retardace).</w:t>
      </w:r>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rPr>
      </w:pPr>
    </w:p>
    <w:p w:rsidR="00520D6A" w:rsidRPr="000B16D5" w:rsidRDefault="00520D6A" w:rsidP="009F53ED">
      <w:pPr>
        <w:pStyle w:val="Podpodnadpis"/>
        <w:rPr>
          <w:rFonts w:asciiTheme="majorHAnsi" w:hAnsiTheme="majorHAnsi"/>
        </w:rPr>
      </w:pPr>
      <w:r w:rsidRPr="000B16D5">
        <w:rPr>
          <w:rFonts w:asciiTheme="majorHAnsi" w:hAnsiTheme="majorHAnsi"/>
        </w:rPr>
        <w:t>Syndromická obezita s dysfunkcí řasinek</w:t>
      </w:r>
    </w:p>
    <w:p w:rsidR="00520D6A" w:rsidRPr="000B16D5" w:rsidRDefault="00520D6A" w:rsidP="009F53ED">
      <w:pPr>
        <w:pStyle w:val="Normlnweb"/>
        <w:spacing w:line="276" w:lineRule="auto"/>
        <w:jc w:val="both"/>
        <w:rPr>
          <w:rFonts w:asciiTheme="majorHAnsi" w:hAnsiTheme="majorHAnsi"/>
          <w:sz w:val="22"/>
          <w:szCs w:val="22"/>
        </w:rPr>
      </w:pPr>
      <w:r w:rsidRPr="000B16D5">
        <w:rPr>
          <w:rFonts w:asciiTheme="majorHAnsi" w:hAnsiTheme="majorHAnsi"/>
          <w:sz w:val="22"/>
          <w:szCs w:val="22"/>
        </w:rPr>
        <w:t>Bardet-Biedlův syndrom (BBS) je autozomálně recesivní onemocnění charakterizované problémy s učením, polydaktylií, poškozením sítnice, hypogonadismem, poruchami ledvin a obezitou. Jedná se o geneticky heterogenní onemocnění, dosud byly identifikovány mutace ve více než 14 genech, které toto onemocnění způsobují [16</w:t>
      </w:r>
      <w:r w:rsidR="00F403AC" w:rsidRPr="000B16D5">
        <w:rPr>
          <w:rFonts w:asciiTheme="majorHAnsi" w:hAnsiTheme="majorHAnsi" w:cs="Arial"/>
        </w:rPr>
        <w:t>–</w:t>
      </w:r>
      <w:r w:rsidRPr="000B16D5">
        <w:rPr>
          <w:rFonts w:asciiTheme="majorHAnsi" w:hAnsiTheme="majorHAnsi"/>
          <w:sz w:val="22"/>
          <w:szCs w:val="22"/>
        </w:rPr>
        <w:t>17]. Mnoho z těchto genů ovlivňuje proteiny související s funkcí řasinek, což je důležité pro řadu buněk včetně některých typů neuronů. Je zajímavé, že i jiná onemocnění primárně spojená s poruchou funkce řasinek (např. Alströmův syndrom a Carpenterův syndrom)</w:t>
      </w:r>
      <w:r w:rsidR="00F403AC" w:rsidRPr="000B16D5">
        <w:rPr>
          <w:rFonts w:asciiTheme="majorHAnsi" w:hAnsiTheme="majorHAnsi"/>
          <w:sz w:val="22"/>
          <w:szCs w:val="22"/>
        </w:rPr>
        <w:t>,</w:t>
      </w:r>
      <w:r w:rsidRPr="000B16D5">
        <w:rPr>
          <w:rFonts w:asciiTheme="majorHAnsi" w:hAnsiTheme="majorHAnsi"/>
          <w:sz w:val="22"/>
          <w:szCs w:val="22"/>
        </w:rPr>
        <w:t xml:space="preserve"> mohou vést k obezitě [18</w:t>
      </w:r>
      <w:r w:rsidR="00F403AC" w:rsidRPr="000B16D5">
        <w:rPr>
          <w:rFonts w:asciiTheme="majorHAnsi" w:hAnsiTheme="majorHAnsi" w:cs="Arial"/>
        </w:rPr>
        <w:t>–</w:t>
      </w:r>
      <w:r w:rsidRPr="000B16D5">
        <w:rPr>
          <w:rFonts w:asciiTheme="majorHAnsi" w:hAnsiTheme="majorHAnsi"/>
          <w:sz w:val="22"/>
          <w:szCs w:val="22"/>
        </w:rPr>
        <w:t xml:space="preserve">19]. </w:t>
      </w:r>
    </w:p>
    <w:p w:rsidR="00520D6A" w:rsidRPr="000B16D5" w:rsidRDefault="00520D6A" w:rsidP="009F53ED">
      <w:pPr>
        <w:pStyle w:val="Normlnweb"/>
        <w:spacing w:line="276" w:lineRule="auto"/>
        <w:jc w:val="both"/>
        <w:rPr>
          <w:rFonts w:asciiTheme="majorHAnsi" w:hAnsiTheme="majorHAnsi"/>
          <w:sz w:val="22"/>
          <w:szCs w:val="22"/>
        </w:rPr>
      </w:pPr>
      <w:r w:rsidRPr="000B16D5">
        <w:rPr>
          <w:rFonts w:asciiTheme="majorHAnsi" w:hAnsiTheme="majorHAnsi"/>
          <w:sz w:val="22"/>
          <w:szCs w:val="22"/>
        </w:rPr>
        <w:t>Možným pojítkem mezi dysfunkcí řasinek a vznikem obezity je signalizace přes leptin [20]. Je zajímavé, že zvířata, u kterých byly z funkce vyřazeny proteiny, které se účastní cytoskeletárního transportu a pohybu řasinek, měla tendenci k hyperfagii a obezitě [21]. Role řasinek u některých subpopulací nervových buněk, které se účastní udržování energetické homeostázy, je předmětem intenzivního zkoumání.</w:t>
      </w:r>
    </w:p>
    <w:p w:rsidR="00520D6A" w:rsidRPr="000B16D5" w:rsidRDefault="00520D6A" w:rsidP="009F53ED">
      <w:pPr>
        <w:pStyle w:val="Podpodnadpis"/>
        <w:rPr>
          <w:rFonts w:asciiTheme="majorHAnsi" w:hAnsiTheme="majorHAnsi"/>
        </w:rPr>
      </w:pPr>
      <w:bookmarkStart w:id="47" w:name="SEC7"/>
      <w:bookmarkEnd w:id="47"/>
      <w:r w:rsidRPr="000B16D5">
        <w:rPr>
          <w:rFonts w:asciiTheme="majorHAnsi" w:hAnsiTheme="majorHAnsi"/>
        </w:rPr>
        <w:t>Syndromická obezita s genovým imprintingem</w:t>
      </w:r>
    </w:p>
    <w:p w:rsidR="00520D6A" w:rsidRPr="000B16D5" w:rsidRDefault="00520D6A" w:rsidP="009F53ED">
      <w:pPr>
        <w:pStyle w:val="Normlnweb"/>
        <w:spacing w:line="276" w:lineRule="auto"/>
        <w:jc w:val="both"/>
        <w:rPr>
          <w:rFonts w:asciiTheme="majorHAnsi" w:hAnsiTheme="majorHAnsi"/>
          <w:sz w:val="22"/>
          <w:szCs w:val="22"/>
        </w:rPr>
      </w:pPr>
      <w:r w:rsidRPr="000B16D5">
        <w:rPr>
          <w:rFonts w:asciiTheme="majorHAnsi" w:hAnsiTheme="majorHAnsi"/>
          <w:sz w:val="22"/>
          <w:szCs w:val="22"/>
        </w:rPr>
        <w:t>Syndrom Prader-Willi (PWS) je klinický syndrom charakterizovaný hypotonií, mentální retardací, malým vzrůstem, hypogonadismem, hyperfagií a obezitou</w:t>
      </w:r>
      <w:r w:rsidR="00F403AC" w:rsidRPr="000B16D5">
        <w:rPr>
          <w:rFonts w:asciiTheme="majorHAnsi" w:hAnsiTheme="majorHAnsi"/>
          <w:sz w:val="22"/>
          <w:szCs w:val="22"/>
        </w:rPr>
        <w:t xml:space="preserve">; </w:t>
      </w:r>
      <w:r w:rsidRPr="000B16D5">
        <w:rPr>
          <w:rFonts w:asciiTheme="majorHAnsi" w:hAnsiTheme="majorHAnsi"/>
          <w:sz w:val="22"/>
          <w:szCs w:val="22"/>
        </w:rPr>
        <w:t xml:space="preserve">je spojen s chybějící expresí genů umístěných v lokusu 15q11-13, které jsou ovlivněny (přesněji „imprintovány“) tak, aby se exprimovaly pouze na otcovské kopii chromozomu. V této oblasti jsou uloženy sekvence, které kódují malé jadérkové RNA (snoRNA), zejména HBII-85 snoRNA [22]. V současnosti ovšem není znám přesně mechanismus, kterým může ztráta těchto nekódujících sekvencí vést k typickým projevům spojeným s PWS. U tohoto onemocnění se charakteristicky vyskytuje velmi vysoká sérová koncentrace ghrelinu [23] a dochází ke ztrátě neuronů produkujících oxytocin v mozku pacientů, což naznačuje, že tyto hormony a neuropeptidy mohou u PWS hrát významnou úlohu. Syndrom Prader-Willi se řadí mezi tzv. </w:t>
      </w:r>
      <w:r w:rsidRPr="000B16D5">
        <w:rPr>
          <w:rFonts w:asciiTheme="majorHAnsi" w:hAnsiTheme="majorHAnsi"/>
          <w:b/>
          <w:sz w:val="22"/>
          <w:szCs w:val="22"/>
        </w:rPr>
        <w:t>mikrodeleční syndromy</w:t>
      </w:r>
      <w:r w:rsidRPr="000B16D5">
        <w:rPr>
          <w:rFonts w:asciiTheme="majorHAnsi" w:hAnsiTheme="majorHAnsi"/>
          <w:sz w:val="22"/>
          <w:szCs w:val="22"/>
        </w:rPr>
        <w:t>.</w:t>
      </w:r>
    </w:p>
    <w:p w:rsidR="00520D6A" w:rsidRPr="000B16D5" w:rsidRDefault="00520D6A" w:rsidP="009F53ED">
      <w:pPr>
        <w:pStyle w:val="Normlnweb"/>
        <w:spacing w:line="276" w:lineRule="auto"/>
        <w:jc w:val="both"/>
        <w:rPr>
          <w:rFonts w:asciiTheme="majorHAnsi" w:hAnsiTheme="majorHAnsi"/>
          <w:sz w:val="22"/>
          <w:szCs w:val="22"/>
        </w:rPr>
      </w:pPr>
      <w:r w:rsidRPr="000B16D5">
        <w:rPr>
          <w:rFonts w:asciiTheme="majorHAnsi" w:hAnsiTheme="majorHAnsi"/>
          <w:sz w:val="22"/>
          <w:szCs w:val="22"/>
        </w:rPr>
        <w:t>Albrigtova hereditární osteodystrofie (AHO) je autosomálně dominantní onemocnění vznikající na podkladě zárodečných mutací v GNAS1 genu, které snižují expresi anebo funkci proteinu Gsalfa. Přenos GNAS1 mutací od matky vede k AHO syndromu (malý vzrůst, obezita, kostní defekty a poruchy čichu) a k rezistenci na některé hormony (např. parathormon) v cílových tkáních, přenos mutace od otce vede pouze k AHO syndromu. To je konzistentní s pozorováním, že myši s chybějícím GSalfa proteinem od matky jsou obézní, ale nejsou hyperfagické [24]</w:t>
      </w:r>
      <w:r w:rsidR="004E3897" w:rsidRPr="000B16D5">
        <w:rPr>
          <w:rFonts w:asciiTheme="majorHAnsi" w:hAnsiTheme="majorHAnsi"/>
          <w:sz w:val="22"/>
          <w:szCs w:val="22"/>
        </w:rPr>
        <w:t>.</w:t>
      </w:r>
      <w:r w:rsidRPr="000B16D5">
        <w:rPr>
          <w:rFonts w:asciiTheme="majorHAnsi" w:hAnsiTheme="majorHAnsi"/>
          <w:sz w:val="22"/>
          <w:szCs w:val="22"/>
        </w:rPr>
        <w:t xml:space="preserve"> </w:t>
      </w:r>
    </w:p>
    <w:p w:rsidR="00520D6A" w:rsidRPr="000B16D5" w:rsidRDefault="00520D6A" w:rsidP="009F53ED">
      <w:pPr>
        <w:pStyle w:val="Podpodnadpis"/>
        <w:rPr>
          <w:rFonts w:asciiTheme="majorHAnsi" w:hAnsiTheme="majorHAnsi"/>
        </w:rPr>
      </w:pPr>
      <w:bookmarkStart w:id="48" w:name="SEC8"/>
      <w:bookmarkEnd w:id="48"/>
      <w:r w:rsidRPr="000B16D5">
        <w:rPr>
          <w:rFonts w:asciiTheme="majorHAnsi" w:hAnsiTheme="majorHAnsi"/>
        </w:rPr>
        <w:t>Syndromická obezita a variabialita počtu kopií sekvence DNA</w:t>
      </w:r>
    </w:p>
    <w:p w:rsidR="00520D6A" w:rsidRPr="000B16D5" w:rsidRDefault="00520D6A" w:rsidP="009F53ED">
      <w:pPr>
        <w:pStyle w:val="Normlnweb"/>
        <w:spacing w:line="276" w:lineRule="auto"/>
        <w:jc w:val="both"/>
        <w:rPr>
          <w:rFonts w:asciiTheme="majorHAnsi" w:hAnsiTheme="majorHAnsi"/>
          <w:sz w:val="22"/>
          <w:szCs w:val="22"/>
        </w:rPr>
      </w:pPr>
      <w:r w:rsidRPr="000B16D5">
        <w:rPr>
          <w:rFonts w:asciiTheme="majorHAnsi" w:hAnsiTheme="majorHAnsi"/>
          <w:sz w:val="22"/>
          <w:szCs w:val="22"/>
        </w:rPr>
        <w:t>Má se za to, že variabilita počtu kopií sekvencí DNA (CNV), např. získaný nárůst počtu kopií (duplikace či inzerce), ztráty (delece) i přestavby, zodpovídá za více než 18</w:t>
      </w:r>
      <w:r w:rsidR="00F403AC" w:rsidRPr="000B16D5">
        <w:rPr>
          <w:rFonts w:asciiTheme="majorHAnsi" w:hAnsiTheme="majorHAnsi"/>
          <w:sz w:val="22"/>
          <w:szCs w:val="22"/>
        </w:rPr>
        <w:t xml:space="preserve"> </w:t>
      </w:r>
      <w:r w:rsidRPr="000B16D5">
        <w:rPr>
          <w:rFonts w:asciiTheme="majorHAnsi" w:hAnsiTheme="majorHAnsi"/>
          <w:sz w:val="22"/>
          <w:szCs w:val="22"/>
        </w:rPr>
        <w:t xml:space="preserve">% dědičných rozdílů genové exprese [25]. V nových studiích bylo zjištěno několik vzácných syndromů s účastí CNV u závažně obézních pacientů, kdy frekvence výskytu variant počtu kopií výrazně převyšovala frekvenci v kontrolní populaci. Pacienti s delecí 220 kb dlouhého segmentu v oblasti 16p11.2 [25] mají vysoce penetrující formu familiární obezity s časným nástupem, tato delece zahrnuje řadu genů, z nichž </w:t>
      </w:r>
      <w:r w:rsidR="00D71231" w:rsidRPr="000B16D5">
        <w:rPr>
          <w:rFonts w:asciiTheme="majorHAnsi" w:hAnsiTheme="majorHAnsi"/>
          <w:sz w:val="22"/>
          <w:szCs w:val="22"/>
        </w:rPr>
        <w:t xml:space="preserve">jedním </w:t>
      </w:r>
      <w:r w:rsidRPr="000B16D5">
        <w:rPr>
          <w:rFonts w:asciiTheme="majorHAnsi" w:hAnsiTheme="majorHAnsi"/>
          <w:sz w:val="22"/>
          <w:szCs w:val="22"/>
        </w:rPr>
        <w:t xml:space="preserve">je SH2B1, o němž je známo, že se účastní signalizace přes leptin a inzulín [26]. Tito pacienti vykazují anomální vzorce distribuce tuku a hmotnostního přírůstku v prvních letech života. Význam Sh2B1 lokusu byl také popsán na zvířecích modelech [27]. </w:t>
      </w:r>
    </w:p>
    <w:p w:rsidR="00520D6A" w:rsidRPr="000B16D5" w:rsidRDefault="00520D6A" w:rsidP="009F53ED">
      <w:pPr>
        <w:pStyle w:val="Nadpispodkapitoly"/>
        <w:rPr>
          <w:rFonts w:asciiTheme="majorHAnsi" w:eastAsia="Arial Unicode MS" w:hAnsiTheme="majorHAnsi"/>
        </w:rPr>
      </w:pPr>
      <w:bookmarkStart w:id="49" w:name="_Toc380240618"/>
      <w:r w:rsidRPr="000B16D5">
        <w:rPr>
          <w:rFonts w:asciiTheme="majorHAnsi" w:eastAsia="Arial Unicode MS" w:hAnsiTheme="majorHAnsi"/>
        </w:rPr>
        <w:t>Převážně „monogenní“ formy obezity</w:t>
      </w:r>
      <w:bookmarkEnd w:id="49"/>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rPr>
      </w:pPr>
      <w:r w:rsidRPr="000B16D5">
        <w:rPr>
          <w:rFonts w:asciiTheme="majorHAnsi" w:eastAsia="Arial Unicode MS" w:hAnsiTheme="majorHAnsi" w:cs="Arial Unicode MS"/>
          <w:b/>
          <w:bCs/>
        </w:rPr>
        <w:t xml:space="preserve">Jedná se o formy obezity způsobené závažnější odchylkou na úrovni jednoho či několika málo genů. Tyto formy bývají opět klinicky závažnější a často se objevují již v dětském věku. Někdy se odhaduje, že </w:t>
      </w:r>
      <w:r w:rsidRPr="000B16D5">
        <w:rPr>
          <w:rFonts w:asciiTheme="majorHAnsi" w:eastAsia="Arial Unicode MS" w:hAnsiTheme="majorHAnsi" w:cs="Arial Unicode MS"/>
          <w:b/>
          <w:bCs/>
        </w:rPr>
        <w:lastRenderedPageBreak/>
        <w:t>představují asi 1</w:t>
      </w:r>
      <w:r w:rsidR="00D71231" w:rsidRPr="000B16D5">
        <w:rPr>
          <w:rFonts w:asciiTheme="majorHAnsi" w:hAnsiTheme="majorHAnsi" w:cs="Arial"/>
          <w:b/>
        </w:rPr>
        <w:t>–</w:t>
      </w:r>
      <w:r w:rsidRPr="000B16D5">
        <w:rPr>
          <w:rFonts w:asciiTheme="majorHAnsi" w:eastAsia="Arial Unicode MS" w:hAnsiTheme="majorHAnsi" w:cs="Arial Unicode MS"/>
          <w:b/>
          <w:bCs/>
        </w:rPr>
        <w:t>2</w:t>
      </w:r>
      <w:r w:rsidR="00D71231" w:rsidRPr="000B16D5">
        <w:rPr>
          <w:rFonts w:asciiTheme="majorHAnsi" w:eastAsia="Arial Unicode MS" w:hAnsiTheme="majorHAnsi" w:cs="Arial Unicode MS"/>
          <w:b/>
          <w:bCs/>
        </w:rPr>
        <w:t xml:space="preserve"> </w:t>
      </w:r>
      <w:r w:rsidRPr="000B16D5">
        <w:rPr>
          <w:rFonts w:asciiTheme="majorHAnsi" w:eastAsia="Arial Unicode MS" w:hAnsiTheme="majorHAnsi" w:cs="Arial Unicode MS"/>
          <w:b/>
          <w:bCs/>
        </w:rPr>
        <w:t xml:space="preserve">% ze všech forem obezity v populaci (tj. ze 100 obézních jedinců jsou </w:t>
      </w:r>
      <w:r w:rsidR="00D71231" w:rsidRPr="000B16D5">
        <w:rPr>
          <w:rFonts w:asciiTheme="majorHAnsi" w:eastAsia="Arial Unicode MS" w:hAnsiTheme="majorHAnsi" w:cs="Arial Unicode MS"/>
          <w:b/>
          <w:bCs/>
        </w:rPr>
        <w:t xml:space="preserve">jedna </w:t>
      </w:r>
      <w:r w:rsidRPr="000B16D5">
        <w:rPr>
          <w:rFonts w:asciiTheme="majorHAnsi" w:eastAsia="Arial Unicode MS" w:hAnsiTheme="majorHAnsi" w:cs="Arial Unicode MS"/>
          <w:b/>
          <w:bCs/>
        </w:rPr>
        <w:t xml:space="preserve">až </w:t>
      </w:r>
      <w:r w:rsidR="00D71231" w:rsidRPr="000B16D5">
        <w:rPr>
          <w:rFonts w:asciiTheme="majorHAnsi" w:eastAsia="Arial Unicode MS" w:hAnsiTheme="majorHAnsi" w:cs="Arial Unicode MS"/>
          <w:b/>
          <w:bCs/>
        </w:rPr>
        <w:t xml:space="preserve">dvě </w:t>
      </w:r>
      <w:r w:rsidRPr="000B16D5">
        <w:rPr>
          <w:rFonts w:asciiTheme="majorHAnsi" w:eastAsia="Arial Unicode MS" w:hAnsiTheme="majorHAnsi" w:cs="Arial Unicode MS"/>
          <w:b/>
          <w:bCs/>
        </w:rPr>
        <w:t>osoby nositeli závažnějšího problému na úrovni některého z významných tzv. „kandidátních“ genů).</w:t>
      </w:r>
    </w:p>
    <w:p w:rsidR="00520D6A" w:rsidRPr="000B16D5" w:rsidRDefault="00520D6A" w:rsidP="009F53ED">
      <w:pPr>
        <w:autoSpaceDE w:val="0"/>
        <w:autoSpaceDN w:val="0"/>
        <w:adjustRightInd w:val="0"/>
        <w:spacing w:after="0"/>
        <w:jc w:val="both"/>
        <w:rPr>
          <w:rFonts w:asciiTheme="majorHAnsi" w:eastAsia="Arial Unicode MS" w:hAnsiTheme="majorHAnsi" w:cs="Arial Unicode MS"/>
          <w:b/>
          <w:bCs/>
        </w:rPr>
      </w:pPr>
    </w:p>
    <w:p w:rsidR="00520D6A" w:rsidRPr="000B16D5" w:rsidRDefault="00520D6A" w:rsidP="009F53ED">
      <w:pPr>
        <w:pStyle w:val="Podpodnadpis"/>
        <w:rPr>
          <w:rFonts w:asciiTheme="majorHAnsi" w:eastAsia="Arial Unicode MS" w:hAnsiTheme="majorHAnsi"/>
        </w:rPr>
      </w:pPr>
      <w:r w:rsidRPr="000B16D5">
        <w:rPr>
          <w:rFonts w:asciiTheme="majorHAnsi" w:eastAsia="Arial Unicode MS" w:hAnsiTheme="majorHAnsi"/>
        </w:rPr>
        <w:t>Studie kandidátních genů</w:t>
      </w:r>
    </w:p>
    <w:p w:rsidR="00520D6A" w:rsidRPr="000B16D5" w:rsidRDefault="00520D6A" w:rsidP="009F53ED">
      <w:pPr>
        <w:pStyle w:val="Normlnweb"/>
        <w:spacing w:line="276" w:lineRule="auto"/>
        <w:jc w:val="both"/>
        <w:rPr>
          <w:rFonts w:asciiTheme="majorHAnsi" w:hAnsiTheme="majorHAnsi"/>
          <w:sz w:val="22"/>
          <w:szCs w:val="22"/>
        </w:rPr>
      </w:pPr>
      <w:r w:rsidRPr="000B16D5">
        <w:rPr>
          <w:rFonts w:asciiTheme="majorHAnsi" w:hAnsiTheme="majorHAnsi"/>
          <w:sz w:val="22"/>
          <w:szCs w:val="22"/>
        </w:rPr>
        <w:t>Studie kandidátních genů založené na molekulách, o kterých už dříve bylo experimentálně potvrzeno, že způsobují závažnou obezitu u zvířat, ukázaly, že tyto geny přispívají také k obezitě u člověka, zejména k závažné obezitě nastupující již v dětském věku. Základem těchto prací byly některé fyziologické studie, které prokázaly, že regulace tělesné hmotnosti je dynamický proces [28], jehož řízení má pod kontrolou hypotalamus [29</w:t>
      </w:r>
      <w:r w:rsidR="00D71231" w:rsidRPr="000B16D5">
        <w:rPr>
          <w:rFonts w:asciiTheme="majorHAnsi" w:hAnsiTheme="majorHAnsi" w:cs="Arial"/>
        </w:rPr>
        <w:t>–</w:t>
      </w:r>
      <w:r w:rsidRPr="000B16D5">
        <w:rPr>
          <w:rFonts w:asciiTheme="majorHAnsi" w:hAnsiTheme="majorHAnsi"/>
          <w:sz w:val="22"/>
          <w:szCs w:val="22"/>
        </w:rPr>
        <w:t xml:space="preserve">30]. Parabiotické experimenty u křížených kmenů myší se závažnou obezitou, např. u myší </w:t>
      </w:r>
      <w:r w:rsidRPr="000B16D5">
        <w:rPr>
          <w:rFonts w:asciiTheme="majorHAnsi" w:hAnsiTheme="majorHAnsi"/>
          <w:i/>
          <w:sz w:val="22"/>
          <w:szCs w:val="22"/>
        </w:rPr>
        <w:t>ob/ob</w:t>
      </w:r>
      <w:r w:rsidRPr="000B16D5">
        <w:rPr>
          <w:rFonts w:asciiTheme="majorHAnsi" w:hAnsiTheme="majorHAnsi"/>
          <w:sz w:val="22"/>
          <w:szCs w:val="22"/>
        </w:rPr>
        <w:t xml:space="preserve"> a </w:t>
      </w:r>
      <w:r w:rsidRPr="000B16D5">
        <w:rPr>
          <w:rFonts w:asciiTheme="majorHAnsi" w:hAnsiTheme="majorHAnsi"/>
          <w:i/>
          <w:sz w:val="22"/>
          <w:szCs w:val="22"/>
        </w:rPr>
        <w:t>db/db</w:t>
      </w:r>
      <w:r w:rsidRPr="000B16D5">
        <w:rPr>
          <w:rFonts w:asciiTheme="majorHAnsi" w:hAnsiTheme="majorHAnsi"/>
          <w:sz w:val="22"/>
          <w:szCs w:val="22"/>
        </w:rPr>
        <w:t xml:space="preserve">, poukázaly na možnou existenci cirkulujícího faktoru, který reguluje tělesnou hmotnost [31]. Faktický objev tohoto hormonu, pojmenovaného jako leptin, pomocí pozičního klonování </w:t>
      </w:r>
      <w:r w:rsidRPr="000B16D5">
        <w:rPr>
          <w:rFonts w:asciiTheme="majorHAnsi" w:hAnsiTheme="majorHAnsi"/>
          <w:i/>
          <w:sz w:val="22"/>
          <w:szCs w:val="22"/>
        </w:rPr>
        <w:t xml:space="preserve">ob </w:t>
      </w:r>
      <w:r w:rsidRPr="000B16D5">
        <w:rPr>
          <w:rFonts w:asciiTheme="majorHAnsi" w:hAnsiTheme="majorHAnsi"/>
          <w:sz w:val="22"/>
          <w:szCs w:val="22"/>
        </w:rPr>
        <w:t xml:space="preserve">genu pak umožnil další zkoumání molekulárních i fyziologických okruhů kontroly energetické homeostázy. </w:t>
      </w: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Zopakujme si tedy, že obezita je obecn</w:t>
      </w:r>
      <w:r w:rsidRPr="000B16D5">
        <w:rPr>
          <w:rFonts w:asciiTheme="majorHAnsi" w:eastAsia="TTBE8o00" w:hAnsiTheme="majorHAnsi" w:cs="TTBE8o00"/>
        </w:rPr>
        <w:t xml:space="preserve">ě </w:t>
      </w:r>
      <w:r w:rsidRPr="000B16D5">
        <w:rPr>
          <w:rFonts w:asciiTheme="majorHAnsi" w:hAnsiTheme="majorHAnsi" w:cs="Arial"/>
        </w:rPr>
        <w:t>zp</w:t>
      </w:r>
      <w:r w:rsidRPr="000B16D5">
        <w:rPr>
          <w:rFonts w:asciiTheme="majorHAnsi" w:eastAsia="TTBE8o00" w:hAnsiTheme="majorHAnsi" w:cs="TTBE8o00"/>
        </w:rPr>
        <w:t>ů</w:t>
      </w:r>
      <w:r w:rsidRPr="000B16D5">
        <w:rPr>
          <w:rFonts w:asciiTheme="majorHAnsi" w:hAnsiTheme="majorHAnsi" w:cs="Arial"/>
        </w:rPr>
        <w:t>sobena narušením rovnováhy mezi p</w:t>
      </w:r>
      <w:r w:rsidRPr="000B16D5">
        <w:rPr>
          <w:rFonts w:asciiTheme="majorHAnsi" w:eastAsia="TTBE8o00" w:hAnsiTheme="majorHAnsi" w:cs="TTBE8o00"/>
        </w:rPr>
        <w:t>ř</w:t>
      </w:r>
      <w:r w:rsidRPr="000B16D5">
        <w:rPr>
          <w:rFonts w:asciiTheme="majorHAnsi" w:hAnsiTheme="majorHAnsi" w:cs="Arial"/>
        </w:rPr>
        <w:t>íjmem potravy a energetickým výdejem. Tato rovnováha je fyziologicky udržována systémem regulace t</w:t>
      </w:r>
      <w:r w:rsidRPr="000B16D5">
        <w:rPr>
          <w:rFonts w:asciiTheme="majorHAnsi" w:eastAsia="TTBE8o00" w:hAnsiTheme="majorHAnsi" w:cs="TTBE8o00"/>
        </w:rPr>
        <w:t>ě</w:t>
      </w:r>
      <w:r w:rsidRPr="000B16D5">
        <w:rPr>
          <w:rFonts w:asciiTheme="majorHAnsi" w:hAnsiTheme="majorHAnsi" w:cs="Arial"/>
        </w:rPr>
        <w:t>lesné hmotnosti, který vyžaduje integraci periferních signál</w:t>
      </w:r>
      <w:r w:rsidRPr="000B16D5">
        <w:rPr>
          <w:rFonts w:asciiTheme="majorHAnsi" w:eastAsia="TTBE8o00" w:hAnsiTheme="majorHAnsi" w:cs="TTBE8o00"/>
        </w:rPr>
        <w:t xml:space="preserve">ů </w:t>
      </w:r>
      <w:r w:rsidRPr="000B16D5">
        <w:rPr>
          <w:rFonts w:asciiTheme="majorHAnsi" w:hAnsiTheme="majorHAnsi" w:cs="Arial"/>
        </w:rPr>
        <w:t>a jejich centrální koordinaci v mozku. Klí</w:t>
      </w:r>
      <w:r w:rsidRPr="000B16D5">
        <w:rPr>
          <w:rFonts w:asciiTheme="majorHAnsi" w:eastAsia="TTBE8o00" w:hAnsiTheme="majorHAnsi" w:cs="TTBE8o00"/>
        </w:rPr>
        <w:t>č</w:t>
      </w:r>
      <w:r w:rsidRPr="000B16D5">
        <w:rPr>
          <w:rFonts w:asciiTheme="majorHAnsi" w:hAnsiTheme="majorHAnsi" w:cs="Arial"/>
        </w:rPr>
        <w:t>ové postavení v tomto systému má hypothalamus, který funguje jako centrální regulátor. Informace o energetické rovnováze se do hypothalamu dostávají jednak cestou neuronální, jednak cestou humorálních signál</w:t>
      </w:r>
      <w:r w:rsidRPr="000B16D5">
        <w:rPr>
          <w:rFonts w:asciiTheme="majorHAnsi" w:eastAsia="TTBE8o00" w:hAnsiTheme="majorHAnsi" w:cs="TTBE8o00"/>
        </w:rPr>
        <w:t>ů [31]</w:t>
      </w:r>
      <w:r w:rsidRPr="000B16D5">
        <w:rPr>
          <w:rFonts w:asciiTheme="majorHAnsi" w:hAnsiTheme="majorHAnsi" w:cs="Arial"/>
        </w:rPr>
        <w:t>. Ty putují do n</w:t>
      </w:r>
      <w:r w:rsidRPr="000B16D5">
        <w:rPr>
          <w:rFonts w:asciiTheme="majorHAnsi" w:eastAsia="TTBE8o00" w:hAnsiTheme="majorHAnsi" w:cs="TTBE8o00"/>
        </w:rPr>
        <w:t>ě</w:t>
      </w:r>
      <w:r w:rsidRPr="000B16D5">
        <w:rPr>
          <w:rFonts w:asciiTheme="majorHAnsi" w:hAnsiTheme="majorHAnsi" w:cs="Arial"/>
        </w:rPr>
        <w:t>kolika hypothalamických jader: zejména do ventromediálního, paraventrikulárního jádra a do nucleus arcuatus a do laterální hypothalamické oblasti. Zásadní úlohu zde hraje jádro zvané nucleus arcuatus, které obsahuje dva typy neuron</w:t>
      </w:r>
      <w:r w:rsidRPr="000B16D5">
        <w:rPr>
          <w:rFonts w:asciiTheme="majorHAnsi" w:eastAsia="TTBE8o00" w:hAnsiTheme="majorHAnsi" w:cs="TTBE8o00"/>
        </w:rPr>
        <w:t>ů</w:t>
      </w:r>
      <w:r w:rsidRPr="000B16D5">
        <w:rPr>
          <w:rFonts w:asciiTheme="majorHAnsi" w:hAnsiTheme="majorHAnsi" w:cs="Arial"/>
        </w:rPr>
        <w:t>. Jeden typ neuronů produkuje „agouti-related“ peptid (AGRP) a neuropeptid Y (NPY) a druhý typ produkuje proopiomelanokortin (POMC) a „kokainem a amfetaminem regulovaný transkript“ (CART). První typ má orexigenní ú</w:t>
      </w:r>
      <w:r w:rsidRPr="000B16D5">
        <w:rPr>
          <w:rFonts w:asciiTheme="majorHAnsi" w:eastAsia="TTBE8o00" w:hAnsiTheme="majorHAnsi" w:cs="TTBE8o00"/>
        </w:rPr>
        <w:t>č</w:t>
      </w:r>
      <w:r w:rsidRPr="000B16D5">
        <w:rPr>
          <w:rFonts w:asciiTheme="majorHAnsi" w:hAnsiTheme="majorHAnsi" w:cs="Arial"/>
        </w:rPr>
        <w:t>inek, zvyšuje tedy p</w:t>
      </w:r>
      <w:r w:rsidRPr="000B16D5">
        <w:rPr>
          <w:rFonts w:asciiTheme="majorHAnsi" w:eastAsia="TTBE8o00" w:hAnsiTheme="majorHAnsi" w:cs="TTBE8o00"/>
        </w:rPr>
        <w:t>ř</w:t>
      </w:r>
      <w:r w:rsidRPr="000B16D5">
        <w:rPr>
          <w:rFonts w:asciiTheme="majorHAnsi" w:hAnsiTheme="majorHAnsi" w:cs="Arial"/>
        </w:rPr>
        <w:t>íjem potravy a redukuje výdej energie, druhý typ vede k opa</w:t>
      </w:r>
      <w:r w:rsidRPr="000B16D5">
        <w:rPr>
          <w:rFonts w:asciiTheme="majorHAnsi" w:eastAsia="TTBE8o00" w:hAnsiTheme="majorHAnsi" w:cs="TTBE8o00"/>
        </w:rPr>
        <w:t>č</w:t>
      </w:r>
      <w:r w:rsidRPr="000B16D5">
        <w:rPr>
          <w:rFonts w:asciiTheme="majorHAnsi" w:hAnsiTheme="majorHAnsi" w:cs="Arial"/>
        </w:rPr>
        <w:t>nému, anorexigennímu efektu [</w:t>
      </w:r>
      <w:r w:rsidR="00D71231" w:rsidRPr="000B16D5">
        <w:rPr>
          <w:rFonts w:asciiTheme="majorHAnsi" w:hAnsiTheme="majorHAnsi" w:cs="Arial"/>
        </w:rPr>
        <w:t>32] (obrázek</w:t>
      </w:r>
      <w:r w:rsidRPr="000B16D5">
        <w:rPr>
          <w:rFonts w:asciiTheme="majorHAnsi" w:hAnsiTheme="majorHAnsi" w:cs="Arial"/>
        </w:rPr>
        <w:t xml:space="preserve"> 1</w:t>
      </w:r>
      <w:r w:rsidR="009F53ED" w:rsidRPr="000B16D5">
        <w:rPr>
          <w:rFonts w:asciiTheme="majorHAnsi" w:hAnsiTheme="majorHAnsi" w:cs="Arial"/>
        </w:rPr>
        <w:t>0</w:t>
      </w:r>
      <w:r w:rsidRPr="000B16D5">
        <w:rPr>
          <w:rFonts w:asciiTheme="majorHAnsi" w:hAnsiTheme="majorHAnsi" w:cs="Arial"/>
        </w:rPr>
        <w:t>).</w:t>
      </w:r>
    </w:p>
    <w:p w:rsidR="00CD140A" w:rsidRPr="000B16D5" w:rsidRDefault="00CD140A" w:rsidP="009F53ED">
      <w:pPr>
        <w:autoSpaceDE w:val="0"/>
        <w:autoSpaceDN w:val="0"/>
        <w:adjustRightInd w:val="0"/>
        <w:spacing w:after="0"/>
        <w:jc w:val="both"/>
        <w:rPr>
          <w:rFonts w:asciiTheme="majorHAnsi" w:hAnsiTheme="majorHAnsi" w:cs="Arial"/>
        </w:rPr>
      </w:pPr>
    </w:p>
    <w:p w:rsidR="009F53ED" w:rsidRPr="000B16D5" w:rsidRDefault="008316BA" w:rsidP="009F53ED">
      <w:pPr>
        <w:keepNext/>
        <w:autoSpaceDE w:val="0"/>
        <w:autoSpaceDN w:val="0"/>
        <w:adjustRightInd w:val="0"/>
        <w:spacing w:after="0"/>
        <w:jc w:val="center"/>
        <w:rPr>
          <w:rFonts w:asciiTheme="majorHAnsi" w:hAnsiTheme="majorHAnsi"/>
        </w:rPr>
      </w:pPr>
      <w:r w:rsidRPr="000B16D5">
        <w:rPr>
          <w:rFonts w:asciiTheme="majorHAnsi" w:hAnsiTheme="majorHAnsi"/>
          <w:noProof/>
        </w:rPr>
        <w:drawing>
          <wp:inline distT="0" distB="0" distL="0" distR="0" wp14:anchorId="3F01D9E2" wp14:editId="45109688">
            <wp:extent cx="2410691" cy="2066807"/>
            <wp:effectExtent l="0" t="0" r="889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2413052" cy="2068831"/>
                    </a:xfrm>
                    <a:prstGeom prst="rect">
                      <a:avLst/>
                    </a:prstGeom>
                    <a:noFill/>
                  </pic:spPr>
                </pic:pic>
              </a:graphicData>
            </a:graphic>
          </wp:inline>
        </w:drawing>
      </w:r>
    </w:p>
    <w:p w:rsidR="00CD140A" w:rsidRPr="000B16D5" w:rsidRDefault="009F53ED" w:rsidP="009F53ED">
      <w:pPr>
        <w:pStyle w:val="Titulek"/>
        <w:jc w:val="center"/>
        <w:rPr>
          <w:rFonts w:asciiTheme="majorHAnsi" w:hAnsiTheme="majorHAnsi" w:cs="Arial"/>
          <w:b w:val="0"/>
          <w:i/>
          <w:color w:val="808080" w:themeColor="background1" w:themeShade="80"/>
        </w:rPr>
      </w:pPr>
      <w:r w:rsidRPr="000B16D5">
        <w:rPr>
          <w:rFonts w:asciiTheme="majorHAnsi" w:hAnsiTheme="majorHAnsi"/>
          <w:b w:val="0"/>
          <w:i/>
          <w:color w:val="808080" w:themeColor="background1" w:themeShade="80"/>
        </w:rPr>
        <w:t xml:space="preserve">Obrázek </w:t>
      </w:r>
      <w:r w:rsidRPr="000B16D5">
        <w:rPr>
          <w:rFonts w:asciiTheme="majorHAnsi" w:hAnsiTheme="majorHAnsi"/>
          <w:b w:val="0"/>
          <w:i/>
          <w:color w:val="808080" w:themeColor="background1" w:themeShade="80"/>
        </w:rPr>
        <w:fldChar w:fldCharType="begin"/>
      </w:r>
      <w:r w:rsidRPr="000B16D5">
        <w:rPr>
          <w:rFonts w:asciiTheme="majorHAnsi" w:hAnsiTheme="majorHAnsi"/>
          <w:b w:val="0"/>
          <w:i/>
          <w:color w:val="808080" w:themeColor="background1" w:themeShade="80"/>
        </w:rPr>
        <w:instrText xml:space="preserve"> SEQ Obrázek \* ARABIC </w:instrText>
      </w:r>
      <w:r w:rsidRPr="000B16D5">
        <w:rPr>
          <w:rFonts w:asciiTheme="majorHAnsi" w:hAnsiTheme="majorHAnsi"/>
          <w:b w:val="0"/>
          <w:i/>
          <w:color w:val="808080" w:themeColor="background1" w:themeShade="80"/>
        </w:rPr>
        <w:fldChar w:fldCharType="separate"/>
      </w:r>
      <w:r w:rsidR="008378F9" w:rsidRPr="000B16D5">
        <w:rPr>
          <w:rFonts w:asciiTheme="majorHAnsi" w:hAnsiTheme="majorHAnsi"/>
          <w:b w:val="0"/>
          <w:i/>
          <w:noProof/>
          <w:color w:val="808080" w:themeColor="background1" w:themeShade="80"/>
        </w:rPr>
        <w:t>10</w:t>
      </w:r>
      <w:r w:rsidRPr="000B16D5">
        <w:rPr>
          <w:rFonts w:asciiTheme="majorHAnsi" w:hAnsiTheme="majorHAnsi"/>
          <w:b w:val="0"/>
          <w:i/>
          <w:color w:val="808080" w:themeColor="background1" w:themeShade="80"/>
        </w:rPr>
        <w:fldChar w:fldCharType="end"/>
      </w:r>
      <w:r w:rsidR="008316BA" w:rsidRPr="000B16D5">
        <w:rPr>
          <w:rFonts w:asciiTheme="majorHAnsi" w:hAnsiTheme="majorHAnsi"/>
          <w:b w:val="0"/>
          <w:i/>
          <w:color w:val="808080" w:themeColor="background1" w:themeShade="80"/>
        </w:rPr>
        <w:t xml:space="preserve"> – Řízení příjmu potrasvy</w:t>
      </w: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Periferní endokrinní signály p</w:t>
      </w:r>
      <w:r w:rsidRPr="000B16D5">
        <w:rPr>
          <w:rFonts w:asciiTheme="majorHAnsi" w:eastAsia="TTBE8o00" w:hAnsiTheme="majorHAnsi" w:cs="TTBE8o00"/>
        </w:rPr>
        <w:t>ů</w:t>
      </w:r>
      <w:r w:rsidRPr="000B16D5">
        <w:rPr>
          <w:rFonts w:asciiTheme="majorHAnsi" w:hAnsiTheme="majorHAnsi" w:cs="Arial"/>
        </w:rPr>
        <w:t>sobí prost</w:t>
      </w:r>
      <w:r w:rsidRPr="000B16D5">
        <w:rPr>
          <w:rFonts w:asciiTheme="majorHAnsi" w:eastAsia="TTBE8o00" w:hAnsiTheme="majorHAnsi" w:cs="TTBE8o00"/>
        </w:rPr>
        <w:t>ř</w:t>
      </w:r>
      <w:r w:rsidRPr="000B16D5">
        <w:rPr>
          <w:rFonts w:asciiTheme="majorHAnsi" w:hAnsiTheme="majorHAnsi" w:cs="Arial"/>
        </w:rPr>
        <w:t>ednictvím dlouhodobých a krátkodobých regula</w:t>
      </w:r>
      <w:r w:rsidRPr="000B16D5">
        <w:rPr>
          <w:rFonts w:asciiTheme="majorHAnsi" w:eastAsia="TTBE8o00" w:hAnsiTheme="majorHAnsi" w:cs="TTBE8o00"/>
        </w:rPr>
        <w:t>č</w:t>
      </w:r>
      <w:r w:rsidRPr="000B16D5">
        <w:rPr>
          <w:rFonts w:asciiTheme="majorHAnsi" w:hAnsiTheme="majorHAnsi" w:cs="Arial"/>
        </w:rPr>
        <w:t>ních okruh</w:t>
      </w:r>
      <w:r w:rsidRPr="000B16D5">
        <w:rPr>
          <w:rFonts w:asciiTheme="majorHAnsi" w:eastAsia="TTBE8o00" w:hAnsiTheme="majorHAnsi" w:cs="TTBE8o00"/>
        </w:rPr>
        <w:t>ů</w:t>
      </w:r>
      <w:r w:rsidRPr="000B16D5">
        <w:rPr>
          <w:rFonts w:asciiTheme="majorHAnsi" w:hAnsiTheme="majorHAnsi" w:cs="Arial"/>
        </w:rPr>
        <w:t xml:space="preserve">. V CNS má významnou úlohu jako signál adipozity (celkového množství tukové tkáně) s mírným až dlouhodobým efektem </w:t>
      </w:r>
      <w:r w:rsidR="003D7B3D" w:rsidRPr="000B16D5">
        <w:rPr>
          <w:rFonts w:asciiTheme="majorHAnsi" w:hAnsiTheme="majorHAnsi" w:cs="Arial"/>
        </w:rPr>
        <w:t>inzulín</w:t>
      </w:r>
      <w:r w:rsidRPr="000B16D5">
        <w:rPr>
          <w:rFonts w:asciiTheme="majorHAnsi" w:hAnsiTheme="majorHAnsi" w:cs="Arial"/>
        </w:rPr>
        <w:t>, který p</w:t>
      </w:r>
      <w:r w:rsidRPr="000B16D5">
        <w:rPr>
          <w:rFonts w:asciiTheme="majorHAnsi" w:eastAsia="TTBE8o00" w:hAnsiTheme="majorHAnsi" w:cs="TTBE8o00"/>
        </w:rPr>
        <w:t>ů</w:t>
      </w:r>
      <w:r w:rsidRPr="000B16D5">
        <w:rPr>
          <w:rFonts w:asciiTheme="majorHAnsi" w:hAnsiTheme="majorHAnsi" w:cs="Arial"/>
        </w:rPr>
        <w:t>sobí anorekticky prost</w:t>
      </w:r>
      <w:r w:rsidRPr="000B16D5">
        <w:rPr>
          <w:rFonts w:asciiTheme="majorHAnsi" w:eastAsia="TTBE8o00" w:hAnsiTheme="majorHAnsi" w:cs="TTBE8o00"/>
        </w:rPr>
        <w:t>ř</w:t>
      </w:r>
      <w:r w:rsidRPr="000B16D5">
        <w:rPr>
          <w:rFonts w:asciiTheme="majorHAnsi" w:hAnsiTheme="majorHAnsi" w:cs="Arial"/>
        </w:rPr>
        <w:t>ednictvím stimulace POMC/CART neuron</w:t>
      </w:r>
      <w:r w:rsidRPr="000B16D5">
        <w:rPr>
          <w:rFonts w:asciiTheme="majorHAnsi" w:eastAsia="TTBE8o00" w:hAnsiTheme="majorHAnsi" w:cs="TTBE8o00"/>
        </w:rPr>
        <w:t xml:space="preserve">ů </w:t>
      </w:r>
      <w:r w:rsidRPr="000B16D5">
        <w:rPr>
          <w:rFonts w:asciiTheme="majorHAnsi" w:hAnsiTheme="majorHAnsi" w:cs="Arial"/>
        </w:rPr>
        <w:t>a inhibice AGRP/NPY neuron</w:t>
      </w:r>
      <w:r w:rsidRPr="000B16D5">
        <w:rPr>
          <w:rFonts w:asciiTheme="majorHAnsi" w:eastAsia="TTBE8o00" w:hAnsiTheme="majorHAnsi" w:cs="TTBE8o00"/>
        </w:rPr>
        <w:t>ů [33]</w:t>
      </w:r>
      <w:r w:rsidRPr="000B16D5">
        <w:rPr>
          <w:rFonts w:asciiTheme="majorHAnsi" w:hAnsiTheme="majorHAnsi" w:cs="Arial"/>
        </w:rPr>
        <w:t>. Anorexigenní hormon leptin p</w:t>
      </w:r>
      <w:r w:rsidRPr="000B16D5">
        <w:rPr>
          <w:rFonts w:asciiTheme="majorHAnsi" w:eastAsia="TTBE8o00" w:hAnsiTheme="majorHAnsi" w:cs="TTBE8o00"/>
        </w:rPr>
        <w:t>ř</w:t>
      </w:r>
      <w:r w:rsidRPr="000B16D5">
        <w:rPr>
          <w:rFonts w:asciiTheme="majorHAnsi" w:hAnsiTheme="majorHAnsi" w:cs="Arial"/>
        </w:rPr>
        <w:t>edstavuje pravd</w:t>
      </w:r>
      <w:r w:rsidRPr="000B16D5">
        <w:rPr>
          <w:rFonts w:asciiTheme="majorHAnsi" w:eastAsia="TTBE8o00" w:hAnsiTheme="majorHAnsi" w:cs="TTBE8o00"/>
        </w:rPr>
        <w:t>ě</w:t>
      </w:r>
      <w:r w:rsidRPr="000B16D5">
        <w:rPr>
          <w:rFonts w:asciiTheme="majorHAnsi" w:hAnsiTheme="majorHAnsi" w:cs="Arial"/>
        </w:rPr>
        <w:t>podobn</w:t>
      </w:r>
      <w:r w:rsidRPr="000B16D5">
        <w:rPr>
          <w:rFonts w:asciiTheme="majorHAnsi" w:eastAsia="TTBE8o00" w:hAnsiTheme="majorHAnsi" w:cs="TTBE8o00"/>
        </w:rPr>
        <w:t xml:space="preserve">ě </w:t>
      </w:r>
      <w:r w:rsidRPr="000B16D5">
        <w:rPr>
          <w:rFonts w:asciiTheme="majorHAnsi" w:hAnsiTheme="majorHAnsi" w:cs="Arial"/>
        </w:rPr>
        <w:t>základní indikátor adipozity a signál nutri</w:t>
      </w:r>
      <w:r w:rsidRPr="000B16D5">
        <w:rPr>
          <w:rFonts w:asciiTheme="majorHAnsi" w:eastAsia="TTBE8o00" w:hAnsiTheme="majorHAnsi" w:cs="TTBE8o00"/>
        </w:rPr>
        <w:t>č</w:t>
      </w:r>
      <w:r w:rsidRPr="000B16D5">
        <w:rPr>
          <w:rFonts w:asciiTheme="majorHAnsi" w:hAnsiTheme="majorHAnsi" w:cs="Arial"/>
        </w:rPr>
        <w:t>ního stavu organismu a jeho plazmatické hladiny jsou úzce korelovány s po</w:t>
      </w:r>
      <w:r w:rsidRPr="000B16D5">
        <w:rPr>
          <w:rFonts w:asciiTheme="majorHAnsi" w:eastAsia="TTBE8o00" w:hAnsiTheme="majorHAnsi" w:cs="TTBE8o00"/>
        </w:rPr>
        <w:t>č</w:t>
      </w:r>
      <w:r w:rsidRPr="000B16D5">
        <w:rPr>
          <w:rFonts w:asciiTheme="majorHAnsi" w:hAnsiTheme="majorHAnsi" w:cs="Arial"/>
        </w:rPr>
        <w:t>tem adipocyt</w:t>
      </w:r>
      <w:r w:rsidRPr="000B16D5">
        <w:rPr>
          <w:rFonts w:asciiTheme="majorHAnsi" w:eastAsia="TTBE8o00" w:hAnsiTheme="majorHAnsi" w:cs="TTBE8o00"/>
        </w:rPr>
        <w:t xml:space="preserve">ů </w:t>
      </w:r>
      <w:r w:rsidRPr="000B16D5">
        <w:rPr>
          <w:rFonts w:asciiTheme="majorHAnsi" w:hAnsiTheme="majorHAnsi" w:cs="Arial"/>
        </w:rPr>
        <w:t>a obsahem tuku [33]. Leptin se ovšem ú</w:t>
      </w:r>
      <w:r w:rsidRPr="000B16D5">
        <w:rPr>
          <w:rFonts w:asciiTheme="majorHAnsi" w:eastAsia="TTBE8o00" w:hAnsiTheme="majorHAnsi" w:cs="TTBE8o00"/>
        </w:rPr>
        <w:t>č</w:t>
      </w:r>
      <w:r w:rsidRPr="000B16D5">
        <w:rPr>
          <w:rFonts w:asciiTheme="majorHAnsi" w:hAnsiTheme="majorHAnsi" w:cs="Arial"/>
        </w:rPr>
        <w:t>astní p</w:t>
      </w:r>
      <w:r w:rsidRPr="000B16D5">
        <w:rPr>
          <w:rFonts w:asciiTheme="majorHAnsi" w:eastAsia="TTBE8o00" w:hAnsiTheme="majorHAnsi" w:cs="TTBE8o00"/>
        </w:rPr>
        <w:t>ř</w:t>
      </w:r>
      <w:r w:rsidRPr="000B16D5">
        <w:rPr>
          <w:rFonts w:asciiTheme="majorHAnsi" w:hAnsiTheme="majorHAnsi" w:cs="Arial"/>
        </w:rPr>
        <w:t>edevším dlouhodobé regulace adipozity, p</w:t>
      </w:r>
      <w:r w:rsidRPr="000B16D5">
        <w:rPr>
          <w:rFonts w:asciiTheme="majorHAnsi" w:eastAsia="TTBE8o00" w:hAnsiTheme="majorHAnsi" w:cs="TTBE8o00"/>
        </w:rPr>
        <w:t>ř</w:t>
      </w:r>
      <w:r w:rsidRPr="000B16D5">
        <w:rPr>
          <w:rFonts w:asciiTheme="majorHAnsi" w:hAnsiTheme="majorHAnsi" w:cs="Arial"/>
        </w:rPr>
        <w:t>i</w:t>
      </w:r>
      <w:r w:rsidRPr="000B16D5">
        <w:rPr>
          <w:rFonts w:asciiTheme="majorHAnsi" w:eastAsia="TTBE8o00" w:hAnsiTheme="majorHAnsi" w:cs="TTBE8o00"/>
        </w:rPr>
        <w:t>č</w:t>
      </w:r>
      <w:r w:rsidRPr="000B16D5">
        <w:rPr>
          <w:rFonts w:asciiTheme="majorHAnsi" w:hAnsiTheme="majorHAnsi" w:cs="Arial"/>
        </w:rPr>
        <w:t>emž za krátkodobou regulaci chuti k jídlu zodpovídají jiné látky, např. ghrelin či inzulín.</w:t>
      </w: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Centrální nucleus arcuatus zpracovává r</w:t>
      </w:r>
      <w:r w:rsidRPr="000B16D5">
        <w:rPr>
          <w:rFonts w:asciiTheme="majorHAnsi" w:eastAsia="TTBE8o00" w:hAnsiTheme="majorHAnsi" w:cs="TTBE8o00"/>
        </w:rPr>
        <w:t>ů</w:t>
      </w:r>
      <w:r w:rsidRPr="000B16D5">
        <w:rPr>
          <w:rFonts w:asciiTheme="majorHAnsi" w:hAnsiTheme="majorHAnsi" w:cs="Arial"/>
        </w:rPr>
        <w:t>zné vstupy a uskute</w:t>
      </w:r>
      <w:r w:rsidRPr="000B16D5">
        <w:rPr>
          <w:rFonts w:asciiTheme="majorHAnsi" w:eastAsia="TTBE8o00" w:hAnsiTheme="majorHAnsi" w:cs="TTBE8o00"/>
        </w:rPr>
        <w:t>čň</w:t>
      </w:r>
      <w:r w:rsidRPr="000B16D5">
        <w:rPr>
          <w:rFonts w:asciiTheme="majorHAnsi" w:hAnsiTheme="majorHAnsi" w:cs="Arial"/>
        </w:rPr>
        <w:t>uje svoje funkce prost</w:t>
      </w:r>
      <w:r w:rsidRPr="000B16D5">
        <w:rPr>
          <w:rFonts w:asciiTheme="majorHAnsi" w:eastAsia="TTBE8o00" w:hAnsiTheme="majorHAnsi" w:cs="TTBE8o00"/>
        </w:rPr>
        <w:t>ř</w:t>
      </w:r>
      <w:r w:rsidRPr="000B16D5">
        <w:rPr>
          <w:rFonts w:asciiTheme="majorHAnsi" w:hAnsiTheme="majorHAnsi" w:cs="Arial"/>
        </w:rPr>
        <w:t>ednictvím signalizace p</w:t>
      </w:r>
      <w:r w:rsidRPr="000B16D5">
        <w:rPr>
          <w:rFonts w:asciiTheme="majorHAnsi" w:eastAsia="TTBE8o00" w:hAnsiTheme="majorHAnsi" w:cs="TTBE8o00"/>
        </w:rPr>
        <w:t>ř</w:t>
      </w:r>
      <w:r w:rsidRPr="000B16D5">
        <w:rPr>
          <w:rFonts w:asciiTheme="majorHAnsi" w:hAnsiTheme="majorHAnsi" w:cs="Arial"/>
        </w:rPr>
        <w:t>es r</w:t>
      </w:r>
      <w:r w:rsidRPr="000B16D5">
        <w:rPr>
          <w:rFonts w:asciiTheme="majorHAnsi" w:eastAsia="TTBE8o00" w:hAnsiTheme="majorHAnsi" w:cs="TTBE8o00"/>
        </w:rPr>
        <w:t>ů</w:t>
      </w:r>
      <w:r w:rsidRPr="000B16D5">
        <w:rPr>
          <w:rFonts w:asciiTheme="majorHAnsi" w:hAnsiTheme="majorHAnsi" w:cs="Arial"/>
        </w:rPr>
        <w:t>zné descendentní eferentní neurony. Jsou to orexigenní neurony typu MHC (hormon koncentrující melanin) a orexinové nebo hypokretinové neurony v laterálním hypothalamu [34], neurony uvol</w:t>
      </w:r>
      <w:r w:rsidRPr="000B16D5">
        <w:rPr>
          <w:rFonts w:asciiTheme="majorHAnsi" w:eastAsia="TTBE8o00" w:hAnsiTheme="majorHAnsi" w:cs="TTBE8o00"/>
        </w:rPr>
        <w:t>ň</w:t>
      </w:r>
      <w:r w:rsidRPr="000B16D5">
        <w:rPr>
          <w:rFonts w:asciiTheme="majorHAnsi" w:hAnsiTheme="majorHAnsi" w:cs="Arial"/>
        </w:rPr>
        <w:t>ující TRH (thyreoliberin), které se ú</w:t>
      </w:r>
      <w:r w:rsidRPr="000B16D5">
        <w:rPr>
          <w:rFonts w:asciiTheme="majorHAnsi" w:eastAsia="TTBE8o00" w:hAnsiTheme="majorHAnsi" w:cs="TTBE8o00"/>
        </w:rPr>
        <w:t>č</w:t>
      </w:r>
      <w:r w:rsidRPr="000B16D5">
        <w:rPr>
          <w:rFonts w:asciiTheme="majorHAnsi" w:hAnsiTheme="majorHAnsi" w:cs="Arial"/>
        </w:rPr>
        <w:t>astní regulace hypothalamo-hypofyzárn</w:t>
      </w:r>
      <w:r w:rsidRPr="000B16D5">
        <w:rPr>
          <w:rFonts w:asciiTheme="majorHAnsi" w:eastAsia="TTBE8o00" w:hAnsiTheme="majorHAnsi" w:cs="TTBE8o00"/>
        </w:rPr>
        <w:t>ě</w:t>
      </w:r>
      <w:r w:rsidRPr="000B16D5">
        <w:rPr>
          <w:rFonts w:asciiTheme="majorHAnsi" w:hAnsiTheme="majorHAnsi" w:cs="Arial"/>
        </w:rPr>
        <w:t>-thyreoidální osy [35] a interneurony uvol</w:t>
      </w:r>
      <w:r w:rsidRPr="000B16D5">
        <w:rPr>
          <w:rFonts w:asciiTheme="majorHAnsi" w:eastAsia="TTBE8o00" w:hAnsiTheme="majorHAnsi" w:cs="TTBE8o00"/>
        </w:rPr>
        <w:t>ň</w:t>
      </w:r>
      <w:r w:rsidRPr="000B16D5">
        <w:rPr>
          <w:rFonts w:asciiTheme="majorHAnsi" w:hAnsiTheme="majorHAnsi" w:cs="Arial"/>
        </w:rPr>
        <w:t xml:space="preserve">ující </w:t>
      </w:r>
      <w:r w:rsidRPr="000B16D5">
        <w:rPr>
          <w:rFonts w:asciiTheme="majorHAnsi" w:hAnsiTheme="majorHAnsi" w:cs="Symbol"/>
        </w:rPr>
        <w:t>g</w:t>
      </w:r>
      <w:r w:rsidRPr="000B16D5">
        <w:rPr>
          <w:rFonts w:asciiTheme="majorHAnsi" w:hAnsiTheme="majorHAnsi" w:cs="Arial"/>
        </w:rPr>
        <w:t>-</w:t>
      </w:r>
      <w:r w:rsidRPr="000B16D5">
        <w:rPr>
          <w:rFonts w:asciiTheme="majorHAnsi" w:hAnsiTheme="majorHAnsi" w:cs="Arial"/>
        </w:rPr>
        <w:lastRenderedPageBreak/>
        <w:t>aminobutyrát (GABA) v paraventrikulárním jád</w:t>
      </w:r>
      <w:r w:rsidRPr="000B16D5">
        <w:rPr>
          <w:rFonts w:asciiTheme="majorHAnsi" w:eastAsia="TTBE8o00" w:hAnsiTheme="majorHAnsi" w:cs="TTBE8o00"/>
        </w:rPr>
        <w:t>ř</w:t>
      </w:r>
      <w:r w:rsidRPr="000B16D5">
        <w:rPr>
          <w:rFonts w:asciiTheme="majorHAnsi" w:hAnsiTheme="majorHAnsi" w:cs="Arial"/>
        </w:rPr>
        <w:t>e, které modulují orexigenní a anorexigenní efektorové neurony. Do systému dále vstupují dopamin, serotonin a endokanabinoidní signaliza</w:t>
      </w:r>
      <w:r w:rsidRPr="000B16D5">
        <w:rPr>
          <w:rFonts w:asciiTheme="majorHAnsi" w:eastAsia="TTBE8o00" w:hAnsiTheme="majorHAnsi" w:cs="TTBE8o00"/>
        </w:rPr>
        <w:t>č</w:t>
      </w:r>
      <w:r w:rsidRPr="000B16D5">
        <w:rPr>
          <w:rFonts w:asciiTheme="majorHAnsi" w:hAnsiTheme="majorHAnsi" w:cs="Arial"/>
        </w:rPr>
        <w:t>ní systémy.</w:t>
      </w:r>
    </w:p>
    <w:p w:rsidR="00520D6A" w:rsidRPr="000B16D5" w:rsidRDefault="00520D6A" w:rsidP="009F53ED">
      <w:pPr>
        <w:autoSpaceDE w:val="0"/>
        <w:autoSpaceDN w:val="0"/>
        <w:adjustRightInd w:val="0"/>
        <w:spacing w:after="0"/>
        <w:jc w:val="both"/>
        <w:rPr>
          <w:rFonts w:asciiTheme="majorHAnsi" w:hAnsiTheme="majorHAnsi" w:cs="Arial"/>
        </w:rPr>
      </w:pPr>
      <w:r w:rsidRPr="000B16D5">
        <w:rPr>
          <w:rFonts w:asciiTheme="majorHAnsi" w:hAnsiTheme="majorHAnsi" w:cs="Arial"/>
        </w:rPr>
        <w:t>Systém regulace t</w:t>
      </w:r>
      <w:r w:rsidRPr="000B16D5">
        <w:rPr>
          <w:rFonts w:asciiTheme="majorHAnsi" w:eastAsia="TTBE8o00" w:hAnsiTheme="majorHAnsi" w:cs="TTBE8o00"/>
        </w:rPr>
        <w:t>ě</w:t>
      </w:r>
      <w:r w:rsidRPr="000B16D5">
        <w:rPr>
          <w:rFonts w:asciiTheme="majorHAnsi" w:hAnsiTheme="majorHAnsi" w:cs="Arial"/>
        </w:rPr>
        <w:t>lesné hmotnosti je mocnou obranou proti ztrát</w:t>
      </w:r>
      <w:r w:rsidRPr="000B16D5">
        <w:rPr>
          <w:rFonts w:asciiTheme="majorHAnsi" w:eastAsia="TTBE8o00" w:hAnsiTheme="majorHAnsi" w:cs="TTBE8o00"/>
        </w:rPr>
        <w:t xml:space="preserve">ě </w:t>
      </w:r>
      <w:r w:rsidRPr="000B16D5">
        <w:rPr>
          <w:rFonts w:asciiTheme="majorHAnsi" w:hAnsiTheme="majorHAnsi" w:cs="Arial"/>
        </w:rPr>
        <w:t>hmotnosti, který umož</w:t>
      </w:r>
      <w:r w:rsidRPr="000B16D5">
        <w:rPr>
          <w:rFonts w:asciiTheme="majorHAnsi" w:eastAsia="TTBE8o00" w:hAnsiTheme="majorHAnsi" w:cs="TTBE8o00"/>
        </w:rPr>
        <w:t>ň</w:t>
      </w:r>
      <w:r w:rsidRPr="000B16D5">
        <w:rPr>
          <w:rFonts w:asciiTheme="majorHAnsi" w:hAnsiTheme="majorHAnsi" w:cs="Arial"/>
        </w:rPr>
        <w:t>uje p</w:t>
      </w:r>
      <w:r w:rsidRPr="000B16D5">
        <w:rPr>
          <w:rFonts w:asciiTheme="majorHAnsi" w:eastAsia="TTBE8o00" w:hAnsiTheme="majorHAnsi" w:cs="TTBE8o00"/>
        </w:rPr>
        <w:t>ř</w:t>
      </w:r>
      <w:r w:rsidRPr="000B16D5">
        <w:rPr>
          <w:rFonts w:asciiTheme="majorHAnsi" w:hAnsiTheme="majorHAnsi" w:cs="Arial"/>
        </w:rPr>
        <w:t>ežití v podmínkách nedostatku potravy. Ochrana proti nežádoucímu nár</w:t>
      </w:r>
      <w:r w:rsidRPr="000B16D5">
        <w:rPr>
          <w:rFonts w:asciiTheme="majorHAnsi" w:eastAsia="TTBE8o00" w:hAnsiTheme="majorHAnsi" w:cs="TTBE8o00"/>
        </w:rPr>
        <w:t>ů</w:t>
      </w:r>
      <w:r w:rsidRPr="000B16D5">
        <w:rPr>
          <w:rFonts w:asciiTheme="majorHAnsi" w:hAnsiTheme="majorHAnsi" w:cs="Arial"/>
        </w:rPr>
        <w:t>stu t</w:t>
      </w:r>
      <w:r w:rsidRPr="000B16D5">
        <w:rPr>
          <w:rFonts w:asciiTheme="majorHAnsi" w:eastAsia="TTBE8o00" w:hAnsiTheme="majorHAnsi" w:cs="TTBE8o00"/>
        </w:rPr>
        <w:t>ě</w:t>
      </w:r>
      <w:r w:rsidRPr="000B16D5">
        <w:rPr>
          <w:rFonts w:asciiTheme="majorHAnsi" w:hAnsiTheme="majorHAnsi" w:cs="Arial"/>
        </w:rPr>
        <w:t>lesné hmotnosti je naopak výrazn</w:t>
      </w:r>
      <w:r w:rsidRPr="000B16D5">
        <w:rPr>
          <w:rFonts w:asciiTheme="majorHAnsi" w:eastAsia="TTBE8o00" w:hAnsiTheme="majorHAnsi" w:cs="TTBE8o00"/>
        </w:rPr>
        <w:t xml:space="preserve">ě </w:t>
      </w:r>
      <w:r w:rsidRPr="000B16D5">
        <w:rPr>
          <w:rFonts w:asciiTheme="majorHAnsi" w:hAnsiTheme="majorHAnsi" w:cs="Arial"/>
        </w:rPr>
        <w:t>mén</w:t>
      </w:r>
      <w:r w:rsidRPr="000B16D5">
        <w:rPr>
          <w:rFonts w:asciiTheme="majorHAnsi" w:eastAsia="TTBE8o00" w:hAnsiTheme="majorHAnsi" w:cs="TTBE8o00"/>
        </w:rPr>
        <w:t xml:space="preserve">ě </w:t>
      </w:r>
      <w:r w:rsidRPr="000B16D5">
        <w:rPr>
          <w:rFonts w:asciiTheme="majorHAnsi" w:hAnsiTheme="majorHAnsi" w:cs="Arial"/>
        </w:rPr>
        <w:t>vyjád</w:t>
      </w:r>
      <w:r w:rsidRPr="000B16D5">
        <w:rPr>
          <w:rFonts w:asciiTheme="majorHAnsi" w:eastAsia="TTBE8o00" w:hAnsiTheme="majorHAnsi" w:cs="TTBE8o00"/>
        </w:rPr>
        <w:t>ř</w:t>
      </w:r>
      <w:r w:rsidRPr="000B16D5">
        <w:rPr>
          <w:rFonts w:asciiTheme="majorHAnsi" w:hAnsiTheme="majorHAnsi" w:cs="Arial"/>
        </w:rPr>
        <w:t>ena [36], pravd</w:t>
      </w:r>
      <w:r w:rsidRPr="000B16D5">
        <w:rPr>
          <w:rFonts w:asciiTheme="majorHAnsi" w:eastAsia="TTBE8o00" w:hAnsiTheme="majorHAnsi" w:cs="TTBE8o00"/>
        </w:rPr>
        <w:t>ě</w:t>
      </w:r>
      <w:r w:rsidRPr="000B16D5">
        <w:rPr>
          <w:rFonts w:asciiTheme="majorHAnsi" w:hAnsiTheme="majorHAnsi" w:cs="Arial"/>
        </w:rPr>
        <w:t>podobn</w:t>
      </w:r>
      <w:r w:rsidRPr="000B16D5">
        <w:rPr>
          <w:rFonts w:asciiTheme="majorHAnsi" w:eastAsia="TTBE8o00" w:hAnsiTheme="majorHAnsi" w:cs="TTBE8o00"/>
        </w:rPr>
        <w:t>ě</w:t>
      </w:r>
      <w:r w:rsidRPr="000B16D5">
        <w:rPr>
          <w:rFonts w:asciiTheme="majorHAnsi" w:hAnsiTheme="majorHAnsi" w:cs="Arial"/>
        </w:rPr>
        <w:t xml:space="preserve"> v d</w:t>
      </w:r>
      <w:r w:rsidRPr="000B16D5">
        <w:rPr>
          <w:rFonts w:asciiTheme="majorHAnsi" w:eastAsia="TTBE8o00" w:hAnsiTheme="majorHAnsi" w:cs="TTBE8o00"/>
        </w:rPr>
        <w:t>ů</w:t>
      </w:r>
      <w:r w:rsidRPr="000B16D5">
        <w:rPr>
          <w:rFonts w:asciiTheme="majorHAnsi" w:hAnsiTheme="majorHAnsi" w:cs="Arial"/>
        </w:rPr>
        <w:t>sledku velmi krátkého p</w:t>
      </w:r>
      <w:r w:rsidRPr="000B16D5">
        <w:rPr>
          <w:rFonts w:asciiTheme="majorHAnsi" w:eastAsia="TTBE8o00" w:hAnsiTheme="majorHAnsi" w:cs="TTBE8o00"/>
        </w:rPr>
        <w:t>ů</w:t>
      </w:r>
      <w:r w:rsidRPr="000B16D5">
        <w:rPr>
          <w:rFonts w:asciiTheme="majorHAnsi" w:hAnsiTheme="majorHAnsi" w:cs="Arial"/>
        </w:rPr>
        <w:t>sobení potenciálního selek</w:t>
      </w:r>
      <w:r w:rsidRPr="000B16D5">
        <w:rPr>
          <w:rFonts w:asciiTheme="majorHAnsi" w:eastAsia="TTBE8o00" w:hAnsiTheme="majorHAnsi" w:cs="TTBE8o00"/>
        </w:rPr>
        <w:t>č</w:t>
      </w:r>
      <w:r w:rsidRPr="000B16D5">
        <w:rPr>
          <w:rFonts w:asciiTheme="majorHAnsi" w:hAnsiTheme="majorHAnsi" w:cs="Arial"/>
        </w:rPr>
        <w:t>ního tlaku v podmínkách dostatku potravy. S rostoucí adipozitou má postupný nár</w:t>
      </w:r>
      <w:r w:rsidRPr="000B16D5">
        <w:rPr>
          <w:rFonts w:asciiTheme="majorHAnsi" w:eastAsia="TTBE8o00" w:hAnsiTheme="majorHAnsi" w:cs="TTBE8o00"/>
        </w:rPr>
        <w:t>ů</w:t>
      </w:r>
      <w:r w:rsidRPr="000B16D5">
        <w:rPr>
          <w:rFonts w:asciiTheme="majorHAnsi" w:hAnsiTheme="majorHAnsi" w:cs="Arial"/>
        </w:rPr>
        <w:t>st koncentrace leptinu omezený efekt na snižování p</w:t>
      </w:r>
      <w:r w:rsidRPr="000B16D5">
        <w:rPr>
          <w:rFonts w:asciiTheme="majorHAnsi" w:eastAsia="TTBE8o00" w:hAnsiTheme="majorHAnsi" w:cs="TTBE8o00"/>
        </w:rPr>
        <w:t>ř</w:t>
      </w:r>
      <w:r w:rsidRPr="000B16D5">
        <w:rPr>
          <w:rFonts w:asciiTheme="majorHAnsi" w:hAnsiTheme="majorHAnsi" w:cs="Arial"/>
        </w:rPr>
        <w:t>íjmu potravy a odvrácení obezity [37]. Pozorovaná „antiobezitní“ role leptinu je totiž limitována bun</w:t>
      </w:r>
      <w:r w:rsidRPr="000B16D5">
        <w:rPr>
          <w:rFonts w:asciiTheme="majorHAnsi" w:eastAsia="TTBE8o00" w:hAnsiTheme="majorHAnsi" w:cs="TTBE8o00"/>
        </w:rPr>
        <w:t>ěč</w:t>
      </w:r>
      <w:r w:rsidRPr="000B16D5">
        <w:rPr>
          <w:rFonts w:asciiTheme="majorHAnsi" w:hAnsiTheme="majorHAnsi" w:cs="Arial"/>
        </w:rPr>
        <w:t>nou rezistencí na tento signál, která se pravd</w:t>
      </w:r>
      <w:r w:rsidRPr="000B16D5">
        <w:rPr>
          <w:rFonts w:asciiTheme="majorHAnsi" w:eastAsia="TTBE8o00" w:hAnsiTheme="majorHAnsi" w:cs="TTBE8o00"/>
        </w:rPr>
        <w:t>ě</w:t>
      </w:r>
      <w:r w:rsidRPr="000B16D5">
        <w:rPr>
          <w:rFonts w:asciiTheme="majorHAnsi" w:hAnsiTheme="majorHAnsi" w:cs="Arial"/>
        </w:rPr>
        <w:t>podobn</w:t>
      </w:r>
      <w:r w:rsidRPr="000B16D5">
        <w:rPr>
          <w:rFonts w:asciiTheme="majorHAnsi" w:eastAsia="TTBE8o00" w:hAnsiTheme="majorHAnsi" w:cs="TTBE8o00"/>
        </w:rPr>
        <w:t xml:space="preserve">ě </w:t>
      </w:r>
      <w:r w:rsidRPr="000B16D5">
        <w:rPr>
          <w:rFonts w:asciiTheme="majorHAnsi" w:hAnsiTheme="majorHAnsi" w:cs="Arial"/>
        </w:rPr>
        <w:t>vyvinula v odpov</w:t>
      </w:r>
      <w:r w:rsidRPr="000B16D5">
        <w:rPr>
          <w:rFonts w:asciiTheme="majorHAnsi" w:eastAsia="TTBE8o00" w:hAnsiTheme="majorHAnsi" w:cs="TTBE8o00"/>
        </w:rPr>
        <w:t>ě</w:t>
      </w:r>
      <w:r w:rsidRPr="000B16D5">
        <w:rPr>
          <w:rFonts w:asciiTheme="majorHAnsi" w:hAnsiTheme="majorHAnsi" w:cs="Arial"/>
        </w:rPr>
        <w:t>di na evolu</w:t>
      </w:r>
      <w:r w:rsidRPr="000B16D5">
        <w:rPr>
          <w:rFonts w:asciiTheme="majorHAnsi" w:eastAsia="TTBE8o00" w:hAnsiTheme="majorHAnsi" w:cs="TTBE8o00"/>
        </w:rPr>
        <w:t>č</w:t>
      </w:r>
      <w:r w:rsidRPr="000B16D5">
        <w:rPr>
          <w:rFonts w:asciiTheme="majorHAnsi" w:hAnsiTheme="majorHAnsi" w:cs="Arial"/>
        </w:rPr>
        <w:t>ní tlak na ukládání tukových zásob a ochranu organismu proti depleci energetických zásob b</w:t>
      </w:r>
      <w:r w:rsidRPr="000B16D5">
        <w:rPr>
          <w:rFonts w:asciiTheme="majorHAnsi" w:eastAsia="TTBE8o00" w:hAnsiTheme="majorHAnsi" w:cs="TTBE8o00"/>
        </w:rPr>
        <w:t>ě</w:t>
      </w:r>
      <w:r w:rsidRPr="000B16D5">
        <w:rPr>
          <w:rFonts w:asciiTheme="majorHAnsi" w:hAnsiTheme="majorHAnsi" w:cs="Arial"/>
        </w:rPr>
        <w:t>hem dlouhodobého hladov</w:t>
      </w:r>
      <w:r w:rsidRPr="000B16D5">
        <w:rPr>
          <w:rFonts w:asciiTheme="majorHAnsi" w:eastAsia="TTBE8o00" w:hAnsiTheme="majorHAnsi" w:cs="TTBE8o00"/>
        </w:rPr>
        <w:t>ě</w:t>
      </w:r>
      <w:r w:rsidRPr="000B16D5">
        <w:rPr>
          <w:rFonts w:asciiTheme="majorHAnsi" w:hAnsiTheme="majorHAnsi" w:cs="Arial"/>
        </w:rPr>
        <w:t>ní [37]. Vznik leptinové rezistence se vysv</w:t>
      </w:r>
      <w:r w:rsidRPr="000B16D5">
        <w:rPr>
          <w:rFonts w:asciiTheme="majorHAnsi" w:eastAsia="TTBE8o00" w:hAnsiTheme="majorHAnsi" w:cs="TTBE8o00"/>
        </w:rPr>
        <w:t>ě</w:t>
      </w:r>
      <w:r w:rsidRPr="000B16D5">
        <w:rPr>
          <w:rFonts w:asciiTheme="majorHAnsi" w:hAnsiTheme="majorHAnsi" w:cs="Arial"/>
        </w:rPr>
        <w:t>tluje r</w:t>
      </w:r>
      <w:r w:rsidRPr="000B16D5">
        <w:rPr>
          <w:rFonts w:asciiTheme="majorHAnsi" w:eastAsia="TTBE8o00" w:hAnsiTheme="majorHAnsi" w:cs="TTBE8o00"/>
        </w:rPr>
        <w:t>ů</w:t>
      </w:r>
      <w:r w:rsidRPr="000B16D5">
        <w:rPr>
          <w:rFonts w:asciiTheme="majorHAnsi" w:hAnsiTheme="majorHAnsi" w:cs="Arial"/>
        </w:rPr>
        <w:t>zn</w:t>
      </w:r>
      <w:r w:rsidRPr="000B16D5">
        <w:rPr>
          <w:rFonts w:asciiTheme="majorHAnsi" w:eastAsia="TTBE8o00" w:hAnsiTheme="majorHAnsi" w:cs="TTBE8o00"/>
        </w:rPr>
        <w:t>ě</w:t>
      </w:r>
      <w:r w:rsidRPr="000B16D5">
        <w:rPr>
          <w:rFonts w:asciiTheme="majorHAnsi" w:hAnsiTheme="majorHAnsi" w:cs="Arial"/>
        </w:rPr>
        <w:t>, nap</w:t>
      </w:r>
      <w:r w:rsidRPr="000B16D5">
        <w:rPr>
          <w:rFonts w:asciiTheme="majorHAnsi" w:eastAsia="TTBE8o00" w:hAnsiTheme="majorHAnsi" w:cs="TTBE8o00"/>
        </w:rPr>
        <w:t>ř</w:t>
      </w:r>
      <w:r w:rsidRPr="000B16D5">
        <w:rPr>
          <w:rFonts w:asciiTheme="majorHAnsi" w:hAnsiTheme="majorHAnsi" w:cs="Arial"/>
        </w:rPr>
        <w:t>. narušením leptinového transportu [38] nebo p</w:t>
      </w:r>
      <w:r w:rsidRPr="000B16D5">
        <w:rPr>
          <w:rFonts w:asciiTheme="majorHAnsi" w:eastAsia="TTBE8o00" w:hAnsiTheme="majorHAnsi" w:cs="TTBE8o00"/>
        </w:rPr>
        <w:t>ř</w:t>
      </w:r>
      <w:r w:rsidRPr="000B16D5">
        <w:rPr>
          <w:rFonts w:asciiTheme="majorHAnsi" w:hAnsiTheme="majorHAnsi" w:cs="Arial"/>
        </w:rPr>
        <w:t>ítomností negativních regulátor</w:t>
      </w:r>
      <w:r w:rsidRPr="000B16D5">
        <w:rPr>
          <w:rFonts w:asciiTheme="majorHAnsi" w:eastAsia="TTBE8o00" w:hAnsiTheme="majorHAnsi" w:cs="TTBE8o00"/>
        </w:rPr>
        <w:t xml:space="preserve">ů </w:t>
      </w:r>
      <w:r w:rsidRPr="000B16D5">
        <w:rPr>
          <w:rFonts w:asciiTheme="majorHAnsi" w:hAnsiTheme="majorHAnsi" w:cs="Arial"/>
        </w:rPr>
        <w:t>leptinové a inzulínové signalizace [39</w:t>
      </w:r>
      <w:r w:rsidR="00E03F0C" w:rsidRPr="000B16D5">
        <w:rPr>
          <w:rFonts w:asciiTheme="majorHAnsi" w:hAnsiTheme="majorHAnsi"/>
        </w:rPr>
        <w:t>–</w:t>
      </w:r>
      <w:r w:rsidRPr="000B16D5">
        <w:rPr>
          <w:rFonts w:asciiTheme="majorHAnsi" w:hAnsiTheme="majorHAnsi" w:cs="Arial"/>
        </w:rPr>
        <w:t>41]. Na základě pochopení základních okruhů řízení příjmu potravy byly definovány kandidátní geny.</w:t>
      </w:r>
    </w:p>
    <w:p w:rsidR="00520D6A" w:rsidRPr="000B16D5" w:rsidRDefault="00520D6A" w:rsidP="009F53ED">
      <w:pPr>
        <w:autoSpaceDE w:val="0"/>
        <w:autoSpaceDN w:val="0"/>
        <w:adjustRightInd w:val="0"/>
        <w:spacing w:after="0"/>
        <w:jc w:val="both"/>
        <w:rPr>
          <w:rFonts w:asciiTheme="majorHAnsi" w:hAnsiTheme="majorHAnsi" w:cs="Arial"/>
        </w:rPr>
      </w:pPr>
    </w:p>
    <w:p w:rsidR="00520D6A" w:rsidRPr="000B16D5" w:rsidRDefault="00520D6A" w:rsidP="009F53ED">
      <w:pPr>
        <w:pStyle w:val="Podpodnadpis"/>
        <w:rPr>
          <w:rFonts w:asciiTheme="majorHAnsi" w:hAnsiTheme="majorHAnsi"/>
        </w:rPr>
      </w:pPr>
      <w:r w:rsidRPr="000B16D5">
        <w:rPr>
          <w:rFonts w:asciiTheme="majorHAnsi" w:hAnsiTheme="majorHAnsi"/>
        </w:rPr>
        <w:t>Leptin</w:t>
      </w:r>
    </w:p>
    <w:p w:rsidR="00520D6A" w:rsidRPr="000B16D5" w:rsidRDefault="00520D6A" w:rsidP="008316BA">
      <w:pPr>
        <w:autoSpaceDE w:val="0"/>
        <w:autoSpaceDN w:val="0"/>
        <w:adjustRightInd w:val="0"/>
        <w:spacing w:after="0"/>
        <w:jc w:val="both"/>
        <w:rPr>
          <w:rFonts w:asciiTheme="majorHAnsi" w:hAnsiTheme="majorHAnsi" w:cs="Arial"/>
          <w:i/>
          <w:iCs/>
        </w:rPr>
      </w:pPr>
      <w:r w:rsidRPr="000B16D5">
        <w:rPr>
          <w:rFonts w:asciiTheme="majorHAnsi" w:hAnsiTheme="majorHAnsi" w:cs="Arial"/>
        </w:rPr>
        <w:t xml:space="preserve">Leptin je neglykosylovaný peptidový hormon o hmotnosti 16 kDa kódovaný tzv. </w:t>
      </w:r>
      <w:r w:rsidRPr="000B16D5">
        <w:rPr>
          <w:rFonts w:asciiTheme="majorHAnsi" w:hAnsiTheme="majorHAnsi" w:cs="Arial"/>
          <w:i/>
          <w:iCs/>
        </w:rPr>
        <w:t xml:space="preserve">ob </w:t>
      </w:r>
      <w:r w:rsidRPr="000B16D5">
        <w:rPr>
          <w:rFonts w:asciiTheme="majorHAnsi" w:hAnsiTheme="majorHAnsi" w:cs="Arial"/>
        </w:rPr>
        <w:t>(LEP) genem, lokalizovaným v oblasti v lokusu 7p31.3, který se skládá ze t</w:t>
      </w:r>
      <w:r w:rsidRPr="000B16D5">
        <w:rPr>
          <w:rFonts w:asciiTheme="majorHAnsi" w:eastAsia="TTBE8o00" w:hAnsiTheme="majorHAnsi" w:cs="TTBE8o00"/>
        </w:rPr>
        <w:t>ř</w:t>
      </w:r>
      <w:r w:rsidRPr="000B16D5">
        <w:rPr>
          <w:rFonts w:asciiTheme="majorHAnsi" w:hAnsiTheme="majorHAnsi" w:cs="Arial"/>
        </w:rPr>
        <w:t>í exon</w:t>
      </w:r>
      <w:r w:rsidRPr="000B16D5">
        <w:rPr>
          <w:rFonts w:asciiTheme="majorHAnsi" w:eastAsia="TTBE8o00" w:hAnsiTheme="majorHAnsi" w:cs="TTBE8o00"/>
        </w:rPr>
        <w:t>ů</w:t>
      </w:r>
      <w:r w:rsidRPr="000B16D5">
        <w:rPr>
          <w:rFonts w:asciiTheme="majorHAnsi" w:hAnsiTheme="majorHAnsi" w:cs="Arial"/>
          <w:i/>
          <w:iCs/>
        </w:rPr>
        <w:t xml:space="preserve"> </w:t>
      </w:r>
      <w:r w:rsidRPr="000B16D5">
        <w:rPr>
          <w:rFonts w:asciiTheme="majorHAnsi" w:hAnsiTheme="majorHAnsi" w:cs="Arial"/>
        </w:rPr>
        <w:t>odd</w:t>
      </w:r>
      <w:r w:rsidRPr="000B16D5">
        <w:rPr>
          <w:rFonts w:asciiTheme="majorHAnsi" w:eastAsia="TTBE8o00" w:hAnsiTheme="majorHAnsi" w:cs="TTBE8o00"/>
        </w:rPr>
        <w:t>ě</w:t>
      </w:r>
      <w:r w:rsidRPr="000B16D5">
        <w:rPr>
          <w:rFonts w:asciiTheme="majorHAnsi" w:hAnsiTheme="majorHAnsi" w:cs="Arial"/>
        </w:rPr>
        <w:t>lených dv</w:t>
      </w:r>
      <w:r w:rsidRPr="000B16D5">
        <w:rPr>
          <w:rFonts w:asciiTheme="majorHAnsi" w:eastAsia="TTBE8o00" w:hAnsiTheme="majorHAnsi" w:cs="TTBE8o00"/>
        </w:rPr>
        <w:t>ě</w:t>
      </w:r>
      <w:r w:rsidRPr="000B16D5">
        <w:rPr>
          <w:rFonts w:asciiTheme="majorHAnsi" w:hAnsiTheme="majorHAnsi" w:cs="Arial"/>
        </w:rPr>
        <w:t>ma introny [42]. Struktura LEP genu je u všech savc</w:t>
      </w:r>
      <w:r w:rsidRPr="000B16D5">
        <w:rPr>
          <w:rFonts w:asciiTheme="majorHAnsi" w:eastAsia="TTBE8o00" w:hAnsiTheme="majorHAnsi" w:cs="TTBE8o00"/>
        </w:rPr>
        <w:t xml:space="preserve">ů </w:t>
      </w:r>
      <w:r w:rsidRPr="000B16D5">
        <w:rPr>
          <w:rFonts w:asciiTheme="majorHAnsi" w:hAnsiTheme="majorHAnsi" w:cs="Arial"/>
        </w:rPr>
        <w:t>vysoce konzervovaná, lidský a myší LEP gen</w:t>
      </w:r>
      <w:r w:rsidRPr="000B16D5">
        <w:rPr>
          <w:rFonts w:asciiTheme="majorHAnsi" w:hAnsiTheme="majorHAnsi" w:cs="Arial"/>
          <w:i/>
          <w:iCs/>
        </w:rPr>
        <w:t xml:space="preserve"> </w:t>
      </w:r>
      <w:r w:rsidRPr="000B16D5">
        <w:rPr>
          <w:rFonts w:asciiTheme="majorHAnsi" w:hAnsiTheme="majorHAnsi" w:cs="Arial"/>
        </w:rPr>
        <w:t>vykazují 84</w:t>
      </w:r>
      <w:r w:rsidR="00D71231" w:rsidRPr="000B16D5">
        <w:rPr>
          <w:rFonts w:asciiTheme="majorHAnsi" w:hAnsiTheme="majorHAnsi" w:cs="Arial"/>
        </w:rPr>
        <w:t xml:space="preserve"> </w:t>
      </w:r>
      <w:r w:rsidRPr="000B16D5">
        <w:rPr>
          <w:rFonts w:asciiTheme="majorHAnsi" w:hAnsiTheme="majorHAnsi" w:cs="Arial"/>
        </w:rPr>
        <w:t>% sekven</w:t>
      </w:r>
      <w:r w:rsidRPr="000B16D5">
        <w:rPr>
          <w:rFonts w:asciiTheme="majorHAnsi" w:eastAsia="TTBE8o00" w:hAnsiTheme="majorHAnsi" w:cs="TTBE8o00"/>
        </w:rPr>
        <w:t>č</w:t>
      </w:r>
      <w:r w:rsidRPr="000B16D5">
        <w:rPr>
          <w:rFonts w:asciiTheme="majorHAnsi" w:hAnsiTheme="majorHAnsi" w:cs="Arial"/>
        </w:rPr>
        <w:t>ní homologii.</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Experimentální morbidn</w:t>
      </w:r>
      <w:r w:rsidRPr="000B16D5">
        <w:rPr>
          <w:rFonts w:asciiTheme="majorHAnsi" w:eastAsia="TTBE8o00" w:hAnsiTheme="majorHAnsi" w:cs="TTBE8o00"/>
        </w:rPr>
        <w:t xml:space="preserve">ě </w:t>
      </w:r>
      <w:r w:rsidRPr="000B16D5">
        <w:rPr>
          <w:rFonts w:asciiTheme="majorHAnsi" w:hAnsiTheme="majorHAnsi" w:cs="Arial"/>
        </w:rPr>
        <w:t>obézní zví</w:t>
      </w:r>
      <w:r w:rsidRPr="000B16D5">
        <w:rPr>
          <w:rFonts w:asciiTheme="majorHAnsi" w:eastAsia="TTBE8o00" w:hAnsiTheme="majorHAnsi" w:cs="TTBE8o00"/>
        </w:rPr>
        <w:t>ř</w:t>
      </w:r>
      <w:r w:rsidRPr="000B16D5">
        <w:rPr>
          <w:rFonts w:asciiTheme="majorHAnsi" w:hAnsiTheme="majorHAnsi" w:cs="Arial"/>
        </w:rPr>
        <w:t>ata byla poprvé popsána v roce 1950 [43], p</w:t>
      </w:r>
      <w:r w:rsidRPr="000B16D5">
        <w:rPr>
          <w:rFonts w:asciiTheme="majorHAnsi" w:eastAsia="TTBE8o00" w:hAnsiTheme="majorHAnsi" w:cs="TTBE8o00"/>
        </w:rPr>
        <w:t>ř</w:t>
      </w:r>
      <w:r w:rsidRPr="000B16D5">
        <w:rPr>
          <w:rFonts w:asciiTheme="majorHAnsi" w:hAnsiTheme="majorHAnsi" w:cs="Arial"/>
        </w:rPr>
        <w:t>i</w:t>
      </w:r>
      <w:r w:rsidRPr="000B16D5">
        <w:rPr>
          <w:rFonts w:asciiTheme="majorHAnsi" w:eastAsia="TTBE8o00" w:hAnsiTheme="majorHAnsi" w:cs="TTBE8o00"/>
        </w:rPr>
        <w:t>č</w:t>
      </w:r>
      <w:r w:rsidRPr="000B16D5">
        <w:rPr>
          <w:rFonts w:asciiTheme="majorHAnsi" w:hAnsiTheme="majorHAnsi" w:cs="Arial"/>
        </w:rPr>
        <w:t>emž pozd</w:t>
      </w:r>
      <w:r w:rsidRPr="000B16D5">
        <w:rPr>
          <w:rFonts w:asciiTheme="majorHAnsi" w:eastAsia="TTBE8o00" w:hAnsiTheme="majorHAnsi" w:cs="TTBE8o00"/>
        </w:rPr>
        <w:t>ě</w:t>
      </w:r>
      <w:r w:rsidRPr="000B16D5">
        <w:rPr>
          <w:rFonts w:asciiTheme="majorHAnsi" w:hAnsiTheme="majorHAnsi" w:cs="Arial"/>
        </w:rPr>
        <w:t xml:space="preserve">ji u nich byla objevena mutace v LEP genu. Tyto </w:t>
      </w:r>
      <w:r w:rsidRPr="000B16D5">
        <w:rPr>
          <w:rFonts w:asciiTheme="majorHAnsi" w:hAnsiTheme="majorHAnsi" w:cs="Arial"/>
          <w:i/>
          <w:iCs/>
        </w:rPr>
        <w:t xml:space="preserve">ob/ob </w:t>
      </w:r>
      <w:r w:rsidRPr="000B16D5">
        <w:rPr>
          <w:rFonts w:asciiTheme="majorHAnsi" w:hAnsiTheme="majorHAnsi" w:cs="Arial"/>
        </w:rPr>
        <w:t xml:space="preserve">myši nesou </w:t>
      </w:r>
      <w:r w:rsidRPr="000B16D5">
        <w:rPr>
          <w:rFonts w:asciiTheme="majorHAnsi" w:hAnsiTheme="majorHAnsi" w:cs="Arial"/>
          <w:i/>
        </w:rPr>
        <w:t>nonsense</w:t>
      </w:r>
      <w:r w:rsidRPr="000B16D5">
        <w:rPr>
          <w:rFonts w:asciiTheme="majorHAnsi" w:hAnsiTheme="majorHAnsi" w:cs="Arial"/>
        </w:rPr>
        <w:t xml:space="preserve"> mutaci v kodonu 105 leptinového genu, což vede ke ztrát</w:t>
      </w:r>
      <w:r w:rsidRPr="000B16D5">
        <w:rPr>
          <w:rFonts w:asciiTheme="majorHAnsi" w:eastAsia="TTBE8o00" w:hAnsiTheme="majorHAnsi" w:cs="TTBE8o00"/>
        </w:rPr>
        <w:t xml:space="preserve">ě </w:t>
      </w:r>
      <w:r w:rsidRPr="000B16D5">
        <w:rPr>
          <w:rFonts w:asciiTheme="majorHAnsi" w:hAnsiTheme="majorHAnsi" w:cs="Arial"/>
        </w:rPr>
        <w:t>schopnosti secernovat leptin [43]. Mutace má u myší za následek hyperfagii, obezitu, hypotermii, extrémní inzulínovou rezistenci a infertilitu. Podání leptinu vede k normalizaci stavu.</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Homologická LEP mutace u lidí zatím identifikována nebyla [44]. U lidí byly dosud zjišt</w:t>
      </w:r>
      <w:r w:rsidRPr="000B16D5">
        <w:rPr>
          <w:rFonts w:asciiTheme="majorHAnsi" w:eastAsia="TTBE8o00" w:hAnsiTheme="majorHAnsi" w:cs="TTBE8o00"/>
        </w:rPr>
        <w:t>ě</w:t>
      </w:r>
      <w:r w:rsidRPr="000B16D5">
        <w:rPr>
          <w:rFonts w:asciiTheme="majorHAnsi" w:hAnsiTheme="majorHAnsi" w:cs="Arial"/>
        </w:rPr>
        <w:t>ny vzácné mutace u potomk</w:t>
      </w:r>
      <w:r w:rsidRPr="000B16D5">
        <w:rPr>
          <w:rFonts w:asciiTheme="majorHAnsi" w:eastAsia="TTBE8o00" w:hAnsiTheme="majorHAnsi" w:cs="TTBE8o00"/>
        </w:rPr>
        <w:t xml:space="preserve">ů </w:t>
      </w:r>
      <w:r w:rsidRPr="000B16D5">
        <w:rPr>
          <w:rFonts w:asciiTheme="majorHAnsi" w:hAnsiTheme="majorHAnsi" w:cs="Arial"/>
        </w:rPr>
        <w:t>z pokrevně spřízněných rod</w:t>
      </w:r>
      <w:r w:rsidRPr="000B16D5">
        <w:rPr>
          <w:rFonts w:asciiTheme="majorHAnsi" w:eastAsia="TTBE8o00" w:hAnsiTheme="majorHAnsi" w:cs="TTBE8o00"/>
        </w:rPr>
        <w:t xml:space="preserve">ů </w:t>
      </w:r>
      <w:r w:rsidRPr="000B16D5">
        <w:rPr>
          <w:rFonts w:asciiTheme="majorHAnsi" w:hAnsiTheme="majorHAnsi" w:cs="Arial"/>
        </w:rPr>
        <w:t xml:space="preserve">z geograficky izolovaných oblastí [45]. Homozygotní mutace s posunem </w:t>
      </w:r>
      <w:r w:rsidRPr="000B16D5">
        <w:rPr>
          <w:rFonts w:asciiTheme="majorHAnsi" w:eastAsia="TTBE8o00" w:hAnsiTheme="majorHAnsi" w:cs="TTBE8o00"/>
        </w:rPr>
        <w:t>č</w:t>
      </w:r>
      <w:r w:rsidRPr="000B16D5">
        <w:rPr>
          <w:rFonts w:asciiTheme="majorHAnsi" w:hAnsiTheme="majorHAnsi" w:cs="Arial"/>
        </w:rPr>
        <w:t>tecího rámce následkem delece jednoho guaninu v kodonu 133 (Delta133G) vede k typickému fenotypu leptinového deficitu a k morbidní obezit</w:t>
      </w:r>
      <w:r w:rsidRPr="000B16D5">
        <w:rPr>
          <w:rFonts w:asciiTheme="majorHAnsi" w:eastAsia="TTBE8o00" w:hAnsiTheme="majorHAnsi" w:cs="TTBE8o00"/>
        </w:rPr>
        <w:t xml:space="preserve">ě </w:t>
      </w:r>
      <w:r w:rsidRPr="000B16D5">
        <w:rPr>
          <w:rFonts w:asciiTheme="majorHAnsi" w:hAnsiTheme="majorHAnsi" w:cs="Arial"/>
        </w:rPr>
        <w:t xml:space="preserve">s </w:t>
      </w:r>
      <w:r w:rsidRPr="000B16D5">
        <w:rPr>
          <w:rFonts w:asciiTheme="majorHAnsi" w:eastAsia="TTBE8o00" w:hAnsiTheme="majorHAnsi" w:cs="TTBE8o00"/>
        </w:rPr>
        <w:t>č</w:t>
      </w:r>
      <w:r w:rsidRPr="000B16D5">
        <w:rPr>
          <w:rFonts w:asciiTheme="majorHAnsi" w:hAnsiTheme="majorHAnsi" w:cs="Arial"/>
        </w:rPr>
        <w:t>asným nástupem [46]. Takto postižení jedinci vytvářejí pouze velmi málo leptinu, hladiny v plazm</w:t>
      </w:r>
      <w:r w:rsidRPr="000B16D5">
        <w:rPr>
          <w:rFonts w:asciiTheme="majorHAnsi" w:eastAsia="TTBE8o00" w:hAnsiTheme="majorHAnsi" w:cs="TTBE8o00"/>
        </w:rPr>
        <w:t xml:space="preserve">ě </w:t>
      </w:r>
      <w:r w:rsidRPr="000B16D5">
        <w:rPr>
          <w:rFonts w:asciiTheme="majorHAnsi" w:hAnsiTheme="majorHAnsi" w:cs="Arial"/>
        </w:rPr>
        <w:t xml:space="preserve">jsou nedetekovatelné a objevuje se u nich </w:t>
      </w:r>
      <w:r w:rsidRPr="000B16D5">
        <w:rPr>
          <w:rFonts w:asciiTheme="majorHAnsi" w:eastAsia="TTBE8o00" w:hAnsiTheme="majorHAnsi" w:cs="TTBE8o00"/>
        </w:rPr>
        <w:t>č</w:t>
      </w:r>
      <w:r w:rsidRPr="000B16D5">
        <w:rPr>
          <w:rFonts w:asciiTheme="majorHAnsi" w:hAnsiTheme="majorHAnsi" w:cs="Arial"/>
        </w:rPr>
        <w:t>asná obezita s hyperfagií, ale mají normální t</w:t>
      </w:r>
      <w:r w:rsidRPr="000B16D5">
        <w:rPr>
          <w:rFonts w:asciiTheme="majorHAnsi" w:eastAsia="TTBE8o00" w:hAnsiTheme="majorHAnsi" w:cs="TTBE8o00"/>
        </w:rPr>
        <w:t>ě</w:t>
      </w:r>
      <w:r w:rsidRPr="000B16D5">
        <w:rPr>
          <w:rFonts w:asciiTheme="majorHAnsi" w:hAnsiTheme="majorHAnsi" w:cs="Arial"/>
        </w:rPr>
        <w:t>lesnou teplotu a normální plazmatické koncentrace kortizolu a glukózy [46]. Kongenitální leptinová deficience byla v literatuře popsána i v souvislosti s atrofií mozku, narušenou myelinizací a omezení exprese neuronálních a gliálních protein</w:t>
      </w:r>
      <w:r w:rsidRPr="000B16D5">
        <w:rPr>
          <w:rFonts w:asciiTheme="majorHAnsi" w:eastAsia="TTBE8o00" w:hAnsiTheme="majorHAnsi" w:cs="TTBE8o00"/>
        </w:rPr>
        <w:t xml:space="preserve">ů </w:t>
      </w:r>
      <w:r w:rsidRPr="000B16D5">
        <w:rPr>
          <w:rFonts w:asciiTheme="majorHAnsi" w:hAnsiTheme="majorHAnsi" w:cs="Arial"/>
        </w:rPr>
        <w:t>u myší, což nazna</w:t>
      </w:r>
      <w:r w:rsidRPr="000B16D5">
        <w:rPr>
          <w:rFonts w:asciiTheme="majorHAnsi" w:eastAsia="TTBE8o00" w:hAnsiTheme="majorHAnsi" w:cs="TTBE8o00"/>
        </w:rPr>
        <w:t>č</w:t>
      </w:r>
      <w:r w:rsidRPr="000B16D5">
        <w:rPr>
          <w:rFonts w:asciiTheme="majorHAnsi" w:hAnsiTheme="majorHAnsi" w:cs="Arial"/>
        </w:rPr>
        <w:t>uje d</w:t>
      </w:r>
      <w:r w:rsidRPr="000B16D5">
        <w:rPr>
          <w:rFonts w:asciiTheme="majorHAnsi" w:eastAsia="TTBE8o00" w:hAnsiTheme="majorHAnsi" w:cs="TTBE8o00"/>
        </w:rPr>
        <w:t>ů</w:t>
      </w:r>
      <w:r w:rsidRPr="000B16D5">
        <w:rPr>
          <w:rFonts w:asciiTheme="majorHAnsi" w:hAnsiTheme="majorHAnsi" w:cs="Arial"/>
        </w:rPr>
        <w:t>ležité ontogenetické trofické p</w:t>
      </w:r>
      <w:r w:rsidRPr="000B16D5">
        <w:rPr>
          <w:rFonts w:asciiTheme="majorHAnsi" w:eastAsia="TTBE8o00" w:hAnsiTheme="majorHAnsi" w:cs="TTBE8o00"/>
        </w:rPr>
        <w:t>ů</w:t>
      </w:r>
      <w:r w:rsidRPr="000B16D5">
        <w:rPr>
          <w:rFonts w:asciiTheme="majorHAnsi" w:hAnsiTheme="majorHAnsi" w:cs="Arial"/>
        </w:rPr>
        <w:t>sobení leptinu [47]. U pacient</w:t>
      </w:r>
      <w:r w:rsidRPr="000B16D5">
        <w:rPr>
          <w:rFonts w:asciiTheme="majorHAnsi" w:eastAsia="TTBE8o00" w:hAnsiTheme="majorHAnsi" w:cs="TTBE8o00"/>
        </w:rPr>
        <w:t xml:space="preserve">ů </w:t>
      </w:r>
      <w:r w:rsidRPr="000B16D5">
        <w:rPr>
          <w:rFonts w:asciiTheme="majorHAnsi" w:hAnsiTheme="majorHAnsi" w:cs="Arial"/>
        </w:rPr>
        <w:t>s kongenitální leptinovou deficiencí byly také prokázány defekty šedé hmoty v oblasti p</w:t>
      </w:r>
      <w:r w:rsidRPr="000B16D5">
        <w:rPr>
          <w:rFonts w:asciiTheme="majorHAnsi" w:eastAsia="TTBE8o00" w:hAnsiTheme="majorHAnsi" w:cs="TTBE8o00"/>
        </w:rPr>
        <w:t>ř</w:t>
      </w:r>
      <w:r w:rsidRPr="000B16D5">
        <w:rPr>
          <w:rFonts w:asciiTheme="majorHAnsi" w:hAnsiTheme="majorHAnsi" w:cs="Arial"/>
        </w:rPr>
        <w:t>edního gyrus cinguli, spodního parietálního laloku a moze</w:t>
      </w:r>
      <w:r w:rsidRPr="000B16D5">
        <w:rPr>
          <w:rFonts w:asciiTheme="majorHAnsi" w:eastAsia="TTBE8o00" w:hAnsiTheme="majorHAnsi" w:cs="TTBE8o00"/>
        </w:rPr>
        <w:t>č</w:t>
      </w:r>
      <w:r w:rsidRPr="000B16D5">
        <w:rPr>
          <w:rFonts w:asciiTheme="majorHAnsi" w:hAnsiTheme="majorHAnsi" w:cs="Arial"/>
        </w:rPr>
        <w:t xml:space="preserve">ku [48]. Tyto anomálie jsou po podání leptinu </w:t>
      </w:r>
      <w:r w:rsidRPr="000B16D5">
        <w:rPr>
          <w:rFonts w:asciiTheme="majorHAnsi" w:eastAsia="TTBE8o00" w:hAnsiTheme="majorHAnsi" w:cs="TTBE8o00"/>
        </w:rPr>
        <w:t>č</w:t>
      </w:r>
      <w:r w:rsidRPr="000B16D5">
        <w:rPr>
          <w:rFonts w:asciiTheme="majorHAnsi" w:hAnsiTheme="majorHAnsi" w:cs="Arial"/>
        </w:rPr>
        <w:t>áste</w:t>
      </w:r>
      <w:r w:rsidRPr="000B16D5">
        <w:rPr>
          <w:rFonts w:asciiTheme="majorHAnsi" w:eastAsia="TTBE8o00" w:hAnsiTheme="majorHAnsi" w:cs="TTBE8o00"/>
        </w:rPr>
        <w:t>č</w:t>
      </w:r>
      <w:r w:rsidRPr="000B16D5">
        <w:rPr>
          <w:rFonts w:asciiTheme="majorHAnsi" w:hAnsiTheme="majorHAnsi" w:cs="Arial"/>
        </w:rPr>
        <w:t>n</w:t>
      </w:r>
      <w:r w:rsidRPr="000B16D5">
        <w:rPr>
          <w:rFonts w:asciiTheme="majorHAnsi" w:eastAsia="TTBE8o00" w:hAnsiTheme="majorHAnsi" w:cs="TTBE8o00"/>
        </w:rPr>
        <w:t xml:space="preserve">ě </w:t>
      </w:r>
      <w:r w:rsidRPr="000B16D5">
        <w:rPr>
          <w:rFonts w:asciiTheme="majorHAnsi" w:hAnsiTheme="majorHAnsi" w:cs="Arial"/>
        </w:rPr>
        <w:t xml:space="preserve">reverzibilní. </w:t>
      </w:r>
    </w:p>
    <w:p w:rsidR="00520D6A" w:rsidRPr="000B16D5" w:rsidRDefault="00520D6A" w:rsidP="008316BA">
      <w:pPr>
        <w:autoSpaceDE w:val="0"/>
        <w:autoSpaceDN w:val="0"/>
        <w:adjustRightInd w:val="0"/>
        <w:spacing w:after="0"/>
        <w:jc w:val="both"/>
        <w:rPr>
          <w:rFonts w:asciiTheme="majorHAnsi" w:eastAsia="Arial Unicode MS" w:hAnsiTheme="majorHAnsi" w:cs="Arial Unicode MS"/>
          <w:b/>
          <w:bCs/>
        </w:rPr>
      </w:pPr>
      <w:bookmarkStart w:id="50" w:name="SEC3"/>
      <w:bookmarkEnd w:id="50"/>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 xml:space="preserve">V genu pro leptin byly popsány nejrůznější mutace – mutace typu </w:t>
      </w:r>
      <w:r w:rsidRPr="000B16D5">
        <w:rPr>
          <w:rFonts w:asciiTheme="majorHAnsi" w:hAnsiTheme="majorHAnsi" w:cs="Arial"/>
          <w:i/>
        </w:rPr>
        <w:t>nonsense, missense</w:t>
      </w:r>
      <w:r w:rsidRPr="000B16D5">
        <w:rPr>
          <w:rFonts w:asciiTheme="majorHAnsi" w:hAnsiTheme="majorHAnsi" w:cs="Arial"/>
        </w:rPr>
        <w:t xml:space="preserve"> i mutace s posunem čtecího rámce, které všechny vedou k neschopnosti vytvářet leptin. Pacienti s mutacemi v LEP genu, které narušují syntézu leptinu, jsou obézní již od raného věku a jejich hodnoty leptinu jsou pod spodním limitem detekce [49</w:t>
      </w:r>
      <w:r w:rsidR="00D71231" w:rsidRPr="000B16D5">
        <w:rPr>
          <w:rFonts w:asciiTheme="majorHAnsi" w:hAnsiTheme="majorHAnsi" w:cs="Arial"/>
        </w:rPr>
        <w:t>–</w:t>
      </w:r>
      <w:r w:rsidRPr="000B16D5">
        <w:rPr>
          <w:rFonts w:asciiTheme="majorHAnsi" w:hAnsiTheme="majorHAnsi" w:cs="Arial"/>
        </w:rPr>
        <w:t xml:space="preserve">51], přičemž klíčovými projevy leptinové deficience je intenzivní tendence k jídlu (hyperfagie), agresivní chování, jestliže je jídlo odpíráno, narušené dosahování sytosti a „slídění“ po jídle, které začíná velmi záhy po skončení předchozího jídla. Bylo popsáno, že vrozené chybění leptinu může být úspěšně léčeno denním podáním injekcí s rekombinantním lidským leptinem, což vede k úpravě metabolických abnormalit a rychlé ztrátě tělesné hmotnosti. Hlavním účinkem podání leptinu je normalizace hyperfagie a zvýšené dosahování sytosti. </w:t>
      </w:r>
    </w:p>
    <w:p w:rsidR="00520D6A" w:rsidRPr="000B16D5" w:rsidRDefault="00520D6A" w:rsidP="008316BA">
      <w:pPr>
        <w:autoSpaceDE w:val="0"/>
        <w:autoSpaceDN w:val="0"/>
        <w:adjustRightInd w:val="0"/>
        <w:spacing w:after="0"/>
        <w:jc w:val="both"/>
        <w:rPr>
          <w:rFonts w:asciiTheme="majorHAnsi" w:hAnsiTheme="majorHAnsi" w:cs="Arial"/>
        </w:rPr>
      </w:pP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Leptin je produkován zejména adipocyty a cirkulující hladina leptinu p</w:t>
      </w:r>
      <w:r w:rsidRPr="000B16D5">
        <w:rPr>
          <w:rFonts w:asciiTheme="majorHAnsi" w:eastAsia="TTBE8o00" w:hAnsiTheme="majorHAnsi" w:cs="TTBE8o00"/>
        </w:rPr>
        <w:t>ř</w:t>
      </w:r>
      <w:r w:rsidRPr="000B16D5">
        <w:rPr>
          <w:rFonts w:asciiTheme="majorHAnsi" w:hAnsiTheme="majorHAnsi" w:cs="Arial"/>
        </w:rPr>
        <w:t>ímo koreluje s celkovým množstvím bílé tukové tkán</w:t>
      </w:r>
      <w:r w:rsidRPr="000B16D5">
        <w:rPr>
          <w:rFonts w:asciiTheme="majorHAnsi" w:eastAsia="TTBE8o00" w:hAnsiTheme="majorHAnsi" w:cs="TTBE8o00"/>
        </w:rPr>
        <w:t xml:space="preserve">ě </w:t>
      </w:r>
      <w:r w:rsidRPr="000B16D5">
        <w:rPr>
          <w:rFonts w:asciiTheme="majorHAnsi" w:hAnsiTheme="majorHAnsi" w:cs="Arial"/>
        </w:rPr>
        <w:t>v organismu, s velikostí adipocyt</w:t>
      </w:r>
      <w:r w:rsidRPr="000B16D5">
        <w:rPr>
          <w:rFonts w:asciiTheme="majorHAnsi" w:eastAsia="TTBE8o00" w:hAnsiTheme="majorHAnsi" w:cs="TTBE8o00"/>
        </w:rPr>
        <w:t xml:space="preserve">ů </w:t>
      </w:r>
      <w:r w:rsidRPr="000B16D5">
        <w:rPr>
          <w:rFonts w:asciiTheme="majorHAnsi" w:hAnsiTheme="majorHAnsi" w:cs="Arial"/>
        </w:rPr>
        <w:t>a obsahem triglycerid</w:t>
      </w:r>
      <w:r w:rsidRPr="000B16D5">
        <w:rPr>
          <w:rFonts w:asciiTheme="majorHAnsi" w:eastAsia="TTBE8o00" w:hAnsiTheme="majorHAnsi" w:cs="TTBE8o00"/>
        </w:rPr>
        <w:t xml:space="preserve">ů </w:t>
      </w:r>
      <w:r w:rsidRPr="000B16D5">
        <w:rPr>
          <w:rFonts w:asciiTheme="majorHAnsi" w:hAnsiTheme="majorHAnsi" w:cs="Arial"/>
        </w:rPr>
        <w:t>v adipocytech. Leptin snižuje p</w:t>
      </w:r>
      <w:r w:rsidRPr="000B16D5">
        <w:rPr>
          <w:rFonts w:asciiTheme="majorHAnsi" w:eastAsia="TTBE8o00" w:hAnsiTheme="majorHAnsi" w:cs="TTBE8o00"/>
        </w:rPr>
        <w:t>ř</w:t>
      </w:r>
      <w:r w:rsidRPr="000B16D5">
        <w:rPr>
          <w:rFonts w:asciiTheme="majorHAnsi" w:hAnsiTheme="majorHAnsi" w:cs="Arial"/>
        </w:rPr>
        <w:t>íjem potravy a zvyšuje spot</w:t>
      </w:r>
      <w:r w:rsidRPr="000B16D5">
        <w:rPr>
          <w:rFonts w:asciiTheme="majorHAnsi" w:eastAsia="TTBE8o00" w:hAnsiTheme="majorHAnsi" w:cs="TTBE8o00"/>
        </w:rPr>
        <w:t>ř</w:t>
      </w:r>
      <w:r w:rsidRPr="000B16D5">
        <w:rPr>
          <w:rFonts w:asciiTheme="majorHAnsi" w:hAnsiTheme="majorHAnsi" w:cs="Arial"/>
        </w:rPr>
        <w:t>ebu energie indukcí anorexigenních faktor</w:t>
      </w:r>
      <w:r w:rsidRPr="000B16D5">
        <w:rPr>
          <w:rFonts w:asciiTheme="majorHAnsi" w:eastAsia="TTBE8o00" w:hAnsiTheme="majorHAnsi" w:cs="TTBE8o00"/>
        </w:rPr>
        <w:t xml:space="preserve">ů </w:t>
      </w:r>
      <w:r w:rsidRPr="000B16D5">
        <w:rPr>
          <w:rFonts w:asciiTheme="majorHAnsi" w:hAnsiTheme="majorHAnsi" w:cs="Symbol"/>
        </w:rPr>
        <w:t>[</w:t>
      </w:r>
      <w:r w:rsidRPr="000B16D5">
        <w:rPr>
          <w:rFonts w:asciiTheme="majorHAnsi" w:hAnsiTheme="majorHAnsi" w:cs="Arial"/>
        </w:rPr>
        <w:t>nap</w:t>
      </w:r>
      <w:r w:rsidRPr="000B16D5">
        <w:rPr>
          <w:rFonts w:asciiTheme="majorHAnsi" w:eastAsia="TTBE8o00" w:hAnsiTheme="majorHAnsi" w:cs="TTBE8o00"/>
        </w:rPr>
        <w:t>ř</w:t>
      </w:r>
      <w:r w:rsidRPr="000B16D5">
        <w:rPr>
          <w:rFonts w:asciiTheme="majorHAnsi" w:hAnsiTheme="majorHAnsi" w:cs="Arial"/>
        </w:rPr>
        <w:t>. CART (kokain-amfetaminem regulovaného transkriptu)</w:t>
      </w:r>
      <w:r w:rsidRPr="000B16D5">
        <w:rPr>
          <w:rFonts w:asciiTheme="majorHAnsi" w:hAnsiTheme="majorHAnsi" w:cs="Symbol"/>
        </w:rPr>
        <w:t>]</w:t>
      </w:r>
      <w:r w:rsidRPr="000B16D5">
        <w:rPr>
          <w:rFonts w:asciiTheme="majorHAnsi" w:hAnsiTheme="majorHAnsi" w:cs="Arial"/>
        </w:rPr>
        <w:t>, POMC (proopiomelanokortinu) a faktor</w:t>
      </w:r>
      <w:r w:rsidRPr="000B16D5">
        <w:rPr>
          <w:rFonts w:asciiTheme="majorHAnsi" w:eastAsia="TTBE8o00" w:hAnsiTheme="majorHAnsi" w:cs="TTBE8o00"/>
        </w:rPr>
        <w:t>ů</w:t>
      </w:r>
      <w:r w:rsidRPr="000B16D5">
        <w:rPr>
          <w:rFonts w:asciiTheme="majorHAnsi" w:hAnsiTheme="majorHAnsi" w:cs="Arial"/>
        </w:rPr>
        <w:t>, které potla</w:t>
      </w:r>
      <w:r w:rsidRPr="000B16D5">
        <w:rPr>
          <w:rFonts w:asciiTheme="majorHAnsi" w:eastAsia="TTBE8o00" w:hAnsiTheme="majorHAnsi" w:cs="TTBE8o00"/>
        </w:rPr>
        <w:t>č</w:t>
      </w:r>
      <w:r w:rsidRPr="000B16D5">
        <w:rPr>
          <w:rFonts w:asciiTheme="majorHAnsi" w:hAnsiTheme="majorHAnsi" w:cs="Arial"/>
        </w:rPr>
        <w:t xml:space="preserve">ují orexigenní neuropeptidy </w:t>
      </w:r>
      <w:r w:rsidRPr="000B16D5">
        <w:rPr>
          <w:rFonts w:asciiTheme="majorHAnsi" w:hAnsiTheme="majorHAnsi" w:cs="Symbol"/>
        </w:rPr>
        <w:t>[</w:t>
      </w:r>
      <w:r w:rsidRPr="000B16D5">
        <w:rPr>
          <w:rFonts w:asciiTheme="majorHAnsi" w:hAnsiTheme="majorHAnsi" w:cs="Arial"/>
        </w:rPr>
        <w:t>nap</w:t>
      </w:r>
      <w:r w:rsidRPr="000B16D5">
        <w:rPr>
          <w:rFonts w:asciiTheme="majorHAnsi" w:eastAsia="TTBE8o00" w:hAnsiTheme="majorHAnsi" w:cs="TTBE8o00"/>
        </w:rPr>
        <w:t>ř</w:t>
      </w:r>
      <w:r w:rsidRPr="000B16D5">
        <w:rPr>
          <w:rFonts w:asciiTheme="majorHAnsi" w:hAnsiTheme="majorHAnsi" w:cs="Arial"/>
        </w:rPr>
        <w:t>. NPY (neuropeptidu Y), AgRP (agouti-related peptidu) a orexinu</w:t>
      </w:r>
      <w:r w:rsidRPr="000B16D5">
        <w:rPr>
          <w:rFonts w:asciiTheme="majorHAnsi" w:hAnsiTheme="majorHAnsi" w:cs="Symbol"/>
        </w:rPr>
        <w:t>]</w:t>
      </w:r>
      <w:r w:rsidRPr="000B16D5">
        <w:rPr>
          <w:rFonts w:asciiTheme="majorHAnsi" w:hAnsiTheme="majorHAnsi" w:cs="Arial"/>
        </w:rPr>
        <w:t>, p</w:t>
      </w:r>
      <w:r w:rsidRPr="000B16D5">
        <w:rPr>
          <w:rFonts w:asciiTheme="majorHAnsi" w:eastAsia="TTBE8o00" w:hAnsiTheme="majorHAnsi" w:cs="TTBE8o00"/>
        </w:rPr>
        <w:t>ř</w:t>
      </w:r>
      <w:r w:rsidRPr="000B16D5">
        <w:rPr>
          <w:rFonts w:asciiTheme="majorHAnsi" w:hAnsiTheme="majorHAnsi" w:cs="Arial"/>
        </w:rPr>
        <w:t>i</w:t>
      </w:r>
      <w:r w:rsidRPr="000B16D5">
        <w:rPr>
          <w:rFonts w:asciiTheme="majorHAnsi" w:eastAsia="TTBE8o00" w:hAnsiTheme="majorHAnsi" w:cs="TTBE8o00"/>
        </w:rPr>
        <w:t>č</w:t>
      </w:r>
      <w:r w:rsidRPr="000B16D5">
        <w:rPr>
          <w:rFonts w:asciiTheme="majorHAnsi" w:hAnsiTheme="majorHAnsi" w:cs="Arial"/>
        </w:rPr>
        <w:t>emž jeho hladiny jsou negativn</w:t>
      </w:r>
      <w:r w:rsidRPr="000B16D5">
        <w:rPr>
          <w:rFonts w:asciiTheme="majorHAnsi" w:eastAsia="TTBE8o00" w:hAnsiTheme="majorHAnsi" w:cs="TTBE8o00"/>
        </w:rPr>
        <w:t xml:space="preserve">ě </w:t>
      </w:r>
      <w:r w:rsidRPr="000B16D5">
        <w:rPr>
          <w:rFonts w:asciiTheme="majorHAnsi" w:hAnsiTheme="majorHAnsi" w:cs="Arial"/>
        </w:rPr>
        <w:t>korelovány s hladinami glukokortikoid</w:t>
      </w:r>
      <w:r w:rsidRPr="000B16D5">
        <w:rPr>
          <w:rFonts w:asciiTheme="majorHAnsi" w:eastAsia="TTBE8o00" w:hAnsiTheme="majorHAnsi" w:cs="TTBE8o00"/>
        </w:rPr>
        <w:t>ů [52]</w:t>
      </w:r>
      <w:r w:rsidRPr="000B16D5">
        <w:rPr>
          <w:rFonts w:asciiTheme="majorHAnsi" w:hAnsiTheme="majorHAnsi" w:cs="Arial"/>
        </w:rPr>
        <w:t xml:space="preserve"> a pozitivn</w:t>
      </w:r>
      <w:r w:rsidRPr="000B16D5">
        <w:rPr>
          <w:rFonts w:asciiTheme="majorHAnsi" w:eastAsia="TTBE8o00" w:hAnsiTheme="majorHAnsi" w:cs="TTBE8o00"/>
        </w:rPr>
        <w:t xml:space="preserve">ě </w:t>
      </w:r>
      <w:r w:rsidRPr="000B16D5">
        <w:rPr>
          <w:rFonts w:asciiTheme="majorHAnsi" w:hAnsiTheme="majorHAnsi" w:cs="Arial"/>
        </w:rPr>
        <w:t>s hladinou inzulínu [53]. Plazmatické hladiny leptinu závisejí na pohlaví, p</w:t>
      </w:r>
      <w:r w:rsidRPr="000B16D5">
        <w:rPr>
          <w:rFonts w:asciiTheme="majorHAnsi" w:eastAsia="TTBE8o00" w:hAnsiTheme="majorHAnsi" w:cs="TTBE8o00"/>
        </w:rPr>
        <w:t>ř</w:t>
      </w:r>
      <w:r w:rsidRPr="000B16D5">
        <w:rPr>
          <w:rFonts w:asciiTheme="majorHAnsi" w:hAnsiTheme="majorHAnsi" w:cs="Arial"/>
        </w:rPr>
        <w:t>i</w:t>
      </w:r>
      <w:r w:rsidRPr="000B16D5">
        <w:rPr>
          <w:rFonts w:asciiTheme="majorHAnsi" w:eastAsia="TTBE8o00" w:hAnsiTheme="majorHAnsi" w:cs="TTBE8o00"/>
        </w:rPr>
        <w:t>č</w:t>
      </w:r>
      <w:r w:rsidRPr="000B16D5">
        <w:rPr>
          <w:rFonts w:asciiTheme="majorHAnsi" w:hAnsiTheme="majorHAnsi" w:cs="Arial"/>
        </w:rPr>
        <w:t xml:space="preserve">emž jsou </w:t>
      </w:r>
      <w:r w:rsidR="00D71231" w:rsidRPr="000B16D5">
        <w:rPr>
          <w:rFonts w:asciiTheme="majorHAnsi" w:hAnsiTheme="majorHAnsi" w:cs="Arial"/>
        </w:rPr>
        <w:t xml:space="preserve">nezávislé </w:t>
      </w:r>
      <w:r w:rsidRPr="000B16D5">
        <w:rPr>
          <w:rFonts w:asciiTheme="majorHAnsi" w:hAnsiTheme="majorHAnsi" w:cs="Arial"/>
        </w:rPr>
        <w:t>na BMI vyšší u žen než u muž</w:t>
      </w:r>
      <w:r w:rsidRPr="000B16D5">
        <w:rPr>
          <w:rFonts w:asciiTheme="majorHAnsi" w:eastAsia="TTBE8o00" w:hAnsiTheme="majorHAnsi" w:cs="TTBE8o00"/>
        </w:rPr>
        <w:t>ů</w:t>
      </w:r>
      <w:r w:rsidRPr="000B16D5">
        <w:rPr>
          <w:rFonts w:asciiTheme="majorHAnsi" w:hAnsiTheme="majorHAnsi" w:cs="Arial"/>
        </w:rPr>
        <w:t>. To nazna</w:t>
      </w:r>
      <w:r w:rsidRPr="000B16D5">
        <w:rPr>
          <w:rFonts w:asciiTheme="majorHAnsi" w:eastAsia="TTBE8o00" w:hAnsiTheme="majorHAnsi" w:cs="TTBE8o00"/>
        </w:rPr>
        <w:t>č</w:t>
      </w:r>
      <w:r w:rsidRPr="000B16D5">
        <w:rPr>
          <w:rFonts w:asciiTheme="majorHAnsi" w:hAnsiTheme="majorHAnsi" w:cs="Arial"/>
        </w:rPr>
        <w:t>uje možný vztah k rozvoji nebo frekvenci ur</w:t>
      </w:r>
      <w:r w:rsidRPr="000B16D5">
        <w:rPr>
          <w:rFonts w:asciiTheme="majorHAnsi" w:eastAsia="TTBE8o00" w:hAnsiTheme="majorHAnsi" w:cs="TTBE8o00"/>
        </w:rPr>
        <w:t>č</w:t>
      </w:r>
      <w:r w:rsidRPr="000B16D5">
        <w:rPr>
          <w:rFonts w:asciiTheme="majorHAnsi" w:hAnsiTheme="majorHAnsi" w:cs="Arial"/>
        </w:rPr>
        <w:t>itých chorob vázaných preferen</w:t>
      </w:r>
      <w:r w:rsidRPr="000B16D5">
        <w:rPr>
          <w:rFonts w:asciiTheme="majorHAnsi" w:eastAsia="TTBE8o00" w:hAnsiTheme="majorHAnsi" w:cs="TTBE8o00"/>
        </w:rPr>
        <w:t>č</w:t>
      </w:r>
      <w:r w:rsidRPr="000B16D5">
        <w:rPr>
          <w:rFonts w:asciiTheme="majorHAnsi" w:hAnsiTheme="majorHAnsi" w:cs="Arial"/>
        </w:rPr>
        <w:t>n</w:t>
      </w:r>
      <w:r w:rsidRPr="000B16D5">
        <w:rPr>
          <w:rFonts w:asciiTheme="majorHAnsi" w:eastAsia="TTBE8o00" w:hAnsiTheme="majorHAnsi" w:cs="TTBE8o00"/>
        </w:rPr>
        <w:t xml:space="preserve">ě </w:t>
      </w:r>
      <w:r w:rsidRPr="000B16D5">
        <w:rPr>
          <w:rFonts w:asciiTheme="majorHAnsi" w:hAnsiTheme="majorHAnsi" w:cs="Arial"/>
        </w:rPr>
        <w:t>na jedno pohlaví. Vyšší hladiny leptinu u žen jsou pravd</w:t>
      </w:r>
      <w:r w:rsidRPr="000B16D5">
        <w:rPr>
          <w:rFonts w:asciiTheme="majorHAnsi" w:eastAsia="TTBE8o00" w:hAnsiTheme="majorHAnsi" w:cs="TTBE8o00"/>
        </w:rPr>
        <w:t>ě</w:t>
      </w:r>
      <w:r w:rsidRPr="000B16D5">
        <w:rPr>
          <w:rFonts w:asciiTheme="majorHAnsi" w:hAnsiTheme="majorHAnsi" w:cs="Arial"/>
        </w:rPr>
        <w:t>podobn</w:t>
      </w:r>
      <w:r w:rsidRPr="000B16D5">
        <w:rPr>
          <w:rFonts w:asciiTheme="majorHAnsi" w:eastAsia="TTBE8o00" w:hAnsiTheme="majorHAnsi" w:cs="TTBE8o00"/>
        </w:rPr>
        <w:t xml:space="preserve">ě </w:t>
      </w:r>
      <w:r w:rsidRPr="000B16D5">
        <w:rPr>
          <w:rFonts w:asciiTheme="majorHAnsi" w:hAnsiTheme="majorHAnsi" w:cs="Arial"/>
        </w:rPr>
        <w:t>zp</w:t>
      </w:r>
      <w:r w:rsidRPr="000B16D5">
        <w:rPr>
          <w:rFonts w:asciiTheme="majorHAnsi" w:eastAsia="TTBE8o00" w:hAnsiTheme="majorHAnsi" w:cs="TTBE8o00"/>
        </w:rPr>
        <w:t>ů</w:t>
      </w:r>
      <w:r w:rsidRPr="000B16D5">
        <w:rPr>
          <w:rFonts w:asciiTheme="majorHAnsi" w:hAnsiTheme="majorHAnsi" w:cs="Arial"/>
        </w:rPr>
        <w:t xml:space="preserve">sobeny vyšší produkcí leptinu v podkožní tukové tkáni, stimulací sekrece leptinu estrogeny </w:t>
      </w:r>
      <w:r w:rsidRPr="000B16D5">
        <w:rPr>
          <w:rFonts w:asciiTheme="majorHAnsi" w:hAnsiTheme="majorHAnsi" w:cs="Arial"/>
        </w:rPr>
        <w:lastRenderedPageBreak/>
        <w:t>a nižší inhibicí produkce leptinu androgeny. Plazmatická hladina leptinu s nár</w:t>
      </w:r>
      <w:r w:rsidRPr="000B16D5">
        <w:rPr>
          <w:rFonts w:asciiTheme="majorHAnsi" w:eastAsia="TTBE8o00" w:hAnsiTheme="majorHAnsi" w:cs="TTBE8o00"/>
        </w:rPr>
        <w:t>ů</w:t>
      </w:r>
      <w:r w:rsidRPr="000B16D5">
        <w:rPr>
          <w:rFonts w:asciiTheme="majorHAnsi" w:hAnsiTheme="majorHAnsi" w:cs="Arial"/>
        </w:rPr>
        <w:t>stem t</w:t>
      </w:r>
      <w:r w:rsidRPr="000B16D5">
        <w:rPr>
          <w:rFonts w:asciiTheme="majorHAnsi" w:eastAsia="TTBE8o00" w:hAnsiTheme="majorHAnsi" w:cs="TTBE8o00"/>
        </w:rPr>
        <w:t>ě</w:t>
      </w:r>
      <w:r w:rsidRPr="000B16D5">
        <w:rPr>
          <w:rFonts w:asciiTheme="majorHAnsi" w:hAnsiTheme="majorHAnsi" w:cs="Arial"/>
        </w:rPr>
        <w:t>lesné hmotnosti stoupá a op</w:t>
      </w:r>
      <w:r w:rsidRPr="000B16D5">
        <w:rPr>
          <w:rFonts w:asciiTheme="majorHAnsi" w:eastAsia="TTBE8o00" w:hAnsiTheme="majorHAnsi" w:cs="TTBE8o00"/>
        </w:rPr>
        <w:t>ě</w:t>
      </w:r>
      <w:r w:rsidRPr="000B16D5">
        <w:rPr>
          <w:rFonts w:asciiTheme="majorHAnsi" w:hAnsiTheme="majorHAnsi" w:cs="Arial"/>
        </w:rPr>
        <w:t>t klesá s hmotnostním úbytkem. Tyto zm</w:t>
      </w:r>
      <w:r w:rsidRPr="000B16D5">
        <w:rPr>
          <w:rFonts w:asciiTheme="majorHAnsi" w:eastAsia="TTBE8o00" w:hAnsiTheme="majorHAnsi" w:cs="TTBE8o00"/>
        </w:rPr>
        <w:t>ě</w:t>
      </w:r>
      <w:r w:rsidRPr="000B16D5">
        <w:rPr>
          <w:rFonts w:asciiTheme="majorHAnsi" w:hAnsiTheme="majorHAnsi" w:cs="Arial"/>
        </w:rPr>
        <w:t>ny jsou závislé na hladin</w:t>
      </w:r>
      <w:r w:rsidRPr="000B16D5">
        <w:rPr>
          <w:rFonts w:asciiTheme="majorHAnsi" w:eastAsia="TTBE8o00" w:hAnsiTheme="majorHAnsi" w:cs="TTBE8o00"/>
        </w:rPr>
        <w:t xml:space="preserve">ě </w:t>
      </w:r>
      <w:r w:rsidRPr="000B16D5">
        <w:rPr>
          <w:rFonts w:asciiTheme="majorHAnsi" w:hAnsiTheme="majorHAnsi" w:cs="Arial"/>
        </w:rPr>
        <w:t>inzulínu. Leptin je tedy kritickým signálem zm</w:t>
      </w:r>
      <w:r w:rsidRPr="000B16D5">
        <w:rPr>
          <w:rFonts w:asciiTheme="majorHAnsi" w:eastAsia="TTBE8o00" w:hAnsiTheme="majorHAnsi" w:cs="TTBE8o00"/>
        </w:rPr>
        <w:t>ě</w:t>
      </w:r>
      <w:r w:rsidRPr="000B16D5">
        <w:rPr>
          <w:rFonts w:asciiTheme="majorHAnsi" w:hAnsiTheme="majorHAnsi" w:cs="Arial"/>
        </w:rPr>
        <w:t>n energetických zásob v tukové tkáni. U získané leptinové deficience v d</w:t>
      </w:r>
      <w:r w:rsidRPr="000B16D5">
        <w:rPr>
          <w:rFonts w:asciiTheme="majorHAnsi" w:eastAsia="TTBE8o00" w:hAnsiTheme="majorHAnsi" w:cs="TTBE8o00"/>
        </w:rPr>
        <w:t>ů</w:t>
      </w:r>
      <w:r w:rsidRPr="000B16D5">
        <w:rPr>
          <w:rFonts w:asciiTheme="majorHAnsi" w:hAnsiTheme="majorHAnsi" w:cs="Arial"/>
        </w:rPr>
        <w:t>sledku hladov</w:t>
      </w:r>
      <w:r w:rsidRPr="000B16D5">
        <w:rPr>
          <w:rFonts w:asciiTheme="majorHAnsi" w:eastAsia="TTBE8o00" w:hAnsiTheme="majorHAnsi" w:cs="TTBE8o00"/>
        </w:rPr>
        <w:t>ě</w:t>
      </w:r>
      <w:r w:rsidRPr="000B16D5">
        <w:rPr>
          <w:rFonts w:asciiTheme="majorHAnsi" w:hAnsiTheme="majorHAnsi" w:cs="Arial"/>
        </w:rPr>
        <w:t>ní nebo lipodystrofie je také stimulován p</w:t>
      </w:r>
      <w:r w:rsidRPr="000B16D5">
        <w:rPr>
          <w:rFonts w:asciiTheme="majorHAnsi" w:eastAsia="TTBE8o00" w:hAnsiTheme="majorHAnsi" w:cs="TTBE8o00"/>
        </w:rPr>
        <w:t>ř</w:t>
      </w:r>
      <w:r w:rsidRPr="000B16D5">
        <w:rPr>
          <w:rFonts w:asciiTheme="majorHAnsi" w:hAnsiTheme="majorHAnsi" w:cs="Arial"/>
        </w:rPr>
        <w:t>íjem potravy a jsou tlumeny n</w:t>
      </w:r>
      <w:r w:rsidRPr="000B16D5">
        <w:rPr>
          <w:rFonts w:asciiTheme="majorHAnsi" w:eastAsia="TTBE8o00" w:hAnsiTheme="majorHAnsi" w:cs="TTBE8o00"/>
        </w:rPr>
        <w:t>ě</w:t>
      </w:r>
      <w:r w:rsidRPr="000B16D5">
        <w:rPr>
          <w:rFonts w:asciiTheme="majorHAnsi" w:hAnsiTheme="majorHAnsi" w:cs="Arial"/>
        </w:rPr>
        <w:t>které složky imunity, sympatická nervová aktivita a pohlavní a tyreoidální hormony [54</w:t>
      </w:r>
      <w:r w:rsidR="00D80BCC" w:rsidRPr="000B16D5">
        <w:rPr>
          <w:rFonts w:asciiTheme="majorHAnsi" w:hAnsiTheme="majorHAnsi" w:cs="Arial"/>
        </w:rPr>
        <w:t>–</w:t>
      </w:r>
      <w:r w:rsidRPr="000B16D5">
        <w:rPr>
          <w:rFonts w:asciiTheme="majorHAnsi" w:hAnsiTheme="majorHAnsi" w:cs="Arial"/>
        </w:rPr>
        <w:t>57]. Byla také prokázána interakce mezi signaliza</w:t>
      </w:r>
      <w:r w:rsidRPr="000B16D5">
        <w:rPr>
          <w:rFonts w:asciiTheme="majorHAnsi" w:eastAsia="TTBE8o00" w:hAnsiTheme="majorHAnsi" w:cs="TTBE8o00"/>
        </w:rPr>
        <w:t>č</w:t>
      </w:r>
      <w:r w:rsidRPr="000B16D5">
        <w:rPr>
          <w:rFonts w:asciiTheme="majorHAnsi" w:hAnsiTheme="majorHAnsi" w:cs="Arial"/>
        </w:rPr>
        <w:t>ními drahami pro leptin a inzulínovou signalizací v hypothalamu [58].</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Leptin dále navozuje uvolňování proopiomelanokortinu (POMC), v hypothalamu v nucleus arcuatus. Za kriticky d</w:t>
      </w:r>
      <w:r w:rsidRPr="000B16D5">
        <w:rPr>
          <w:rFonts w:asciiTheme="majorHAnsi" w:eastAsia="TTBE8o00" w:hAnsiTheme="majorHAnsi" w:cs="TTBE8o00"/>
        </w:rPr>
        <w:t>ů</w:t>
      </w:r>
      <w:r w:rsidRPr="000B16D5">
        <w:rPr>
          <w:rFonts w:asciiTheme="majorHAnsi" w:hAnsiTheme="majorHAnsi" w:cs="Arial"/>
        </w:rPr>
        <w:t>ležité pro zprost</w:t>
      </w:r>
      <w:r w:rsidRPr="000B16D5">
        <w:rPr>
          <w:rFonts w:asciiTheme="majorHAnsi" w:eastAsia="TTBE8o00" w:hAnsiTheme="majorHAnsi" w:cs="TTBE8o00"/>
        </w:rPr>
        <w:t>ř</w:t>
      </w:r>
      <w:r w:rsidRPr="000B16D5">
        <w:rPr>
          <w:rFonts w:asciiTheme="majorHAnsi" w:hAnsiTheme="majorHAnsi" w:cs="Arial"/>
        </w:rPr>
        <w:t>edkování centrálních ú</w:t>
      </w:r>
      <w:r w:rsidRPr="000B16D5">
        <w:rPr>
          <w:rFonts w:asciiTheme="majorHAnsi" w:eastAsia="TTBE8o00" w:hAnsiTheme="majorHAnsi" w:cs="TTBE8o00"/>
        </w:rPr>
        <w:t>č</w:t>
      </w:r>
      <w:r w:rsidRPr="000B16D5">
        <w:rPr>
          <w:rFonts w:asciiTheme="majorHAnsi" w:hAnsiTheme="majorHAnsi" w:cs="Arial"/>
        </w:rPr>
        <w:t>ink</w:t>
      </w:r>
      <w:r w:rsidRPr="000B16D5">
        <w:rPr>
          <w:rFonts w:asciiTheme="majorHAnsi" w:eastAsia="TTBE8o00" w:hAnsiTheme="majorHAnsi" w:cs="TTBE8o00"/>
        </w:rPr>
        <w:t xml:space="preserve">ů </w:t>
      </w:r>
      <w:r w:rsidRPr="000B16D5">
        <w:rPr>
          <w:rFonts w:asciiTheme="majorHAnsi" w:hAnsiTheme="majorHAnsi" w:cs="Arial"/>
        </w:rPr>
        <w:t>leptinu na příjem potravy jsou p</w:t>
      </w:r>
      <w:r w:rsidRPr="000B16D5">
        <w:rPr>
          <w:rFonts w:asciiTheme="majorHAnsi" w:eastAsia="TTBE8o00" w:hAnsiTheme="majorHAnsi" w:cs="TTBE8o00"/>
        </w:rPr>
        <w:t>ř</w:t>
      </w:r>
      <w:r w:rsidRPr="000B16D5">
        <w:rPr>
          <w:rFonts w:asciiTheme="majorHAnsi" w:hAnsiTheme="majorHAnsi" w:cs="Arial"/>
        </w:rPr>
        <w:t>itom považovány neurony v paraventrikulárním jád</w:t>
      </w:r>
      <w:r w:rsidRPr="000B16D5">
        <w:rPr>
          <w:rFonts w:asciiTheme="majorHAnsi" w:eastAsia="TTBE8o00" w:hAnsiTheme="majorHAnsi" w:cs="TTBE8o00"/>
        </w:rPr>
        <w:t>ř</w:t>
      </w:r>
      <w:r w:rsidRPr="000B16D5">
        <w:rPr>
          <w:rFonts w:asciiTheme="majorHAnsi" w:hAnsiTheme="majorHAnsi" w:cs="Arial"/>
        </w:rPr>
        <w:t>e, které mají na svém povrchu receptor pro melanokortin 4 a které jsou pod kontrolou neuronů v nucleus arcuatus [59].</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Chybění leptinu postihující POMC neurony vede ke vzniku hyperfagie a poruše termogeneze, což m</w:t>
      </w:r>
      <w:r w:rsidRPr="000B16D5">
        <w:rPr>
          <w:rFonts w:asciiTheme="majorHAnsi" w:eastAsia="TTBE8o00" w:hAnsiTheme="majorHAnsi" w:cs="TTBE8o00"/>
        </w:rPr>
        <w:t>ů</w:t>
      </w:r>
      <w:r w:rsidRPr="000B16D5">
        <w:rPr>
          <w:rFonts w:asciiTheme="majorHAnsi" w:hAnsiTheme="majorHAnsi" w:cs="Arial"/>
        </w:rPr>
        <w:t>že mít za následek až morbidní obezitu [60]. Ztráta sekrece orexigenních peptid</w:t>
      </w:r>
      <w:r w:rsidRPr="000B16D5">
        <w:rPr>
          <w:rFonts w:asciiTheme="majorHAnsi" w:eastAsia="TTBE8o00" w:hAnsiTheme="majorHAnsi" w:cs="TTBE8o00"/>
        </w:rPr>
        <w:t>ů</w:t>
      </w:r>
      <w:r w:rsidRPr="000B16D5">
        <w:rPr>
          <w:rFonts w:asciiTheme="majorHAnsi" w:hAnsiTheme="majorHAnsi" w:cs="Arial"/>
        </w:rPr>
        <w:t>, nap</w:t>
      </w:r>
      <w:r w:rsidRPr="000B16D5">
        <w:rPr>
          <w:rFonts w:asciiTheme="majorHAnsi" w:eastAsia="TTBE8o00" w:hAnsiTheme="majorHAnsi" w:cs="TTBE8o00"/>
        </w:rPr>
        <w:t>ř</w:t>
      </w:r>
      <w:r w:rsidRPr="000B16D5">
        <w:rPr>
          <w:rFonts w:asciiTheme="majorHAnsi" w:hAnsiTheme="majorHAnsi" w:cs="Arial"/>
        </w:rPr>
        <w:t>. NPY a melanin-koncentrujícího hormonu (MCH)</w:t>
      </w:r>
      <w:r w:rsidR="00D71231" w:rsidRPr="000B16D5">
        <w:rPr>
          <w:rFonts w:asciiTheme="majorHAnsi" w:hAnsiTheme="majorHAnsi" w:cs="Arial"/>
        </w:rPr>
        <w:t>,</w:t>
      </w:r>
      <w:r w:rsidRPr="000B16D5">
        <w:rPr>
          <w:rFonts w:asciiTheme="majorHAnsi" w:hAnsiTheme="majorHAnsi" w:cs="Arial"/>
        </w:rPr>
        <w:t xml:space="preserve"> navíc u leptin-deficientních </w:t>
      </w:r>
      <w:r w:rsidRPr="000B16D5">
        <w:rPr>
          <w:rFonts w:asciiTheme="majorHAnsi" w:hAnsiTheme="majorHAnsi" w:cs="Arial"/>
          <w:i/>
          <w:iCs/>
        </w:rPr>
        <w:t xml:space="preserve">ob/ob </w:t>
      </w:r>
      <w:r w:rsidRPr="000B16D5">
        <w:rPr>
          <w:rFonts w:asciiTheme="majorHAnsi" w:hAnsiTheme="majorHAnsi" w:cs="Arial"/>
        </w:rPr>
        <w:t>myší omezuje výskyt obezity [61</w:t>
      </w:r>
      <w:r w:rsidR="00D71231" w:rsidRPr="000B16D5">
        <w:rPr>
          <w:rFonts w:asciiTheme="majorHAnsi" w:hAnsiTheme="majorHAnsi" w:cs="Arial"/>
        </w:rPr>
        <w:t>–</w:t>
      </w:r>
      <w:r w:rsidRPr="000B16D5">
        <w:rPr>
          <w:rFonts w:asciiTheme="majorHAnsi" w:hAnsiTheme="majorHAnsi" w:cs="Arial"/>
        </w:rPr>
        <w:t>62]</w:t>
      </w:r>
      <w:r w:rsidR="004E3897" w:rsidRPr="000B16D5">
        <w:rPr>
          <w:rFonts w:asciiTheme="majorHAnsi" w:hAnsiTheme="majorHAnsi" w:cs="Arial"/>
        </w:rPr>
        <w:t>.</w:t>
      </w:r>
    </w:p>
    <w:p w:rsidR="00520D6A" w:rsidRPr="000B16D5" w:rsidRDefault="00520D6A" w:rsidP="008316BA">
      <w:pPr>
        <w:autoSpaceDE w:val="0"/>
        <w:autoSpaceDN w:val="0"/>
        <w:adjustRightInd w:val="0"/>
        <w:spacing w:after="0"/>
        <w:jc w:val="both"/>
        <w:rPr>
          <w:rFonts w:asciiTheme="majorHAnsi" w:hAnsiTheme="majorHAnsi" w:cs="Arial"/>
        </w:rPr>
      </w:pPr>
    </w:p>
    <w:p w:rsidR="00520D6A" w:rsidRPr="000B16D5" w:rsidRDefault="00520D6A" w:rsidP="009F53ED">
      <w:pPr>
        <w:pStyle w:val="Podpodnadpis"/>
        <w:rPr>
          <w:rFonts w:asciiTheme="majorHAnsi" w:hAnsiTheme="majorHAnsi"/>
        </w:rPr>
      </w:pPr>
      <w:r w:rsidRPr="000B16D5">
        <w:rPr>
          <w:rFonts w:asciiTheme="majorHAnsi" w:hAnsiTheme="majorHAnsi"/>
        </w:rPr>
        <w:t xml:space="preserve">Leptinový receptor </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Leptinový receptor je lokalizován v oblasti 1p31 a nazývá se LEPR gen. LEPR gen obsahuje 17 standardních exon</w:t>
      </w:r>
      <w:r w:rsidRPr="000B16D5">
        <w:rPr>
          <w:rFonts w:asciiTheme="majorHAnsi" w:eastAsia="TTBE8o00" w:hAnsiTheme="majorHAnsi" w:cs="TTBE8o00"/>
        </w:rPr>
        <w:t xml:space="preserve">ů </w:t>
      </w:r>
      <w:r w:rsidRPr="000B16D5">
        <w:rPr>
          <w:rFonts w:asciiTheme="majorHAnsi" w:hAnsiTheme="majorHAnsi" w:cs="Arial"/>
        </w:rPr>
        <w:t>a n</w:t>
      </w:r>
      <w:r w:rsidRPr="000B16D5">
        <w:rPr>
          <w:rFonts w:asciiTheme="majorHAnsi" w:eastAsia="TTBE8o00" w:hAnsiTheme="majorHAnsi" w:cs="TTBE8o00"/>
        </w:rPr>
        <w:t>ě</w:t>
      </w:r>
      <w:r w:rsidRPr="000B16D5">
        <w:rPr>
          <w:rFonts w:asciiTheme="majorHAnsi" w:hAnsiTheme="majorHAnsi" w:cs="Arial"/>
        </w:rPr>
        <w:t>kolik intron</w:t>
      </w:r>
      <w:r w:rsidRPr="000B16D5">
        <w:rPr>
          <w:rFonts w:asciiTheme="majorHAnsi" w:eastAsia="TTBE8o00" w:hAnsiTheme="majorHAnsi" w:cs="TTBE8o00"/>
        </w:rPr>
        <w:t>ů</w:t>
      </w:r>
      <w:r w:rsidRPr="000B16D5">
        <w:rPr>
          <w:rFonts w:asciiTheme="majorHAnsi" w:hAnsiTheme="majorHAnsi" w:cs="Arial"/>
        </w:rPr>
        <w:t>. Tento gen podléhá alternativnímu sest</w:t>
      </w:r>
      <w:r w:rsidRPr="000B16D5">
        <w:rPr>
          <w:rFonts w:asciiTheme="majorHAnsi" w:eastAsia="TTBE8o00" w:hAnsiTheme="majorHAnsi" w:cs="TTBE8o00"/>
        </w:rPr>
        <w:t>ř</w:t>
      </w:r>
      <w:r w:rsidRPr="000B16D5">
        <w:rPr>
          <w:rFonts w:asciiTheme="majorHAnsi" w:hAnsiTheme="majorHAnsi" w:cs="Arial"/>
        </w:rPr>
        <w:t xml:space="preserve">ihu s </w:t>
      </w:r>
      <w:r w:rsidRPr="000B16D5">
        <w:rPr>
          <w:rFonts w:asciiTheme="majorHAnsi" w:eastAsia="TTBE8o00" w:hAnsiTheme="majorHAnsi" w:cs="TTBE8o00"/>
        </w:rPr>
        <w:t>ř</w:t>
      </w:r>
      <w:r w:rsidRPr="000B16D5">
        <w:rPr>
          <w:rFonts w:asciiTheme="majorHAnsi" w:hAnsiTheme="majorHAnsi" w:cs="Arial"/>
        </w:rPr>
        <w:t>adou izoforem. Izoformy sav</w:t>
      </w:r>
      <w:r w:rsidRPr="000B16D5">
        <w:rPr>
          <w:rFonts w:asciiTheme="majorHAnsi" w:eastAsia="TTBE8o00" w:hAnsiTheme="majorHAnsi" w:cs="TTBE8o00"/>
        </w:rPr>
        <w:t>č</w:t>
      </w:r>
      <w:r w:rsidRPr="000B16D5">
        <w:rPr>
          <w:rFonts w:asciiTheme="majorHAnsi" w:hAnsiTheme="majorHAnsi" w:cs="Arial"/>
        </w:rPr>
        <w:t>ího leptinového receptoru je možno rozd</w:t>
      </w:r>
      <w:r w:rsidRPr="000B16D5">
        <w:rPr>
          <w:rFonts w:asciiTheme="majorHAnsi" w:eastAsia="TTBE8o00" w:hAnsiTheme="majorHAnsi" w:cs="TTBE8o00"/>
        </w:rPr>
        <w:t>ě</w:t>
      </w:r>
      <w:r w:rsidRPr="000B16D5">
        <w:rPr>
          <w:rFonts w:asciiTheme="majorHAnsi" w:hAnsiTheme="majorHAnsi" w:cs="Arial"/>
        </w:rPr>
        <w:t>lit do t</w:t>
      </w:r>
      <w:r w:rsidRPr="000B16D5">
        <w:rPr>
          <w:rFonts w:asciiTheme="majorHAnsi" w:eastAsia="TTBE8o00" w:hAnsiTheme="majorHAnsi" w:cs="TTBE8o00"/>
        </w:rPr>
        <w:t>ř</w:t>
      </w:r>
      <w:r w:rsidR="00D71231" w:rsidRPr="000B16D5">
        <w:rPr>
          <w:rFonts w:asciiTheme="majorHAnsi" w:hAnsiTheme="majorHAnsi" w:cs="Arial"/>
        </w:rPr>
        <w:t>í</w:t>
      </w:r>
      <w:r w:rsidRPr="000B16D5">
        <w:rPr>
          <w:rFonts w:asciiTheme="majorHAnsi" w:hAnsiTheme="majorHAnsi" w:cs="Arial"/>
        </w:rPr>
        <w:t xml:space="preserve"> t</w:t>
      </w:r>
      <w:r w:rsidRPr="000B16D5">
        <w:rPr>
          <w:rFonts w:asciiTheme="majorHAnsi" w:eastAsia="TTBE8o00" w:hAnsiTheme="majorHAnsi" w:cs="TTBE8o00"/>
        </w:rPr>
        <w:t>ř</w:t>
      </w:r>
      <w:r w:rsidRPr="000B16D5">
        <w:rPr>
          <w:rFonts w:asciiTheme="majorHAnsi" w:hAnsiTheme="majorHAnsi" w:cs="Arial"/>
        </w:rPr>
        <w:t>íd: solubilní secernované formy, dlouhé a krátké formy. Solubilní secernované formy jsou bu</w:t>
      </w:r>
      <w:r w:rsidRPr="000B16D5">
        <w:rPr>
          <w:rFonts w:asciiTheme="majorHAnsi" w:eastAsia="TTBE8o00" w:hAnsiTheme="majorHAnsi" w:cs="TTBE8o00"/>
        </w:rPr>
        <w:t>ď</w:t>
      </w:r>
      <w:r w:rsidRPr="000B16D5">
        <w:rPr>
          <w:rFonts w:asciiTheme="majorHAnsi" w:hAnsiTheme="majorHAnsi" w:cs="Arial"/>
        </w:rPr>
        <w:t xml:space="preserve"> produktem alternativního splicingu mRNA</w:t>
      </w:r>
      <w:r w:rsidR="00B056AC" w:rsidRPr="000B16D5">
        <w:rPr>
          <w:rFonts w:asciiTheme="majorHAnsi" w:hAnsiTheme="majorHAnsi" w:cs="Arial"/>
        </w:rPr>
        <w:t>,</w:t>
      </w:r>
      <w:r w:rsidRPr="000B16D5">
        <w:rPr>
          <w:rFonts w:asciiTheme="majorHAnsi" w:hAnsiTheme="majorHAnsi" w:cs="Arial"/>
        </w:rPr>
        <w:t xml:space="preserve"> nebo produktem proteolytického št</w:t>
      </w:r>
      <w:r w:rsidRPr="000B16D5">
        <w:rPr>
          <w:rFonts w:asciiTheme="majorHAnsi" w:eastAsia="TTBE8o00" w:hAnsiTheme="majorHAnsi" w:cs="TTBE8o00"/>
        </w:rPr>
        <w:t>ě</w:t>
      </w:r>
      <w:r w:rsidRPr="000B16D5">
        <w:rPr>
          <w:rFonts w:asciiTheme="majorHAnsi" w:hAnsiTheme="majorHAnsi" w:cs="Arial"/>
        </w:rPr>
        <w:t>pení membránov</w:t>
      </w:r>
      <w:r w:rsidRPr="000B16D5">
        <w:rPr>
          <w:rFonts w:asciiTheme="majorHAnsi" w:eastAsia="TTBE8o00" w:hAnsiTheme="majorHAnsi" w:cs="TTBE8o00"/>
        </w:rPr>
        <w:t xml:space="preserve">ě </w:t>
      </w:r>
      <w:r w:rsidRPr="000B16D5">
        <w:rPr>
          <w:rFonts w:asciiTheme="majorHAnsi" w:hAnsiTheme="majorHAnsi" w:cs="Arial"/>
        </w:rPr>
        <w:t xml:space="preserve">vázaných forem LR. Tyto secernované formy obsahují pouze extracelulární domény, které vážou cirkulující leptin, </w:t>
      </w:r>
      <w:r w:rsidRPr="000B16D5">
        <w:rPr>
          <w:rFonts w:asciiTheme="majorHAnsi" w:eastAsia="TTBE8o00" w:hAnsiTheme="majorHAnsi" w:cs="TTBE8o00"/>
        </w:rPr>
        <w:t>č</w:t>
      </w:r>
      <w:r w:rsidRPr="000B16D5">
        <w:rPr>
          <w:rFonts w:asciiTheme="majorHAnsi" w:hAnsiTheme="majorHAnsi" w:cs="Arial"/>
        </w:rPr>
        <w:t>ímž pravd</w:t>
      </w:r>
      <w:r w:rsidRPr="000B16D5">
        <w:rPr>
          <w:rFonts w:asciiTheme="majorHAnsi" w:eastAsia="TTBE8o00" w:hAnsiTheme="majorHAnsi" w:cs="TTBE8o00"/>
        </w:rPr>
        <w:t>ě</w:t>
      </w:r>
      <w:r w:rsidRPr="000B16D5">
        <w:rPr>
          <w:rFonts w:asciiTheme="majorHAnsi" w:hAnsiTheme="majorHAnsi" w:cs="Arial"/>
        </w:rPr>
        <w:t>podobn</w:t>
      </w:r>
      <w:r w:rsidRPr="000B16D5">
        <w:rPr>
          <w:rFonts w:asciiTheme="majorHAnsi" w:eastAsia="TTBE8o00" w:hAnsiTheme="majorHAnsi" w:cs="TTBE8o00"/>
        </w:rPr>
        <w:t xml:space="preserve">ě </w:t>
      </w:r>
      <w:r w:rsidRPr="000B16D5">
        <w:rPr>
          <w:rFonts w:asciiTheme="majorHAnsi" w:hAnsiTheme="majorHAnsi" w:cs="Arial"/>
        </w:rPr>
        <w:t>regulují jeho volnou koncentraci [63]. Struktura leptinového receptoru je podobná obecné struktu</w:t>
      </w:r>
      <w:r w:rsidRPr="000B16D5">
        <w:rPr>
          <w:rFonts w:asciiTheme="majorHAnsi" w:eastAsia="TTBE8o00" w:hAnsiTheme="majorHAnsi" w:cs="TTBE8o00"/>
        </w:rPr>
        <w:t>ř</w:t>
      </w:r>
      <w:r w:rsidRPr="000B16D5">
        <w:rPr>
          <w:rFonts w:asciiTheme="majorHAnsi" w:hAnsiTheme="majorHAnsi" w:cs="Arial"/>
        </w:rPr>
        <w:t>e cytokinových receptor</w:t>
      </w:r>
      <w:r w:rsidRPr="000B16D5">
        <w:rPr>
          <w:rFonts w:asciiTheme="majorHAnsi" w:eastAsia="TTBE8o00" w:hAnsiTheme="majorHAnsi" w:cs="TTBE8o00"/>
        </w:rPr>
        <w:t>ů</w:t>
      </w:r>
      <w:r w:rsidRPr="000B16D5">
        <w:rPr>
          <w:rFonts w:asciiTheme="majorHAnsi" w:hAnsiTheme="majorHAnsi" w:cs="Arial"/>
        </w:rPr>
        <w:t xml:space="preserve"> I. t</w:t>
      </w:r>
      <w:r w:rsidRPr="000B16D5">
        <w:rPr>
          <w:rFonts w:asciiTheme="majorHAnsi" w:eastAsia="TTBE8o00" w:hAnsiTheme="majorHAnsi" w:cs="TTBE8o00"/>
        </w:rPr>
        <w:t>ř</w:t>
      </w:r>
      <w:r w:rsidRPr="000B16D5">
        <w:rPr>
          <w:rFonts w:asciiTheme="majorHAnsi" w:hAnsiTheme="majorHAnsi" w:cs="Arial"/>
        </w:rPr>
        <w:t>ídy. Leptinové receptory tvo</w:t>
      </w:r>
      <w:r w:rsidRPr="000B16D5">
        <w:rPr>
          <w:rFonts w:asciiTheme="majorHAnsi" w:eastAsia="TTBE8o00" w:hAnsiTheme="majorHAnsi" w:cs="TTBE8o00"/>
        </w:rPr>
        <w:t>ř</w:t>
      </w:r>
      <w:r w:rsidRPr="000B16D5">
        <w:rPr>
          <w:rFonts w:asciiTheme="majorHAnsi" w:hAnsiTheme="majorHAnsi" w:cs="Arial"/>
        </w:rPr>
        <w:t>í homodimery, které jsou schopny aktivovat JAK kinázy, které pak mohou vést k aktivaci transkripce p</w:t>
      </w:r>
      <w:r w:rsidRPr="000B16D5">
        <w:rPr>
          <w:rFonts w:asciiTheme="majorHAnsi" w:eastAsia="TTBE8o00" w:hAnsiTheme="majorHAnsi" w:cs="TTBE8o00"/>
        </w:rPr>
        <w:t>ř</w:t>
      </w:r>
      <w:r w:rsidRPr="000B16D5">
        <w:rPr>
          <w:rFonts w:asciiTheme="majorHAnsi" w:hAnsiTheme="majorHAnsi" w:cs="Arial"/>
        </w:rPr>
        <w:t>íslušných gen</w:t>
      </w:r>
      <w:r w:rsidRPr="000B16D5">
        <w:rPr>
          <w:rFonts w:asciiTheme="majorHAnsi" w:eastAsia="TTBE8o00" w:hAnsiTheme="majorHAnsi" w:cs="TTBE8o00"/>
        </w:rPr>
        <w:t>ů</w:t>
      </w:r>
      <w:r w:rsidRPr="000B16D5">
        <w:rPr>
          <w:rFonts w:asciiTheme="majorHAnsi" w:hAnsiTheme="majorHAnsi" w:cs="Arial"/>
        </w:rPr>
        <w:t>.</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Funkce krátké formy LR je mén</w:t>
      </w:r>
      <w:r w:rsidRPr="000B16D5">
        <w:rPr>
          <w:rFonts w:asciiTheme="majorHAnsi" w:eastAsia="TTBE8o00" w:hAnsiTheme="majorHAnsi" w:cs="TTBE8o00"/>
        </w:rPr>
        <w:t xml:space="preserve">ě </w:t>
      </w:r>
      <w:r w:rsidRPr="000B16D5">
        <w:rPr>
          <w:rFonts w:asciiTheme="majorHAnsi" w:hAnsiTheme="majorHAnsi" w:cs="Arial"/>
        </w:rPr>
        <w:t>jasná, navrhovaný ú</w:t>
      </w:r>
      <w:r w:rsidRPr="000B16D5">
        <w:rPr>
          <w:rFonts w:asciiTheme="majorHAnsi" w:eastAsia="TTBE8o00" w:hAnsiTheme="majorHAnsi" w:cs="TTBE8o00"/>
        </w:rPr>
        <w:t>č</w:t>
      </w:r>
      <w:r w:rsidRPr="000B16D5">
        <w:rPr>
          <w:rFonts w:asciiTheme="majorHAnsi" w:hAnsiTheme="majorHAnsi" w:cs="Arial"/>
        </w:rPr>
        <w:t>inek zahrnuje transport LRb do n</w:t>
      </w:r>
      <w:r w:rsidRPr="000B16D5">
        <w:rPr>
          <w:rFonts w:asciiTheme="majorHAnsi" w:eastAsia="TTBE8o00" w:hAnsiTheme="majorHAnsi" w:cs="TTBE8o00"/>
        </w:rPr>
        <w:t>ě</w:t>
      </w:r>
      <w:r w:rsidRPr="000B16D5">
        <w:rPr>
          <w:rFonts w:asciiTheme="majorHAnsi" w:hAnsiTheme="majorHAnsi" w:cs="Arial"/>
        </w:rPr>
        <w:t>kolika tkání, p</w:t>
      </w:r>
      <w:r w:rsidRPr="000B16D5">
        <w:rPr>
          <w:rFonts w:asciiTheme="majorHAnsi" w:eastAsia="TTBE8o00" w:hAnsiTheme="majorHAnsi" w:cs="TTBE8o00"/>
        </w:rPr>
        <w:t>ř</w:t>
      </w:r>
      <w:r w:rsidRPr="000B16D5">
        <w:rPr>
          <w:rFonts w:asciiTheme="majorHAnsi" w:hAnsiTheme="majorHAnsi" w:cs="Arial"/>
        </w:rPr>
        <w:t>i</w:t>
      </w:r>
      <w:r w:rsidRPr="000B16D5">
        <w:rPr>
          <w:rFonts w:asciiTheme="majorHAnsi" w:eastAsia="TTBE8o00" w:hAnsiTheme="majorHAnsi" w:cs="TTBE8o00"/>
        </w:rPr>
        <w:t>č</w:t>
      </w:r>
      <w:r w:rsidRPr="000B16D5">
        <w:rPr>
          <w:rFonts w:asciiTheme="majorHAnsi" w:hAnsiTheme="majorHAnsi" w:cs="Arial"/>
        </w:rPr>
        <w:t>emž nejvyšších hladin je dosahováno v neuronech jader hypothalamu [64]. LRb stimuluje syntézu POMC a aktivuje/depolarizuje LRb/POMC neurony [64]. A</w:t>
      </w:r>
      <w:r w:rsidRPr="000B16D5">
        <w:rPr>
          <w:rFonts w:asciiTheme="majorHAnsi" w:eastAsia="TTBE8o00" w:hAnsiTheme="majorHAnsi" w:cs="TTBE8o00"/>
        </w:rPr>
        <w:t>č</w:t>
      </w:r>
      <w:r w:rsidRPr="000B16D5">
        <w:rPr>
          <w:rFonts w:asciiTheme="majorHAnsi" w:hAnsiTheme="majorHAnsi" w:cs="Arial"/>
        </w:rPr>
        <w:t>koli ztráta POMC nebo centrálních melanokortinových receptor</w:t>
      </w:r>
      <w:r w:rsidRPr="000B16D5">
        <w:rPr>
          <w:rFonts w:asciiTheme="majorHAnsi" w:eastAsia="TTBE8o00" w:hAnsiTheme="majorHAnsi" w:cs="TTBE8o00"/>
        </w:rPr>
        <w:t xml:space="preserve">ů </w:t>
      </w:r>
      <w:r w:rsidRPr="000B16D5">
        <w:rPr>
          <w:rFonts w:asciiTheme="majorHAnsi" w:hAnsiTheme="majorHAnsi" w:cs="Arial"/>
        </w:rPr>
        <w:t>vede k závažné obezit</w:t>
      </w:r>
      <w:r w:rsidRPr="000B16D5">
        <w:rPr>
          <w:rFonts w:asciiTheme="majorHAnsi" w:eastAsia="TTBE8o00" w:hAnsiTheme="majorHAnsi" w:cs="TTBE8o00"/>
        </w:rPr>
        <w:t>ě [65</w:t>
      </w:r>
      <w:r w:rsidR="00D80BCC" w:rsidRPr="000B16D5">
        <w:rPr>
          <w:rFonts w:asciiTheme="majorHAnsi" w:eastAsia="TTBE8o00" w:hAnsiTheme="majorHAnsi" w:cs="TTBE8o00"/>
        </w:rPr>
        <w:t>–</w:t>
      </w:r>
      <w:r w:rsidRPr="000B16D5">
        <w:rPr>
          <w:rFonts w:asciiTheme="majorHAnsi" w:eastAsia="TTBE8o00" w:hAnsiTheme="majorHAnsi" w:cs="TTBE8o00"/>
        </w:rPr>
        <w:t>66]</w:t>
      </w:r>
      <w:r w:rsidRPr="000B16D5">
        <w:rPr>
          <w:rFonts w:asciiTheme="majorHAnsi" w:hAnsiTheme="majorHAnsi" w:cs="Arial"/>
        </w:rPr>
        <w:t>, delece LRb z POMC neuron</w:t>
      </w:r>
      <w:r w:rsidRPr="000B16D5">
        <w:rPr>
          <w:rFonts w:asciiTheme="majorHAnsi" w:eastAsia="TTBE8o00" w:hAnsiTheme="majorHAnsi" w:cs="TTBE8o00"/>
        </w:rPr>
        <w:t xml:space="preserve">ů </w:t>
      </w:r>
      <w:r w:rsidRPr="000B16D5">
        <w:rPr>
          <w:rFonts w:asciiTheme="majorHAnsi" w:hAnsiTheme="majorHAnsi" w:cs="Arial"/>
        </w:rPr>
        <w:t>má za následek pouze mírný váhový p</w:t>
      </w:r>
      <w:r w:rsidRPr="000B16D5">
        <w:rPr>
          <w:rFonts w:asciiTheme="majorHAnsi" w:eastAsia="TTBE8o00" w:hAnsiTheme="majorHAnsi" w:cs="TTBE8o00"/>
        </w:rPr>
        <w:t>ř</w:t>
      </w:r>
      <w:r w:rsidRPr="000B16D5">
        <w:rPr>
          <w:rFonts w:asciiTheme="majorHAnsi" w:hAnsiTheme="majorHAnsi" w:cs="Arial"/>
        </w:rPr>
        <w:t>ír</w:t>
      </w:r>
      <w:r w:rsidRPr="000B16D5">
        <w:rPr>
          <w:rFonts w:asciiTheme="majorHAnsi" w:eastAsia="TTBE8o00" w:hAnsiTheme="majorHAnsi" w:cs="TTBE8o00"/>
        </w:rPr>
        <w:t>ů</w:t>
      </w:r>
      <w:r w:rsidRPr="000B16D5">
        <w:rPr>
          <w:rFonts w:asciiTheme="majorHAnsi" w:hAnsiTheme="majorHAnsi" w:cs="Arial"/>
        </w:rPr>
        <w:t>stek [67]. Zatímco melanokortiny tak obecn</w:t>
      </w:r>
      <w:r w:rsidRPr="000B16D5">
        <w:rPr>
          <w:rFonts w:asciiTheme="majorHAnsi" w:eastAsia="TTBE8o00" w:hAnsiTheme="majorHAnsi" w:cs="TTBE8o00"/>
        </w:rPr>
        <w:t xml:space="preserve">ě </w:t>
      </w:r>
      <w:r w:rsidRPr="000B16D5">
        <w:rPr>
          <w:rFonts w:asciiTheme="majorHAnsi" w:hAnsiTheme="majorHAnsi" w:cs="Arial"/>
        </w:rPr>
        <w:t>zprost</w:t>
      </w:r>
      <w:r w:rsidRPr="000B16D5">
        <w:rPr>
          <w:rFonts w:asciiTheme="majorHAnsi" w:eastAsia="TTBE8o00" w:hAnsiTheme="majorHAnsi" w:cs="TTBE8o00"/>
        </w:rPr>
        <w:t>ř</w:t>
      </w:r>
      <w:r w:rsidRPr="000B16D5">
        <w:rPr>
          <w:rFonts w:asciiTheme="majorHAnsi" w:hAnsiTheme="majorHAnsi" w:cs="Arial"/>
        </w:rPr>
        <w:t>edkovávají silný anorektický signál, nemusejí být zodpov</w:t>
      </w:r>
      <w:r w:rsidRPr="000B16D5">
        <w:rPr>
          <w:rFonts w:asciiTheme="majorHAnsi" w:eastAsia="TTBE8o00" w:hAnsiTheme="majorHAnsi" w:cs="TTBE8o00"/>
        </w:rPr>
        <w:t>ě</w:t>
      </w:r>
      <w:r w:rsidRPr="000B16D5">
        <w:rPr>
          <w:rFonts w:asciiTheme="majorHAnsi" w:hAnsiTheme="majorHAnsi" w:cs="Arial"/>
        </w:rPr>
        <w:t>dné za v</w:t>
      </w:r>
      <w:r w:rsidRPr="000B16D5">
        <w:rPr>
          <w:rFonts w:asciiTheme="majorHAnsi" w:eastAsia="TTBE8o00" w:hAnsiTheme="majorHAnsi" w:cs="TTBE8o00"/>
        </w:rPr>
        <w:t>ě</w:t>
      </w:r>
      <w:r w:rsidRPr="000B16D5">
        <w:rPr>
          <w:rFonts w:asciiTheme="majorHAnsi" w:hAnsiTheme="majorHAnsi" w:cs="Arial"/>
        </w:rPr>
        <w:t xml:space="preserve">tší </w:t>
      </w:r>
      <w:r w:rsidRPr="000B16D5">
        <w:rPr>
          <w:rFonts w:asciiTheme="majorHAnsi" w:eastAsia="TTBE8o00" w:hAnsiTheme="majorHAnsi" w:cs="TTBE8o00"/>
        </w:rPr>
        <w:t>č</w:t>
      </w:r>
      <w:r w:rsidRPr="000B16D5">
        <w:rPr>
          <w:rFonts w:asciiTheme="majorHAnsi" w:hAnsiTheme="majorHAnsi" w:cs="Arial"/>
        </w:rPr>
        <w:t>ást anorektického p</w:t>
      </w:r>
      <w:r w:rsidRPr="000B16D5">
        <w:rPr>
          <w:rFonts w:asciiTheme="majorHAnsi" w:eastAsia="TTBE8o00" w:hAnsiTheme="majorHAnsi" w:cs="TTBE8o00"/>
        </w:rPr>
        <w:t>ů</w:t>
      </w:r>
      <w:r w:rsidRPr="000B16D5">
        <w:rPr>
          <w:rFonts w:asciiTheme="majorHAnsi" w:hAnsiTheme="majorHAnsi" w:cs="Arial"/>
        </w:rPr>
        <w:t>sobení zprost</w:t>
      </w:r>
      <w:r w:rsidRPr="000B16D5">
        <w:rPr>
          <w:rFonts w:asciiTheme="majorHAnsi" w:eastAsia="TTBE8o00" w:hAnsiTheme="majorHAnsi" w:cs="TTBE8o00"/>
        </w:rPr>
        <w:t>ř</w:t>
      </w:r>
      <w:r w:rsidRPr="000B16D5">
        <w:rPr>
          <w:rFonts w:asciiTheme="majorHAnsi" w:hAnsiTheme="majorHAnsi" w:cs="Arial"/>
        </w:rPr>
        <w:t>edkovaného leptinem, které m</w:t>
      </w:r>
      <w:r w:rsidRPr="000B16D5">
        <w:rPr>
          <w:rFonts w:asciiTheme="majorHAnsi" w:eastAsia="TTBE8o00" w:hAnsiTheme="majorHAnsi" w:cs="TTBE8o00"/>
        </w:rPr>
        <w:t>ů</w:t>
      </w:r>
      <w:r w:rsidRPr="000B16D5">
        <w:rPr>
          <w:rFonts w:asciiTheme="majorHAnsi" w:hAnsiTheme="majorHAnsi" w:cs="Arial"/>
        </w:rPr>
        <w:t>že být zprost</w:t>
      </w:r>
      <w:r w:rsidRPr="000B16D5">
        <w:rPr>
          <w:rFonts w:asciiTheme="majorHAnsi" w:eastAsia="TTBE8o00" w:hAnsiTheme="majorHAnsi" w:cs="TTBE8o00"/>
        </w:rPr>
        <w:t>ř</w:t>
      </w:r>
      <w:r w:rsidRPr="000B16D5">
        <w:rPr>
          <w:rFonts w:asciiTheme="majorHAnsi" w:hAnsiTheme="majorHAnsi" w:cs="Arial"/>
        </w:rPr>
        <w:t>edkováno jinými, možná neznámými subpopulacemi neuron</w:t>
      </w:r>
      <w:r w:rsidRPr="000B16D5">
        <w:rPr>
          <w:rFonts w:asciiTheme="majorHAnsi" w:eastAsia="TTBE8o00" w:hAnsiTheme="majorHAnsi" w:cs="TTBE8o00"/>
        </w:rPr>
        <w:t>ů</w:t>
      </w:r>
      <w:r w:rsidRPr="000B16D5">
        <w:rPr>
          <w:rFonts w:asciiTheme="majorHAnsi" w:hAnsiTheme="majorHAnsi" w:cs="Arial"/>
        </w:rPr>
        <w:t xml:space="preserve"> exprimujících LRb. </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Struktura leptinového receptoru je podobná obecné struktu</w:t>
      </w:r>
      <w:r w:rsidRPr="000B16D5">
        <w:rPr>
          <w:rFonts w:asciiTheme="majorHAnsi" w:eastAsia="TTBE8o00" w:hAnsiTheme="majorHAnsi" w:cs="TTBE8o00"/>
        </w:rPr>
        <w:t>ř</w:t>
      </w:r>
      <w:r w:rsidRPr="000B16D5">
        <w:rPr>
          <w:rFonts w:asciiTheme="majorHAnsi" w:hAnsiTheme="majorHAnsi" w:cs="Arial"/>
        </w:rPr>
        <w:t>e cytokinových receptor</w:t>
      </w:r>
      <w:r w:rsidRPr="000B16D5">
        <w:rPr>
          <w:rFonts w:asciiTheme="majorHAnsi" w:eastAsia="TTBE8o00" w:hAnsiTheme="majorHAnsi" w:cs="TTBE8o00"/>
        </w:rPr>
        <w:t xml:space="preserve">ů </w:t>
      </w:r>
      <w:r w:rsidRPr="000B16D5">
        <w:rPr>
          <w:rFonts w:asciiTheme="majorHAnsi" w:hAnsiTheme="majorHAnsi" w:cs="Arial"/>
        </w:rPr>
        <w:t>I. t</w:t>
      </w:r>
      <w:r w:rsidRPr="000B16D5">
        <w:rPr>
          <w:rFonts w:asciiTheme="majorHAnsi" w:eastAsia="TTBE8o00" w:hAnsiTheme="majorHAnsi" w:cs="TTBE8o00"/>
        </w:rPr>
        <w:t>ř</w:t>
      </w:r>
      <w:r w:rsidRPr="000B16D5">
        <w:rPr>
          <w:rFonts w:asciiTheme="majorHAnsi" w:hAnsiTheme="majorHAnsi" w:cs="Arial"/>
        </w:rPr>
        <w:t>ídy. Leptinové receptory tvo</w:t>
      </w:r>
      <w:r w:rsidRPr="000B16D5">
        <w:rPr>
          <w:rFonts w:asciiTheme="majorHAnsi" w:eastAsia="TTBE8o00" w:hAnsiTheme="majorHAnsi" w:cs="TTBE8o00"/>
        </w:rPr>
        <w:t>ř</w:t>
      </w:r>
      <w:r w:rsidRPr="000B16D5">
        <w:rPr>
          <w:rFonts w:asciiTheme="majorHAnsi" w:hAnsiTheme="majorHAnsi" w:cs="Arial"/>
        </w:rPr>
        <w:t>í homodimery, které jsou schopny aktivovat JAK</w:t>
      </w:r>
      <w:r w:rsidRPr="000B16D5">
        <w:rPr>
          <w:rFonts w:asciiTheme="majorHAnsi" w:eastAsia="TTBE8o00" w:hAnsiTheme="majorHAnsi" w:cs="TTBE8o00"/>
        </w:rPr>
        <w:t xml:space="preserve"> </w:t>
      </w:r>
      <w:r w:rsidRPr="000B16D5">
        <w:rPr>
          <w:rFonts w:asciiTheme="majorHAnsi" w:hAnsiTheme="majorHAnsi" w:cs="Arial"/>
        </w:rPr>
        <w:t>kinázy, které pak mohou vést k aktivaci transkripce p</w:t>
      </w:r>
      <w:r w:rsidRPr="000B16D5">
        <w:rPr>
          <w:rFonts w:asciiTheme="majorHAnsi" w:eastAsia="TTBE8o00" w:hAnsiTheme="majorHAnsi" w:cs="TTBE8o00"/>
        </w:rPr>
        <w:t>ř</w:t>
      </w:r>
      <w:r w:rsidRPr="000B16D5">
        <w:rPr>
          <w:rFonts w:asciiTheme="majorHAnsi" w:hAnsiTheme="majorHAnsi" w:cs="Arial"/>
        </w:rPr>
        <w:t>íslušných gen</w:t>
      </w:r>
      <w:r w:rsidRPr="000B16D5">
        <w:rPr>
          <w:rFonts w:asciiTheme="majorHAnsi" w:eastAsia="TTBE8o00" w:hAnsiTheme="majorHAnsi" w:cs="TTBE8o00"/>
        </w:rPr>
        <w:t>ů</w:t>
      </w:r>
      <w:r w:rsidRPr="000B16D5">
        <w:rPr>
          <w:rFonts w:asciiTheme="majorHAnsi" w:hAnsiTheme="majorHAnsi" w:cs="Arial"/>
        </w:rPr>
        <w:t>.</w:t>
      </w:r>
      <w:r w:rsidRPr="000B16D5">
        <w:rPr>
          <w:rFonts w:asciiTheme="majorHAnsi" w:eastAsia="TTBE8o00" w:hAnsiTheme="majorHAnsi" w:cs="TTBE8o00"/>
        </w:rPr>
        <w:t xml:space="preserve"> </w:t>
      </w:r>
      <w:r w:rsidRPr="000B16D5">
        <w:rPr>
          <w:rFonts w:asciiTheme="majorHAnsi" w:hAnsiTheme="majorHAnsi" w:cs="Arial"/>
        </w:rPr>
        <w:t>Pro p</w:t>
      </w:r>
      <w:r w:rsidRPr="000B16D5">
        <w:rPr>
          <w:rFonts w:asciiTheme="majorHAnsi" w:eastAsia="TTBE8o00" w:hAnsiTheme="majorHAnsi" w:cs="TTBE8o00"/>
        </w:rPr>
        <w:t>ů</w:t>
      </w:r>
      <w:r w:rsidRPr="000B16D5">
        <w:rPr>
          <w:rFonts w:asciiTheme="majorHAnsi" w:hAnsiTheme="majorHAnsi" w:cs="Arial"/>
        </w:rPr>
        <w:t>sobení leptinu je zásadní LRb izoforma. P</w:t>
      </w:r>
      <w:r w:rsidRPr="000B16D5">
        <w:rPr>
          <w:rFonts w:asciiTheme="majorHAnsi" w:eastAsia="TTBE8o00" w:hAnsiTheme="majorHAnsi" w:cs="TTBE8o00"/>
        </w:rPr>
        <w:t>ů</w:t>
      </w:r>
      <w:r w:rsidRPr="000B16D5">
        <w:rPr>
          <w:rFonts w:asciiTheme="majorHAnsi" w:hAnsiTheme="majorHAnsi" w:cs="Arial"/>
        </w:rPr>
        <w:t>vodn</w:t>
      </w:r>
      <w:r w:rsidRPr="000B16D5">
        <w:rPr>
          <w:rFonts w:asciiTheme="majorHAnsi" w:eastAsia="TTBE8o00" w:hAnsiTheme="majorHAnsi" w:cs="TTBE8o00"/>
        </w:rPr>
        <w:t xml:space="preserve">ě </w:t>
      </w:r>
      <w:r w:rsidRPr="000B16D5">
        <w:rPr>
          <w:rFonts w:asciiTheme="majorHAnsi" w:hAnsiTheme="majorHAnsi" w:cs="Arial"/>
        </w:rPr>
        <w:t xml:space="preserve">popsané </w:t>
      </w:r>
      <w:r w:rsidRPr="000B16D5">
        <w:rPr>
          <w:rFonts w:asciiTheme="majorHAnsi" w:hAnsiTheme="majorHAnsi" w:cs="Arial"/>
          <w:i/>
          <w:iCs/>
        </w:rPr>
        <w:t xml:space="preserve">db/db </w:t>
      </w:r>
      <w:r w:rsidRPr="000B16D5">
        <w:rPr>
          <w:rFonts w:asciiTheme="majorHAnsi" w:hAnsiTheme="majorHAnsi" w:cs="Arial"/>
        </w:rPr>
        <w:t>myši</w:t>
      </w:r>
      <w:r w:rsidRPr="000B16D5">
        <w:rPr>
          <w:rFonts w:asciiTheme="majorHAnsi" w:eastAsia="TTBE8o00" w:hAnsiTheme="majorHAnsi" w:cs="TTBE8o00"/>
        </w:rPr>
        <w:t xml:space="preserve"> </w:t>
      </w:r>
      <w:r w:rsidRPr="000B16D5">
        <w:rPr>
          <w:rFonts w:asciiTheme="majorHAnsi" w:hAnsiTheme="majorHAnsi" w:cs="Arial"/>
        </w:rPr>
        <w:t>postrádají LRb (ovšem nikoli jiné formy LR) následkem mutace, která zp</w:t>
      </w:r>
      <w:r w:rsidRPr="000B16D5">
        <w:rPr>
          <w:rFonts w:asciiTheme="majorHAnsi" w:eastAsia="TTBE8o00" w:hAnsiTheme="majorHAnsi" w:cs="TTBE8o00"/>
        </w:rPr>
        <w:t>ů</w:t>
      </w:r>
      <w:r w:rsidRPr="000B16D5">
        <w:rPr>
          <w:rFonts w:asciiTheme="majorHAnsi" w:hAnsiTheme="majorHAnsi" w:cs="Arial"/>
        </w:rPr>
        <w:t>sobuje</w:t>
      </w:r>
      <w:r w:rsidRPr="000B16D5">
        <w:rPr>
          <w:rFonts w:asciiTheme="majorHAnsi" w:eastAsia="TTBE8o00" w:hAnsiTheme="majorHAnsi" w:cs="TTBE8o00"/>
        </w:rPr>
        <w:t xml:space="preserve"> </w:t>
      </w:r>
      <w:r w:rsidRPr="000B16D5">
        <w:rPr>
          <w:rFonts w:asciiTheme="majorHAnsi" w:hAnsiTheme="majorHAnsi" w:cs="Arial"/>
        </w:rPr>
        <w:t>chybný alternativní splicing LRb mRNA; tyto myši mají fenotyp neodlišitelný od</w:t>
      </w:r>
      <w:r w:rsidRPr="000B16D5">
        <w:rPr>
          <w:rFonts w:asciiTheme="majorHAnsi" w:eastAsia="TTBE8o00" w:hAnsiTheme="majorHAnsi" w:cs="TTBE8o00"/>
        </w:rPr>
        <w:t xml:space="preserve"> </w:t>
      </w:r>
      <w:r w:rsidRPr="000B16D5">
        <w:rPr>
          <w:rFonts w:asciiTheme="majorHAnsi" w:hAnsiTheme="majorHAnsi" w:cs="Arial"/>
          <w:i/>
          <w:iCs/>
        </w:rPr>
        <w:t xml:space="preserve">db3J/db3J </w:t>
      </w:r>
      <w:r w:rsidRPr="000B16D5">
        <w:rPr>
          <w:rFonts w:asciiTheme="majorHAnsi" w:hAnsiTheme="majorHAnsi" w:cs="Arial"/>
        </w:rPr>
        <w:t>myší (u kterých chybí všechny izoformy LR) a od zví</w:t>
      </w:r>
      <w:r w:rsidRPr="000B16D5">
        <w:rPr>
          <w:rFonts w:asciiTheme="majorHAnsi" w:eastAsia="TTBE8o00" w:hAnsiTheme="majorHAnsi" w:cs="TTBE8o00"/>
        </w:rPr>
        <w:t>ř</w:t>
      </w:r>
      <w:r w:rsidRPr="000B16D5">
        <w:rPr>
          <w:rFonts w:asciiTheme="majorHAnsi" w:hAnsiTheme="majorHAnsi" w:cs="Arial"/>
        </w:rPr>
        <w:t>at s</w:t>
      </w:r>
      <w:r w:rsidR="00D71231" w:rsidRPr="000B16D5">
        <w:rPr>
          <w:rFonts w:asciiTheme="majorHAnsi" w:hAnsiTheme="majorHAnsi" w:cs="Arial"/>
        </w:rPr>
        <w:t> </w:t>
      </w:r>
      <w:r w:rsidRPr="000B16D5">
        <w:rPr>
          <w:rFonts w:asciiTheme="majorHAnsi" w:hAnsiTheme="majorHAnsi" w:cs="Arial"/>
        </w:rPr>
        <w:t>leptinovým</w:t>
      </w:r>
      <w:r w:rsidR="00D71231" w:rsidRPr="000B16D5">
        <w:rPr>
          <w:rFonts w:asciiTheme="majorHAnsi" w:hAnsiTheme="majorHAnsi" w:cs="Arial"/>
        </w:rPr>
        <w:t xml:space="preserve"> </w:t>
      </w:r>
      <w:r w:rsidRPr="000B16D5">
        <w:rPr>
          <w:rFonts w:asciiTheme="majorHAnsi" w:hAnsiTheme="majorHAnsi" w:cs="Arial"/>
        </w:rPr>
        <w:t xml:space="preserve">deficitem </w:t>
      </w:r>
      <w:r w:rsidRPr="000B16D5">
        <w:rPr>
          <w:rFonts w:asciiTheme="majorHAnsi" w:hAnsiTheme="majorHAnsi" w:cs="Arial"/>
          <w:i/>
          <w:iCs/>
        </w:rPr>
        <w:t xml:space="preserve">ob/ob </w:t>
      </w:r>
      <w:r w:rsidRPr="000B16D5">
        <w:rPr>
          <w:rFonts w:asciiTheme="majorHAnsi" w:hAnsiTheme="majorHAnsi" w:cs="Arial"/>
        </w:rPr>
        <w:t>[63]</w:t>
      </w:r>
      <w:r w:rsidR="004E3897" w:rsidRPr="000B16D5">
        <w:rPr>
          <w:rFonts w:asciiTheme="majorHAnsi" w:hAnsiTheme="majorHAnsi" w:cs="Arial"/>
        </w:rPr>
        <w:t>.</w:t>
      </w:r>
    </w:p>
    <w:p w:rsidR="00520D6A" w:rsidRPr="000B16D5" w:rsidRDefault="00520D6A" w:rsidP="008316BA">
      <w:pPr>
        <w:autoSpaceDE w:val="0"/>
        <w:autoSpaceDN w:val="0"/>
        <w:adjustRightInd w:val="0"/>
        <w:spacing w:after="0"/>
        <w:jc w:val="both"/>
        <w:rPr>
          <w:rFonts w:asciiTheme="majorHAnsi" w:hAnsiTheme="majorHAnsi" w:cs="Arial"/>
        </w:rPr>
      </w:pPr>
    </w:p>
    <w:p w:rsidR="00520D6A" w:rsidRPr="000B16D5" w:rsidRDefault="00520D6A" w:rsidP="009F53ED">
      <w:pPr>
        <w:pStyle w:val="Podpodnadpis"/>
        <w:rPr>
          <w:rFonts w:asciiTheme="majorHAnsi" w:hAnsiTheme="majorHAnsi"/>
        </w:rPr>
      </w:pPr>
      <w:r w:rsidRPr="000B16D5">
        <w:rPr>
          <w:rFonts w:asciiTheme="majorHAnsi" w:hAnsiTheme="majorHAnsi"/>
        </w:rPr>
        <w:t>Adiponektin (ADIPOQ)</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 xml:space="preserve">Gen kódující adiponektin leží v oblasti 3q27 a sestává ze tří exonů a dvou intronů [68]. Obecně má adiponektin vysloveně kardioprotektivní účinky, považuje se za přirozeného antagonistu leptinu. Adiponektin podporuje také oxidaci mastných kyselin a omezuje syntézu glukózy v játrech, takže hraje významnou roli i při vzniku diabetu. </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Vzhledem k homologii adiponektinu a C1q faktoru komplementu byl adiponektin nejd</w:t>
      </w:r>
      <w:r w:rsidRPr="000B16D5">
        <w:rPr>
          <w:rFonts w:asciiTheme="majorHAnsi" w:eastAsia="TTBE8o00" w:hAnsiTheme="majorHAnsi" w:cs="TTBE8o00"/>
        </w:rPr>
        <w:t>ř</w:t>
      </w:r>
      <w:r w:rsidRPr="000B16D5">
        <w:rPr>
          <w:rFonts w:asciiTheme="majorHAnsi" w:hAnsiTheme="majorHAnsi" w:cs="Arial"/>
        </w:rPr>
        <w:t>íve ozna</w:t>
      </w:r>
      <w:r w:rsidRPr="000B16D5">
        <w:rPr>
          <w:rFonts w:asciiTheme="majorHAnsi" w:eastAsia="TTBE8o00" w:hAnsiTheme="majorHAnsi" w:cs="TTBE8o00"/>
        </w:rPr>
        <w:t>č</w:t>
      </w:r>
      <w:r w:rsidRPr="000B16D5">
        <w:rPr>
          <w:rFonts w:asciiTheme="majorHAnsi" w:hAnsiTheme="majorHAnsi" w:cs="Arial"/>
        </w:rPr>
        <w:t xml:space="preserve">ován jako </w:t>
      </w:r>
      <w:r w:rsidR="00D71231" w:rsidRPr="000B16D5">
        <w:rPr>
          <w:rFonts w:asciiTheme="majorHAnsi" w:hAnsiTheme="majorHAnsi" w:cs="Arial"/>
        </w:rPr>
        <w:t>„</w:t>
      </w:r>
      <w:r w:rsidRPr="000B16D5">
        <w:rPr>
          <w:rFonts w:asciiTheme="majorHAnsi" w:hAnsiTheme="majorHAnsi" w:cs="Arial"/>
        </w:rPr>
        <w:t>adipocyte complement-related protein of 30kDa” (ACRP30). Poprvé byl adiponektin popsán jako protein secernovaný myšími 3T3-L1 adipocyty, který vykazuje vysoké hladiny v myším séru [68</w:t>
      </w:r>
      <w:r w:rsidR="00D71231" w:rsidRPr="000B16D5">
        <w:rPr>
          <w:rFonts w:asciiTheme="majorHAnsi" w:hAnsiTheme="majorHAnsi" w:cs="Arial"/>
        </w:rPr>
        <w:t>–</w:t>
      </w:r>
      <w:r w:rsidRPr="000B16D5">
        <w:rPr>
          <w:rFonts w:asciiTheme="majorHAnsi" w:hAnsiTheme="majorHAnsi" w:cs="Arial"/>
        </w:rPr>
        <w:t>69]. Krátce nato byl naklonován tentýž protein, ale ozna</w:t>
      </w:r>
      <w:r w:rsidRPr="000B16D5">
        <w:rPr>
          <w:rFonts w:asciiTheme="majorHAnsi" w:eastAsia="TTBE8o00" w:hAnsiTheme="majorHAnsi" w:cs="TTBE8o00"/>
        </w:rPr>
        <w:t>č</w:t>
      </w:r>
      <w:r w:rsidRPr="000B16D5">
        <w:rPr>
          <w:rFonts w:asciiTheme="majorHAnsi" w:hAnsiTheme="majorHAnsi" w:cs="Arial"/>
        </w:rPr>
        <w:t>en byl jako AdipoQ [69]. Tato studie také poprvé odhalila, že exprese adiponektinu je nižší u obézních subjekt</w:t>
      </w:r>
      <w:r w:rsidRPr="000B16D5">
        <w:rPr>
          <w:rFonts w:asciiTheme="majorHAnsi" w:eastAsia="TTBE8o00" w:hAnsiTheme="majorHAnsi" w:cs="TTBE8o00"/>
        </w:rPr>
        <w:t>ů</w:t>
      </w:r>
      <w:r w:rsidRPr="000B16D5">
        <w:rPr>
          <w:rFonts w:asciiTheme="majorHAnsi" w:hAnsiTheme="majorHAnsi" w:cs="Arial"/>
        </w:rPr>
        <w:t>. Lidský gen pro adiponektin byl naklonován systematickým sekvenováním knihoven tukové tkán</w:t>
      </w:r>
      <w:r w:rsidRPr="000B16D5">
        <w:rPr>
          <w:rFonts w:asciiTheme="majorHAnsi" w:eastAsia="TTBE8o00" w:hAnsiTheme="majorHAnsi" w:cs="TTBE8o00"/>
        </w:rPr>
        <w:t>ě</w:t>
      </w:r>
      <w:r w:rsidRPr="000B16D5">
        <w:rPr>
          <w:rFonts w:asciiTheme="majorHAnsi" w:hAnsiTheme="majorHAnsi" w:cs="Arial"/>
        </w:rPr>
        <w:t>, kde se vyskytoval s úpln</w:t>
      </w:r>
      <w:r w:rsidRPr="000B16D5">
        <w:rPr>
          <w:rFonts w:asciiTheme="majorHAnsi" w:eastAsia="TTBE8o00" w:hAnsiTheme="majorHAnsi" w:cs="TTBE8o00"/>
        </w:rPr>
        <w:t xml:space="preserve">ě </w:t>
      </w:r>
      <w:r w:rsidRPr="000B16D5">
        <w:rPr>
          <w:rFonts w:asciiTheme="majorHAnsi" w:hAnsiTheme="majorHAnsi" w:cs="Arial"/>
        </w:rPr>
        <w:t>nejvyšší frekvencí, což vedlo k jeho simultánnímu ozna</w:t>
      </w:r>
      <w:r w:rsidRPr="000B16D5">
        <w:rPr>
          <w:rFonts w:asciiTheme="majorHAnsi" w:eastAsia="TTBE8o00" w:hAnsiTheme="majorHAnsi" w:cs="TTBE8o00"/>
        </w:rPr>
        <w:t>č</w:t>
      </w:r>
      <w:r w:rsidRPr="000B16D5">
        <w:rPr>
          <w:rFonts w:asciiTheme="majorHAnsi" w:hAnsiTheme="majorHAnsi" w:cs="Arial"/>
        </w:rPr>
        <w:t xml:space="preserve">ení jako </w:t>
      </w:r>
      <w:r w:rsidR="00D71231" w:rsidRPr="000B16D5">
        <w:rPr>
          <w:rFonts w:asciiTheme="majorHAnsi" w:hAnsiTheme="majorHAnsi" w:cs="Arial"/>
        </w:rPr>
        <w:t>„</w:t>
      </w:r>
      <w:r w:rsidRPr="000B16D5">
        <w:rPr>
          <w:rFonts w:asciiTheme="majorHAnsi" w:hAnsiTheme="majorHAnsi" w:cs="Arial"/>
        </w:rPr>
        <w:t xml:space="preserve">adipose most abundant gene transcript 1“ (apM1). Nakonec byl tento protein </w:t>
      </w:r>
      <w:r w:rsidRPr="000B16D5">
        <w:rPr>
          <w:rFonts w:asciiTheme="majorHAnsi" w:hAnsiTheme="majorHAnsi" w:cs="Arial"/>
        </w:rPr>
        <w:lastRenderedPageBreak/>
        <w:t>izolován z lidské plazmy pod názvem „gelatin binding protein of 28kDa“ (GBP28). Na rozdíl od leptinu, který záhy po svém objevení v roce 1994 vzbudil zna</w:t>
      </w:r>
      <w:r w:rsidRPr="000B16D5">
        <w:rPr>
          <w:rFonts w:asciiTheme="majorHAnsi" w:eastAsia="TTBE8o00" w:hAnsiTheme="majorHAnsi" w:cs="TTBE8o00"/>
        </w:rPr>
        <w:t>č</w:t>
      </w:r>
      <w:r w:rsidRPr="000B16D5">
        <w:rPr>
          <w:rFonts w:asciiTheme="majorHAnsi" w:hAnsiTheme="majorHAnsi" w:cs="Arial"/>
        </w:rPr>
        <w:t>nou pozornost, se výzkumný zájem o adiponektin dostává do pop</w:t>
      </w:r>
      <w:r w:rsidRPr="000B16D5">
        <w:rPr>
          <w:rFonts w:asciiTheme="majorHAnsi" w:eastAsia="TTBE8o00" w:hAnsiTheme="majorHAnsi" w:cs="TTBE8o00"/>
        </w:rPr>
        <w:t>ř</w:t>
      </w:r>
      <w:r w:rsidRPr="000B16D5">
        <w:rPr>
          <w:rFonts w:asciiTheme="majorHAnsi" w:hAnsiTheme="majorHAnsi" w:cs="Arial"/>
        </w:rPr>
        <w:t>edí až v letech 1999</w:t>
      </w:r>
      <w:r w:rsidR="00044E6E" w:rsidRPr="000B16D5">
        <w:rPr>
          <w:rFonts w:asciiTheme="majorHAnsi" w:hAnsiTheme="majorHAnsi" w:cs="Arial"/>
        </w:rPr>
        <w:t>–</w:t>
      </w:r>
      <w:r w:rsidRPr="000B16D5">
        <w:rPr>
          <w:rFonts w:asciiTheme="majorHAnsi" w:hAnsiTheme="majorHAnsi" w:cs="Arial"/>
        </w:rPr>
        <w:t xml:space="preserve">2000, kdy byla publikována </w:t>
      </w:r>
      <w:r w:rsidRPr="000B16D5">
        <w:rPr>
          <w:rFonts w:asciiTheme="majorHAnsi" w:eastAsia="TTBE8o00" w:hAnsiTheme="majorHAnsi" w:cs="TTBE8o00"/>
        </w:rPr>
        <w:t>ř</w:t>
      </w:r>
      <w:r w:rsidRPr="000B16D5">
        <w:rPr>
          <w:rFonts w:asciiTheme="majorHAnsi" w:hAnsiTheme="majorHAnsi" w:cs="Arial"/>
        </w:rPr>
        <w:t>ada prací spojujících adiponektin s rozvojem onemocn</w:t>
      </w:r>
      <w:r w:rsidRPr="000B16D5">
        <w:rPr>
          <w:rFonts w:asciiTheme="majorHAnsi" w:eastAsia="TTBE8o00" w:hAnsiTheme="majorHAnsi" w:cs="TTBE8o00"/>
        </w:rPr>
        <w:t>ě</w:t>
      </w:r>
      <w:r w:rsidRPr="000B16D5">
        <w:rPr>
          <w:rFonts w:asciiTheme="majorHAnsi" w:hAnsiTheme="majorHAnsi" w:cs="Arial"/>
        </w:rPr>
        <w:t>ní koronárních tepen a diabetem 2. typu.</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Blokování genu pro adiponektin nemá u knock-out myší krmených normální stravou dramatické ú</w:t>
      </w:r>
      <w:r w:rsidRPr="000B16D5">
        <w:rPr>
          <w:rFonts w:asciiTheme="majorHAnsi" w:eastAsia="TTBE8o00" w:hAnsiTheme="majorHAnsi" w:cs="TTBE8o00"/>
        </w:rPr>
        <w:t>č</w:t>
      </w:r>
      <w:r w:rsidRPr="000B16D5">
        <w:rPr>
          <w:rFonts w:asciiTheme="majorHAnsi" w:hAnsiTheme="majorHAnsi" w:cs="Arial"/>
        </w:rPr>
        <w:t>inky, ale pokud myši dostávají stravu s vysokým obsahem tuku/sacharid</w:t>
      </w:r>
      <w:r w:rsidRPr="000B16D5">
        <w:rPr>
          <w:rFonts w:asciiTheme="majorHAnsi" w:eastAsia="TTBE8o00" w:hAnsiTheme="majorHAnsi" w:cs="TTBE8o00"/>
        </w:rPr>
        <w:t>ů</w:t>
      </w:r>
      <w:r w:rsidRPr="000B16D5">
        <w:rPr>
          <w:rFonts w:asciiTheme="majorHAnsi" w:hAnsiTheme="majorHAnsi" w:cs="Arial"/>
        </w:rPr>
        <w:t>, rozvíjí se u nich t</w:t>
      </w:r>
      <w:r w:rsidRPr="000B16D5">
        <w:rPr>
          <w:rFonts w:asciiTheme="majorHAnsi" w:eastAsia="TTBE8o00" w:hAnsiTheme="majorHAnsi" w:cs="TTBE8o00"/>
        </w:rPr>
        <w:t>ě</w:t>
      </w:r>
      <w:r w:rsidRPr="000B16D5">
        <w:rPr>
          <w:rFonts w:asciiTheme="majorHAnsi" w:hAnsiTheme="majorHAnsi" w:cs="Arial"/>
        </w:rPr>
        <w:t xml:space="preserve">žká </w:t>
      </w:r>
      <w:r w:rsidR="003D7B3D" w:rsidRPr="000B16D5">
        <w:rPr>
          <w:rFonts w:asciiTheme="majorHAnsi" w:hAnsiTheme="majorHAnsi" w:cs="Arial"/>
        </w:rPr>
        <w:t xml:space="preserve">inzulínová </w:t>
      </w:r>
      <w:r w:rsidRPr="000B16D5">
        <w:rPr>
          <w:rFonts w:asciiTheme="majorHAnsi" w:hAnsiTheme="majorHAnsi" w:cs="Arial"/>
        </w:rPr>
        <w:t>rezistence a objevuje se ukládání lipid</w:t>
      </w:r>
      <w:r w:rsidRPr="000B16D5">
        <w:rPr>
          <w:rFonts w:asciiTheme="majorHAnsi" w:eastAsia="TTBE8o00" w:hAnsiTheme="majorHAnsi" w:cs="TTBE8o00"/>
        </w:rPr>
        <w:t xml:space="preserve">ů </w:t>
      </w:r>
      <w:r w:rsidRPr="000B16D5">
        <w:rPr>
          <w:rFonts w:asciiTheme="majorHAnsi" w:hAnsiTheme="majorHAnsi" w:cs="Arial"/>
        </w:rPr>
        <w:t>do svalové tkán</w:t>
      </w:r>
      <w:r w:rsidRPr="000B16D5">
        <w:rPr>
          <w:rFonts w:asciiTheme="majorHAnsi" w:eastAsia="TTBE8o00" w:hAnsiTheme="majorHAnsi" w:cs="TTBE8o00"/>
        </w:rPr>
        <w:t xml:space="preserve">ě </w:t>
      </w:r>
      <w:r w:rsidRPr="000B16D5">
        <w:rPr>
          <w:rFonts w:asciiTheme="majorHAnsi" w:hAnsiTheme="majorHAnsi" w:cs="Arial"/>
        </w:rPr>
        <w:t>[100]. Cirkulující hladiny adiponektinu mají tendenci klesat u morbidn</w:t>
      </w:r>
      <w:r w:rsidRPr="000B16D5">
        <w:rPr>
          <w:rFonts w:asciiTheme="majorHAnsi" w:eastAsia="TTBE8o00" w:hAnsiTheme="majorHAnsi" w:cs="TTBE8o00"/>
        </w:rPr>
        <w:t xml:space="preserve">ě </w:t>
      </w:r>
      <w:r w:rsidRPr="000B16D5">
        <w:rPr>
          <w:rFonts w:asciiTheme="majorHAnsi" w:hAnsiTheme="majorHAnsi" w:cs="Arial"/>
        </w:rPr>
        <w:t>obézních pacient</w:t>
      </w:r>
      <w:r w:rsidRPr="000B16D5">
        <w:rPr>
          <w:rFonts w:asciiTheme="majorHAnsi" w:eastAsia="TTBE8o00" w:hAnsiTheme="majorHAnsi" w:cs="TTBE8o00"/>
        </w:rPr>
        <w:t xml:space="preserve">ů </w:t>
      </w:r>
      <w:r w:rsidRPr="000B16D5">
        <w:rPr>
          <w:rFonts w:asciiTheme="majorHAnsi" w:hAnsiTheme="majorHAnsi" w:cs="Arial"/>
        </w:rPr>
        <w:t>a zvyšují se s váhovým úbytkem a s použitím thiazolidindion</w:t>
      </w:r>
      <w:r w:rsidRPr="000B16D5">
        <w:rPr>
          <w:rFonts w:asciiTheme="majorHAnsi" w:eastAsia="TTBE8o00" w:hAnsiTheme="majorHAnsi" w:cs="TTBE8o00"/>
        </w:rPr>
        <w:t>ů</w:t>
      </w:r>
      <w:r w:rsidRPr="000B16D5">
        <w:rPr>
          <w:rFonts w:asciiTheme="majorHAnsi" w:hAnsiTheme="majorHAnsi" w:cs="Arial"/>
        </w:rPr>
        <w:t xml:space="preserve">, které zvyšují </w:t>
      </w:r>
      <w:r w:rsidR="003D7B3D" w:rsidRPr="000B16D5">
        <w:rPr>
          <w:rFonts w:asciiTheme="majorHAnsi" w:hAnsiTheme="majorHAnsi" w:cs="Arial"/>
        </w:rPr>
        <w:t xml:space="preserve">inzulínovou </w:t>
      </w:r>
      <w:r w:rsidRPr="000B16D5">
        <w:rPr>
          <w:rFonts w:asciiTheme="majorHAnsi" w:hAnsiTheme="majorHAnsi" w:cs="Arial"/>
        </w:rPr>
        <w:t>senzitivitu [68</w:t>
      </w:r>
      <w:r w:rsidR="004616E5" w:rsidRPr="000B16D5">
        <w:rPr>
          <w:rFonts w:asciiTheme="majorHAnsi" w:hAnsiTheme="majorHAnsi" w:cs="Arial"/>
        </w:rPr>
        <w:t>–</w:t>
      </w:r>
      <w:r w:rsidRPr="000B16D5">
        <w:rPr>
          <w:rFonts w:asciiTheme="majorHAnsi" w:hAnsiTheme="majorHAnsi" w:cs="Arial"/>
        </w:rPr>
        <w:t>69].</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 xml:space="preserve"> </w:t>
      </w:r>
    </w:p>
    <w:p w:rsidR="00520D6A" w:rsidRPr="000B16D5" w:rsidRDefault="00520D6A" w:rsidP="009F53ED">
      <w:pPr>
        <w:pStyle w:val="Podpodnadpis"/>
        <w:rPr>
          <w:rFonts w:asciiTheme="majorHAnsi" w:hAnsiTheme="majorHAnsi"/>
        </w:rPr>
      </w:pPr>
      <w:r w:rsidRPr="000B16D5">
        <w:rPr>
          <w:rFonts w:asciiTheme="majorHAnsi" w:hAnsiTheme="majorHAnsi"/>
        </w:rPr>
        <w:t>Ghrelin</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 xml:space="preserve">Ghrelin je peptid o celkové délce 28 aminokyselinových zbytků, který byl objeven v žaludku potkana a </w:t>
      </w:r>
      <w:r w:rsidRPr="000B16D5">
        <w:rPr>
          <w:rFonts w:asciiTheme="majorHAnsi" w:eastAsia="TTBE8o00" w:hAnsiTheme="majorHAnsi" w:cs="TTBE8o00"/>
        </w:rPr>
        <w:t>č</w:t>
      </w:r>
      <w:r w:rsidRPr="000B16D5">
        <w:rPr>
          <w:rFonts w:asciiTheme="majorHAnsi" w:hAnsiTheme="majorHAnsi" w:cs="Arial"/>
        </w:rPr>
        <w:t>lov</w:t>
      </w:r>
      <w:r w:rsidRPr="000B16D5">
        <w:rPr>
          <w:rFonts w:asciiTheme="majorHAnsi" w:eastAsia="TTBE8o00" w:hAnsiTheme="majorHAnsi" w:cs="TTBE8o00"/>
        </w:rPr>
        <w:t>ě</w:t>
      </w:r>
      <w:r w:rsidRPr="000B16D5">
        <w:rPr>
          <w:rFonts w:asciiTheme="majorHAnsi" w:hAnsiTheme="majorHAnsi" w:cs="Arial"/>
        </w:rPr>
        <w:t>ka [70], p</w:t>
      </w:r>
      <w:r w:rsidRPr="000B16D5">
        <w:rPr>
          <w:rFonts w:asciiTheme="majorHAnsi" w:eastAsia="TTBE8o00" w:hAnsiTheme="majorHAnsi" w:cs="TTBE8o00"/>
        </w:rPr>
        <w:t>ř</w:t>
      </w:r>
      <w:r w:rsidRPr="000B16D5">
        <w:rPr>
          <w:rFonts w:asciiTheme="majorHAnsi" w:hAnsiTheme="majorHAnsi" w:cs="Arial"/>
        </w:rPr>
        <w:t>i</w:t>
      </w:r>
      <w:r w:rsidRPr="000B16D5">
        <w:rPr>
          <w:rFonts w:asciiTheme="majorHAnsi" w:eastAsia="TTBE8o00" w:hAnsiTheme="majorHAnsi" w:cs="TTBE8o00"/>
        </w:rPr>
        <w:t>č</w:t>
      </w:r>
      <w:r w:rsidRPr="000B16D5">
        <w:rPr>
          <w:rFonts w:asciiTheme="majorHAnsi" w:hAnsiTheme="majorHAnsi" w:cs="Arial"/>
        </w:rPr>
        <w:t>emž gen pro tento peptid leží v oblasti 3p26-p25 a skládá se podle nejnov</w:t>
      </w:r>
      <w:r w:rsidRPr="000B16D5">
        <w:rPr>
          <w:rFonts w:asciiTheme="majorHAnsi" w:eastAsia="TTBE8o00" w:hAnsiTheme="majorHAnsi" w:cs="TTBE8o00"/>
        </w:rPr>
        <w:t>ě</w:t>
      </w:r>
      <w:r w:rsidRPr="000B16D5">
        <w:rPr>
          <w:rFonts w:asciiTheme="majorHAnsi" w:hAnsiTheme="majorHAnsi" w:cs="Arial"/>
        </w:rPr>
        <w:t>jších poznatk</w:t>
      </w:r>
      <w:r w:rsidRPr="000B16D5">
        <w:rPr>
          <w:rFonts w:asciiTheme="majorHAnsi" w:eastAsia="TTBE8o00" w:hAnsiTheme="majorHAnsi" w:cs="TTBE8o00"/>
        </w:rPr>
        <w:t xml:space="preserve">ů </w:t>
      </w:r>
      <w:r w:rsidRPr="000B16D5">
        <w:rPr>
          <w:rFonts w:asciiTheme="majorHAnsi" w:hAnsiTheme="majorHAnsi" w:cs="Arial"/>
        </w:rPr>
        <w:t>ze 6 exon</w:t>
      </w:r>
      <w:r w:rsidRPr="000B16D5">
        <w:rPr>
          <w:rFonts w:asciiTheme="majorHAnsi" w:eastAsia="TTBE8o00" w:hAnsiTheme="majorHAnsi" w:cs="TTBE8o00"/>
        </w:rPr>
        <w:t xml:space="preserve">ů </w:t>
      </w:r>
      <w:r w:rsidRPr="000B16D5">
        <w:rPr>
          <w:rFonts w:asciiTheme="majorHAnsi" w:hAnsiTheme="majorHAnsi" w:cs="Arial"/>
        </w:rPr>
        <w:t>a 5 intron</w:t>
      </w:r>
      <w:r w:rsidRPr="000B16D5">
        <w:rPr>
          <w:rFonts w:asciiTheme="majorHAnsi" w:eastAsia="TTBE8o00" w:hAnsiTheme="majorHAnsi" w:cs="TTBE8o00"/>
        </w:rPr>
        <w:t>ů [71]</w:t>
      </w:r>
      <w:r w:rsidRPr="000B16D5">
        <w:rPr>
          <w:rFonts w:asciiTheme="majorHAnsi" w:hAnsiTheme="majorHAnsi" w:cs="Arial"/>
        </w:rPr>
        <w:t>.</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GHRL gen kóduje preproprotein ghrelin-obestatin, ze kterého vznikají dva peptidy, ghrelin a obestatin. Ghrelin je endogenním ligandem receptoru pro sekretagog r</w:t>
      </w:r>
      <w:r w:rsidRPr="000B16D5">
        <w:rPr>
          <w:rFonts w:asciiTheme="majorHAnsi" w:eastAsia="TTBE8o00" w:hAnsiTheme="majorHAnsi" w:cs="TTBE8o00"/>
        </w:rPr>
        <w:t>ů</w:t>
      </w:r>
      <w:r w:rsidRPr="000B16D5">
        <w:rPr>
          <w:rFonts w:asciiTheme="majorHAnsi" w:hAnsiTheme="majorHAnsi" w:cs="Arial"/>
        </w:rPr>
        <w:t>stového hormonu a ú</w:t>
      </w:r>
      <w:r w:rsidRPr="000B16D5">
        <w:rPr>
          <w:rFonts w:asciiTheme="majorHAnsi" w:eastAsia="TTBE8o00" w:hAnsiTheme="majorHAnsi" w:cs="TTBE8o00"/>
        </w:rPr>
        <w:t>č</w:t>
      </w:r>
      <w:r w:rsidRPr="000B16D5">
        <w:rPr>
          <w:rFonts w:asciiTheme="majorHAnsi" w:hAnsiTheme="majorHAnsi" w:cs="Arial"/>
        </w:rPr>
        <w:t>astní se regulace uvol</w:t>
      </w:r>
      <w:r w:rsidRPr="000B16D5">
        <w:rPr>
          <w:rFonts w:asciiTheme="majorHAnsi" w:eastAsia="TTBE8o00" w:hAnsiTheme="majorHAnsi" w:cs="TTBE8o00"/>
        </w:rPr>
        <w:t>ň</w:t>
      </w:r>
      <w:r w:rsidRPr="000B16D5">
        <w:rPr>
          <w:rFonts w:asciiTheme="majorHAnsi" w:hAnsiTheme="majorHAnsi" w:cs="Arial"/>
        </w:rPr>
        <w:t>ování r</w:t>
      </w:r>
      <w:r w:rsidRPr="000B16D5">
        <w:rPr>
          <w:rFonts w:asciiTheme="majorHAnsi" w:eastAsia="TTBE8o00" w:hAnsiTheme="majorHAnsi" w:cs="TTBE8o00"/>
        </w:rPr>
        <w:t>ů</w:t>
      </w:r>
      <w:r w:rsidRPr="000B16D5">
        <w:rPr>
          <w:rFonts w:asciiTheme="majorHAnsi" w:hAnsiTheme="majorHAnsi" w:cs="Arial"/>
        </w:rPr>
        <w:t>stového hormonu. Obestatin byl p</w:t>
      </w:r>
      <w:r w:rsidRPr="000B16D5">
        <w:rPr>
          <w:rFonts w:asciiTheme="majorHAnsi" w:eastAsia="TTBE8o00" w:hAnsiTheme="majorHAnsi" w:cs="TTBE8o00"/>
        </w:rPr>
        <w:t>ů</w:t>
      </w:r>
      <w:r w:rsidRPr="000B16D5">
        <w:rPr>
          <w:rFonts w:asciiTheme="majorHAnsi" w:hAnsiTheme="majorHAnsi" w:cs="Arial"/>
        </w:rPr>
        <w:t>vodn</w:t>
      </w:r>
      <w:r w:rsidRPr="000B16D5">
        <w:rPr>
          <w:rFonts w:asciiTheme="majorHAnsi" w:eastAsia="TTBE8o00" w:hAnsiTheme="majorHAnsi" w:cs="TTBE8o00"/>
        </w:rPr>
        <w:t xml:space="preserve">ě </w:t>
      </w:r>
      <w:r w:rsidRPr="000B16D5">
        <w:rPr>
          <w:rFonts w:asciiTheme="majorHAnsi" w:hAnsiTheme="majorHAnsi" w:cs="Arial"/>
        </w:rPr>
        <w:t>považován za endogenní ligand receptoru GPR39 ú</w:t>
      </w:r>
      <w:r w:rsidRPr="000B16D5">
        <w:rPr>
          <w:rFonts w:asciiTheme="majorHAnsi" w:eastAsia="TTBE8o00" w:hAnsiTheme="majorHAnsi" w:cs="TTBE8o00"/>
        </w:rPr>
        <w:t>č</w:t>
      </w:r>
      <w:r w:rsidRPr="000B16D5">
        <w:rPr>
          <w:rFonts w:asciiTheme="majorHAnsi" w:hAnsiTheme="majorHAnsi" w:cs="Arial"/>
        </w:rPr>
        <w:t>astnící se regulace sytosti a potlačování p</w:t>
      </w:r>
      <w:r w:rsidRPr="000B16D5">
        <w:rPr>
          <w:rFonts w:asciiTheme="majorHAnsi" w:eastAsia="TTBE8o00" w:hAnsiTheme="majorHAnsi" w:cs="TTBE8o00"/>
        </w:rPr>
        <w:t>ř</w:t>
      </w:r>
      <w:r w:rsidRPr="000B16D5">
        <w:rPr>
          <w:rFonts w:asciiTheme="majorHAnsi" w:hAnsiTheme="majorHAnsi" w:cs="Arial"/>
        </w:rPr>
        <w:t>íjmu potravy, nicmén</w:t>
      </w:r>
      <w:r w:rsidRPr="000B16D5">
        <w:rPr>
          <w:rFonts w:asciiTheme="majorHAnsi" w:eastAsia="TTBE8o00" w:hAnsiTheme="majorHAnsi" w:cs="TTBE8o00"/>
        </w:rPr>
        <w:t xml:space="preserve">ě </w:t>
      </w:r>
      <w:r w:rsidRPr="000B16D5">
        <w:rPr>
          <w:rFonts w:asciiTheme="majorHAnsi" w:hAnsiTheme="majorHAnsi" w:cs="Arial"/>
        </w:rPr>
        <w:t>dosud publikované výsledky jsou protich</w:t>
      </w:r>
      <w:r w:rsidRPr="000B16D5">
        <w:rPr>
          <w:rFonts w:asciiTheme="majorHAnsi" w:eastAsia="TTBE8o00" w:hAnsiTheme="majorHAnsi" w:cs="TTBE8o00"/>
        </w:rPr>
        <w:t>ů</w:t>
      </w:r>
      <w:r w:rsidRPr="000B16D5">
        <w:rPr>
          <w:rFonts w:asciiTheme="majorHAnsi" w:hAnsiTheme="majorHAnsi" w:cs="Arial"/>
        </w:rPr>
        <w:t>dné. Nejnov</w:t>
      </w:r>
      <w:r w:rsidRPr="000B16D5">
        <w:rPr>
          <w:rFonts w:asciiTheme="majorHAnsi" w:eastAsia="TTBE8o00" w:hAnsiTheme="majorHAnsi" w:cs="TTBE8o00"/>
        </w:rPr>
        <w:t>ě</w:t>
      </w:r>
      <w:r w:rsidRPr="000B16D5">
        <w:rPr>
          <w:rFonts w:asciiTheme="majorHAnsi" w:hAnsiTheme="majorHAnsi" w:cs="Arial"/>
        </w:rPr>
        <w:t>jší studie nazna</w:t>
      </w:r>
      <w:r w:rsidRPr="000B16D5">
        <w:rPr>
          <w:rFonts w:asciiTheme="majorHAnsi" w:eastAsia="TTBE8o00" w:hAnsiTheme="majorHAnsi" w:cs="TTBE8o00"/>
        </w:rPr>
        <w:t>č</w:t>
      </w:r>
      <w:r w:rsidRPr="000B16D5">
        <w:rPr>
          <w:rFonts w:asciiTheme="majorHAnsi" w:hAnsiTheme="majorHAnsi" w:cs="Arial"/>
        </w:rPr>
        <w:t>ují, že obestatin se ú</w:t>
      </w:r>
      <w:r w:rsidRPr="000B16D5">
        <w:rPr>
          <w:rFonts w:asciiTheme="majorHAnsi" w:eastAsia="TTBE8o00" w:hAnsiTheme="majorHAnsi" w:cs="TTBE8o00"/>
        </w:rPr>
        <w:t>č</w:t>
      </w:r>
      <w:r w:rsidRPr="000B16D5">
        <w:rPr>
          <w:rFonts w:asciiTheme="majorHAnsi" w:hAnsiTheme="majorHAnsi" w:cs="Arial"/>
        </w:rPr>
        <w:t>astní inhibice žízn</w:t>
      </w:r>
      <w:r w:rsidRPr="000B16D5">
        <w:rPr>
          <w:rFonts w:asciiTheme="majorHAnsi" w:eastAsia="TTBE8o00" w:hAnsiTheme="majorHAnsi" w:cs="TTBE8o00"/>
        </w:rPr>
        <w:t xml:space="preserve">ě </w:t>
      </w:r>
      <w:r w:rsidRPr="000B16D5">
        <w:rPr>
          <w:rFonts w:asciiTheme="majorHAnsi" w:hAnsiTheme="majorHAnsi" w:cs="Arial"/>
        </w:rPr>
        <w:t>a úzkosti, zlepšuje pam</w:t>
      </w:r>
      <w:r w:rsidRPr="000B16D5">
        <w:rPr>
          <w:rFonts w:asciiTheme="majorHAnsi" w:eastAsia="TTBE8o00" w:hAnsiTheme="majorHAnsi" w:cs="TTBE8o00"/>
        </w:rPr>
        <w:t>ěť</w:t>
      </w:r>
      <w:r w:rsidRPr="000B16D5">
        <w:rPr>
          <w:rFonts w:asciiTheme="majorHAnsi" w:hAnsiTheme="majorHAnsi" w:cs="Arial"/>
        </w:rPr>
        <w:t>, reguluje spánek, ovliv</w:t>
      </w:r>
      <w:r w:rsidRPr="000B16D5">
        <w:rPr>
          <w:rFonts w:asciiTheme="majorHAnsi" w:eastAsia="TTBE8o00" w:hAnsiTheme="majorHAnsi" w:cs="TTBE8o00"/>
        </w:rPr>
        <w:t>ň</w:t>
      </w:r>
      <w:r w:rsidRPr="000B16D5">
        <w:rPr>
          <w:rFonts w:asciiTheme="majorHAnsi" w:hAnsiTheme="majorHAnsi" w:cs="Arial"/>
        </w:rPr>
        <w:t>uje bun</w:t>
      </w:r>
      <w:r w:rsidRPr="000B16D5">
        <w:rPr>
          <w:rFonts w:asciiTheme="majorHAnsi" w:eastAsia="TTBE8o00" w:hAnsiTheme="majorHAnsi" w:cs="TTBE8o00"/>
        </w:rPr>
        <w:t>ěč</w:t>
      </w:r>
      <w:r w:rsidRPr="000B16D5">
        <w:rPr>
          <w:rFonts w:asciiTheme="majorHAnsi" w:hAnsiTheme="majorHAnsi" w:cs="Arial"/>
        </w:rPr>
        <w:t>nou proliferaci a zvyšuje sekreci pankreatických trávících š</w:t>
      </w:r>
      <w:r w:rsidRPr="000B16D5">
        <w:rPr>
          <w:rFonts w:asciiTheme="majorHAnsi" w:eastAsia="TTBE8o00" w:hAnsiTheme="majorHAnsi" w:cs="TTBE8o00"/>
        </w:rPr>
        <w:t>ť</w:t>
      </w:r>
      <w:r w:rsidRPr="000B16D5">
        <w:rPr>
          <w:rFonts w:asciiTheme="majorHAnsi" w:hAnsiTheme="majorHAnsi" w:cs="Arial"/>
        </w:rPr>
        <w:t>áv. Alternativní promotory a alternativní sest</w:t>
      </w:r>
      <w:r w:rsidRPr="000B16D5">
        <w:rPr>
          <w:rFonts w:asciiTheme="majorHAnsi" w:eastAsia="TTBE8o00" w:hAnsiTheme="majorHAnsi" w:cs="TTBE8o00"/>
        </w:rPr>
        <w:t>ř</w:t>
      </w:r>
      <w:r w:rsidRPr="000B16D5">
        <w:rPr>
          <w:rFonts w:asciiTheme="majorHAnsi" w:hAnsiTheme="majorHAnsi" w:cs="Arial"/>
        </w:rPr>
        <w:t>ih zp</w:t>
      </w:r>
      <w:r w:rsidRPr="000B16D5">
        <w:rPr>
          <w:rFonts w:asciiTheme="majorHAnsi" w:eastAsia="TTBE8o00" w:hAnsiTheme="majorHAnsi" w:cs="TTBE8o00"/>
        </w:rPr>
        <w:t>ů</w:t>
      </w:r>
      <w:r w:rsidRPr="000B16D5">
        <w:rPr>
          <w:rFonts w:asciiTheme="majorHAnsi" w:hAnsiTheme="majorHAnsi" w:cs="Arial"/>
        </w:rPr>
        <w:t>sobují vznik mnoha transkrip</w:t>
      </w:r>
      <w:r w:rsidRPr="000B16D5">
        <w:rPr>
          <w:rFonts w:asciiTheme="majorHAnsi" w:eastAsia="TTBE8o00" w:hAnsiTheme="majorHAnsi" w:cs="TTBE8o00"/>
        </w:rPr>
        <w:t>č</w:t>
      </w:r>
      <w:r w:rsidRPr="000B16D5">
        <w:rPr>
          <w:rFonts w:asciiTheme="majorHAnsi" w:hAnsiTheme="majorHAnsi" w:cs="Arial"/>
        </w:rPr>
        <w:t>ních variant, z nichž n</w:t>
      </w:r>
      <w:r w:rsidRPr="000B16D5">
        <w:rPr>
          <w:rFonts w:asciiTheme="majorHAnsi" w:eastAsia="TTBE8o00" w:hAnsiTheme="majorHAnsi" w:cs="TTBE8o00"/>
        </w:rPr>
        <w:t>ě</w:t>
      </w:r>
      <w:r w:rsidRPr="000B16D5">
        <w:rPr>
          <w:rFonts w:asciiTheme="majorHAnsi" w:hAnsiTheme="majorHAnsi" w:cs="Arial"/>
        </w:rPr>
        <w:t>které kódují r</w:t>
      </w:r>
      <w:r w:rsidRPr="000B16D5">
        <w:rPr>
          <w:rFonts w:asciiTheme="majorHAnsi" w:eastAsia="TTBE8o00" w:hAnsiTheme="majorHAnsi" w:cs="TTBE8o00"/>
        </w:rPr>
        <w:t>ů</w:t>
      </w:r>
      <w:r w:rsidRPr="000B16D5">
        <w:rPr>
          <w:rFonts w:asciiTheme="majorHAnsi" w:hAnsiTheme="majorHAnsi" w:cs="Arial"/>
        </w:rPr>
        <w:t>zné izoformy proteinu, jiné regulují expresi preproproteinu ghrelin-obestatinu. Byly také identifikovány transkripty tohoto genu typu „antisepse“, které patrn</w:t>
      </w:r>
      <w:r w:rsidRPr="000B16D5">
        <w:rPr>
          <w:rFonts w:asciiTheme="majorHAnsi" w:eastAsia="TTBE8o00" w:hAnsiTheme="majorHAnsi" w:cs="TTBE8o00"/>
        </w:rPr>
        <w:t xml:space="preserve">ě </w:t>
      </w:r>
      <w:r w:rsidRPr="000B16D5">
        <w:rPr>
          <w:rFonts w:asciiTheme="majorHAnsi" w:hAnsiTheme="majorHAnsi" w:cs="Arial"/>
        </w:rPr>
        <w:t>modulují expresipreproproteinu ghrelin-obestatin [72].</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Ghrelin stimuluje sekreci r</w:t>
      </w:r>
      <w:r w:rsidRPr="000B16D5">
        <w:rPr>
          <w:rFonts w:asciiTheme="majorHAnsi" w:eastAsia="TTBE8o00" w:hAnsiTheme="majorHAnsi" w:cs="TTBE8o00"/>
        </w:rPr>
        <w:t>ů</w:t>
      </w:r>
      <w:r w:rsidRPr="000B16D5">
        <w:rPr>
          <w:rFonts w:asciiTheme="majorHAnsi" w:hAnsiTheme="majorHAnsi" w:cs="Arial"/>
        </w:rPr>
        <w:t>stového hormonu, p</w:t>
      </w:r>
      <w:r w:rsidRPr="000B16D5">
        <w:rPr>
          <w:rFonts w:asciiTheme="majorHAnsi" w:eastAsia="TTBE8o00" w:hAnsiTheme="majorHAnsi" w:cs="TTBE8o00"/>
        </w:rPr>
        <w:t>ř</w:t>
      </w:r>
      <w:r w:rsidRPr="000B16D5">
        <w:rPr>
          <w:rFonts w:asciiTheme="majorHAnsi" w:hAnsiTheme="majorHAnsi" w:cs="Arial"/>
        </w:rPr>
        <w:t>íjem potravy a zprost</w:t>
      </w:r>
      <w:r w:rsidRPr="000B16D5">
        <w:rPr>
          <w:rFonts w:asciiTheme="majorHAnsi" w:eastAsia="TTBE8o00" w:hAnsiTheme="majorHAnsi" w:cs="TTBE8o00"/>
        </w:rPr>
        <w:t>ř</w:t>
      </w:r>
      <w:r w:rsidRPr="000B16D5">
        <w:rPr>
          <w:rFonts w:asciiTheme="majorHAnsi" w:hAnsiTheme="majorHAnsi" w:cs="Arial"/>
        </w:rPr>
        <w:t>edkovává hmotnostní p</w:t>
      </w:r>
      <w:r w:rsidRPr="000B16D5">
        <w:rPr>
          <w:rFonts w:asciiTheme="majorHAnsi" w:eastAsia="TTBE8o00" w:hAnsiTheme="majorHAnsi" w:cs="TTBE8o00"/>
        </w:rPr>
        <w:t>ř</w:t>
      </w:r>
      <w:r w:rsidRPr="000B16D5">
        <w:rPr>
          <w:rFonts w:asciiTheme="majorHAnsi" w:hAnsiTheme="majorHAnsi" w:cs="Arial"/>
        </w:rPr>
        <w:t>ír</w:t>
      </w:r>
      <w:r w:rsidRPr="000B16D5">
        <w:rPr>
          <w:rFonts w:asciiTheme="majorHAnsi" w:eastAsia="TTBE8o00" w:hAnsiTheme="majorHAnsi" w:cs="TTBE8o00"/>
        </w:rPr>
        <w:t>ů</w:t>
      </w:r>
      <w:r w:rsidRPr="000B16D5">
        <w:rPr>
          <w:rFonts w:asciiTheme="majorHAnsi" w:hAnsiTheme="majorHAnsi" w:cs="Arial"/>
        </w:rPr>
        <w:t>stek, a to jak p</w:t>
      </w:r>
      <w:r w:rsidRPr="000B16D5">
        <w:rPr>
          <w:rFonts w:asciiTheme="majorHAnsi" w:eastAsia="TTBE8o00" w:hAnsiTheme="majorHAnsi" w:cs="TTBE8o00"/>
        </w:rPr>
        <w:t>ř</w:t>
      </w:r>
      <w:r w:rsidRPr="000B16D5">
        <w:rPr>
          <w:rFonts w:asciiTheme="majorHAnsi" w:hAnsiTheme="majorHAnsi" w:cs="Arial"/>
        </w:rPr>
        <w:t>i centrálním, tak p</w:t>
      </w:r>
      <w:r w:rsidRPr="000B16D5">
        <w:rPr>
          <w:rFonts w:asciiTheme="majorHAnsi" w:eastAsia="TTBE8o00" w:hAnsiTheme="majorHAnsi" w:cs="TTBE8o00"/>
        </w:rPr>
        <w:t>ř</w:t>
      </w:r>
      <w:r w:rsidRPr="000B16D5">
        <w:rPr>
          <w:rFonts w:asciiTheme="majorHAnsi" w:hAnsiTheme="majorHAnsi" w:cs="Arial"/>
        </w:rPr>
        <w:t>i periferním podání [73]. Ghrelin aktivuje neurony produkující neuropeptid Y (NPY) a agouti-related peptid (AGRP), lokalizované v nucleus arcautus v hypothalamu [74</w:t>
      </w:r>
      <w:r w:rsidR="00C1617A" w:rsidRPr="000B16D5">
        <w:rPr>
          <w:rFonts w:asciiTheme="majorHAnsi" w:hAnsiTheme="majorHAnsi" w:cs="Arial"/>
        </w:rPr>
        <w:t>–</w:t>
      </w:r>
      <w:r w:rsidRPr="000B16D5">
        <w:rPr>
          <w:rFonts w:asciiTheme="majorHAnsi" w:hAnsiTheme="majorHAnsi" w:cs="Arial"/>
        </w:rPr>
        <w:t>76]. Sekrece ghrelinu se zvyšuje za podmínek negativní energetické bilance, jako je hladov</w:t>
      </w:r>
      <w:r w:rsidRPr="000B16D5">
        <w:rPr>
          <w:rFonts w:asciiTheme="majorHAnsi" w:eastAsia="TTBE8o00" w:hAnsiTheme="majorHAnsi" w:cs="TTBE8o00"/>
        </w:rPr>
        <w:t>ě</w:t>
      </w:r>
      <w:r w:rsidRPr="000B16D5">
        <w:rPr>
          <w:rFonts w:asciiTheme="majorHAnsi" w:hAnsiTheme="majorHAnsi" w:cs="Arial"/>
        </w:rPr>
        <w:t>ní, kachexie a mentální anorexie. P</w:t>
      </w:r>
      <w:r w:rsidRPr="000B16D5">
        <w:rPr>
          <w:rFonts w:asciiTheme="majorHAnsi" w:eastAsia="TTBE8o00" w:hAnsiTheme="majorHAnsi" w:cs="TTBE8o00"/>
        </w:rPr>
        <w:t>ř</w:t>
      </w:r>
      <w:r w:rsidRPr="000B16D5">
        <w:rPr>
          <w:rFonts w:asciiTheme="majorHAnsi" w:hAnsiTheme="majorHAnsi" w:cs="Arial"/>
        </w:rPr>
        <w:t>i pozitivní energetické bilanci se jeho exprese naopak snižuje; konkrétn</w:t>
      </w:r>
      <w:r w:rsidRPr="000B16D5">
        <w:rPr>
          <w:rFonts w:asciiTheme="majorHAnsi" w:eastAsia="TTBE8o00" w:hAnsiTheme="majorHAnsi" w:cs="TTBE8o00"/>
        </w:rPr>
        <w:t xml:space="preserve">ě </w:t>
      </w:r>
      <w:r w:rsidRPr="000B16D5">
        <w:rPr>
          <w:rFonts w:asciiTheme="majorHAnsi" w:hAnsiTheme="majorHAnsi" w:cs="Arial"/>
        </w:rPr>
        <w:t>nap</w:t>
      </w:r>
      <w:r w:rsidRPr="000B16D5">
        <w:rPr>
          <w:rFonts w:asciiTheme="majorHAnsi" w:eastAsia="TTBE8o00" w:hAnsiTheme="majorHAnsi" w:cs="TTBE8o00"/>
        </w:rPr>
        <w:t>ř</w:t>
      </w:r>
      <w:r w:rsidRPr="000B16D5">
        <w:rPr>
          <w:rFonts w:asciiTheme="majorHAnsi" w:hAnsiTheme="majorHAnsi" w:cs="Arial"/>
        </w:rPr>
        <w:t>. p</w:t>
      </w:r>
      <w:r w:rsidRPr="000B16D5">
        <w:rPr>
          <w:rFonts w:asciiTheme="majorHAnsi" w:eastAsia="TTBE8o00" w:hAnsiTheme="majorHAnsi" w:cs="TTBE8o00"/>
        </w:rPr>
        <w:t>ř</w:t>
      </w:r>
      <w:r w:rsidRPr="000B16D5">
        <w:rPr>
          <w:rFonts w:asciiTheme="majorHAnsi" w:hAnsiTheme="majorHAnsi" w:cs="Arial"/>
        </w:rPr>
        <w:t>i p</w:t>
      </w:r>
      <w:r w:rsidRPr="000B16D5">
        <w:rPr>
          <w:rFonts w:asciiTheme="majorHAnsi" w:eastAsia="TTBE8o00" w:hAnsiTheme="majorHAnsi" w:cs="TTBE8o00"/>
        </w:rPr>
        <w:t>ř</w:t>
      </w:r>
      <w:r w:rsidRPr="000B16D5">
        <w:rPr>
          <w:rFonts w:asciiTheme="majorHAnsi" w:hAnsiTheme="majorHAnsi" w:cs="Arial"/>
        </w:rPr>
        <w:t>íjmu potravy, u hyperglykémie nebo obezity [77</w:t>
      </w:r>
      <w:r w:rsidR="00D71231" w:rsidRPr="000B16D5">
        <w:rPr>
          <w:rFonts w:asciiTheme="majorHAnsi" w:hAnsiTheme="majorHAnsi" w:cs="Arial"/>
        </w:rPr>
        <w:t>–</w:t>
      </w:r>
      <w:r w:rsidRPr="000B16D5">
        <w:rPr>
          <w:rFonts w:asciiTheme="majorHAnsi" w:hAnsiTheme="majorHAnsi" w:cs="Arial"/>
        </w:rPr>
        <w:t>78]. A</w:t>
      </w:r>
      <w:r w:rsidRPr="000B16D5">
        <w:rPr>
          <w:rFonts w:asciiTheme="majorHAnsi" w:eastAsia="TTBE8o00" w:hAnsiTheme="majorHAnsi" w:cs="TTBE8o00"/>
        </w:rPr>
        <w:t>č</w:t>
      </w:r>
      <w:r w:rsidRPr="000B16D5">
        <w:rPr>
          <w:rFonts w:asciiTheme="majorHAnsi" w:hAnsiTheme="majorHAnsi" w:cs="Arial"/>
        </w:rPr>
        <w:t>koli specifické stimuly pro sekreci ghrelinu nejsou stále kompletn</w:t>
      </w:r>
      <w:r w:rsidRPr="000B16D5">
        <w:rPr>
          <w:rFonts w:asciiTheme="majorHAnsi" w:eastAsia="TTBE8o00" w:hAnsiTheme="majorHAnsi" w:cs="TTBE8o00"/>
        </w:rPr>
        <w:t xml:space="preserve">ě </w:t>
      </w:r>
      <w:r w:rsidRPr="000B16D5">
        <w:rPr>
          <w:rFonts w:asciiTheme="majorHAnsi" w:hAnsiTheme="majorHAnsi" w:cs="Arial"/>
        </w:rPr>
        <w:t>známy, víme již, že plazmatické koncentrace ghrelinu stoupají p</w:t>
      </w:r>
      <w:r w:rsidRPr="000B16D5">
        <w:rPr>
          <w:rFonts w:asciiTheme="majorHAnsi" w:eastAsia="TTBE8o00" w:hAnsiTheme="majorHAnsi" w:cs="TTBE8o00"/>
        </w:rPr>
        <w:t>ř</w:t>
      </w:r>
      <w:r w:rsidRPr="000B16D5">
        <w:rPr>
          <w:rFonts w:asciiTheme="majorHAnsi" w:hAnsiTheme="majorHAnsi" w:cs="Arial"/>
        </w:rPr>
        <w:t>ed jídlem a krátce po jídle prudce</w:t>
      </w:r>
      <w:r w:rsidR="00D71231" w:rsidRPr="000B16D5">
        <w:rPr>
          <w:rFonts w:asciiTheme="majorHAnsi" w:hAnsiTheme="majorHAnsi" w:cs="Arial"/>
        </w:rPr>
        <w:t xml:space="preserve"> </w:t>
      </w:r>
      <w:r w:rsidRPr="000B16D5">
        <w:rPr>
          <w:rFonts w:asciiTheme="majorHAnsi" w:hAnsiTheme="majorHAnsi" w:cs="Arial"/>
        </w:rPr>
        <w:t>klesají, což je v souladu s p</w:t>
      </w:r>
      <w:r w:rsidRPr="000B16D5">
        <w:rPr>
          <w:rFonts w:asciiTheme="majorHAnsi" w:eastAsia="TTBE8o00" w:hAnsiTheme="majorHAnsi" w:cs="TTBE8o00"/>
        </w:rPr>
        <w:t>ř</w:t>
      </w:r>
      <w:r w:rsidRPr="000B16D5">
        <w:rPr>
          <w:rFonts w:asciiTheme="majorHAnsi" w:hAnsiTheme="majorHAnsi" w:cs="Arial"/>
        </w:rPr>
        <w:t>edstavou o jeho p</w:t>
      </w:r>
      <w:r w:rsidRPr="000B16D5">
        <w:rPr>
          <w:rFonts w:asciiTheme="majorHAnsi" w:eastAsia="TTBE8o00" w:hAnsiTheme="majorHAnsi" w:cs="TTBE8o00"/>
        </w:rPr>
        <w:t>ů</w:t>
      </w:r>
      <w:r w:rsidRPr="000B16D5">
        <w:rPr>
          <w:rFonts w:asciiTheme="majorHAnsi" w:hAnsiTheme="majorHAnsi" w:cs="Arial"/>
        </w:rPr>
        <w:t>sobení jako hormonu navozujícího pocit hladu [78]. Plazmatické koncentrace ghrelinu u lidí se zvyšují ve ve</w:t>
      </w:r>
      <w:r w:rsidRPr="000B16D5">
        <w:rPr>
          <w:rFonts w:asciiTheme="majorHAnsi" w:eastAsia="TTBE8o00" w:hAnsiTheme="majorHAnsi" w:cs="TTBE8o00"/>
        </w:rPr>
        <w:t>č</w:t>
      </w:r>
      <w:r w:rsidRPr="000B16D5">
        <w:rPr>
          <w:rFonts w:asciiTheme="majorHAnsi" w:hAnsiTheme="majorHAnsi" w:cs="Arial"/>
        </w:rPr>
        <w:t xml:space="preserve">erních hodinách a klesají v </w:t>
      </w:r>
      <w:r w:rsidRPr="000B16D5">
        <w:rPr>
          <w:rFonts w:asciiTheme="majorHAnsi" w:eastAsia="TTBE8o00" w:hAnsiTheme="majorHAnsi" w:cs="TTBE8o00"/>
        </w:rPr>
        <w:t>č</w:t>
      </w:r>
      <w:r w:rsidRPr="000B16D5">
        <w:rPr>
          <w:rFonts w:asciiTheme="majorHAnsi" w:hAnsiTheme="majorHAnsi" w:cs="Arial"/>
        </w:rPr>
        <w:t>asných ranních hodinách, což nazna</w:t>
      </w:r>
      <w:r w:rsidRPr="000B16D5">
        <w:rPr>
          <w:rFonts w:asciiTheme="majorHAnsi" w:eastAsia="TTBE8o00" w:hAnsiTheme="majorHAnsi" w:cs="TTBE8o00"/>
        </w:rPr>
        <w:t>č</w:t>
      </w:r>
      <w:r w:rsidRPr="000B16D5">
        <w:rPr>
          <w:rFonts w:asciiTheme="majorHAnsi" w:hAnsiTheme="majorHAnsi" w:cs="Arial"/>
        </w:rPr>
        <w:t>uje, že ghrelin pravd</w:t>
      </w:r>
      <w:r w:rsidRPr="000B16D5">
        <w:rPr>
          <w:rFonts w:asciiTheme="majorHAnsi" w:eastAsia="TTBE8o00" w:hAnsiTheme="majorHAnsi" w:cs="TTBE8o00"/>
        </w:rPr>
        <w:t>ě</w:t>
      </w:r>
      <w:r w:rsidRPr="000B16D5">
        <w:rPr>
          <w:rFonts w:asciiTheme="majorHAnsi" w:hAnsiTheme="majorHAnsi" w:cs="Arial"/>
        </w:rPr>
        <w:t>podobn</w:t>
      </w:r>
      <w:r w:rsidRPr="000B16D5">
        <w:rPr>
          <w:rFonts w:asciiTheme="majorHAnsi" w:eastAsia="TTBE8o00" w:hAnsiTheme="majorHAnsi" w:cs="TTBE8o00"/>
        </w:rPr>
        <w:t xml:space="preserve">ě </w:t>
      </w:r>
      <w:r w:rsidRPr="000B16D5">
        <w:rPr>
          <w:rFonts w:asciiTheme="majorHAnsi" w:hAnsiTheme="majorHAnsi" w:cs="Arial"/>
        </w:rPr>
        <w:t>není dostate</w:t>
      </w:r>
      <w:r w:rsidRPr="000B16D5">
        <w:rPr>
          <w:rFonts w:asciiTheme="majorHAnsi" w:eastAsia="TTBE8o00" w:hAnsiTheme="majorHAnsi" w:cs="TTBE8o00"/>
        </w:rPr>
        <w:t>č</w:t>
      </w:r>
      <w:r w:rsidRPr="000B16D5">
        <w:rPr>
          <w:rFonts w:asciiTheme="majorHAnsi" w:hAnsiTheme="majorHAnsi" w:cs="Arial"/>
        </w:rPr>
        <w:t>ným samostatným stimulem pro navození hladu. Bazální hladiny ghrelinu jsou nižší u obézních a zvyšují se ztrátou t</w:t>
      </w:r>
      <w:r w:rsidRPr="000B16D5">
        <w:rPr>
          <w:rFonts w:asciiTheme="majorHAnsi" w:eastAsia="TTBE8o00" w:hAnsiTheme="majorHAnsi" w:cs="TTBE8o00"/>
        </w:rPr>
        <w:t>ě</w:t>
      </w:r>
      <w:r w:rsidRPr="000B16D5">
        <w:rPr>
          <w:rFonts w:asciiTheme="majorHAnsi" w:hAnsiTheme="majorHAnsi" w:cs="Arial"/>
        </w:rPr>
        <w:t>lesné hmotnosti, protože tento hormon má pravd</w:t>
      </w:r>
      <w:r w:rsidRPr="000B16D5">
        <w:rPr>
          <w:rFonts w:asciiTheme="majorHAnsi" w:eastAsia="TTBE8o00" w:hAnsiTheme="majorHAnsi" w:cs="TTBE8o00"/>
        </w:rPr>
        <w:t>ě</w:t>
      </w:r>
      <w:r w:rsidRPr="000B16D5">
        <w:rPr>
          <w:rFonts w:asciiTheme="majorHAnsi" w:hAnsiTheme="majorHAnsi" w:cs="Arial"/>
        </w:rPr>
        <w:t>podobn</w:t>
      </w:r>
      <w:r w:rsidRPr="000B16D5">
        <w:rPr>
          <w:rFonts w:asciiTheme="majorHAnsi" w:eastAsia="TTBE8o00" w:hAnsiTheme="majorHAnsi" w:cs="TTBE8o00"/>
        </w:rPr>
        <w:t xml:space="preserve">ě </w:t>
      </w:r>
      <w:r w:rsidRPr="000B16D5">
        <w:rPr>
          <w:rFonts w:asciiTheme="majorHAnsi" w:hAnsiTheme="majorHAnsi" w:cs="Arial"/>
        </w:rPr>
        <w:t xml:space="preserve">vztah k </w:t>
      </w:r>
      <w:r w:rsidRPr="000B16D5">
        <w:rPr>
          <w:rFonts w:asciiTheme="majorHAnsi" w:eastAsia="TTBE8o00" w:hAnsiTheme="majorHAnsi" w:cs="TTBE8o00"/>
        </w:rPr>
        <w:t>ř</w:t>
      </w:r>
      <w:r w:rsidRPr="000B16D5">
        <w:rPr>
          <w:rFonts w:asciiTheme="majorHAnsi" w:hAnsiTheme="majorHAnsi" w:cs="Arial"/>
        </w:rPr>
        <w:t>ízení p</w:t>
      </w:r>
      <w:r w:rsidRPr="000B16D5">
        <w:rPr>
          <w:rFonts w:asciiTheme="majorHAnsi" w:eastAsia="TTBE8o00" w:hAnsiTheme="majorHAnsi" w:cs="TTBE8o00"/>
        </w:rPr>
        <w:t>ř</w:t>
      </w:r>
      <w:r w:rsidRPr="000B16D5">
        <w:rPr>
          <w:rFonts w:asciiTheme="majorHAnsi" w:hAnsiTheme="majorHAnsi" w:cs="Arial"/>
        </w:rPr>
        <w:t>íjmu potravy p</w:t>
      </w:r>
      <w:r w:rsidRPr="000B16D5">
        <w:rPr>
          <w:rFonts w:asciiTheme="majorHAnsi" w:eastAsia="TTBE8o00" w:hAnsiTheme="majorHAnsi" w:cs="TTBE8o00"/>
        </w:rPr>
        <w:t>ř</w:t>
      </w:r>
      <w:r w:rsidRPr="000B16D5">
        <w:rPr>
          <w:rFonts w:asciiTheme="majorHAnsi" w:hAnsiTheme="majorHAnsi" w:cs="Arial"/>
        </w:rPr>
        <w:t xml:space="preserve">es signály adipozity [79]. Ghrelin je ovšem také syntetizován v neuronech nucleus arcuatus v hypothalamu. </w:t>
      </w:r>
    </w:p>
    <w:p w:rsidR="00520D6A" w:rsidRPr="000B16D5" w:rsidRDefault="00520D6A" w:rsidP="008316BA">
      <w:pPr>
        <w:autoSpaceDE w:val="0"/>
        <w:autoSpaceDN w:val="0"/>
        <w:adjustRightInd w:val="0"/>
        <w:spacing w:after="0"/>
        <w:jc w:val="both"/>
        <w:rPr>
          <w:rFonts w:asciiTheme="majorHAnsi" w:hAnsiTheme="majorHAnsi" w:cs="Arial"/>
        </w:rPr>
      </w:pPr>
    </w:p>
    <w:p w:rsidR="00520D6A" w:rsidRPr="000B16D5" w:rsidRDefault="00520D6A" w:rsidP="009F53ED">
      <w:pPr>
        <w:pStyle w:val="Podpodnadpis"/>
        <w:rPr>
          <w:rFonts w:asciiTheme="majorHAnsi" w:eastAsia="Arial Unicode MS" w:hAnsiTheme="majorHAnsi"/>
        </w:rPr>
      </w:pPr>
      <w:r w:rsidRPr="000B16D5">
        <w:rPr>
          <w:rFonts w:asciiTheme="majorHAnsi" w:eastAsia="Arial Unicode MS" w:hAnsiTheme="majorHAnsi"/>
        </w:rPr>
        <w:t>Celogenomové skenování</w:t>
      </w:r>
    </w:p>
    <w:p w:rsidR="00520D6A" w:rsidRPr="000B16D5" w:rsidRDefault="00520D6A" w:rsidP="008316BA">
      <w:pPr>
        <w:autoSpaceDE w:val="0"/>
        <w:autoSpaceDN w:val="0"/>
        <w:adjustRightInd w:val="0"/>
        <w:spacing w:after="0"/>
        <w:jc w:val="both"/>
        <w:rPr>
          <w:rFonts w:asciiTheme="majorHAnsi" w:hAnsiTheme="majorHAnsi" w:cs="Arial"/>
        </w:rPr>
      </w:pPr>
      <w:r w:rsidRPr="000B16D5">
        <w:rPr>
          <w:rFonts w:asciiTheme="majorHAnsi" w:hAnsiTheme="majorHAnsi" w:cs="Arial"/>
        </w:rPr>
        <w:t xml:space="preserve">Pokud předem vybraný kandidátní </w:t>
      </w:r>
      <w:hyperlink r:id="rId52" w:tooltip="Gen" w:history="1">
        <w:r w:rsidRPr="000B16D5">
          <w:rPr>
            <w:rFonts w:asciiTheme="majorHAnsi" w:hAnsiTheme="majorHAnsi" w:cs="Arial"/>
          </w:rPr>
          <w:t>gen</w:t>
        </w:r>
      </w:hyperlink>
      <w:r w:rsidRPr="000B16D5">
        <w:rPr>
          <w:rFonts w:asciiTheme="majorHAnsi" w:hAnsiTheme="majorHAnsi" w:cs="Arial"/>
        </w:rPr>
        <w:t xml:space="preserve"> neznáme nebo ho ani </w:t>
      </w:r>
      <w:r w:rsidR="00D71231" w:rsidRPr="000B16D5">
        <w:rPr>
          <w:rFonts w:asciiTheme="majorHAnsi" w:hAnsiTheme="majorHAnsi" w:cs="Arial"/>
        </w:rPr>
        <w:t xml:space="preserve">nechceme </w:t>
      </w:r>
      <w:r w:rsidRPr="000B16D5">
        <w:rPr>
          <w:rFonts w:asciiTheme="majorHAnsi" w:hAnsiTheme="majorHAnsi" w:cs="Arial"/>
        </w:rPr>
        <w:t xml:space="preserve">vybírat (nepředpokládáme, že bychom ho znali), lze provést celogenomovou asociační studii (angl. </w:t>
      </w:r>
      <w:hyperlink r:id="rId53" w:history="1">
        <w:r w:rsidRPr="000B16D5">
          <w:rPr>
            <w:rFonts w:asciiTheme="majorHAnsi" w:hAnsiTheme="majorHAnsi" w:cs="Arial"/>
          </w:rPr>
          <w:t>genome-wide association study, GWAS</w:t>
        </w:r>
      </w:hyperlink>
      <w:r w:rsidRPr="000B16D5">
        <w:rPr>
          <w:rFonts w:asciiTheme="majorHAnsi" w:hAnsiTheme="majorHAnsi" w:cs="Arial"/>
        </w:rPr>
        <w:t xml:space="preserve">). V tomto případě se stanovují </w:t>
      </w:r>
      <w:hyperlink r:id="rId54" w:tooltip="Genotyp" w:history="1">
        <w:r w:rsidRPr="000B16D5">
          <w:rPr>
            <w:rFonts w:asciiTheme="majorHAnsi" w:hAnsiTheme="majorHAnsi" w:cs="Arial"/>
          </w:rPr>
          <w:t>genotyp</w:t>
        </w:r>
      </w:hyperlink>
      <w:r w:rsidRPr="000B16D5">
        <w:rPr>
          <w:rFonts w:asciiTheme="majorHAnsi" w:hAnsiTheme="majorHAnsi" w:cs="Arial"/>
        </w:rPr>
        <w:t xml:space="preserve">y pro velké množství </w:t>
      </w:r>
      <w:hyperlink r:id="rId55" w:tooltip="Polymorfismus" w:history="1">
        <w:r w:rsidRPr="000B16D5">
          <w:rPr>
            <w:rFonts w:asciiTheme="majorHAnsi" w:hAnsiTheme="majorHAnsi" w:cs="Arial"/>
          </w:rPr>
          <w:t>polymorfních</w:t>
        </w:r>
      </w:hyperlink>
      <w:r w:rsidRPr="000B16D5">
        <w:rPr>
          <w:rFonts w:asciiTheme="majorHAnsi" w:hAnsiTheme="majorHAnsi" w:cs="Arial"/>
        </w:rPr>
        <w:t xml:space="preserve"> </w:t>
      </w:r>
      <w:hyperlink r:id="rId56" w:tooltip="Lokus" w:history="1">
        <w:r w:rsidRPr="000B16D5">
          <w:rPr>
            <w:rFonts w:asciiTheme="majorHAnsi" w:hAnsiTheme="majorHAnsi" w:cs="Arial"/>
          </w:rPr>
          <w:t>lokusů</w:t>
        </w:r>
      </w:hyperlink>
      <w:r w:rsidRPr="000B16D5">
        <w:rPr>
          <w:rFonts w:asciiTheme="majorHAnsi" w:hAnsiTheme="majorHAnsi" w:cs="Arial"/>
        </w:rPr>
        <w:t xml:space="preserve"> na všech chromozomech zároveň dvou skupin lidí (případy onemocnění a kontroly), dnes nejčastěji pomocí DNA mikročipů (angl. DNA microarrays), které umí stanovit až přibližně 1,8 miliónu </w:t>
      </w:r>
      <w:hyperlink r:id="rId57" w:tooltip="Genotyp" w:history="1">
        <w:r w:rsidRPr="000B16D5">
          <w:rPr>
            <w:rFonts w:asciiTheme="majorHAnsi" w:hAnsiTheme="majorHAnsi" w:cs="Arial"/>
          </w:rPr>
          <w:t>genotypů</w:t>
        </w:r>
      </w:hyperlink>
      <w:r w:rsidRPr="000B16D5">
        <w:rPr>
          <w:rFonts w:asciiTheme="majorHAnsi" w:hAnsiTheme="majorHAnsi" w:cs="Arial"/>
        </w:rPr>
        <w:t xml:space="preserve"> u jednoho jedince. Příkladem takového čipu je např. </w:t>
      </w:r>
      <w:hyperlink r:id="rId58" w:anchor="1_1" w:history="1">
        <w:r w:rsidRPr="000B16D5">
          <w:rPr>
            <w:rFonts w:asciiTheme="majorHAnsi" w:hAnsiTheme="majorHAnsi" w:cs="Arial"/>
          </w:rPr>
          <w:t>Genome-Wide Human SNP Array 6.0</w:t>
        </w:r>
      </w:hyperlink>
      <w:r w:rsidRPr="000B16D5">
        <w:rPr>
          <w:rFonts w:asciiTheme="majorHAnsi" w:hAnsiTheme="majorHAnsi" w:cs="Arial"/>
        </w:rPr>
        <w:t xml:space="preserve">. </w:t>
      </w:r>
    </w:p>
    <w:p w:rsidR="00520D6A" w:rsidRPr="000B16D5" w:rsidRDefault="00520D6A" w:rsidP="008316BA">
      <w:pPr>
        <w:autoSpaceDE w:val="0"/>
        <w:autoSpaceDN w:val="0"/>
        <w:adjustRightInd w:val="0"/>
        <w:spacing w:after="0"/>
        <w:jc w:val="both"/>
        <w:rPr>
          <w:rFonts w:asciiTheme="majorHAnsi" w:eastAsia="Arial Unicode MS" w:hAnsiTheme="majorHAnsi" w:cs="Arial Unicode MS"/>
          <w:bCs/>
        </w:rPr>
      </w:pPr>
      <w:r w:rsidRPr="000B16D5">
        <w:rPr>
          <w:rFonts w:asciiTheme="majorHAnsi" w:hAnsiTheme="majorHAnsi" w:cs="Arial"/>
        </w:rPr>
        <w:t xml:space="preserve">Celogenomové studie (GWAS) provedené na velkých populačních kohortách pro hodnocení </w:t>
      </w:r>
      <w:r w:rsidR="00511C9A" w:rsidRPr="000B16D5">
        <w:rPr>
          <w:rFonts w:asciiTheme="majorHAnsi" w:hAnsiTheme="majorHAnsi" w:cs="Arial"/>
        </w:rPr>
        <w:t>Body Mass Indexu</w:t>
      </w:r>
      <w:r w:rsidR="00511C9A" w:rsidRPr="000B16D5">
        <w:rPr>
          <w:rFonts w:asciiTheme="majorHAnsi" w:eastAsia="Arial Unicode MS" w:hAnsiTheme="majorHAnsi" w:cs="Arial Unicode MS"/>
          <w:bCs/>
        </w:rPr>
        <w:t xml:space="preserve"> </w:t>
      </w:r>
      <w:r w:rsidRPr="000B16D5">
        <w:rPr>
          <w:rFonts w:asciiTheme="majorHAnsi" w:eastAsia="Arial Unicode MS" w:hAnsiTheme="majorHAnsi" w:cs="Arial Unicode MS"/>
          <w:bCs/>
        </w:rPr>
        <w:t>nebo v pro zkoumání obezity umožnily identifikaci zajímavých genetických lokusů, přičemž genotypizováno je průměrně 350</w:t>
      </w:r>
      <w:r w:rsidR="00B056AC" w:rsidRPr="000B16D5">
        <w:rPr>
          <w:rFonts w:asciiTheme="majorHAnsi" w:eastAsia="Arial Unicode MS" w:hAnsiTheme="majorHAnsi" w:cs="Arial Unicode MS"/>
          <w:bCs/>
        </w:rPr>
        <w:t> </w:t>
      </w:r>
      <w:r w:rsidRPr="000B16D5">
        <w:rPr>
          <w:rFonts w:asciiTheme="majorHAnsi" w:eastAsia="Arial Unicode MS" w:hAnsiTheme="majorHAnsi" w:cs="Arial Unicode MS"/>
          <w:bCs/>
        </w:rPr>
        <w:t>000</w:t>
      </w:r>
      <w:r w:rsidR="00B056AC" w:rsidRPr="000B16D5">
        <w:rPr>
          <w:rFonts w:asciiTheme="majorHAnsi" w:eastAsia="Arial Unicode MS" w:hAnsiTheme="majorHAnsi" w:cs="Arial Unicode MS"/>
          <w:bCs/>
        </w:rPr>
        <w:t xml:space="preserve"> </w:t>
      </w:r>
      <w:r w:rsidR="00511C9A" w:rsidRPr="000B16D5">
        <w:rPr>
          <w:rFonts w:asciiTheme="majorHAnsi" w:hAnsiTheme="majorHAnsi" w:cs="Arial"/>
        </w:rPr>
        <w:t>–</w:t>
      </w:r>
      <w:r w:rsidR="00B056AC" w:rsidRPr="000B16D5">
        <w:rPr>
          <w:rFonts w:asciiTheme="majorHAnsi" w:hAnsiTheme="majorHAnsi" w:cs="Arial"/>
        </w:rPr>
        <w:t xml:space="preserve"> </w:t>
      </w:r>
      <w:r w:rsidRPr="000B16D5">
        <w:rPr>
          <w:rFonts w:asciiTheme="majorHAnsi" w:eastAsia="Arial Unicode MS" w:hAnsiTheme="majorHAnsi" w:cs="Arial Unicode MS"/>
          <w:bCs/>
        </w:rPr>
        <w:t>500</w:t>
      </w:r>
      <w:r w:rsidR="00511C9A" w:rsidRPr="000B16D5">
        <w:rPr>
          <w:rFonts w:asciiTheme="majorHAnsi" w:eastAsia="Arial Unicode MS" w:hAnsiTheme="majorHAnsi" w:cs="Arial Unicode MS"/>
          <w:bCs/>
        </w:rPr>
        <w:t xml:space="preserve"> </w:t>
      </w:r>
      <w:r w:rsidRPr="000B16D5">
        <w:rPr>
          <w:rFonts w:asciiTheme="majorHAnsi" w:eastAsia="Arial Unicode MS" w:hAnsiTheme="majorHAnsi" w:cs="Arial Unicode MS"/>
          <w:bCs/>
        </w:rPr>
        <w:t>000 jednonukleotidových polymorfismů pokrývajících více než 75</w:t>
      </w:r>
      <w:r w:rsidR="00511C9A" w:rsidRPr="000B16D5">
        <w:rPr>
          <w:rFonts w:asciiTheme="majorHAnsi" w:eastAsia="Arial Unicode MS" w:hAnsiTheme="majorHAnsi" w:cs="Arial Unicode MS"/>
          <w:bCs/>
        </w:rPr>
        <w:t xml:space="preserve"> </w:t>
      </w:r>
      <w:r w:rsidRPr="000B16D5">
        <w:rPr>
          <w:rFonts w:asciiTheme="majorHAnsi" w:eastAsia="Arial Unicode MS" w:hAnsiTheme="majorHAnsi" w:cs="Arial Unicode MS"/>
          <w:bCs/>
        </w:rPr>
        <w:t>% genomu. GWAS studie jsou založeny na přepokladu, že dědičnost komplexních onemocnění je způsobena z velké části velkým počtem častých variant s malým účinkem, které mají frekvenci vzácnější alely (MAF) vyšší než 5</w:t>
      </w:r>
      <w:r w:rsidR="00511C9A" w:rsidRPr="000B16D5">
        <w:rPr>
          <w:rFonts w:asciiTheme="majorHAnsi" w:eastAsia="Arial Unicode MS" w:hAnsiTheme="majorHAnsi" w:cs="Arial Unicode MS"/>
          <w:bCs/>
        </w:rPr>
        <w:t xml:space="preserve"> </w:t>
      </w:r>
      <w:r w:rsidRPr="000B16D5">
        <w:rPr>
          <w:rFonts w:asciiTheme="majorHAnsi" w:eastAsia="Arial Unicode MS" w:hAnsiTheme="majorHAnsi" w:cs="Arial Unicode MS"/>
          <w:bCs/>
        </w:rPr>
        <w:t xml:space="preserve">%. Mezi první lokusy, které takto byly identifkovány v souvislosti s obezitou, patří </w:t>
      </w:r>
      <w:r w:rsidRPr="000B16D5">
        <w:rPr>
          <w:rFonts w:asciiTheme="majorHAnsi" w:eastAsia="Arial Unicode MS" w:hAnsiTheme="majorHAnsi" w:cs="Arial Unicode MS"/>
          <w:b/>
          <w:bCs/>
        </w:rPr>
        <w:t>FTO</w:t>
      </w:r>
      <w:r w:rsidRPr="000B16D5">
        <w:rPr>
          <w:rFonts w:asciiTheme="majorHAnsi" w:eastAsia="Arial Unicode MS" w:hAnsiTheme="majorHAnsi" w:cs="Arial Unicode MS"/>
          <w:bCs/>
        </w:rPr>
        <w:t xml:space="preserve"> lokus (fat mass and obesity associated) </w:t>
      </w:r>
      <w:r w:rsidRPr="000B16D5">
        <w:rPr>
          <w:rFonts w:asciiTheme="majorHAnsi" w:eastAsia="Arial Unicode MS" w:hAnsiTheme="majorHAnsi" w:cs="Arial Unicode MS"/>
          <w:bCs/>
        </w:rPr>
        <w:lastRenderedPageBreak/>
        <w:t xml:space="preserve">[80] a varianty přibližně 200 kb od genu pro MC4R. Prostřednictvím GWAS studií nicméně bylo dosud </w:t>
      </w:r>
      <w:r w:rsidR="00511C9A" w:rsidRPr="000B16D5">
        <w:rPr>
          <w:rFonts w:asciiTheme="majorHAnsi" w:eastAsia="Arial Unicode MS" w:hAnsiTheme="majorHAnsi" w:cs="Arial Unicode MS"/>
          <w:bCs/>
        </w:rPr>
        <w:t xml:space="preserve">identifikováno </w:t>
      </w:r>
      <w:r w:rsidRPr="000B16D5">
        <w:rPr>
          <w:rFonts w:asciiTheme="majorHAnsi" w:eastAsia="Arial Unicode MS" w:hAnsiTheme="majorHAnsi" w:cs="Arial Unicode MS"/>
          <w:bCs/>
        </w:rPr>
        <w:t>více než 20 dalších genetických lokusů souvisejících s obezitou.</w:t>
      </w:r>
    </w:p>
    <w:p w:rsidR="00520D6A" w:rsidRPr="000B16D5" w:rsidRDefault="00520D6A" w:rsidP="008316BA">
      <w:pPr>
        <w:autoSpaceDE w:val="0"/>
        <w:autoSpaceDN w:val="0"/>
        <w:adjustRightInd w:val="0"/>
        <w:spacing w:after="0"/>
        <w:jc w:val="both"/>
        <w:rPr>
          <w:rFonts w:asciiTheme="majorHAnsi" w:eastAsia="Arial Unicode MS" w:hAnsiTheme="majorHAnsi" w:cs="Arial Unicode MS"/>
          <w:bCs/>
        </w:rPr>
      </w:pPr>
      <w:r w:rsidRPr="000B16D5">
        <w:rPr>
          <w:rFonts w:asciiTheme="majorHAnsi" w:eastAsia="Arial Unicode MS" w:hAnsiTheme="majorHAnsi" w:cs="Arial Unicode MS"/>
          <w:bCs/>
        </w:rPr>
        <w:t xml:space="preserve">Je důležité si uvědomit, že GWAS studie jsou navrženy tak, aby zjišťovaly souvislost mezi chorobami a oblastmi genomu, nikoli mezi jednotlivými geny navzájem. Mnoho z identifikovaných signálů se mapuje do nekódujících oblastí genomů a interpretace těchto nálezů se zatím opírá o současné chápání úlohy daných oblastí genomu. Geny ve zjistěné asociované oblasti považujeme za potenciální kandidátní geny, ale asociace může vzniknout i na základě velmi rozsáhlých genetických interakcí (které u GWAS studií zanedbáváme) nebo na základě dosud neobjevených či špatně pochopených genetických fenoménů. Naše chápání biologické interpretace těchto signálů je tedy stále zcela na počátku. </w:t>
      </w:r>
    </w:p>
    <w:p w:rsidR="00520D6A" w:rsidRPr="000B16D5" w:rsidRDefault="00520D6A" w:rsidP="008316BA">
      <w:pPr>
        <w:autoSpaceDE w:val="0"/>
        <w:autoSpaceDN w:val="0"/>
        <w:adjustRightInd w:val="0"/>
        <w:spacing w:after="0"/>
        <w:jc w:val="both"/>
        <w:rPr>
          <w:rFonts w:asciiTheme="majorHAnsi" w:eastAsia="Arial Unicode MS" w:hAnsiTheme="majorHAnsi" w:cs="Arial Unicode MS"/>
          <w:bCs/>
        </w:rPr>
      </w:pPr>
    </w:p>
    <w:p w:rsidR="00520D6A" w:rsidRPr="000B16D5" w:rsidRDefault="00520D6A" w:rsidP="008316BA">
      <w:pPr>
        <w:autoSpaceDE w:val="0"/>
        <w:autoSpaceDN w:val="0"/>
        <w:adjustRightInd w:val="0"/>
        <w:spacing w:after="0"/>
        <w:jc w:val="both"/>
        <w:rPr>
          <w:rFonts w:asciiTheme="majorHAnsi" w:eastAsia="Arial Unicode MS" w:hAnsiTheme="majorHAnsi" w:cs="Arial Unicode MS"/>
          <w:bCs/>
        </w:rPr>
      </w:pPr>
      <w:r w:rsidRPr="000B16D5">
        <w:rPr>
          <w:rFonts w:asciiTheme="majorHAnsi" w:eastAsia="Arial Unicode MS" w:hAnsiTheme="majorHAnsi" w:cs="Arial Unicode MS"/>
          <w:bCs/>
        </w:rPr>
        <w:t>Nejsilnější asociace s BMI je na základě GWAS studií udávána u jedinců evropského původu u jednonukleotidových polymorfismů v prvním intronu FTO genu, který byl zcela původně popsán u diabetu mellitu typu 2 [81]. Homozygoti pro nejčastější SNP v FTO genu jsou o 3</w:t>
      </w:r>
      <w:r w:rsidR="0005786A" w:rsidRPr="000B16D5">
        <w:rPr>
          <w:rFonts w:asciiTheme="majorHAnsi" w:hAnsiTheme="majorHAnsi" w:cs="Arial"/>
        </w:rPr>
        <w:t>–</w:t>
      </w:r>
      <w:r w:rsidRPr="000B16D5">
        <w:rPr>
          <w:rFonts w:asciiTheme="majorHAnsi" w:eastAsia="Arial Unicode MS" w:hAnsiTheme="majorHAnsi" w:cs="Arial Unicode MS"/>
          <w:bCs/>
        </w:rPr>
        <w:t>4 kg těžší než jedinci bez rizikové alely a mají 1,6x vyšší riziko obezity [80]. Další studie udávají, že FTO region zodpovídá přibližně za 1</w:t>
      </w:r>
      <w:r w:rsidR="00511C9A" w:rsidRPr="000B16D5">
        <w:rPr>
          <w:rFonts w:asciiTheme="majorHAnsi" w:eastAsia="Arial Unicode MS" w:hAnsiTheme="majorHAnsi" w:cs="Arial Unicode MS"/>
          <w:bCs/>
        </w:rPr>
        <w:t xml:space="preserve"> </w:t>
      </w:r>
      <w:r w:rsidRPr="000B16D5">
        <w:rPr>
          <w:rFonts w:asciiTheme="majorHAnsi" w:eastAsia="Arial Unicode MS" w:hAnsiTheme="majorHAnsi" w:cs="Arial Unicode MS"/>
          <w:bCs/>
        </w:rPr>
        <w:t>% dědičnosti BMI. Několik studií také prokázalo asociace mezi SNP v FTO a příjmem energie [82] spíše než jejím výdejem. FTO gen je exprimován v hypotalamu a jeho exprese je regulována nutričními faktory [83]. FTO gen kóduje 2-oxoglutarát-dependentní demetylázu nukleových kyselin účastnící se regulace příjmu energie. Konkrétní úloha a mechanismus působení FTO genu při vzniku obezity je ovšem nejasná a vyžaduje bezesporu další zkoumání.</w:t>
      </w:r>
    </w:p>
    <w:p w:rsidR="00520D6A" w:rsidRPr="000B16D5" w:rsidRDefault="00520D6A" w:rsidP="008316BA">
      <w:pPr>
        <w:autoSpaceDE w:val="0"/>
        <w:autoSpaceDN w:val="0"/>
        <w:adjustRightInd w:val="0"/>
        <w:spacing w:after="0"/>
        <w:jc w:val="both"/>
        <w:rPr>
          <w:rFonts w:asciiTheme="majorHAnsi" w:eastAsia="Arial Unicode MS" w:hAnsiTheme="majorHAnsi" w:cs="Arial Unicode MS"/>
          <w:bCs/>
        </w:rPr>
      </w:pPr>
    </w:p>
    <w:p w:rsidR="00520D6A" w:rsidRPr="000B16D5" w:rsidRDefault="00520D6A" w:rsidP="009F53ED">
      <w:pPr>
        <w:pStyle w:val="Podpodnadpis"/>
        <w:rPr>
          <w:rFonts w:asciiTheme="majorHAnsi" w:eastAsia="Arial Unicode MS" w:hAnsiTheme="majorHAnsi"/>
        </w:rPr>
      </w:pPr>
      <w:r w:rsidRPr="000B16D5">
        <w:rPr>
          <w:rFonts w:asciiTheme="majorHAnsi" w:eastAsia="Arial Unicode MS" w:hAnsiTheme="majorHAnsi"/>
        </w:rPr>
        <w:t>Hodnocení přínosu obou přístupů</w:t>
      </w:r>
    </w:p>
    <w:p w:rsidR="00520D6A" w:rsidRPr="000B16D5" w:rsidRDefault="00520D6A" w:rsidP="008316BA">
      <w:pPr>
        <w:spacing w:before="100" w:beforeAutospacing="1" w:after="100" w:afterAutospacing="1"/>
        <w:jc w:val="both"/>
        <w:rPr>
          <w:rFonts w:asciiTheme="majorHAnsi" w:eastAsia="Times New Roman" w:hAnsiTheme="majorHAnsi" w:cs="Times New Roman"/>
        </w:rPr>
      </w:pPr>
      <w:r w:rsidRPr="000B16D5">
        <w:rPr>
          <w:rFonts w:asciiTheme="majorHAnsi" w:eastAsia="Times New Roman" w:hAnsiTheme="majorHAnsi" w:cs="Times New Roman"/>
        </w:rPr>
        <w:t xml:space="preserve">Do roku 2006 se studium genetického pozadí obezity opíralo zejména o studie kandidátních genů s použitím případů a kontrol nebo trojic rodiče-potomek [84]. Studie kandidátních genů mají obvykle malou statistickou sílu a pro detekci vnímavosti vůči onemocnění, které má v populaci tak ohromnou četnost jako obezita, často nestačí. Významným omezením je dále kvalita výběru vlastních „kandidátů“. Výběr kandidátů je v typickém případě založen na hypotézách ohledně biologického účinku sledovaných genů, vzhledem k obecně špatné charakterizaci celého genomu (u řady genů jejich účinek ani neznáme, ani </w:t>
      </w:r>
      <w:r w:rsidR="0005786A" w:rsidRPr="000B16D5">
        <w:rPr>
          <w:rFonts w:asciiTheme="majorHAnsi" w:eastAsia="Times New Roman" w:hAnsiTheme="majorHAnsi" w:cs="Times New Roman"/>
        </w:rPr>
        <w:t xml:space="preserve">ho </w:t>
      </w:r>
      <w:r w:rsidRPr="000B16D5">
        <w:rPr>
          <w:rFonts w:asciiTheme="majorHAnsi" w:eastAsia="Times New Roman" w:hAnsiTheme="majorHAnsi" w:cs="Times New Roman"/>
        </w:rPr>
        <w:t xml:space="preserve">nejsme schopni odhadnout) se ovšem zdá, že výběr kandidátů probíhá spíše na principu „pokus-omyl“. Jak již bylo zmíněno, studie kandidátních genů se navíc velmi často provádějí na vzorcích populace, které jsou příliš malé, než aby umožnily detekci variant způsobujících pozorovaný účinek. </w:t>
      </w:r>
    </w:p>
    <w:p w:rsidR="00520D6A" w:rsidRPr="000B16D5" w:rsidRDefault="00520D6A" w:rsidP="008316BA">
      <w:pPr>
        <w:spacing w:before="100" w:beforeAutospacing="1" w:after="100" w:afterAutospacing="1"/>
        <w:jc w:val="both"/>
        <w:rPr>
          <w:rFonts w:asciiTheme="majorHAnsi" w:eastAsia="Times New Roman" w:hAnsiTheme="majorHAnsi" w:cs="Times New Roman"/>
        </w:rPr>
      </w:pPr>
      <w:r w:rsidRPr="000B16D5">
        <w:rPr>
          <w:rFonts w:asciiTheme="majorHAnsi" w:eastAsia="Times New Roman" w:hAnsiTheme="majorHAnsi" w:cs="Times New Roman"/>
        </w:rPr>
        <w:t>Během uplynulých dvou desetiletí probíhaly nejrůznější pokusy o identifikaci genetických variant predisponujících ke vzniku populačně časté formy obezity (tj. polygenní formy) a o replikaci předchozích studií, ovšem pouze s malým úspěchem. To je v ostrém kontrastu s monogenními a syndromickými formami obezity, u kterých byla odhalena celá řada genetických markerů. Vynikajícím důkazem tohoto nepoměru je nedávné vydání genetické mapy lidské obezity („Human Obesity Gene Map“), která zahrnuje 11 mutací v konkrétním jednom genu, 50 genetických lokusů spojených s mendeliánskými syndromy s obezitou, 244 zvířecích modelů typu knock-out nebo transgenních modelů a 127 kandidátních genů pro obezitu, přičemž pouze méně než 20</w:t>
      </w:r>
      <w:r w:rsidR="0005786A" w:rsidRPr="000B16D5">
        <w:rPr>
          <w:rFonts w:asciiTheme="majorHAnsi" w:eastAsia="Times New Roman" w:hAnsiTheme="majorHAnsi" w:cs="Times New Roman"/>
        </w:rPr>
        <w:t xml:space="preserve"> </w:t>
      </w:r>
      <w:r w:rsidRPr="000B16D5">
        <w:rPr>
          <w:rFonts w:asciiTheme="majorHAnsi" w:eastAsia="Times New Roman" w:hAnsiTheme="majorHAnsi" w:cs="Times New Roman"/>
        </w:rPr>
        <w:t>% bylo replikováno v pěti a více studiích [85</w:t>
      </w:r>
      <w:r w:rsidR="0005786A" w:rsidRPr="000B16D5">
        <w:rPr>
          <w:rFonts w:asciiTheme="majorHAnsi" w:hAnsiTheme="majorHAnsi" w:cs="Arial"/>
        </w:rPr>
        <w:t>–</w:t>
      </w:r>
      <w:r w:rsidRPr="000B16D5">
        <w:rPr>
          <w:rFonts w:asciiTheme="majorHAnsi" w:eastAsia="Times New Roman" w:hAnsiTheme="majorHAnsi" w:cs="Times New Roman"/>
        </w:rPr>
        <w:t>86]. Na základě celkem 61 celogenomových linkage skenů bylo identifikováno 253 lokusů kvantitativních znaků (QTL) pro různé fenotypy související s obezity, z nichž pouze 20</w:t>
      </w:r>
      <w:r w:rsidR="0005786A" w:rsidRPr="000B16D5">
        <w:rPr>
          <w:rFonts w:asciiTheme="majorHAnsi" w:eastAsia="Times New Roman" w:hAnsiTheme="majorHAnsi" w:cs="Times New Roman"/>
        </w:rPr>
        <w:t xml:space="preserve"> </w:t>
      </w:r>
      <w:r w:rsidRPr="000B16D5">
        <w:rPr>
          <w:rFonts w:asciiTheme="majorHAnsi" w:eastAsia="Times New Roman" w:hAnsiTheme="majorHAnsi" w:cs="Times New Roman"/>
        </w:rPr>
        <w:t>% bylo potvrzeno v další studii [86].</w:t>
      </w:r>
    </w:p>
    <w:p w:rsidR="00520D6A" w:rsidRPr="000B16D5" w:rsidRDefault="00520D6A" w:rsidP="008316BA">
      <w:pPr>
        <w:spacing w:before="100" w:beforeAutospacing="1" w:after="100" w:afterAutospacing="1"/>
        <w:jc w:val="both"/>
        <w:rPr>
          <w:rFonts w:asciiTheme="majorHAnsi" w:eastAsia="Times New Roman" w:hAnsiTheme="majorHAnsi" w:cs="Times New Roman"/>
        </w:rPr>
      </w:pPr>
      <w:r w:rsidRPr="000B16D5">
        <w:rPr>
          <w:rFonts w:asciiTheme="majorHAnsi" w:eastAsia="Times New Roman" w:hAnsiTheme="majorHAnsi" w:cs="Times New Roman"/>
        </w:rPr>
        <w:t>Jako lepší nástroj pro sledování genetického pozadí obezity se tedy jeví GWAS, tyto studie jsou ovšem velmi nákladné a technologicky obtížně proveditelné. V posledních letech již ovšem umožnil technický pokrok na poli molekulární biologie provádět GWAS testování u dostatečně velkých vzorků. V zásadě došlo ke splnění tří předpokladů. Prvním pokrokem je pokračující a zpřesňující se popis sekvence lidského genomu, který následně umožnil vytvoření katalagu různých mutací a variant v sekvenci lidského genomu. Druhým velkým pokrokem byl pokrok chápání analýzy jednonukleotidových polymorfismů, s tím, že na otestování 80</w:t>
      </w:r>
      <w:r w:rsidR="0005786A" w:rsidRPr="000B16D5">
        <w:rPr>
          <w:rFonts w:asciiTheme="majorHAnsi" w:eastAsia="Times New Roman" w:hAnsiTheme="majorHAnsi" w:cs="Times New Roman"/>
        </w:rPr>
        <w:t xml:space="preserve"> </w:t>
      </w:r>
      <w:r w:rsidRPr="000B16D5">
        <w:rPr>
          <w:rFonts w:asciiTheme="majorHAnsi" w:eastAsia="Times New Roman" w:hAnsiTheme="majorHAnsi" w:cs="Times New Roman"/>
        </w:rPr>
        <w:t>% fenotypických variací potřebujeme zhruba 500</w:t>
      </w:r>
      <w:r w:rsidR="0005786A" w:rsidRPr="000B16D5">
        <w:rPr>
          <w:rFonts w:asciiTheme="majorHAnsi" w:eastAsia="Times New Roman" w:hAnsiTheme="majorHAnsi" w:cs="Times New Roman"/>
        </w:rPr>
        <w:t xml:space="preserve"> </w:t>
      </w:r>
      <w:r w:rsidRPr="000B16D5">
        <w:rPr>
          <w:rFonts w:asciiTheme="majorHAnsi" w:eastAsia="Times New Roman" w:hAnsiTheme="majorHAnsi" w:cs="Times New Roman"/>
        </w:rPr>
        <w:t xml:space="preserve">000 jednonukleotidových polymorfismů, což je v dnešní době již technicky proveditelné. Za třetí, nové metody genotypizace umožňují podstatně přesnější, rychlejší a z ekonomického hlediska přijatelnější analýzy. </w:t>
      </w:r>
    </w:p>
    <w:p w:rsidR="00520D6A" w:rsidRPr="000B16D5" w:rsidRDefault="00520D6A" w:rsidP="008316BA">
      <w:pPr>
        <w:spacing w:before="100" w:beforeAutospacing="1" w:after="100" w:afterAutospacing="1"/>
        <w:jc w:val="both"/>
        <w:rPr>
          <w:rFonts w:asciiTheme="majorHAnsi" w:eastAsia="Times New Roman" w:hAnsiTheme="majorHAnsi" w:cs="Times New Roman"/>
        </w:rPr>
      </w:pPr>
      <w:r w:rsidRPr="000B16D5">
        <w:rPr>
          <w:rFonts w:asciiTheme="majorHAnsi" w:eastAsia="Times New Roman" w:hAnsiTheme="majorHAnsi" w:cs="Times New Roman"/>
        </w:rPr>
        <w:lastRenderedPageBreak/>
        <w:t xml:space="preserve">Několik malých celogenomových studií se zaměřilo i na okrajovější formy obezity (obezita s velmi časným nástupem, extrémní obezita a/nebo morbidní obezita dospělých) a potvrdilo předchozí hypotézy týkající se souvislosti těchto forem obezity, konkrétně zejména tělesné hmotnosti, s FTO, MC4R a TMEM18 [87-89]. Zdá se tedy, že v populaci časté varianty ovlivňující BMI mohou také přispívat k závažnějším formám obezity, které představují spíše extrém populačního spektra než v populaci časté onemocnění. </w:t>
      </w:r>
    </w:p>
    <w:p w:rsidR="00520D6A" w:rsidRPr="000B16D5" w:rsidRDefault="00520D6A" w:rsidP="008316BA">
      <w:pPr>
        <w:spacing w:before="100" w:beforeAutospacing="1" w:after="100" w:afterAutospacing="1"/>
        <w:jc w:val="both"/>
        <w:rPr>
          <w:rFonts w:asciiTheme="majorHAnsi" w:eastAsia="Times New Roman" w:hAnsiTheme="majorHAnsi" w:cs="Times New Roman"/>
        </w:rPr>
      </w:pPr>
      <w:r w:rsidRPr="000B16D5">
        <w:rPr>
          <w:rFonts w:asciiTheme="majorHAnsi" w:eastAsia="Times New Roman" w:hAnsiTheme="majorHAnsi" w:cs="Times New Roman"/>
        </w:rPr>
        <w:t>Nedávno proběhla rozsáhlá metanalýza studií zahrnujících celkem 249769 jedinců, která potvrdila existenci 14 z již dříve zjištěných genomických oblastí vnímavosti pro obezitu a v rámci této studie bylo identifikováno 18 nových lokusů souvisejících s BMI a celkovým množstvím tukové tkáně [90]. Vzhledem k velkému počtu zastoupených subjektů a tedy i významné statistické síle studie, bylo možné tu detekovat nové signály s menší frekvencí alel a nižším účinkem alel. Obecně lze říci, že celogenomové asociační studie jsou pouze prvním krokem při identifikaci kauzálních variant, které hrají úlohu u běžné, v populaci časté formy obezity, a že jsou nutné další výzkumné přístupy a metody pro identifikaci vlastních rizikových variant.</w:t>
      </w:r>
    </w:p>
    <w:p w:rsidR="00520D6A" w:rsidRPr="000B16D5" w:rsidRDefault="00520D6A" w:rsidP="008316BA">
      <w:pPr>
        <w:spacing w:before="100" w:beforeAutospacing="1" w:after="100" w:afterAutospacing="1"/>
        <w:jc w:val="both"/>
        <w:rPr>
          <w:rFonts w:asciiTheme="majorHAnsi" w:eastAsia="Times New Roman" w:hAnsiTheme="majorHAnsi" w:cs="Times New Roman"/>
        </w:rPr>
      </w:pPr>
      <w:r w:rsidRPr="000B16D5">
        <w:rPr>
          <w:rFonts w:asciiTheme="majorHAnsi" w:eastAsia="Times New Roman" w:hAnsiTheme="majorHAnsi" w:cs="Times New Roman"/>
        </w:rPr>
        <w:t>I když mezi výškou a variantami souvisejícími s BMI nebyla prokázana celkově genetická souvislost, tři z lokusů (</w:t>
      </w:r>
      <w:r w:rsidRPr="000B16D5">
        <w:rPr>
          <w:rFonts w:asciiTheme="majorHAnsi" w:eastAsia="Times New Roman" w:hAnsiTheme="majorHAnsi" w:cs="Times New Roman"/>
          <w:i/>
          <w:iCs/>
        </w:rPr>
        <w:t>MC4R</w:t>
      </w:r>
      <w:r w:rsidRPr="000B16D5">
        <w:rPr>
          <w:rFonts w:asciiTheme="majorHAnsi" w:eastAsia="Times New Roman" w:hAnsiTheme="majorHAnsi" w:cs="Times New Roman"/>
        </w:rPr>
        <w:t xml:space="preserve">, </w:t>
      </w:r>
      <w:r w:rsidRPr="000B16D5">
        <w:rPr>
          <w:rFonts w:asciiTheme="majorHAnsi" w:eastAsia="Times New Roman" w:hAnsiTheme="majorHAnsi" w:cs="Times New Roman"/>
          <w:i/>
          <w:iCs/>
        </w:rPr>
        <w:t>RBJ</w:t>
      </w:r>
      <w:r w:rsidRPr="000B16D5">
        <w:rPr>
          <w:rFonts w:asciiTheme="majorHAnsi" w:eastAsia="Times New Roman" w:hAnsiTheme="majorHAnsi" w:cs="Times New Roman"/>
        </w:rPr>
        <w:t>–</w:t>
      </w:r>
      <w:r w:rsidRPr="000B16D5">
        <w:rPr>
          <w:rFonts w:asciiTheme="majorHAnsi" w:eastAsia="Times New Roman" w:hAnsiTheme="majorHAnsi" w:cs="Times New Roman"/>
          <w:i/>
          <w:iCs/>
        </w:rPr>
        <w:t>ADCY3</w:t>
      </w:r>
      <w:r w:rsidRPr="000B16D5">
        <w:rPr>
          <w:rFonts w:asciiTheme="majorHAnsi" w:eastAsia="Times New Roman" w:hAnsiTheme="majorHAnsi" w:cs="Times New Roman"/>
        </w:rPr>
        <w:t>–</w:t>
      </w:r>
      <w:r w:rsidRPr="000B16D5">
        <w:rPr>
          <w:rFonts w:asciiTheme="majorHAnsi" w:eastAsia="Times New Roman" w:hAnsiTheme="majorHAnsi" w:cs="Times New Roman"/>
          <w:i/>
          <w:iCs/>
        </w:rPr>
        <w:t>POMC</w:t>
      </w:r>
      <w:r w:rsidRPr="000B16D5">
        <w:rPr>
          <w:rFonts w:asciiTheme="majorHAnsi" w:eastAsia="Times New Roman" w:hAnsiTheme="majorHAnsi" w:cs="Times New Roman"/>
        </w:rPr>
        <w:t xml:space="preserve"> a </w:t>
      </w:r>
      <w:r w:rsidRPr="000B16D5">
        <w:rPr>
          <w:rFonts w:asciiTheme="majorHAnsi" w:eastAsia="Times New Roman" w:hAnsiTheme="majorHAnsi" w:cs="Times New Roman"/>
          <w:i/>
          <w:iCs/>
        </w:rPr>
        <w:t>MTCH2</w:t>
      </w:r>
      <w:r w:rsidRPr="000B16D5">
        <w:rPr>
          <w:rFonts w:asciiTheme="majorHAnsi" w:eastAsia="Times New Roman" w:hAnsiTheme="majorHAnsi" w:cs="Times New Roman"/>
        </w:rPr>
        <w:t>–</w:t>
      </w:r>
      <w:r w:rsidRPr="000B16D5">
        <w:rPr>
          <w:rFonts w:asciiTheme="majorHAnsi" w:eastAsia="Times New Roman" w:hAnsiTheme="majorHAnsi" w:cs="Times New Roman"/>
          <w:i/>
          <w:iCs/>
        </w:rPr>
        <w:t xml:space="preserve">NDUFS3) </w:t>
      </w:r>
      <w:r w:rsidRPr="000B16D5">
        <w:rPr>
          <w:rFonts w:asciiTheme="majorHAnsi" w:eastAsia="Times New Roman" w:hAnsiTheme="majorHAnsi" w:cs="Times New Roman"/>
          <w:iCs/>
        </w:rPr>
        <w:t>vykázaly ve studiích individuální asociaci s výškou [90].</w:t>
      </w:r>
      <w:r w:rsidRPr="000B16D5">
        <w:rPr>
          <w:rFonts w:asciiTheme="majorHAnsi" w:eastAsia="Times New Roman" w:hAnsiTheme="majorHAnsi" w:cs="Times New Roman"/>
        </w:rPr>
        <w:t xml:space="preserve"> Účinek některých alel v blízkosti nebo v rámci POMC a MC4R genů (které jsou považovány za typické kandidátní geny pro tělesnou hmotnost) je spojen i se zvýšenou či sníženou výškou, což je opět analogické účinku vzácných populačních </w:t>
      </w:r>
      <w:r w:rsidR="00950A3E" w:rsidRPr="000B16D5">
        <w:rPr>
          <w:rFonts w:asciiTheme="majorHAnsi" w:eastAsia="Times New Roman" w:hAnsiTheme="majorHAnsi" w:cs="Times New Roman"/>
        </w:rPr>
        <w:t>variant v POMC</w:t>
      </w:r>
      <w:r w:rsidRPr="000B16D5">
        <w:rPr>
          <w:rFonts w:asciiTheme="majorHAnsi" w:eastAsia="Times New Roman" w:hAnsiTheme="majorHAnsi" w:cs="Times New Roman"/>
        </w:rPr>
        <w:t xml:space="preserve"> a MC4R genu na výšku i hmotnost [91].</w:t>
      </w:r>
    </w:p>
    <w:p w:rsidR="00520D6A" w:rsidRPr="000B16D5" w:rsidRDefault="00520D6A" w:rsidP="009F53ED">
      <w:pPr>
        <w:pStyle w:val="Nadpispodkapitoly"/>
        <w:rPr>
          <w:rFonts w:asciiTheme="majorHAnsi" w:eastAsia="Arial Unicode MS" w:hAnsiTheme="majorHAnsi"/>
        </w:rPr>
      </w:pPr>
      <w:bookmarkStart w:id="51" w:name="_Toc380240619"/>
      <w:r w:rsidRPr="000B16D5">
        <w:rPr>
          <w:rFonts w:asciiTheme="majorHAnsi" w:eastAsia="Arial Unicode MS" w:hAnsiTheme="majorHAnsi"/>
        </w:rPr>
        <w:t>„Chybějící dědičnost u obezity“</w:t>
      </w:r>
      <w:bookmarkEnd w:id="51"/>
    </w:p>
    <w:p w:rsidR="00520D6A" w:rsidRPr="000B16D5" w:rsidRDefault="00520D6A" w:rsidP="008316BA">
      <w:pPr>
        <w:pStyle w:val="Normlnweb"/>
        <w:spacing w:line="276" w:lineRule="auto"/>
        <w:jc w:val="both"/>
        <w:rPr>
          <w:rFonts w:asciiTheme="majorHAnsi" w:hAnsiTheme="majorHAnsi"/>
          <w:sz w:val="22"/>
          <w:szCs w:val="22"/>
        </w:rPr>
      </w:pPr>
      <w:r w:rsidRPr="000B16D5">
        <w:rPr>
          <w:rFonts w:asciiTheme="majorHAnsi" w:hAnsiTheme="majorHAnsi"/>
          <w:sz w:val="22"/>
          <w:szCs w:val="22"/>
        </w:rPr>
        <w:t>Běžné varianty, které odhalilo testování pomocí GWAS, mají velmi mírnou velikost účinku (relativní riziko na alelu se pohybuje mezi 1,2 až 1,5, tj. tyto varianty zvyšují riziko obezity o 20 až 50</w:t>
      </w:r>
      <w:r w:rsidR="0005786A" w:rsidRPr="000B16D5">
        <w:rPr>
          <w:rFonts w:asciiTheme="majorHAnsi" w:hAnsiTheme="majorHAnsi"/>
          <w:sz w:val="22"/>
          <w:szCs w:val="22"/>
        </w:rPr>
        <w:t xml:space="preserve"> </w:t>
      </w:r>
      <w:r w:rsidRPr="000B16D5">
        <w:rPr>
          <w:rFonts w:asciiTheme="majorHAnsi" w:hAnsiTheme="majorHAnsi"/>
          <w:sz w:val="22"/>
          <w:szCs w:val="22"/>
        </w:rPr>
        <w:t>% oproti „zdravé“ alele) a zdá se, že genomické oblasti spojené s obezitou dle GWAS studií mají na celkové riziko obezity jen poměrně malý efekt (&lt;10</w:t>
      </w:r>
      <w:r w:rsidR="0005786A" w:rsidRPr="000B16D5">
        <w:rPr>
          <w:rFonts w:asciiTheme="majorHAnsi" w:hAnsiTheme="majorHAnsi"/>
          <w:sz w:val="22"/>
          <w:szCs w:val="22"/>
        </w:rPr>
        <w:t xml:space="preserve"> </w:t>
      </w:r>
      <w:r w:rsidRPr="000B16D5">
        <w:rPr>
          <w:rFonts w:asciiTheme="majorHAnsi" w:hAnsiTheme="majorHAnsi"/>
          <w:sz w:val="22"/>
          <w:szCs w:val="22"/>
        </w:rPr>
        <w:t xml:space="preserve">%). Existuje tedy možnost, že dědičnost znaků spojených s obezitou je uměle nadhodnocena, přičemž je velmi obtížné oddělit genetické varianty od účinků sdíleného prostředí, např. oddělit u dvojčat jejich sdílené genetické pozadí od účinků sdíleného intrauterinního prostředí. Vzhledem k tomu, že na základě dosud identifikovaných genetických variant nejsme schopni vysvětlit frekvenci obezity pozorovanou v populaci, byl zaveden pojem „chybějící dědičnost“. </w:t>
      </w:r>
    </w:p>
    <w:p w:rsidR="00520D6A" w:rsidRPr="000B16D5" w:rsidRDefault="00520D6A" w:rsidP="008316BA">
      <w:pPr>
        <w:pStyle w:val="Normlnweb"/>
        <w:spacing w:line="276" w:lineRule="auto"/>
        <w:jc w:val="both"/>
        <w:rPr>
          <w:rFonts w:asciiTheme="majorHAnsi" w:hAnsiTheme="majorHAnsi"/>
          <w:sz w:val="22"/>
          <w:szCs w:val="22"/>
        </w:rPr>
      </w:pPr>
      <w:r w:rsidRPr="000B16D5">
        <w:rPr>
          <w:rFonts w:asciiTheme="majorHAnsi" w:hAnsiTheme="majorHAnsi"/>
          <w:sz w:val="22"/>
          <w:szCs w:val="22"/>
        </w:rPr>
        <w:t>V současnosti se rozšiřuje názor, že při studiu multifaktoriálních, v populaci častých onemocnění není hypotéza „častá genetická varianta“ = „riziko onemocnění“ dostatečně silná, aby vysvětlila populační frekvenci dané nemoci, tj. část dědičnosti se jaksi „ztratí“. U obezity byly prokázány jak časté genetické varianty ovlivňující vnímavost vůči časté formě obezity, tak vysoce penetrující vzácné varianty ve stejných lokusech způsobující závažné formy obezity s časným nástupem (např. geny MC4R, SH2B1 a BDNF) [92</w:t>
      </w:r>
      <w:r w:rsidR="00FF299A" w:rsidRPr="000B16D5">
        <w:rPr>
          <w:rFonts w:asciiTheme="majorHAnsi" w:hAnsiTheme="majorHAnsi"/>
          <w:sz w:val="22"/>
          <w:szCs w:val="22"/>
        </w:rPr>
        <w:t>–</w:t>
      </w:r>
      <w:r w:rsidRPr="000B16D5">
        <w:rPr>
          <w:rFonts w:asciiTheme="majorHAnsi" w:hAnsiTheme="majorHAnsi"/>
          <w:sz w:val="22"/>
          <w:szCs w:val="22"/>
        </w:rPr>
        <w:t xml:space="preserve">94], ale žádná z těchto variant není pravděpodobně zodpovědná </w:t>
      </w:r>
      <w:r w:rsidR="00950A3E" w:rsidRPr="000B16D5">
        <w:rPr>
          <w:rFonts w:asciiTheme="majorHAnsi" w:hAnsiTheme="majorHAnsi"/>
          <w:sz w:val="22"/>
          <w:szCs w:val="22"/>
        </w:rPr>
        <w:t xml:space="preserve">za </w:t>
      </w:r>
      <w:r w:rsidRPr="000B16D5">
        <w:rPr>
          <w:rFonts w:asciiTheme="majorHAnsi" w:hAnsiTheme="majorHAnsi"/>
          <w:sz w:val="22"/>
          <w:szCs w:val="22"/>
        </w:rPr>
        <w:t>celkovou incidenci obezity, kterou pozorujeme v rozvinutých zemích. Současné techniky identifikace vzácných genetických variant spoléhají na technologii sekvenování další generac</w:t>
      </w:r>
      <w:r w:rsidR="00015235" w:rsidRPr="000B16D5">
        <w:rPr>
          <w:rFonts w:asciiTheme="majorHAnsi" w:hAnsiTheme="majorHAnsi"/>
          <w:sz w:val="22"/>
          <w:szCs w:val="22"/>
        </w:rPr>
        <w:t>e (next-generation sequencing)</w:t>
      </w:r>
      <w:r w:rsidRPr="000B16D5">
        <w:rPr>
          <w:rFonts w:asciiTheme="majorHAnsi" w:hAnsiTheme="majorHAnsi"/>
          <w:sz w:val="22"/>
          <w:szCs w:val="22"/>
        </w:rPr>
        <w:t>, kde jsou u konkrétního jedince identifikovány desítky tisíc kódujících variant. Nedá se říci, že by bylo tímto způsobem možné identifikovat všechny varianty, protože dochází k chybám ve čtení a různě „hustému“ pokrytí testovaných oblastí, takže některé „patologičtější“ varianty mohou testování i tak uniknout. Z toho důvodu je nutné ověřovat u každé takové varianty</w:t>
      </w:r>
      <w:r w:rsidR="00BF3E69" w:rsidRPr="000B16D5">
        <w:rPr>
          <w:rFonts w:asciiTheme="majorHAnsi" w:hAnsiTheme="majorHAnsi"/>
          <w:sz w:val="22"/>
          <w:szCs w:val="22"/>
        </w:rPr>
        <w:t xml:space="preserve"> i</w:t>
      </w:r>
      <w:r w:rsidRPr="000B16D5">
        <w:rPr>
          <w:rFonts w:asciiTheme="majorHAnsi" w:hAnsiTheme="majorHAnsi"/>
          <w:sz w:val="22"/>
          <w:szCs w:val="22"/>
        </w:rPr>
        <w:t xml:space="preserve"> její skutečný vliv na funkci genu, ve kterém leží. </w:t>
      </w:r>
    </w:p>
    <w:p w:rsidR="00520D6A" w:rsidRPr="000B16D5" w:rsidRDefault="00520D6A" w:rsidP="008316BA">
      <w:pPr>
        <w:pStyle w:val="Normlnweb"/>
        <w:spacing w:line="276" w:lineRule="auto"/>
        <w:jc w:val="both"/>
        <w:rPr>
          <w:rFonts w:asciiTheme="majorHAnsi" w:hAnsiTheme="majorHAnsi"/>
          <w:sz w:val="22"/>
          <w:szCs w:val="22"/>
        </w:rPr>
      </w:pPr>
      <w:r w:rsidRPr="000B16D5">
        <w:rPr>
          <w:rFonts w:asciiTheme="majorHAnsi" w:hAnsiTheme="majorHAnsi"/>
          <w:sz w:val="22"/>
          <w:szCs w:val="22"/>
        </w:rPr>
        <w:t xml:space="preserve">Téměř všechen výzkum genetického pozadí tělesné hmotnosti se zaměřuje na horní extrém distribuce tělesné hmotnosti v populaci, tj. na nadměrnou tělesnou hmotnost. Evoluční modely, zvířecí modely i analogie s některými chorobami ovšem naznačují, že hledání genů ovlivňujících tělesnou hmotnost by mohlo být racionálnější a efektivnější, kdyby se zabývalo i zkoumáním habituálně štíhlých jedinců, protože „štíhlost“ je pravděpodobně stejně stabilním i dědivým znakem jako obezita [95]. </w:t>
      </w:r>
    </w:p>
    <w:p w:rsidR="00520D6A" w:rsidRPr="000B16D5" w:rsidRDefault="00520D6A" w:rsidP="008316BA">
      <w:pPr>
        <w:pStyle w:val="Normlnweb"/>
        <w:spacing w:line="276" w:lineRule="auto"/>
        <w:jc w:val="both"/>
        <w:rPr>
          <w:rFonts w:asciiTheme="majorHAnsi" w:hAnsiTheme="majorHAnsi"/>
          <w:sz w:val="22"/>
          <w:szCs w:val="22"/>
        </w:rPr>
      </w:pPr>
      <w:r w:rsidRPr="000B16D5">
        <w:rPr>
          <w:rFonts w:asciiTheme="majorHAnsi" w:hAnsiTheme="majorHAnsi"/>
          <w:sz w:val="22"/>
          <w:szCs w:val="22"/>
        </w:rPr>
        <w:lastRenderedPageBreak/>
        <w:t>Aby bylo možné rozlišit čistě environmentální účinky od interakce mezi prostředím a epigenetickými a genetickými faktory, jsou v současnosti již k dispozici i celogenomové testy založené na měření rozdílů v epigenetických znacích. Tyto testy mohou být do budoucna velmi významné</w:t>
      </w:r>
      <w:r w:rsidR="00FD0B03" w:rsidRPr="000B16D5">
        <w:rPr>
          <w:rFonts w:asciiTheme="majorHAnsi" w:hAnsiTheme="majorHAnsi"/>
          <w:sz w:val="22"/>
          <w:szCs w:val="22"/>
        </w:rPr>
        <w:t>.</w:t>
      </w:r>
      <w:r w:rsidRPr="000B16D5">
        <w:rPr>
          <w:rFonts w:asciiTheme="majorHAnsi" w:hAnsiTheme="majorHAnsi"/>
          <w:sz w:val="22"/>
          <w:szCs w:val="22"/>
        </w:rPr>
        <w:t xml:space="preserve"> </w:t>
      </w:r>
      <w:r w:rsidR="00FD0B03" w:rsidRPr="000B16D5">
        <w:rPr>
          <w:rFonts w:asciiTheme="majorHAnsi" w:hAnsiTheme="majorHAnsi"/>
          <w:sz w:val="22"/>
          <w:szCs w:val="22"/>
        </w:rPr>
        <w:t xml:space="preserve">Například </w:t>
      </w:r>
      <w:r w:rsidR="006D5D5E" w:rsidRPr="000B16D5">
        <w:rPr>
          <w:rFonts w:asciiTheme="majorHAnsi" w:hAnsiTheme="majorHAnsi"/>
          <w:sz w:val="22"/>
          <w:szCs w:val="22"/>
        </w:rPr>
        <w:t xml:space="preserve">v případě těhotné matky </w:t>
      </w:r>
      <w:r w:rsidRPr="000B16D5">
        <w:rPr>
          <w:rFonts w:asciiTheme="majorHAnsi" w:hAnsiTheme="majorHAnsi"/>
          <w:sz w:val="22"/>
          <w:szCs w:val="22"/>
        </w:rPr>
        <w:t xml:space="preserve">má </w:t>
      </w:r>
      <w:r w:rsidR="006D5D5E" w:rsidRPr="000B16D5">
        <w:rPr>
          <w:rFonts w:asciiTheme="majorHAnsi" w:hAnsiTheme="majorHAnsi"/>
          <w:sz w:val="22"/>
          <w:szCs w:val="22"/>
        </w:rPr>
        <w:t xml:space="preserve">u primátů </w:t>
      </w:r>
      <w:r w:rsidRPr="000B16D5">
        <w:rPr>
          <w:rFonts w:asciiTheme="majorHAnsi" w:hAnsiTheme="majorHAnsi"/>
          <w:sz w:val="22"/>
          <w:szCs w:val="22"/>
        </w:rPr>
        <w:t xml:space="preserve">expozice stravě s vysokým obsahem tuků význam pro vznik metabolického onemocnění u potomstva, což je pravděpodobně způsobeno změnou epigenetických znaků u potomka (bez ohledu na jeho genetické vlohy). Význam těchto poznatků pro diagnostiku/terapii v současnosti není znám, ale jsou již k dispozici epidemiologické údaje, které říkají, že variabilně metylované oblasti se mezi jedinci liší, přičemž ale jednotlivé varianty jsou stabilně napříč populací korelovány např. s BMI. </w:t>
      </w:r>
    </w:p>
    <w:p w:rsidR="00520D6A" w:rsidRPr="000B16D5" w:rsidRDefault="00843885" w:rsidP="008316BA">
      <w:pPr>
        <w:autoSpaceDE w:val="0"/>
        <w:autoSpaceDN w:val="0"/>
        <w:adjustRightInd w:val="0"/>
        <w:spacing w:after="0"/>
        <w:jc w:val="both"/>
        <w:rPr>
          <w:rFonts w:asciiTheme="majorHAnsi" w:eastAsia="Arial Unicode MS" w:hAnsiTheme="majorHAnsi" w:cs="Arial Unicode MS"/>
          <w:b/>
          <w:bCs/>
        </w:rPr>
      </w:pPr>
      <w:r w:rsidRPr="000B16D5">
        <w:rPr>
          <w:rFonts w:asciiTheme="majorHAnsi" w:eastAsia="Arial Unicode MS" w:hAnsiTheme="majorHAnsi" w:cs="Arial Unicode MS"/>
          <w:b/>
          <w:bCs/>
        </w:rPr>
        <w:t>Význam</w:t>
      </w:r>
      <w:r w:rsidR="00F5313A" w:rsidRPr="000B16D5">
        <w:rPr>
          <w:rFonts w:asciiTheme="majorHAnsi" w:eastAsia="Arial Unicode MS" w:hAnsiTheme="majorHAnsi" w:cs="Arial Unicode MS"/>
          <w:b/>
          <w:bCs/>
        </w:rPr>
        <w:t xml:space="preserve"> </w:t>
      </w:r>
      <w:r w:rsidR="00520D6A" w:rsidRPr="000B16D5">
        <w:rPr>
          <w:rFonts w:asciiTheme="majorHAnsi" w:eastAsia="Arial Unicode MS" w:hAnsiTheme="majorHAnsi" w:cs="Arial Unicode MS"/>
          <w:b/>
          <w:bCs/>
        </w:rPr>
        <w:t xml:space="preserve">těchto poznatků </w:t>
      </w:r>
      <w:r w:rsidRPr="000B16D5">
        <w:rPr>
          <w:rFonts w:asciiTheme="majorHAnsi" w:eastAsia="Arial Unicode MS" w:hAnsiTheme="majorHAnsi" w:cs="Arial Unicode MS"/>
          <w:b/>
          <w:bCs/>
        </w:rPr>
        <w:t>pro</w:t>
      </w:r>
      <w:r w:rsidR="00F5313A" w:rsidRPr="000B16D5">
        <w:rPr>
          <w:rFonts w:asciiTheme="majorHAnsi" w:eastAsia="Arial Unicode MS" w:hAnsiTheme="majorHAnsi" w:cs="Arial Unicode MS"/>
          <w:b/>
          <w:bCs/>
        </w:rPr>
        <w:t xml:space="preserve"> </w:t>
      </w:r>
      <w:r w:rsidR="00520D6A" w:rsidRPr="000B16D5">
        <w:rPr>
          <w:rFonts w:asciiTheme="majorHAnsi" w:eastAsia="Arial Unicode MS" w:hAnsiTheme="majorHAnsi" w:cs="Arial Unicode MS"/>
          <w:b/>
          <w:bCs/>
        </w:rPr>
        <w:t>praxi v</w:t>
      </w:r>
      <w:r w:rsidRPr="000B16D5">
        <w:rPr>
          <w:rFonts w:asciiTheme="majorHAnsi" w:eastAsia="Arial Unicode MS" w:hAnsiTheme="majorHAnsi" w:cs="Arial Unicode MS"/>
          <w:b/>
          <w:bCs/>
        </w:rPr>
        <w:t> </w:t>
      </w:r>
      <w:r w:rsidR="00520D6A" w:rsidRPr="000B16D5">
        <w:rPr>
          <w:rFonts w:asciiTheme="majorHAnsi" w:eastAsia="Arial Unicode MS" w:hAnsiTheme="majorHAnsi" w:cs="Arial Unicode MS"/>
          <w:b/>
          <w:bCs/>
        </w:rPr>
        <w:t>současnosti</w:t>
      </w:r>
      <w:r w:rsidRPr="000B16D5">
        <w:rPr>
          <w:rFonts w:asciiTheme="majorHAnsi" w:eastAsia="Arial Unicode MS" w:hAnsiTheme="majorHAnsi" w:cs="Arial Unicode MS"/>
          <w:b/>
          <w:bCs/>
        </w:rPr>
        <w:t xml:space="preserve"> stále</w:t>
      </w:r>
      <w:r w:rsidR="00520D6A" w:rsidRPr="000B16D5">
        <w:rPr>
          <w:rFonts w:asciiTheme="majorHAnsi" w:eastAsia="Arial Unicode MS" w:hAnsiTheme="majorHAnsi" w:cs="Arial Unicode MS"/>
          <w:b/>
          <w:bCs/>
        </w:rPr>
        <w:t xml:space="preserve"> ještě není </w:t>
      </w:r>
      <w:r w:rsidRPr="000B16D5">
        <w:rPr>
          <w:rFonts w:asciiTheme="majorHAnsi" w:eastAsia="Arial Unicode MS" w:hAnsiTheme="majorHAnsi" w:cs="Arial Unicode MS"/>
          <w:b/>
          <w:bCs/>
        </w:rPr>
        <w:t>dostatečně úznáván</w:t>
      </w:r>
      <w:r w:rsidR="00520D6A" w:rsidRPr="000B16D5">
        <w:rPr>
          <w:rFonts w:asciiTheme="majorHAnsi" w:eastAsia="Arial Unicode MS" w:hAnsiTheme="majorHAnsi" w:cs="Arial Unicode MS"/>
          <w:b/>
          <w:bCs/>
        </w:rPr>
        <w:t xml:space="preserve">, ale lze očekávat, že pochopení vlivu epigenetických informací na transgenerační přenos vnímavosti vůči obezitě bude mít do budoucna zásadní význam pro diagnostiku </w:t>
      </w:r>
      <w:r w:rsidR="00F5313A" w:rsidRPr="000B16D5">
        <w:rPr>
          <w:rFonts w:asciiTheme="majorHAnsi" w:eastAsia="Arial Unicode MS" w:hAnsiTheme="majorHAnsi" w:cs="Arial Unicode MS"/>
          <w:b/>
          <w:bCs/>
        </w:rPr>
        <w:t xml:space="preserve">ohrožených </w:t>
      </w:r>
      <w:r w:rsidR="00520D6A" w:rsidRPr="000B16D5">
        <w:rPr>
          <w:rFonts w:asciiTheme="majorHAnsi" w:eastAsia="Arial Unicode MS" w:hAnsiTheme="majorHAnsi" w:cs="Arial Unicode MS"/>
          <w:b/>
          <w:bCs/>
        </w:rPr>
        <w:t>osob či pro vytvoření individuální terapeutického režimu pro rizikové pacienty s cílem jejich riziko minimalizovat.</w:t>
      </w:r>
    </w:p>
    <w:p w:rsidR="00520D6A" w:rsidRPr="000B16D5" w:rsidRDefault="00520D6A" w:rsidP="008316BA">
      <w:pPr>
        <w:autoSpaceDE w:val="0"/>
        <w:autoSpaceDN w:val="0"/>
        <w:adjustRightInd w:val="0"/>
        <w:spacing w:after="0"/>
        <w:jc w:val="both"/>
        <w:rPr>
          <w:rFonts w:asciiTheme="majorHAnsi" w:eastAsia="Arial Unicode MS" w:hAnsiTheme="majorHAnsi" w:cs="Arial Unicode MS"/>
          <w:b/>
          <w:bCs/>
          <w:sz w:val="24"/>
          <w:szCs w:val="24"/>
        </w:rPr>
      </w:pPr>
    </w:p>
    <w:p w:rsidR="00520D6A" w:rsidRPr="000B16D5" w:rsidRDefault="00520D6A" w:rsidP="00520D6A">
      <w:pPr>
        <w:jc w:val="both"/>
        <w:rPr>
          <w:rFonts w:asciiTheme="majorHAnsi" w:hAnsiTheme="majorHAnsi"/>
        </w:rPr>
      </w:pPr>
      <w:r w:rsidRPr="000B16D5">
        <w:rPr>
          <w:rFonts w:asciiTheme="majorHAnsi" w:hAnsiTheme="majorHAnsi"/>
        </w:rPr>
        <w:t>____________________________________________</w:t>
      </w:r>
    </w:p>
    <w:p w:rsidR="00520D6A" w:rsidRPr="000B16D5" w:rsidRDefault="00520D6A" w:rsidP="00520D6A">
      <w:pPr>
        <w:spacing w:after="0"/>
        <w:jc w:val="both"/>
        <w:rPr>
          <w:rFonts w:asciiTheme="majorHAnsi" w:hAnsiTheme="majorHAnsi"/>
          <w:b/>
          <w:sz w:val="20"/>
        </w:rPr>
      </w:pPr>
      <w:r w:rsidRPr="000B16D5">
        <w:rPr>
          <w:rFonts w:asciiTheme="majorHAnsi" w:hAnsiTheme="majorHAnsi"/>
          <w:b/>
          <w:sz w:val="20"/>
        </w:rPr>
        <w:t>Zdroje:</w:t>
      </w:r>
    </w:p>
    <w:p w:rsidR="00520D6A" w:rsidRPr="000B16D5" w:rsidRDefault="00520D6A" w:rsidP="00520D6A">
      <w:pPr>
        <w:pStyle w:val="Textkomente"/>
        <w:numPr>
          <w:ilvl w:val="0"/>
          <w:numId w:val="40"/>
        </w:numPr>
        <w:spacing w:after="0"/>
        <w:jc w:val="both"/>
        <w:rPr>
          <w:rStyle w:val="element-citation"/>
          <w:rFonts w:asciiTheme="majorHAnsi" w:hAnsiTheme="majorHAnsi"/>
          <w:sz w:val="16"/>
          <w:szCs w:val="16"/>
        </w:rPr>
        <w:sectPr w:rsidR="00520D6A" w:rsidRPr="000B16D5" w:rsidSect="00A2684E">
          <w:footerReference w:type="default" r:id="rId59"/>
          <w:type w:val="continuous"/>
          <w:pgSz w:w="11906" w:h="16838"/>
          <w:pgMar w:top="720" w:right="720" w:bottom="720" w:left="720" w:header="708" w:footer="708" w:gutter="0"/>
          <w:pgNumType w:start="39"/>
          <w:cols w:space="708"/>
          <w:titlePg/>
          <w:docGrid w:linePitch="360"/>
        </w:sectPr>
      </w:pP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Style w:val="element-citation"/>
          <w:rFonts w:asciiTheme="majorHAnsi" w:hAnsiTheme="majorHAnsi"/>
          <w:sz w:val="16"/>
          <w:szCs w:val="16"/>
        </w:rPr>
        <w:lastRenderedPageBreak/>
        <w:t xml:space="preserve">Kelly T., Yang W., Chen C.S., Reynolds K., He J. Global burden of obesity in 2005 and projections to 2030. </w:t>
      </w:r>
      <w:r w:rsidRPr="000B16D5">
        <w:rPr>
          <w:rStyle w:val="ref-journal"/>
          <w:rFonts w:asciiTheme="majorHAnsi" w:hAnsiTheme="majorHAnsi"/>
          <w:sz w:val="16"/>
          <w:szCs w:val="16"/>
        </w:rPr>
        <w:t xml:space="preserve">Int J Obes (Lond) </w:t>
      </w:r>
      <w:r w:rsidRPr="000B16D5">
        <w:rPr>
          <w:rStyle w:val="element-citation"/>
          <w:rFonts w:asciiTheme="majorHAnsi" w:hAnsiTheme="majorHAnsi"/>
          <w:sz w:val="16"/>
          <w:szCs w:val="16"/>
        </w:rPr>
        <w:t>2008;</w:t>
      </w:r>
      <w:r w:rsidRPr="000B16D5">
        <w:rPr>
          <w:rStyle w:val="ref-vol"/>
          <w:rFonts w:asciiTheme="majorHAnsi" w:hAnsiTheme="majorHAnsi"/>
          <w:sz w:val="16"/>
          <w:szCs w:val="16"/>
        </w:rPr>
        <w:t>32</w:t>
      </w:r>
      <w:r w:rsidRPr="000B16D5">
        <w:rPr>
          <w:rStyle w:val="element-citation"/>
          <w:rFonts w:asciiTheme="majorHAnsi" w:hAnsiTheme="majorHAnsi"/>
          <w:sz w:val="16"/>
          <w:szCs w:val="16"/>
        </w:rPr>
        <w:t xml:space="preserve">(September (9)):1431–1437. </w:t>
      </w:r>
    </w:p>
    <w:p w:rsidR="00520D6A" w:rsidRPr="000B16D5" w:rsidRDefault="00520D6A" w:rsidP="00520D6A">
      <w:pPr>
        <w:pStyle w:val="Textkomente"/>
        <w:numPr>
          <w:ilvl w:val="0"/>
          <w:numId w:val="40"/>
        </w:numPr>
        <w:spacing w:after="0"/>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Flegal K.M., Graubard B.I., Williamson D.F., Gail M.H. Cause-specific excess deaths associated with underweight, overweight, and obesity. </w:t>
      </w:r>
      <w:r w:rsidRPr="000B16D5">
        <w:rPr>
          <w:rStyle w:val="ref-journal"/>
          <w:rFonts w:asciiTheme="majorHAnsi" w:hAnsiTheme="majorHAnsi"/>
          <w:sz w:val="16"/>
          <w:szCs w:val="16"/>
        </w:rPr>
        <w:t xml:space="preserve">JAMA. </w:t>
      </w:r>
      <w:r w:rsidRPr="000B16D5">
        <w:rPr>
          <w:rStyle w:val="element-citation"/>
          <w:rFonts w:asciiTheme="majorHAnsi" w:hAnsiTheme="majorHAnsi"/>
          <w:sz w:val="16"/>
          <w:szCs w:val="16"/>
        </w:rPr>
        <w:t>2007;</w:t>
      </w:r>
      <w:r w:rsidRPr="000B16D5">
        <w:rPr>
          <w:rStyle w:val="ref-vol"/>
          <w:rFonts w:asciiTheme="majorHAnsi" w:hAnsiTheme="majorHAnsi"/>
          <w:sz w:val="16"/>
          <w:szCs w:val="16"/>
        </w:rPr>
        <w:t>298</w:t>
      </w:r>
      <w:r w:rsidRPr="000B16D5">
        <w:rPr>
          <w:rStyle w:val="element-citation"/>
          <w:rFonts w:asciiTheme="majorHAnsi" w:hAnsiTheme="majorHAnsi"/>
          <w:sz w:val="16"/>
          <w:szCs w:val="16"/>
        </w:rPr>
        <w:t xml:space="preserve">(November (17)):2028–2037. </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iCs/>
          <w:sz w:val="16"/>
          <w:szCs w:val="16"/>
        </w:rPr>
      </w:pPr>
      <w:r w:rsidRPr="000B16D5">
        <w:rPr>
          <w:rFonts w:asciiTheme="majorHAnsi" w:hAnsiTheme="majorHAnsi" w:cs="Arial"/>
          <w:sz w:val="16"/>
          <w:szCs w:val="16"/>
        </w:rPr>
        <w:t>Feinleib M., Garrison R.J., Fabsitz R., Christian J.C., Hrubec Z., Borhani N.O., Kannel W.B., Rosenman R., Schwartz J.T., Wagner J.O</w:t>
      </w:r>
      <w:r w:rsidRPr="000B16D5">
        <w:rPr>
          <w:rFonts w:asciiTheme="majorHAnsi" w:hAnsiTheme="majorHAnsi" w:cs="Arial"/>
          <w:i/>
          <w:iCs/>
          <w:sz w:val="16"/>
          <w:szCs w:val="16"/>
        </w:rPr>
        <w:t xml:space="preserve">. </w:t>
      </w:r>
      <w:r w:rsidRPr="000B16D5">
        <w:rPr>
          <w:rFonts w:asciiTheme="majorHAnsi" w:hAnsiTheme="majorHAnsi" w:cs="Arial"/>
          <w:iCs/>
          <w:sz w:val="16"/>
          <w:szCs w:val="16"/>
        </w:rPr>
        <w:t>The NHLBI twin study of</w:t>
      </w:r>
    </w:p>
    <w:p w:rsidR="00520D6A" w:rsidRPr="000B16D5" w:rsidRDefault="00520D6A" w:rsidP="00520D6A">
      <w:pPr>
        <w:autoSpaceDE w:val="0"/>
        <w:autoSpaceDN w:val="0"/>
        <w:adjustRightInd w:val="0"/>
        <w:spacing w:after="0" w:line="240" w:lineRule="auto"/>
        <w:ind w:firstLine="708"/>
        <w:jc w:val="both"/>
        <w:rPr>
          <w:rFonts w:asciiTheme="majorHAnsi" w:hAnsiTheme="majorHAnsi" w:cs="Arial"/>
          <w:iCs/>
          <w:sz w:val="16"/>
          <w:szCs w:val="16"/>
        </w:rPr>
      </w:pPr>
      <w:r w:rsidRPr="000B16D5">
        <w:rPr>
          <w:rFonts w:asciiTheme="majorHAnsi" w:hAnsiTheme="majorHAnsi" w:cs="Arial"/>
          <w:iCs/>
          <w:sz w:val="16"/>
          <w:szCs w:val="16"/>
        </w:rPr>
        <w:t xml:space="preserve">cardiovascular disease risk factors: methodology and </w:t>
      </w:r>
    </w:p>
    <w:p w:rsidR="00520D6A" w:rsidRPr="000B16D5" w:rsidRDefault="00520D6A" w:rsidP="00520D6A">
      <w:pPr>
        <w:autoSpaceDE w:val="0"/>
        <w:autoSpaceDN w:val="0"/>
        <w:adjustRightInd w:val="0"/>
        <w:spacing w:after="0" w:line="240" w:lineRule="auto"/>
        <w:ind w:firstLine="708"/>
        <w:jc w:val="both"/>
        <w:rPr>
          <w:rFonts w:asciiTheme="majorHAnsi" w:hAnsiTheme="majorHAnsi" w:cs="Arial"/>
          <w:sz w:val="16"/>
          <w:szCs w:val="16"/>
        </w:rPr>
      </w:pPr>
      <w:r w:rsidRPr="000B16D5">
        <w:rPr>
          <w:rFonts w:asciiTheme="majorHAnsi" w:hAnsiTheme="majorHAnsi" w:cs="Arial"/>
          <w:iCs/>
          <w:sz w:val="16"/>
          <w:szCs w:val="16"/>
        </w:rPr>
        <w:t>summary of results.</w:t>
      </w:r>
      <w:r w:rsidRPr="000B16D5">
        <w:rPr>
          <w:rFonts w:asciiTheme="majorHAnsi" w:hAnsiTheme="majorHAnsi" w:cs="Arial"/>
          <w:i/>
          <w:iCs/>
          <w:sz w:val="16"/>
          <w:szCs w:val="16"/>
        </w:rPr>
        <w:t xml:space="preserve"> </w:t>
      </w:r>
      <w:r w:rsidRPr="000B16D5">
        <w:rPr>
          <w:rFonts w:asciiTheme="majorHAnsi" w:hAnsiTheme="majorHAnsi" w:cs="Arial"/>
          <w:sz w:val="16"/>
          <w:szCs w:val="16"/>
        </w:rPr>
        <w:t>Am J Epidemiol 1977;106:284–285.</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sz w:val="16"/>
          <w:szCs w:val="16"/>
        </w:rPr>
      </w:pPr>
      <w:r w:rsidRPr="000B16D5">
        <w:rPr>
          <w:rFonts w:asciiTheme="majorHAnsi" w:hAnsiTheme="majorHAnsi" w:cs="Arial"/>
          <w:sz w:val="16"/>
          <w:szCs w:val="16"/>
        </w:rPr>
        <w:t xml:space="preserve">Stunkard A.J., Foch T.T., Hrubec Z. </w:t>
      </w:r>
      <w:r w:rsidRPr="000B16D5">
        <w:rPr>
          <w:rFonts w:asciiTheme="majorHAnsi" w:hAnsiTheme="majorHAnsi" w:cs="Arial"/>
          <w:iCs/>
          <w:sz w:val="16"/>
          <w:szCs w:val="16"/>
        </w:rPr>
        <w:t>A twin study of human obesity.</w:t>
      </w:r>
      <w:r w:rsidRPr="000B16D5">
        <w:rPr>
          <w:rFonts w:asciiTheme="majorHAnsi" w:hAnsiTheme="majorHAnsi" w:cs="Arial"/>
          <w:i/>
          <w:iCs/>
          <w:sz w:val="16"/>
          <w:szCs w:val="16"/>
        </w:rPr>
        <w:t xml:space="preserve"> </w:t>
      </w:r>
      <w:r w:rsidRPr="000B16D5">
        <w:rPr>
          <w:rFonts w:asciiTheme="majorHAnsi" w:hAnsiTheme="majorHAnsi" w:cs="Arial"/>
          <w:sz w:val="16"/>
          <w:szCs w:val="16"/>
        </w:rPr>
        <w:t>J Am Med Assoc 1986; 256:51–54.</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Stunkard A.J., Sørensen T.I., Hanis C., Teasdale T.W., Chakraborty R., Schull W.J.,Schulsinger F. </w:t>
      </w:r>
      <w:r w:rsidRPr="000B16D5">
        <w:rPr>
          <w:rFonts w:asciiTheme="majorHAnsi" w:hAnsiTheme="majorHAnsi" w:cs="Arial"/>
          <w:iCs/>
          <w:sz w:val="16"/>
          <w:szCs w:val="16"/>
        </w:rPr>
        <w:t>An adoption study of human obesity</w:t>
      </w:r>
      <w:r w:rsidRPr="000B16D5">
        <w:rPr>
          <w:rFonts w:asciiTheme="majorHAnsi" w:hAnsiTheme="majorHAnsi" w:cs="Arial"/>
          <w:sz w:val="16"/>
          <w:szCs w:val="16"/>
        </w:rPr>
        <w:t>. N Engl J Med. 1986;314:193-8.</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sz w:val="16"/>
          <w:szCs w:val="16"/>
        </w:rPr>
      </w:pPr>
      <w:r w:rsidRPr="000B16D5">
        <w:rPr>
          <w:rFonts w:asciiTheme="majorHAnsi" w:hAnsiTheme="majorHAnsi" w:cs="Arial"/>
          <w:sz w:val="16"/>
          <w:szCs w:val="16"/>
        </w:rPr>
        <w:t xml:space="preserve">Stunkard A.J., Harris J.R., Pedersen N.L., McClearn G.E. </w:t>
      </w:r>
      <w:r w:rsidRPr="000B16D5">
        <w:rPr>
          <w:rFonts w:asciiTheme="majorHAnsi" w:hAnsiTheme="majorHAnsi" w:cs="Arial"/>
          <w:iCs/>
          <w:sz w:val="16"/>
          <w:szCs w:val="16"/>
        </w:rPr>
        <w:t>The body-mass index of twins who have been reared apart</w:t>
      </w:r>
      <w:r w:rsidRPr="000B16D5">
        <w:rPr>
          <w:rFonts w:asciiTheme="majorHAnsi" w:hAnsiTheme="majorHAnsi" w:cs="Arial"/>
          <w:sz w:val="16"/>
          <w:szCs w:val="16"/>
        </w:rPr>
        <w:t>. N Engl J Med 1990; 322:1483–1487.</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eastAsia="Arial Unicode MS" w:hAnsiTheme="majorHAnsi" w:cs="Arial Unicode MS"/>
          <w:b/>
          <w:bCs/>
          <w:sz w:val="16"/>
          <w:szCs w:val="16"/>
        </w:rPr>
      </w:pPr>
      <w:r w:rsidRPr="000B16D5">
        <w:rPr>
          <w:rFonts w:asciiTheme="majorHAnsi" w:hAnsiTheme="majorHAnsi" w:cs="Arial"/>
          <w:sz w:val="16"/>
          <w:szCs w:val="16"/>
        </w:rPr>
        <w:t xml:space="preserve">Hasstedt S.J., Ramirez M.E., Kuida H., Williams R.R. </w:t>
      </w:r>
      <w:r w:rsidRPr="000B16D5">
        <w:rPr>
          <w:rFonts w:asciiTheme="majorHAnsi" w:hAnsiTheme="majorHAnsi" w:cs="Arial"/>
          <w:iCs/>
          <w:sz w:val="16"/>
          <w:szCs w:val="16"/>
        </w:rPr>
        <w:t>Recessive inheritance of a relative fat pattern</w:t>
      </w:r>
      <w:r w:rsidRPr="000B16D5">
        <w:rPr>
          <w:rFonts w:asciiTheme="majorHAnsi" w:hAnsiTheme="majorHAnsi" w:cs="Arial"/>
          <w:sz w:val="16"/>
          <w:szCs w:val="16"/>
        </w:rPr>
        <w:t>. Am J Hum Genet 1989;45:917–925.</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Selby J.V., Newman B., Quesenberry C.P. Jr., Fabsitz R.R., King M.C., Meaney F.J. </w:t>
      </w:r>
      <w:r w:rsidRPr="000B16D5">
        <w:rPr>
          <w:rFonts w:asciiTheme="majorHAnsi" w:hAnsiTheme="majorHAnsi" w:cs="Arial"/>
          <w:iCs/>
          <w:sz w:val="16"/>
          <w:szCs w:val="16"/>
        </w:rPr>
        <w:t>Evidence of genetic influence on central body fat in middle-aged twins</w:t>
      </w:r>
      <w:r w:rsidRPr="000B16D5">
        <w:rPr>
          <w:rFonts w:asciiTheme="majorHAnsi" w:hAnsiTheme="majorHAnsi" w:cs="Arial"/>
          <w:sz w:val="16"/>
          <w:szCs w:val="16"/>
        </w:rPr>
        <w:t>. Hum Biol</w:t>
      </w:r>
    </w:p>
    <w:p w:rsidR="00520D6A" w:rsidRPr="000B16D5" w:rsidRDefault="00520D6A" w:rsidP="00520D6A">
      <w:pPr>
        <w:spacing w:after="0"/>
        <w:ind w:firstLine="708"/>
        <w:jc w:val="both"/>
        <w:rPr>
          <w:rFonts w:asciiTheme="majorHAnsi" w:hAnsiTheme="majorHAnsi" w:cs="Arial"/>
          <w:sz w:val="16"/>
          <w:szCs w:val="16"/>
        </w:rPr>
      </w:pPr>
      <w:r w:rsidRPr="000B16D5">
        <w:rPr>
          <w:rFonts w:asciiTheme="majorHAnsi" w:hAnsiTheme="majorHAnsi" w:cs="Arial"/>
          <w:sz w:val="16"/>
          <w:szCs w:val="16"/>
        </w:rPr>
        <w:t>1989;61:179-94.</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Pietiläinen K.H., Kaprio J., Rissanen A., Winter T., Rimpelä A., Viken R.J., Rose R.J. </w:t>
      </w:r>
      <w:r w:rsidRPr="000B16D5">
        <w:rPr>
          <w:rFonts w:asciiTheme="majorHAnsi" w:hAnsiTheme="majorHAnsi" w:cs="Arial"/>
          <w:iCs/>
          <w:sz w:val="16"/>
          <w:szCs w:val="16"/>
        </w:rPr>
        <w:t>Distribution and heritability of BMI in Finnish adolescents aged 16y and 17y: a study of 4884 twins and 2509 singletons</w:t>
      </w:r>
      <w:r w:rsidRPr="000B16D5">
        <w:rPr>
          <w:rFonts w:asciiTheme="majorHAnsi" w:hAnsiTheme="majorHAnsi" w:cs="Arial"/>
          <w:sz w:val="16"/>
          <w:szCs w:val="16"/>
        </w:rPr>
        <w:t>. Int J Obes Relat Metab Disord 1999;23:107–115.</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Koeppen-Schomerus G., Wardle J., Plomin R. </w:t>
      </w:r>
      <w:r w:rsidRPr="000B16D5">
        <w:rPr>
          <w:rFonts w:asciiTheme="majorHAnsi" w:hAnsiTheme="majorHAnsi" w:cs="Arial"/>
          <w:iCs/>
          <w:sz w:val="16"/>
          <w:szCs w:val="16"/>
        </w:rPr>
        <w:t xml:space="preserve">A genetic analysis of weight and overweight in 4-year-old twin pairs. </w:t>
      </w:r>
      <w:r w:rsidRPr="000B16D5">
        <w:rPr>
          <w:rFonts w:asciiTheme="majorHAnsi" w:hAnsiTheme="majorHAnsi" w:cs="Arial"/>
          <w:sz w:val="16"/>
          <w:szCs w:val="16"/>
        </w:rPr>
        <w:t>Int J Obes Relat Metab Disord 2001; 25:838–844.</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sz w:val="16"/>
          <w:szCs w:val="16"/>
        </w:rPr>
      </w:pPr>
      <w:r w:rsidRPr="000B16D5">
        <w:rPr>
          <w:rFonts w:asciiTheme="majorHAnsi" w:hAnsiTheme="majorHAnsi" w:cs="Arial"/>
          <w:sz w:val="16"/>
          <w:szCs w:val="16"/>
        </w:rPr>
        <w:t xml:space="preserve">Katzmarzyk P.T., Malina R.M., Pérusse L., Rice T., Province M.A., Rao D.C., Bouchard C. </w:t>
      </w:r>
      <w:r w:rsidRPr="000B16D5">
        <w:rPr>
          <w:rFonts w:asciiTheme="majorHAnsi" w:hAnsiTheme="majorHAnsi" w:cs="Arial"/>
          <w:iCs/>
          <w:sz w:val="16"/>
          <w:szCs w:val="16"/>
        </w:rPr>
        <w:t>Familial resemblance in fatness and fat distribution</w:t>
      </w:r>
      <w:r w:rsidRPr="000B16D5">
        <w:rPr>
          <w:rFonts w:asciiTheme="majorHAnsi" w:hAnsiTheme="majorHAnsi" w:cs="Arial"/>
          <w:sz w:val="16"/>
          <w:szCs w:val="16"/>
        </w:rPr>
        <w:t>. Am J Hum Biol 2000;12:395-404.</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Bouchard C., Tremblay A., Després J.P., Nadeau A., Lupien P.J., Thériault G., Dussault J., Moorjani S., Pinault S., Fournier G. </w:t>
      </w:r>
      <w:r w:rsidRPr="000B16D5">
        <w:rPr>
          <w:rFonts w:asciiTheme="majorHAnsi" w:hAnsiTheme="majorHAnsi" w:cs="Arial"/>
          <w:iCs/>
          <w:sz w:val="16"/>
          <w:szCs w:val="16"/>
        </w:rPr>
        <w:t>The response to long-term overfeeding in identical twins</w:t>
      </w:r>
      <w:r w:rsidRPr="000B16D5">
        <w:rPr>
          <w:rFonts w:asciiTheme="majorHAnsi" w:hAnsiTheme="majorHAnsi" w:cs="Arial"/>
          <w:i/>
          <w:iCs/>
          <w:sz w:val="16"/>
          <w:szCs w:val="16"/>
        </w:rPr>
        <w:t xml:space="preserve">. </w:t>
      </w:r>
      <w:r w:rsidRPr="000B16D5">
        <w:rPr>
          <w:rFonts w:asciiTheme="majorHAnsi" w:hAnsiTheme="majorHAnsi" w:cs="Arial"/>
          <w:sz w:val="16"/>
          <w:szCs w:val="16"/>
        </w:rPr>
        <w:t>N Engl J Med 1990;24:1477-82.</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Hainer V., Stunkard A., Kunesová M., Parízková J., Stich V., Allison D.B. </w:t>
      </w:r>
      <w:r w:rsidRPr="000B16D5">
        <w:rPr>
          <w:rFonts w:asciiTheme="majorHAnsi" w:hAnsiTheme="majorHAnsi" w:cs="Arial"/>
          <w:iCs/>
          <w:sz w:val="16"/>
          <w:szCs w:val="16"/>
        </w:rPr>
        <w:t xml:space="preserve">A twin study of weight loss and metabolit efficiency. </w:t>
      </w:r>
      <w:r w:rsidRPr="000B16D5">
        <w:rPr>
          <w:rFonts w:asciiTheme="majorHAnsi" w:hAnsiTheme="majorHAnsi" w:cs="Arial"/>
          <w:sz w:val="16"/>
          <w:szCs w:val="16"/>
        </w:rPr>
        <w:t>Int J Obes Relat Metab Disord 2001;25:533–537.</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iCs/>
          <w:sz w:val="16"/>
          <w:szCs w:val="16"/>
        </w:rPr>
      </w:pPr>
      <w:r w:rsidRPr="000B16D5">
        <w:rPr>
          <w:rFonts w:asciiTheme="majorHAnsi" w:hAnsiTheme="majorHAnsi" w:cs="Arial"/>
          <w:sz w:val="16"/>
          <w:szCs w:val="16"/>
        </w:rPr>
        <w:t xml:space="preserve">Faith M.S., Keller K.L., Johnson S.L., Pietrobelli A., Matz P.E., Must S., Jorge M.A., Cooperberg J., Heymsfield S.B., Allison D.B. </w:t>
      </w:r>
      <w:r w:rsidRPr="000B16D5">
        <w:rPr>
          <w:rFonts w:asciiTheme="majorHAnsi" w:hAnsiTheme="majorHAnsi" w:cs="Arial"/>
          <w:iCs/>
          <w:sz w:val="16"/>
          <w:szCs w:val="16"/>
        </w:rPr>
        <w:t>Familial aggregation of energy intake</w:t>
      </w:r>
    </w:p>
    <w:p w:rsidR="00520D6A" w:rsidRPr="000B16D5" w:rsidRDefault="00520D6A" w:rsidP="00520D6A">
      <w:pPr>
        <w:pStyle w:val="Textkomente"/>
        <w:spacing w:after="0"/>
        <w:ind w:firstLine="708"/>
        <w:jc w:val="both"/>
        <w:rPr>
          <w:rFonts w:asciiTheme="majorHAnsi" w:hAnsiTheme="majorHAnsi" w:cs="Arial"/>
          <w:sz w:val="16"/>
          <w:szCs w:val="16"/>
        </w:rPr>
      </w:pPr>
      <w:r w:rsidRPr="000B16D5">
        <w:rPr>
          <w:rFonts w:asciiTheme="majorHAnsi" w:hAnsiTheme="majorHAnsi" w:cs="Arial"/>
          <w:iCs/>
          <w:sz w:val="16"/>
          <w:szCs w:val="16"/>
        </w:rPr>
        <w:t>in children</w:t>
      </w:r>
      <w:r w:rsidRPr="000B16D5">
        <w:rPr>
          <w:rFonts w:asciiTheme="majorHAnsi" w:hAnsiTheme="majorHAnsi" w:cs="Arial"/>
          <w:i/>
          <w:iCs/>
          <w:sz w:val="16"/>
          <w:szCs w:val="16"/>
        </w:rPr>
        <w:t xml:space="preserve">. </w:t>
      </w:r>
      <w:r w:rsidRPr="000B16D5">
        <w:rPr>
          <w:rFonts w:asciiTheme="majorHAnsi" w:hAnsiTheme="majorHAnsi" w:cs="Arial"/>
          <w:sz w:val="16"/>
          <w:szCs w:val="16"/>
        </w:rPr>
        <w:t>Am J Clin Nutr 2004;79:844-50.</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Williams R.C., Long J.C., Hanson R.L., Sievers M.L., Knowler W.C. </w:t>
      </w:r>
      <w:r w:rsidRPr="000B16D5">
        <w:rPr>
          <w:rFonts w:asciiTheme="majorHAnsi" w:hAnsiTheme="majorHAnsi" w:cs="Arial"/>
          <w:iCs/>
          <w:sz w:val="16"/>
          <w:szCs w:val="16"/>
        </w:rPr>
        <w:t xml:space="preserve">Individual </w:t>
      </w:r>
      <w:r w:rsidRPr="000B16D5">
        <w:rPr>
          <w:rFonts w:asciiTheme="majorHAnsi" w:hAnsiTheme="majorHAnsi" w:cs="Arial"/>
          <w:sz w:val="16"/>
          <w:szCs w:val="16"/>
        </w:rPr>
        <w:t xml:space="preserve">estimates </w:t>
      </w:r>
      <w:r w:rsidRPr="000B16D5">
        <w:rPr>
          <w:rFonts w:asciiTheme="majorHAnsi" w:hAnsiTheme="majorHAnsi" w:cs="Arial"/>
          <w:iCs/>
          <w:sz w:val="16"/>
          <w:szCs w:val="16"/>
        </w:rPr>
        <w:t>of European genetic admixture associated with lower body-mass index, plasma glucose, and prevalence of type 2 diabetes in Pima Indians</w:t>
      </w:r>
      <w:r w:rsidRPr="000B16D5">
        <w:rPr>
          <w:rFonts w:asciiTheme="majorHAnsi" w:hAnsiTheme="majorHAnsi" w:cs="Arial"/>
          <w:sz w:val="16"/>
          <w:szCs w:val="16"/>
        </w:rPr>
        <w:t>. Am J Hum Genet 2000;66:527–538.</w:t>
      </w:r>
    </w:p>
    <w:p w:rsidR="00520D6A" w:rsidRPr="000B16D5" w:rsidRDefault="00520D6A" w:rsidP="00520D6A">
      <w:pPr>
        <w:pStyle w:val="Odstavecseseznamem"/>
        <w:numPr>
          <w:ilvl w:val="0"/>
          <w:numId w:val="40"/>
        </w:numPr>
        <w:spacing w:after="0" w:line="259" w:lineRule="auto"/>
        <w:jc w:val="both"/>
        <w:rPr>
          <w:rStyle w:val="nowrap"/>
          <w:rFonts w:asciiTheme="majorHAnsi" w:hAnsiTheme="majorHAnsi"/>
          <w:sz w:val="16"/>
          <w:szCs w:val="16"/>
        </w:rPr>
      </w:pPr>
      <w:r w:rsidRPr="000B16D5">
        <w:rPr>
          <w:rStyle w:val="element-citation"/>
          <w:rFonts w:asciiTheme="majorHAnsi" w:hAnsiTheme="majorHAnsi"/>
          <w:sz w:val="16"/>
          <w:szCs w:val="16"/>
        </w:rPr>
        <w:lastRenderedPageBreak/>
        <w:t xml:space="preserve">Guo D.F., Rahmouni K. Molecular basis of the obesity associated with Bardet-Biedl syndrome. </w:t>
      </w:r>
      <w:r w:rsidRPr="000B16D5">
        <w:rPr>
          <w:rStyle w:val="Zdraznn"/>
          <w:rFonts w:asciiTheme="majorHAnsi" w:hAnsiTheme="majorHAnsi"/>
          <w:sz w:val="16"/>
          <w:szCs w:val="16"/>
        </w:rPr>
        <w:t>Trends in Endocrinology and Metabolism</w:t>
      </w:r>
      <w:r w:rsidRPr="000B16D5">
        <w:rPr>
          <w:rStyle w:val="ref-journal"/>
          <w:rFonts w:asciiTheme="majorHAnsi" w:hAnsiTheme="majorHAnsi"/>
          <w:i/>
          <w:sz w:val="16"/>
          <w:szCs w:val="16"/>
        </w:rPr>
        <w:t>.</w:t>
      </w:r>
      <w:r w:rsidRPr="000B16D5">
        <w:rPr>
          <w:rStyle w:val="element-citation"/>
          <w:rFonts w:asciiTheme="majorHAnsi" w:hAnsiTheme="majorHAnsi"/>
          <w:sz w:val="16"/>
          <w:szCs w:val="16"/>
        </w:rPr>
        <w:t xml:space="preserve"> </w:t>
      </w:r>
      <w:hyperlink r:id="rId60" w:tooltip="Trends in endocrinology and metabolism: TEM." w:history="1">
        <w:r w:rsidRPr="000B16D5">
          <w:rPr>
            <w:rStyle w:val="highlight"/>
            <w:rFonts w:asciiTheme="majorHAnsi" w:hAnsiTheme="majorHAnsi" w:cs="Arial"/>
            <w:sz w:val="16"/>
            <w:szCs w:val="16"/>
          </w:rPr>
          <w:t>Trends Endocrinol Metab</w:t>
        </w:r>
        <w:r w:rsidRPr="000B16D5">
          <w:rPr>
            <w:rStyle w:val="Hypertextovodkaz"/>
            <w:rFonts w:asciiTheme="majorHAnsi" w:hAnsiTheme="majorHAnsi" w:cs="Arial"/>
            <w:sz w:val="16"/>
            <w:szCs w:val="16"/>
          </w:rPr>
          <w:t>.</w:t>
        </w:r>
      </w:hyperlink>
      <w:r w:rsidRPr="000B16D5">
        <w:rPr>
          <w:rStyle w:val="element-citation"/>
          <w:rFonts w:asciiTheme="majorHAnsi" w:hAnsiTheme="majorHAnsi"/>
          <w:sz w:val="16"/>
          <w:szCs w:val="16"/>
        </w:rPr>
        <w:t xml:space="preserve"> 2011;</w:t>
      </w:r>
      <w:r w:rsidRPr="000B16D5">
        <w:rPr>
          <w:rStyle w:val="ref-vol"/>
          <w:rFonts w:asciiTheme="majorHAnsi" w:hAnsiTheme="majorHAnsi"/>
          <w:sz w:val="16"/>
          <w:szCs w:val="16"/>
        </w:rPr>
        <w:t>22</w:t>
      </w:r>
      <w:r w:rsidRPr="000B16D5">
        <w:rPr>
          <w:rStyle w:val="element-citation"/>
          <w:rFonts w:asciiTheme="majorHAnsi" w:hAnsiTheme="majorHAnsi"/>
          <w:sz w:val="16"/>
          <w:szCs w:val="16"/>
        </w:rPr>
        <w:t xml:space="preserve">(7):286–293. </w:t>
      </w:r>
    </w:p>
    <w:p w:rsidR="00520D6A" w:rsidRPr="000B16D5" w:rsidRDefault="00520D6A" w:rsidP="00520D6A">
      <w:pPr>
        <w:pStyle w:val="Odstavecseseznamem"/>
        <w:numPr>
          <w:ilvl w:val="0"/>
          <w:numId w:val="40"/>
        </w:numPr>
        <w:spacing w:after="0" w:line="259" w:lineRule="auto"/>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Benzinou M., Walley A., Lobbens S., et al. Bardet-Biedl syndrome gene variants are associated with both childhood and adult common obesity in French Caucasians. </w:t>
      </w:r>
      <w:r w:rsidRPr="000B16D5">
        <w:rPr>
          <w:rStyle w:val="Zdraznn"/>
          <w:rFonts w:asciiTheme="majorHAnsi" w:hAnsiTheme="majorHAnsi"/>
          <w:sz w:val="16"/>
          <w:szCs w:val="16"/>
        </w:rPr>
        <w:t>Diabetes</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2006;</w:t>
      </w:r>
      <w:r w:rsidRPr="000B16D5">
        <w:rPr>
          <w:rStyle w:val="ref-vol"/>
          <w:rFonts w:asciiTheme="majorHAnsi" w:hAnsiTheme="majorHAnsi"/>
          <w:sz w:val="16"/>
          <w:szCs w:val="16"/>
        </w:rPr>
        <w:t>55</w:t>
      </w:r>
      <w:r w:rsidRPr="000B16D5">
        <w:rPr>
          <w:rStyle w:val="element-citation"/>
          <w:rFonts w:asciiTheme="majorHAnsi" w:hAnsiTheme="majorHAnsi"/>
          <w:sz w:val="16"/>
          <w:szCs w:val="16"/>
        </w:rPr>
        <w:t>(10):2876–2882.</w:t>
      </w:r>
    </w:p>
    <w:p w:rsidR="00520D6A" w:rsidRPr="000B16D5" w:rsidRDefault="00520D6A" w:rsidP="00520D6A">
      <w:pPr>
        <w:pStyle w:val="Odstavecseseznamem"/>
        <w:numPr>
          <w:ilvl w:val="0"/>
          <w:numId w:val="40"/>
        </w:numPr>
        <w:spacing w:after="0" w:line="259" w:lineRule="auto"/>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Girard D., Petrovsky N. Alström syndrome: insights into the pathogenesis of metabolic disorders. </w:t>
      </w:r>
      <w:r w:rsidRPr="000B16D5">
        <w:rPr>
          <w:rStyle w:val="Zdraznn"/>
          <w:rFonts w:asciiTheme="majorHAnsi" w:hAnsiTheme="majorHAnsi"/>
          <w:sz w:val="16"/>
          <w:szCs w:val="16"/>
        </w:rPr>
        <w:t>Nature Reviews Endocrinology</w:t>
      </w:r>
      <w:r w:rsidRPr="000B16D5">
        <w:rPr>
          <w:rStyle w:val="ref-journal"/>
          <w:rFonts w:asciiTheme="majorHAnsi" w:hAnsiTheme="majorHAnsi"/>
          <w:i/>
          <w:sz w:val="16"/>
          <w:szCs w:val="16"/>
        </w:rPr>
        <w:t>.</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2011;</w:t>
      </w:r>
      <w:r w:rsidRPr="000B16D5">
        <w:rPr>
          <w:rStyle w:val="ref-vol"/>
          <w:rFonts w:asciiTheme="majorHAnsi" w:hAnsiTheme="majorHAnsi"/>
          <w:sz w:val="16"/>
          <w:szCs w:val="16"/>
        </w:rPr>
        <w:t>7</w:t>
      </w:r>
      <w:r w:rsidRPr="000B16D5">
        <w:rPr>
          <w:rStyle w:val="element-citation"/>
          <w:rFonts w:asciiTheme="majorHAnsi" w:hAnsiTheme="majorHAnsi"/>
          <w:sz w:val="16"/>
          <w:szCs w:val="16"/>
        </w:rPr>
        <w:t>(2):77–88.</w:t>
      </w:r>
    </w:p>
    <w:p w:rsidR="00520D6A" w:rsidRPr="000B16D5" w:rsidRDefault="00520D6A" w:rsidP="00520D6A">
      <w:pPr>
        <w:pStyle w:val="Odstavecseseznamem"/>
        <w:numPr>
          <w:ilvl w:val="0"/>
          <w:numId w:val="40"/>
        </w:numPr>
        <w:spacing w:after="0" w:line="259" w:lineRule="auto"/>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Jenkins D., Seelow D., Jehee F.S., et al. RAB23 mutations in Carpenter syndrome imply an unexpected role for hedgehog signaling in cranial-suture development and obesity. </w:t>
      </w:r>
      <w:r w:rsidRPr="000B16D5">
        <w:rPr>
          <w:rStyle w:val="Zdraznn"/>
          <w:rFonts w:asciiTheme="majorHAnsi" w:hAnsiTheme="majorHAnsi"/>
          <w:sz w:val="16"/>
          <w:szCs w:val="16"/>
        </w:rPr>
        <w:t>American Journal of Human Genetics</w:t>
      </w:r>
      <w:r w:rsidRPr="000B16D5">
        <w:rPr>
          <w:rStyle w:val="ref-journal"/>
          <w:rFonts w:asciiTheme="majorHAnsi" w:hAnsiTheme="majorHAnsi"/>
          <w:i/>
          <w:sz w:val="16"/>
          <w:szCs w:val="16"/>
        </w:rPr>
        <w:t>.</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2007;</w:t>
      </w:r>
      <w:r w:rsidRPr="000B16D5">
        <w:rPr>
          <w:rStyle w:val="ref-vol"/>
          <w:rFonts w:asciiTheme="majorHAnsi" w:hAnsiTheme="majorHAnsi"/>
          <w:sz w:val="16"/>
          <w:szCs w:val="16"/>
        </w:rPr>
        <w:t>80</w:t>
      </w:r>
      <w:r w:rsidRPr="000B16D5">
        <w:rPr>
          <w:rStyle w:val="element-citation"/>
          <w:rFonts w:asciiTheme="majorHAnsi" w:hAnsiTheme="majorHAnsi"/>
          <w:sz w:val="16"/>
          <w:szCs w:val="16"/>
        </w:rPr>
        <w:t>:1162–1170.</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Style w:val="element-citation"/>
          <w:rFonts w:asciiTheme="majorHAnsi" w:hAnsiTheme="majorHAnsi"/>
          <w:sz w:val="16"/>
          <w:szCs w:val="16"/>
        </w:rPr>
        <w:t xml:space="preserve">Simpson F., Kerr M.C., Wicking C. Trafficking, development and hedgehog. </w:t>
      </w:r>
      <w:r w:rsidRPr="000B16D5">
        <w:rPr>
          <w:rStyle w:val="Zdraznn"/>
          <w:rFonts w:asciiTheme="majorHAnsi" w:hAnsiTheme="majorHAnsi"/>
          <w:sz w:val="16"/>
          <w:szCs w:val="16"/>
        </w:rPr>
        <w:t>Mechanisms of Development</w:t>
      </w:r>
      <w:r w:rsidRPr="000B16D5">
        <w:rPr>
          <w:rStyle w:val="ref-journal"/>
          <w:rFonts w:asciiTheme="majorHAnsi" w:hAnsiTheme="majorHAnsi"/>
          <w:i/>
          <w:sz w:val="16"/>
          <w:szCs w:val="16"/>
        </w:rPr>
        <w:t>.</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2009;</w:t>
      </w:r>
      <w:r w:rsidRPr="000B16D5">
        <w:rPr>
          <w:rStyle w:val="ref-vol"/>
          <w:rFonts w:asciiTheme="majorHAnsi" w:hAnsiTheme="majorHAnsi"/>
          <w:sz w:val="16"/>
          <w:szCs w:val="16"/>
        </w:rPr>
        <w:t>126</w:t>
      </w:r>
      <w:r w:rsidRPr="000B16D5">
        <w:rPr>
          <w:rStyle w:val="element-citation"/>
          <w:rFonts w:asciiTheme="majorHAnsi" w:hAnsiTheme="majorHAnsi"/>
          <w:sz w:val="16"/>
          <w:szCs w:val="16"/>
        </w:rPr>
        <w:t>(5-6):279–288.</w:t>
      </w:r>
    </w:p>
    <w:p w:rsidR="00520D6A" w:rsidRPr="000B16D5" w:rsidRDefault="00520D6A" w:rsidP="00520D6A">
      <w:pPr>
        <w:pStyle w:val="Textkomente"/>
        <w:numPr>
          <w:ilvl w:val="0"/>
          <w:numId w:val="40"/>
        </w:numPr>
        <w:spacing w:after="0"/>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Tarpey P.S., Raymond F.L., O’Meara S., et al. Mutations in CUL4B, which encodes a ubiquitin E3 ligase subunit, cause an X-linked mental retardation syndrome associated with aggressive outbursts, seizures, relative macrocephaly, central obesity, hypogonadism, pes cavus, and tremor. </w:t>
      </w:r>
      <w:r w:rsidRPr="000B16D5">
        <w:rPr>
          <w:rStyle w:val="Zdraznn"/>
          <w:rFonts w:asciiTheme="majorHAnsi" w:hAnsiTheme="majorHAnsi"/>
          <w:sz w:val="16"/>
          <w:szCs w:val="16"/>
        </w:rPr>
        <w:t>American Journal of Human Genetics</w:t>
      </w:r>
      <w:r w:rsidRPr="000B16D5">
        <w:rPr>
          <w:rStyle w:val="ref-journal"/>
          <w:rFonts w:asciiTheme="majorHAnsi" w:hAnsiTheme="majorHAnsi"/>
          <w:i/>
          <w:sz w:val="16"/>
          <w:szCs w:val="16"/>
        </w:rPr>
        <w:t>.</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2007;</w:t>
      </w:r>
      <w:r w:rsidRPr="000B16D5">
        <w:rPr>
          <w:rStyle w:val="ref-vol"/>
          <w:rFonts w:asciiTheme="majorHAnsi" w:hAnsiTheme="majorHAnsi"/>
          <w:sz w:val="16"/>
          <w:szCs w:val="16"/>
        </w:rPr>
        <w:t>80</w:t>
      </w:r>
      <w:r w:rsidRPr="000B16D5">
        <w:rPr>
          <w:rStyle w:val="element-citation"/>
          <w:rFonts w:asciiTheme="majorHAnsi" w:hAnsiTheme="majorHAnsi"/>
          <w:sz w:val="16"/>
          <w:szCs w:val="16"/>
        </w:rPr>
        <w:t>(2):345–352.</w:t>
      </w:r>
    </w:p>
    <w:p w:rsidR="00520D6A" w:rsidRPr="000B16D5" w:rsidRDefault="00520D6A" w:rsidP="00520D6A">
      <w:pPr>
        <w:numPr>
          <w:ilvl w:val="0"/>
          <w:numId w:val="40"/>
        </w:numPr>
        <w:spacing w:before="100" w:beforeAutospacing="1" w:after="0" w:line="240" w:lineRule="auto"/>
        <w:jc w:val="both"/>
        <w:rPr>
          <w:rFonts w:asciiTheme="majorHAnsi" w:hAnsiTheme="majorHAnsi"/>
          <w:sz w:val="16"/>
          <w:szCs w:val="16"/>
        </w:rPr>
      </w:pPr>
      <w:r w:rsidRPr="000B16D5">
        <w:rPr>
          <w:rFonts w:asciiTheme="majorHAnsi" w:hAnsiTheme="majorHAnsi"/>
          <w:sz w:val="16"/>
          <w:szCs w:val="16"/>
        </w:rPr>
        <w:t xml:space="preserve"> Zhang Q., Bouma G.J., McClellan K., Tobet S. Hypothalamic expression of snoRNA Snord116 is consistent with a link to the hyperphagia and obesity symptoms of </w:t>
      </w:r>
      <w:r w:rsidRPr="000B16D5">
        <w:rPr>
          <w:rFonts w:asciiTheme="majorHAnsi" w:hAnsiTheme="majorHAnsi"/>
          <w:bCs/>
          <w:sz w:val="16"/>
          <w:szCs w:val="16"/>
        </w:rPr>
        <w:t>Prader</w:t>
      </w:r>
      <w:r w:rsidRPr="000B16D5">
        <w:rPr>
          <w:rFonts w:asciiTheme="majorHAnsi" w:hAnsiTheme="majorHAnsi"/>
          <w:sz w:val="16"/>
          <w:szCs w:val="16"/>
        </w:rPr>
        <w:t>-</w:t>
      </w:r>
      <w:r w:rsidRPr="000B16D5">
        <w:rPr>
          <w:rFonts w:asciiTheme="majorHAnsi" w:hAnsiTheme="majorHAnsi"/>
          <w:bCs/>
          <w:sz w:val="16"/>
          <w:szCs w:val="16"/>
        </w:rPr>
        <w:t>Willi</w:t>
      </w:r>
      <w:r w:rsidRPr="000B16D5">
        <w:rPr>
          <w:rFonts w:asciiTheme="majorHAnsi" w:hAnsiTheme="majorHAnsi"/>
          <w:sz w:val="16"/>
          <w:szCs w:val="16"/>
        </w:rPr>
        <w:t xml:space="preserve"> syndrome. </w:t>
      </w:r>
      <w:r w:rsidRPr="000B16D5">
        <w:rPr>
          <w:rStyle w:val="jrnl"/>
          <w:rFonts w:asciiTheme="majorHAnsi" w:hAnsiTheme="majorHAnsi"/>
          <w:sz w:val="16"/>
          <w:szCs w:val="16"/>
        </w:rPr>
        <w:t>Int J Dev Neurosci</w:t>
      </w:r>
      <w:r w:rsidRPr="000B16D5">
        <w:rPr>
          <w:rFonts w:asciiTheme="majorHAnsi" w:hAnsiTheme="majorHAnsi"/>
          <w:sz w:val="16"/>
          <w:szCs w:val="16"/>
        </w:rPr>
        <w:t xml:space="preserve">. 2012 Oct;30(6):479-85. doi: 10.1016/j.ijdevneu.2012.05.005. </w:t>
      </w:r>
    </w:p>
    <w:p w:rsidR="00520D6A" w:rsidRPr="000B16D5" w:rsidRDefault="00520D6A" w:rsidP="00520D6A">
      <w:pPr>
        <w:pStyle w:val="Odstavecseseznamem"/>
        <w:numPr>
          <w:ilvl w:val="0"/>
          <w:numId w:val="40"/>
        </w:numPr>
        <w:spacing w:after="0" w:line="259" w:lineRule="auto"/>
        <w:jc w:val="both"/>
        <w:rPr>
          <w:rFonts w:asciiTheme="majorHAnsi" w:hAnsiTheme="majorHAnsi"/>
          <w:sz w:val="16"/>
          <w:szCs w:val="16"/>
        </w:rPr>
      </w:pPr>
      <w:r w:rsidRPr="000B16D5">
        <w:rPr>
          <w:rFonts w:asciiTheme="majorHAnsi" w:hAnsiTheme="majorHAnsi"/>
          <w:sz w:val="16"/>
          <w:szCs w:val="16"/>
        </w:rPr>
        <w:t xml:space="preserve">Goldstone A.P., Holland A.J., Butler J.V., Whittington J.E. Appetite hormones and the transition to hyperphagia in children with </w:t>
      </w:r>
      <w:r w:rsidRPr="000B16D5">
        <w:rPr>
          <w:rFonts w:asciiTheme="majorHAnsi" w:hAnsiTheme="majorHAnsi"/>
          <w:bCs/>
          <w:sz w:val="16"/>
          <w:szCs w:val="16"/>
        </w:rPr>
        <w:t>Prader</w:t>
      </w:r>
      <w:r w:rsidRPr="000B16D5">
        <w:rPr>
          <w:rFonts w:asciiTheme="majorHAnsi" w:hAnsiTheme="majorHAnsi"/>
          <w:sz w:val="16"/>
          <w:szCs w:val="16"/>
        </w:rPr>
        <w:t>-</w:t>
      </w:r>
      <w:r w:rsidRPr="000B16D5">
        <w:rPr>
          <w:rFonts w:asciiTheme="majorHAnsi" w:hAnsiTheme="majorHAnsi"/>
          <w:bCs/>
          <w:sz w:val="16"/>
          <w:szCs w:val="16"/>
        </w:rPr>
        <w:t>Willi</w:t>
      </w:r>
      <w:r w:rsidRPr="000B16D5">
        <w:rPr>
          <w:rFonts w:asciiTheme="majorHAnsi" w:hAnsiTheme="majorHAnsi"/>
          <w:sz w:val="16"/>
          <w:szCs w:val="16"/>
        </w:rPr>
        <w:t xml:space="preserve"> syndrome. </w:t>
      </w:r>
      <w:r w:rsidRPr="000B16D5">
        <w:rPr>
          <w:rStyle w:val="jrnl"/>
          <w:rFonts w:asciiTheme="majorHAnsi" w:hAnsiTheme="majorHAnsi"/>
          <w:sz w:val="16"/>
          <w:szCs w:val="16"/>
        </w:rPr>
        <w:t>Int J Obes (Lond)</w:t>
      </w:r>
      <w:r w:rsidRPr="000B16D5">
        <w:rPr>
          <w:rFonts w:asciiTheme="majorHAnsi" w:hAnsiTheme="majorHAnsi"/>
          <w:sz w:val="16"/>
          <w:szCs w:val="16"/>
        </w:rPr>
        <w:t>. 2012 Dec;36(12):1564-70. doi: 10.1038/ijo.2011.274.</w:t>
      </w:r>
    </w:p>
    <w:p w:rsidR="00520D6A" w:rsidRPr="000B16D5" w:rsidRDefault="00520D6A" w:rsidP="00520D6A">
      <w:pPr>
        <w:numPr>
          <w:ilvl w:val="0"/>
          <w:numId w:val="40"/>
        </w:numPr>
        <w:spacing w:before="100" w:beforeAutospacing="1" w:after="0" w:line="240" w:lineRule="auto"/>
        <w:jc w:val="both"/>
        <w:rPr>
          <w:rFonts w:asciiTheme="majorHAnsi" w:hAnsiTheme="majorHAnsi"/>
          <w:sz w:val="16"/>
          <w:szCs w:val="16"/>
        </w:rPr>
      </w:pPr>
      <w:r w:rsidRPr="000B16D5">
        <w:rPr>
          <w:rFonts w:asciiTheme="majorHAnsi" w:hAnsiTheme="majorHAnsi"/>
          <w:sz w:val="16"/>
          <w:szCs w:val="16"/>
        </w:rPr>
        <w:t xml:space="preserve"> Lubell T., Garzon M., Anyane Yeboa K., Shah B. A novel mutation causing pseudohypoparathyroidism 1A with congenital hypothyroidism and osteoma cutis. </w:t>
      </w:r>
      <w:r w:rsidRPr="000B16D5">
        <w:rPr>
          <w:rStyle w:val="jrnl"/>
          <w:rFonts w:asciiTheme="majorHAnsi" w:hAnsiTheme="majorHAnsi"/>
          <w:sz w:val="16"/>
          <w:szCs w:val="16"/>
        </w:rPr>
        <w:t>J Clin Res Pediatr Endocrinol</w:t>
      </w:r>
      <w:r w:rsidRPr="000B16D5">
        <w:rPr>
          <w:rFonts w:asciiTheme="majorHAnsi" w:hAnsiTheme="majorHAnsi"/>
          <w:sz w:val="16"/>
          <w:szCs w:val="16"/>
        </w:rPr>
        <w:t>. 2009;1(5):244-7. doi: 10.4274/jcrpe.v1i5.244.</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D'Angelo C.S., Koiffmann C.P. Copy number variants in obesity-related syndromes: review and perspectives on novel molecular approaches. J Obes. 2012; 2012: 845480.</w:t>
      </w:r>
    </w:p>
    <w:p w:rsidR="00520D6A" w:rsidRPr="000B16D5" w:rsidRDefault="00520D6A" w:rsidP="00520D6A">
      <w:pPr>
        <w:pStyle w:val="Textkomente"/>
        <w:numPr>
          <w:ilvl w:val="0"/>
          <w:numId w:val="40"/>
        </w:numPr>
        <w:spacing w:after="0"/>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Cooper G.M., Coe B.P., Girirajan S., et al. A copy number variation morbidity map of developmental delay. </w:t>
      </w:r>
      <w:r w:rsidRPr="000B16D5">
        <w:rPr>
          <w:rStyle w:val="Zdraznn"/>
          <w:rFonts w:asciiTheme="majorHAnsi" w:hAnsiTheme="majorHAnsi"/>
          <w:sz w:val="16"/>
          <w:szCs w:val="16"/>
        </w:rPr>
        <w:t>Genetics in Medicine</w:t>
      </w:r>
      <w:r w:rsidRPr="000B16D5">
        <w:rPr>
          <w:rStyle w:val="ref-journal"/>
          <w:rFonts w:asciiTheme="majorHAnsi" w:hAnsiTheme="majorHAnsi"/>
          <w:i/>
          <w:sz w:val="16"/>
          <w:szCs w:val="16"/>
        </w:rPr>
        <w:t>.</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2011;</w:t>
      </w:r>
      <w:r w:rsidRPr="000B16D5">
        <w:rPr>
          <w:rStyle w:val="ref-vol"/>
          <w:rFonts w:asciiTheme="majorHAnsi" w:hAnsiTheme="majorHAnsi"/>
          <w:sz w:val="16"/>
          <w:szCs w:val="16"/>
        </w:rPr>
        <w:t>43</w:t>
      </w:r>
      <w:r w:rsidRPr="000B16D5">
        <w:rPr>
          <w:rStyle w:val="element-citation"/>
          <w:rFonts w:asciiTheme="majorHAnsi" w:hAnsiTheme="majorHAnsi"/>
          <w:sz w:val="16"/>
          <w:szCs w:val="16"/>
        </w:rPr>
        <w:t>:838–846.</w:t>
      </w:r>
    </w:p>
    <w:p w:rsidR="00520D6A" w:rsidRPr="000B16D5" w:rsidRDefault="00520D6A" w:rsidP="00520D6A">
      <w:pPr>
        <w:numPr>
          <w:ilvl w:val="0"/>
          <w:numId w:val="40"/>
        </w:numPr>
        <w:spacing w:before="100" w:beforeAutospacing="1" w:after="0" w:line="240" w:lineRule="auto"/>
        <w:contextualSpacing/>
        <w:jc w:val="both"/>
        <w:rPr>
          <w:rFonts w:asciiTheme="majorHAnsi" w:hAnsiTheme="majorHAnsi"/>
          <w:sz w:val="16"/>
          <w:szCs w:val="16"/>
        </w:rPr>
      </w:pPr>
      <w:r w:rsidRPr="000B16D5">
        <w:rPr>
          <w:rFonts w:asciiTheme="majorHAnsi" w:hAnsiTheme="majorHAnsi"/>
          <w:sz w:val="16"/>
          <w:szCs w:val="16"/>
        </w:rPr>
        <w:t>Song W., Ren D., Li W., Jiang L., Cho K.W., Huang P., Fan C., Song Y., Liu Y., Rui L.SH2B regulation of growth, metabolism, and longevity in both insects and mammals.</w:t>
      </w:r>
      <w:r w:rsidRPr="000B16D5">
        <w:rPr>
          <w:rStyle w:val="jrnl"/>
          <w:rFonts w:asciiTheme="majorHAnsi" w:hAnsiTheme="majorHAnsi"/>
          <w:sz w:val="16"/>
          <w:szCs w:val="16"/>
        </w:rPr>
        <w:t xml:space="preserve"> Cell Metab</w:t>
      </w:r>
      <w:r w:rsidRPr="000B16D5">
        <w:rPr>
          <w:rFonts w:asciiTheme="majorHAnsi" w:hAnsiTheme="majorHAnsi"/>
          <w:sz w:val="16"/>
          <w:szCs w:val="16"/>
        </w:rPr>
        <w:t>. 2010 May 5;11(5):427-37. doi: 10.1016/j.cmet.2010.04.002. Epub 2010 Apr 22.</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Kennedy G.C. The role of depot fat in the hypothalamic control of food intake in the rat. Proc R Soc Lond B Biol Sci. 1953;140(901)):578–596.</w:t>
      </w:r>
    </w:p>
    <w:p w:rsidR="00520D6A" w:rsidRPr="000B16D5" w:rsidRDefault="00520D6A" w:rsidP="00520D6A">
      <w:pPr>
        <w:pStyle w:val="Odstavecseseznamem"/>
        <w:numPr>
          <w:ilvl w:val="0"/>
          <w:numId w:val="40"/>
        </w:numPr>
        <w:spacing w:after="0" w:line="259" w:lineRule="auto"/>
        <w:jc w:val="both"/>
        <w:rPr>
          <w:rFonts w:asciiTheme="majorHAnsi" w:hAnsiTheme="majorHAnsi"/>
          <w:sz w:val="16"/>
          <w:szCs w:val="16"/>
        </w:rPr>
      </w:pPr>
      <w:r w:rsidRPr="000B16D5">
        <w:rPr>
          <w:rFonts w:asciiTheme="majorHAnsi" w:hAnsiTheme="majorHAnsi"/>
          <w:sz w:val="16"/>
          <w:szCs w:val="16"/>
        </w:rPr>
        <w:lastRenderedPageBreak/>
        <w:t xml:space="preserve">Anand B.K., Brobeck J.R. Hypothalamic control of food intake in rats and cats. </w:t>
      </w:r>
      <w:r w:rsidRPr="000B16D5">
        <w:rPr>
          <w:rFonts w:asciiTheme="majorHAnsi" w:hAnsiTheme="majorHAnsi"/>
          <w:iCs/>
          <w:sz w:val="16"/>
          <w:szCs w:val="16"/>
        </w:rPr>
        <w:t>Yale J Biol Med.</w:t>
      </w:r>
      <w:r w:rsidRPr="000B16D5">
        <w:rPr>
          <w:rFonts w:asciiTheme="majorHAnsi" w:hAnsiTheme="majorHAnsi"/>
          <w:sz w:val="16"/>
          <w:szCs w:val="16"/>
        </w:rPr>
        <w:t xml:space="preserve"> 1951;24(2):123–146. </w:t>
      </w:r>
    </w:p>
    <w:p w:rsidR="00520D6A" w:rsidRPr="000B16D5" w:rsidRDefault="00520D6A" w:rsidP="00520D6A">
      <w:pPr>
        <w:pStyle w:val="Odstavecseseznamem"/>
        <w:numPr>
          <w:ilvl w:val="0"/>
          <w:numId w:val="40"/>
        </w:numPr>
        <w:spacing w:after="0" w:line="259" w:lineRule="auto"/>
        <w:jc w:val="both"/>
        <w:rPr>
          <w:rFonts w:asciiTheme="majorHAnsi" w:hAnsiTheme="majorHAnsi"/>
          <w:sz w:val="16"/>
          <w:szCs w:val="16"/>
        </w:rPr>
      </w:pPr>
      <w:bookmarkStart w:id="52" w:name="B13"/>
      <w:bookmarkEnd w:id="52"/>
      <w:r w:rsidRPr="000B16D5">
        <w:rPr>
          <w:rFonts w:asciiTheme="majorHAnsi" w:hAnsiTheme="majorHAnsi"/>
          <w:sz w:val="16"/>
          <w:szCs w:val="16"/>
        </w:rPr>
        <w:t xml:space="preserve">Hervey G.R. The effects of lesions in the hypothalamus in parabiotic rats. </w:t>
      </w:r>
      <w:r w:rsidRPr="000B16D5">
        <w:rPr>
          <w:rFonts w:asciiTheme="majorHAnsi" w:hAnsiTheme="majorHAnsi"/>
          <w:iCs/>
          <w:sz w:val="16"/>
          <w:szCs w:val="16"/>
        </w:rPr>
        <w:t>J Physiol London.</w:t>
      </w:r>
      <w:r w:rsidRPr="000B16D5">
        <w:rPr>
          <w:rFonts w:asciiTheme="majorHAnsi" w:hAnsiTheme="majorHAnsi"/>
          <w:sz w:val="16"/>
          <w:szCs w:val="16"/>
        </w:rPr>
        <w:t xml:space="preserve"> 1959;145(2):336. </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 xml:space="preserve">Coleman D.L., Hummel K.P. Effects of parabiosis of normal with genetically diabetic mice. </w:t>
      </w:r>
      <w:r w:rsidRPr="000B16D5">
        <w:rPr>
          <w:rFonts w:asciiTheme="majorHAnsi" w:hAnsiTheme="majorHAnsi"/>
          <w:iCs/>
          <w:sz w:val="16"/>
          <w:szCs w:val="16"/>
        </w:rPr>
        <w:t>Am J Physiol.</w:t>
      </w:r>
      <w:r w:rsidRPr="000B16D5">
        <w:rPr>
          <w:rFonts w:asciiTheme="majorHAnsi" w:hAnsiTheme="majorHAnsi"/>
          <w:sz w:val="16"/>
          <w:szCs w:val="16"/>
        </w:rPr>
        <w:t xml:space="preserve"> 1969;217(5):1298–1304.</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Baran G.S., Schwarz M.W. Genetic approaches to studying energy balance: perception and integration. Nat Rev Genet 2002;3:589–600.</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Air E.L., Strowski M.Z., Benoit S.C., Conarello S.L., Salituro G.M., Guan X.M., Liu K., Woods S.C., Zhang B.B. Small molecule insulin mimetics reduce food intake and body weight and prevent development of obesity. Nat Med 2002; 8:179-83. Erratum in: Nat Med 2002;8:303.</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Spiegelman B.M., Flier J.S. Obesity and the regulation of energy balance. Cell 2001;104:531–543.</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Flier J.S., Harris M., Hollenberg A.N. Leptin, nutrition, and the thyroid: the why,the wherefore, and the wiring. J Clin Incest 2000; 105:859–861.</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Schwartz M.W., Woods S.C., Seeley R.J., Barsh G.S., Baskin D.G., Leibel R.L. Is the energy homeostasis system inherently biased toward weight gain? Diabetes 2003;52:232–238.</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Considine R.V., Sinha M.K., Heiman M.L., Kriauciunas A., Stephens T.W., Nyce M.R., Ohannesian J.P., Marco C.C., McKee L.J., Bauer T.L., et al. Serum immunoreactive-leptin concentrations in normal-weight and obese humans. N Engl J Med 1996; 334:292–295.</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Schwartz M.W., Peskind E., Raskind M., Boyko E.J., Porte D.Jr. Cerebrospinal fluid leptin levels: relationship to plasma levels and to adiposity in humans. Nat Med 1996;2:589–593.</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Carpenter L.R., Farruggella T.J., Symes A., Karow M.L., Yancopoulos G.D., Stahl N. </w:t>
      </w:r>
      <w:r w:rsidRPr="000B16D5">
        <w:rPr>
          <w:rFonts w:asciiTheme="majorHAnsi" w:hAnsiTheme="majorHAnsi" w:cs="Arial"/>
          <w:iCs/>
          <w:sz w:val="16"/>
          <w:szCs w:val="16"/>
        </w:rPr>
        <w:t>Enhancing leptin response by preventing SH2-containing phosphatase 2 interaction with Ob receptor.</w:t>
      </w:r>
      <w:r w:rsidRPr="000B16D5">
        <w:rPr>
          <w:rFonts w:asciiTheme="majorHAnsi" w:hAnsiTheme="majorHAnsi" w:cs="Arial"/>
          <w:i/>
          <w:iCs/>
          <w:sz w:val="16"/>
          <w:szCs w:val="16"/>
        </w:rPr>
        <w:t xml:space="preserve"> </w:t>
      </w:r>
      <w:r w:rsidRPr="000B16D5">
        <w:rPr>
          <w:rFonts w:asciiTheme="majorHAnsi" w:hAnsiTheme="majorHAnsi" w:cs="Arial"/>
          <w:sz w:val="16"/>
          <w:szCs w:val="16"/>
        </w:rPr>
        <w:t>Proc Natl Acad Sci USA 1998; 95:6061–6066.</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Mori H., Hanada R., Hanada T., Aki D., Mashima R., Nishinakamura H., Torisu T., Chien K.R., Yasukawa H., Yoshimura A. </w:t>
      </w:r>
      <w:r w:rsidRPr="000B16D5">
        <w:rPr>
          <w:rFonts w:asciiTheme="majorHAnsi" w:hAnsiTheme="majorHAnsi" w:cs="Arial"/>
          <w:iCs/>
          <w:sz w:val="16"/>
          <w:szCs w:val="16"/>
        </w:rPr>
        <w:t>Socs3 deficiency in the brain elevates leptin sensitivity and confers resistance to diet–induced obesity.</w:t>
      </w:r>
      <w:r w:rsidRPr="000B16D5">
        <w:rPr>
          <w:rFonts w:asciiTheme="majorHAnsi" w:hAnsiTheme="majorHAnsi" w:cs="Arial"/>
          <w:i/>
          <w:iCs/>
          <w:sz w:val="16"/>
          <w:szCs w:val="16"/>
        </w:rPr>
        <w:t xml:space="preserve"> </w:t>
      </w:r>
      <w:r w:rsidRPr="000B16D5">
        <w:rPr>
          <w:rFonts w:asciiTheme="majorHAnsi" w:hAnsiTheme="majorHAnsi" w:cs="Arial"/>
          <w:sz w:val="16"/>
          <w:szCs w:val="16"/>
        </w:rPr>
        <w:t>Nat Med 2004;10:739–743.</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Zhang Y., Proenca R., Maffei M., Barone M., Leopold L., Friedman J.M. </w:t>
      </w:r>
      <w:r w:rsidRPr="000B16D5">
        <w:rPr>
          <w:rFonts w:asciiTheme="majorHAnsi" w:hAnsiTheme="majorHAnsi" w:cs="Arial"/>
          <w:iCs/>
          <w:sz w:val="16"/>
          <w:szCs w:val="16"/>
        </w:rPr>
        <w:t xml:space="preserve">Positional cloning of the mouse obese gene and its human homologue. </w:t>
      </w:r>
      <w:r w:rsidRPr="000B16D5">
        <w:rPr>
          <w:rFonts w:asciiTheme="majorHAnsi" w:hAnsiTheme="majorHAnsi" w:cs="Arial"/>
          <w:sz w:val="16"/>
          <w:szCs w:val="16"/>
        </w:rPr>
        <w:t>Nature 1994;1;372:425-32. Erratum in: Nature 1995 30;374:479.</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Isse N., Ogawa Y., Tamura N., Masuzaki H., Mori K., Okazaki T., Satoh N., Shigemoto M., Yoshimasa Y., Nishi S., et al. Structural organization and chromosomal assignment of the human obese gene. J Biol Chem 1995;270:27728–33.</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Ingalls A.M., Dickie M.M., Snell G.D. Obese, a new mutation in the house mouse. J Hered 1950;41:317–18.</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Considine R.V., Considine E.L., Williams C.J., Nyce M.R., Magosin S.A., Bauer T.L., Rosato E.L., Colberg J., Caro J.F. </w:t>
      </w:r>
      <w:r w:rsidRPr="000B16D5">
        <w:rPr>
          <w:rFonts w:asciiTheme="majorHAnsi" w:hAnsiTheme="majorHAnsi" w:cs="Arial"/>
          <w:iCs/>
          <w:sz w:val="16"/>
          <w:szCs w:val="16"/>
        </w:rPr>
        <w:t>Evidence against either a premature stop codon or the absence of obese gene mRNA in human obesity</w:t>
      </w:r>
      <w:r w:rsidRPr="000B16D5">
        <w:rPr>
          <w:rFonts w:asciiTheme="majorHAnsi" w:hAnsiTheme="majorHAnsi" w:cs="Arial"/>
          <w:i/>
          <w:iCs/>
          <w:sz w:val="16"/>
          <w:szCs w:val="16"/>
        </w:rPr>
        <w:t xml:space="preserve">. </w:t>
      </w:r>
      <w:r w:rsidRPr="000B16D5">
        <w:rPr>
          <w:rFonts w:asciiTheme="majorHAnsi" w:hAnsiTheme="majorHAnsi" w:cs="Arial"/>
          <w:sz w:val="16"/>
          <w:szCs w:val="16"/>
        </w:rPr>
        <w:t>J Clin Invest 1995;95:2986-8.</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iCs/>
          <w:sz w:val="16"/>
          <w:szCs w:val="16"/>
        </w:rPr>
      </w:pPr>
      <w:r w:rsidRPr="000B16D5">
        <w:rPr>
          <w:rFonts w:asciiTheme="majorHAnsi" w:hAnsiTheme="majorHAnsi" w:cs="Arial"/>
          <w:iCs/>
          <w:sz w:val="16"/>
          <w:szCs w:val="16"/>
        </w:rPr>
        <w:t>Montague C.T., Farooqi I.S., Whitehead J.P., Soos M.A., Rau H., Wareham N.J., Sewter C.P., Digby J.E., Mohammed S.N., Hurst J.A., Cheetham C.H., Earley A.R., Barnett AH, Prins JB, O'Rahilly S. Congenital leptin deficiency is associated with severe early-onset obesity in humans. Nature 1997;387:903-8.</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Gibson W.T., Farooqi I.S., Moreau M., DePaoli A.M., Lawrence E., O'Rahilly S.,</w:t>
      </w:r>
    </w:p>
    <w:p w:rsidR="00520D6A" w:rsidRPr="000B16D5" w:rsidRDefault="00520D6A" w:rsidP="00520D6A">
      <w:pPr>
        <w:pStyle w:val="Odstavecseseznamem"/>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Trussell R.A. Congenital leptin deficiency due to homozygosity for the Delta133G mutation: report of another case and evaluation of response to four years of leptin therapy. J Clin Endocrinol Metab 2004;89:4821-6.</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iCs/>
          <w:sz w:val="16"/>
          <w:szCs w:val="16"/>
        </w:rPr>
      </w:pPr>
      <w:r w:rsidRPr="000B16D5">
        <w:rPr>
          <w:rFonts w:asciiTheme="majorHAnsi" w:hAnsiTheme="majorHAnsi" w:cs="Arial"/>
          <w:sz w:val="16"/>
          <w:szCs w:val="16"/>
        </w:rPr>
        <w:t xml:space="preserve">Bouret S.G., Draper S.J., Simerly R.B. </w:t>
      </w:r>
      <w:r w:rsidRPr="000B16D5">
        <w:rPr>
          <w:rFonts w:asciiTheme="majorHAnsi" w:hAnsiTheme="majorHAnsi" w:cs="Arial"/>
          <w:iCs/>
          <w:sz w:val="16"/>
          <w:szCs w:val="16"/>
        </w:rPr>
        <w:t>Trophic action of leptin on hypothalamic</w:t>
      </w:r>
    </w:p>
    <w:p w:rsidR="00520D6A" w:rsidRPr="000B16D5" w:rsidRDefault="00520D6A" w:rsidP="00520D6A">
      <w:pPr>
        <w:pStyle w:val="Textkomente"/>
        <w:spacing w:after="0"/>
        <w:ind w:firstLine="708"/>
        <w:jc w:val="both"/>
        <w:rPr>
          <w:rFonts w:asciiTheme="majorHAnsi" w:hAnsiTheme="majorHAnsi" w:cs="Arial"/>
          <w:sz w:val="16"/>
          <w:szCs w:val="16"/>
        </w:rPr>
      </w:pPr>
      <w:r w:rsidRPr="000B16D5">
        <w:rPr>
          <w:rFonts w:asciiTheme="majorHAnsi" w:hAnsiTheme="majorHAnsi" w:cs="Arial"/>
          <w:iCs/>
          <w:sz w:val="16"/>
          <w:szCs w:val="16"/>
        </w:rPr>
        <w:t xml:space="preserve">neurons that regulate feeding. </w:t>
      </w:r>
      <w:r w:rsidRPr="000B16D5">
        <w:rPr>
          <w:rFonts w:asciiTheme="majorHAnsi" w:hAnsiTheme="majorHAnsi" w:cs="Arial"/>
          <w:sz w:val="16"/>
          <w:szCs w:val="16"/>
        </w:rPr>
        <w:t>Science 2004; 304:108–110.</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Matochik J.A., London E.D., Yildiz B.O., Ozata M., Caglayan S., DePaoli A.M., Wong</w:t>
      </w:r>
    </w:p>
    <w:p w:rsidR="00520D6A" w:rsidRPr="000B16D5" w:rsidRDefault="00520D6A" w:rsidP="00520D6A">
      <w:pPr>
        <w:autoSpaceDE w:val="0"/>
        <w:autoSpaceDN w:val="0"/>
        <w:adjustRightInd w:val="0"/>
        <w:spacing w:after="0" w:line="240" w:lineRule="auto"/>
        <w:ind w:left="708"/>
        <w:jc w:val="both"/>
        <w:rPr>
          <w:rFonts w:asciiTheme="majorHAnsi" w:hAnsiTheme="majorHAnsi" w:cs="Arial"/>
          <w:sz w:val="16"/>
          <w:szCs w:val="16"/>
        </w:rPr>
      </w:pPr>
      <w:r w:rsidRPr="000B16D5">
        <w:rPr>
          <w:rFonts w:asciiTheme="majorHAnsi" w:hAnsiTheme="majorHAnsi" w:cs="Arial"/>
          <w:sz w:val="16"/>
          <w:szCs w:val="16"/>
        </w:rPr>
        <w:t xml:space="preserve">M.L., Licinio J. </w:t>
      </w:r>
      <w:r w:rsidRPr="000B16D5">
        <w:rPr>
          <w:rFonts w:asciiTheme="majorHAnsi" w:hAnsiTheme="majorHAnsi" w:cs="Arial"/>
          <w:iCs/>
          <w:sz w:val="16"/>
          <w:szCs w:val="16"/>
        </w:rPr>
        <w:t>Effect of leptin replacement on brain structure in genetically leptindeficient adults</w:t>
      </w:r>
      <w:r w:rsidRPr="000B16D5">
        <w:rPr>
          <w:rFonts w:asciiTheme="majorHAnsi" w:hAnsiTheme="majorHAnsi" w:cs="Arial"/>
          <w:sz w:val="16"/>
          <w:szCs w:val="16"/>
        </w:rPr>
        <w:t>. J Clin Endocrinol Metab 2005;90:2851–2854</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Wang J., Thornton J.C., Bari S., Williamson B., Gallagher D., Heymsfield S.B., Horlick M., Kotler D., Laferrere B., Mayer L., Pi-Sunyer F.X., Pierson Jr. R.N. Comparisons </w:t>
      </w:r>
      <w:r w:rsidRPr="000B16D5">
        <w:rPr>
          <w:rFonts w:asciiTheme="majorHAnsi" w:hAnsiTheme="majorHAnsi" w:cs="Arial"/>
          <w:iCs/>
          <w:sz w:val="16"/>
          <w:szCs w:val="16"/>
        </w:rPr>
        <w:t>of waist circumferences measured at 4 sites</w:t>
      </w:r>
      <w:r w:rsidRPr="000B16D5">
        <w:rPr>
          <w:rFonts w:asciiTheme="majorHAnsi" w:hAnsiTheme="majorHAnsi" w:cs="Arial"/>
          <w:i/>
          <w:iCs/>
          <w:sz w:val="16"/>
          <w:szCs w:val="16"/>
        </w:rPr>
        <w:t xml:space="preserve">. </w:t>
      </w:r>
      <w:r w:rsidRPr="000B16D5">
        <w:rPr>
          <w:rFonts w:asciiTheme="majorHAnsi" w:hAnsiTheme="majorHAnsi" w:cs="Arial"/>
          <w:sz w:val="16"/>
          <w:szCs w:val="16"/>
        </w:rPr>
        <w:t>Am J Clin Nutr 2003;77:379-384.</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lastRenderedPageBreak/>
        <w:t xml:space="preserve">McCarthy A.M., Jarrett K.V., Crawley H.F. </w:t>
      </w:r>
      <w:r w:rsidRPr="000B16D5">
        <w:rPr>
          <w:rFonts w:asciiTheme="majorHAnsi" w:hAnsiTheme="majorHAnsi" w:cs="Arial"/>
          <w:iCs/>
          <w:sz w:val="16"/>
          <w:szCs w:val="16"/>
        </w:rPr>
        <w:t xml:space="preserve">The development of whist </w:t>
      </w:r>
      <w:r w:rsidRPr="000B16D5">
        <w:rPr>
          <w:rFonts w:asciiTheme="majorHAnsi" w:hAnsiTheme="majorHAnsi" w:cs="Arial"/>
          <w:sz w:val="16"/>
          <w:szCs w:val="16"/>
        </w:rPr>
        <w:t xml:space="preserve">circumference </w:t>
      </w:r>
      <w:r w:rsidRPr="000B16D5">
        <w:rPr>
          <w:rFonts w:asciiTheme="majorHAnsi" w:hAnsiTheme="majorHAnsi" w:cs="Arial"/>
          <w:iCs/>
          <w:sz w:val="16"/>
          <w:szCs w:val="16"/>
        </w:rPr>
        <w:t>percentiles in British children aged 5.0-16.9y</w:t>
      </w:r>
      <w:r w:rsidRPr="000B16D5">
        <w:rPr>
          <w:rFonts w:asciiTheme="majorHAnsi" w:hAnsiTheme="majorHAnsi" w:cs="Arial"/>
          <w:sz w:val="16"/>
          <w:szCs w:val="16"/>
        </w:rPr>
        <w:t>. Eur J Clin Nutr 2001;2001:902-907.</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Ashwell M., Hsieh S.D. </w:t>
      </w:r>
      <w:r w:rsidRPr="000B16D5">
        <w:rPr>
          <w:rFonts w:asciiTheme="majorHAnsi" w:hAnsiTheme="majorHAnsi" w:cs="Arial"/>
          <w:iCs/>
          <w:sz w:val="16"/>
          <w:szCs w:val="16"/>
        </w:rPr>
        <w:t xml:space="preserve">Six reasons why the waist-to-height ratio is a rapid and effective global indicator for health risks of obesity and how its use could simplify the international public health message on obesity. </w:t>
      </w:r>
      <w:r w:rsidRPr="000B16D5">
        <w:rPr>
          <w:rFonts w:asciiTheme="majorHAnsi" w:hAnsiTheme="majorHAnsi" w:cs="Arial"/>
          <w:sz w:val="16"/>
          <w:szCs w:val="16"/>
        </w:rPr>
        <w:t xml:space="preserve">Int J </w:t>
      </w:r>
      <w:r w:rsidRPr="000B16D5">
        <w:rPr>
          <w:rFonts w:asciiTheme="majorHAnsi" w:hAnsiTheme="majorHAnsi" w:cs="Arial"/>
          <w:iCs/>
          <w:sz w:val="16"/>
          <w:szCs w:val="16"/>
        </w:rPr>
        <w:t xml:space="preserve">Food </w:t>
      </w:r>
      <w:r w:rsidRPr="000B16D5">
        <w:rPr>
          <w:rFonts w:asciiTheme="majorHAnsi" w:hAnsiTheme="majorHAnsi" w:cs="Arial"/>
          <w:sz w:val="16"/>
          <w:szCs w:val="16"/>
        </w:rPr>
        <w:t>Sci Nutr 2005;56:303-307.</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Zakrzewska K.E., Cusin I., Sainsbury A., Rohner-Jeanrenaud F., Jeanrenaud B. </w:t>
      </w:r>
      <w:r w:rsidRPr="000B16D5">
        <w:rPr>
          <w:rFonts w:asciiTheme="majorHAnsi" w:hAnsiTheme="majorHAnsi" w:cs="Arial"/>
          <w:iCs/>
          <w:sz w:val="16"/>
          <w:szCs w:val="16"/>
        </w:rPr>
        <w:t>Glucocorticoids as counterregulatory hormones of leptin: toward an understanding of leptin resistance.</w:t>
      </w:r>
      <w:r w:rsidRPr="000B16D5">
        <w:rPr>
          <w:rFonts w:asciiTheme="majorHAnsi" w:hAnsiTheme="majorHAnsi" w:cs="Arial"/>
          <w:i/>
          <w:iCs/>
          <w:sz w:val="16"/>
          <w:szCs w:val="16"/>
        </w:rPr>
        <w:t xml:space="preserve"> </w:t>
      </w:r>
      <w:r w:rsidRPr="000B16D5">
        <w:rPr>
          <w:rFonts w:asciiTheme="majorHAnsi" w:hAnsiTheme="majorHAnsi" w:cs="Arial"/>
          <w:sz w:val="16"/>
          <w:szCs w:val="16"/>
        </w:rPr>
        <w:t>Diabetes 1997;46:717–9.</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Boden G., Chen X., Kolaczynski J.W., Polansky M. </w:t>
      </w:r>
      <w:r w:rsidRPr="000B16D5">
        <w:rPr>
          <w:rFonts w:asciiTheme="majorHAnsi" w:hAnsiTheme="majorHAnsi" w:cs="Arial"/>
          <w:iCs/>
          <w:sz w:val="16"/>
          <w:szCs w:val="16"/>
        </w:rPr>
        <w:t xml:space="preserve">Effects of prolonged </w:t>
      </w:r>
      <w:r w:rsidRPr="000B16D5">
        <w:rPr>
          <w:rFonts w:asciiTheme="majorHAnsi" w:hAnsiTheme="majorHAnsi" w:cs="Arial"/>
          <w:sz w:val="16"/>
          <w:szCs w:val="16"/>
        </w:rPr>
        <w:t xml:space="preserve">hyperinsulinemia </w:t>
      </w:r>
      <w:r w:rsidRPr="000B16D5">
        <w:rPr>
          <w:rFonts w:asciiTheme="majorHAnsi" w:hAnsiTheme="majorHAnsi" w:cs="Arial"/>
          <w:iCs/>
          <w:sz w:val="16"/>
          <w:szCs w:val="16"/>
        </w:rPr>
        <w:t>on serum leptin in normal human subjects.</w:t>
      </w:r>
      <w:r w:rsidRPr="000B16D5">
        <w:rPr>
          <w:rFonts w:asciiTheme="majorHAnsi" w:hAnsiTheme="majorHAnsi" w:cs="Arial"/>
          <w:i/>
          <w:iCs/>
          <w:sz w:val="16"/>
          <w:szCs w:val="16"/>
        </w:rPr>
        <w:t xml:space="preserve"> </w:t>
      </w:r>
      <w:r w:rsidRPr="000B16D5">
        <w:rPr>
          <w:rFonts w:asciiTheme="majorHAnsi" w:hAnsiTheme="majorHAnsi" w:cs="Arial"/>
          <w:sz w:val="16"/>
          <w:szCs w:val="16"/>
        </w:rPr>
        <w:t>J Clin Inv 1997;100:1107–13.</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iCs/>
          <w:sz w:val="16"/>
          <w:szCs w:val="16"/>
        </w:rPr>
      </w:pPr>
      <w:r w:rsidRPr="000B16D5">
        <w:rPr>
          <w:rFonts w:asciiTheme="majorHAnsi" w:hAnsiTheme="majorHAnsi" w:cs="Arial"/>
          <w:sz w:val="16"/>
          <w:szCs w:val="16"/>
        </w:rPr>
        <w:t xml:space="preserve">Javor E.D., Cochran E.K., Musso C., Young J.R., Depaoli A.M., Gorden P. </w:t>
      </w:r>
      <w:r w:rsidRPr="000B16D5">
        <w:rPr>
          <w:rFonts w:asciiTheme="majorHAnsi" w:hAnsiTheme="majorHAnsi" w:cs="Arial"/>
          <w:iCs/>
          <w:sz w:val="16"/>
          <w:szCs w:val="16"/>
        </w:rPr>
        <w:t>Longterm fficacy of leptin replacement in patients with generalized lipodystrophy</w:t>
      </w:r>
      <w:r w:rsidRPr="000B16D5">
        <w:rPr>
          <w:rFonts w:asciiTheme="majorHAnsi" w:hAnsiTheme="majorHAnsi" w:cs="Arial"/>
          <w:sz w:val="16"/>
          <w:szCs w:val="16"/>
        </w:rPr>
        <w:t>. Diabetes 2005;54:1994-2002.</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Ahima R.S., Prabakaran D., Mantzoros C., Qu D., Lowell B., Maratos-Flier E., Flier J.S. </w:t>
      </w:r>
      <w:r w:rsidRPr="000B16D5">
        <w:rPr>
          <w:rFonts w:asciiTheme="majorHAnsi" w:hAnsiTheme="majorHAnsi" w:cs="Arial"/>
          <w:iCs/>
          <w:sz w:val="16"/>
          <w:szCs w:val="16"/>
        </w:rPr>
        <w:t>Role of leptin in the neuroendocrine response to fasting</w:t>
      </w:r>
      <w:r w:rsidRPr="000B16D5">
        <w:rPr>
          <w:rFonts w:asciiTheme="majorHAnsi" w:hAnsiTheme="majorHAnsi" w:cs="Arial"/>
          <w:i/>
          <w:iCs/>
          <w:sz w:val="16"/>
          <w:szCs w:val="16"/>
        </w:rPr>
        <w:t xml:space="preserve">. </w:t>
      </w:r>
      <w:r w:rsidRPr="000B16D5">
        <w:rPr>
          <w:rFonts w:asciiTheme="majorHAnsi" w:hAnsiTheme="majorHAnsi" w:cs="Arial"/>
          <w:sz w:val="16"/>
          <w:szCs w:val="16"/>
        </w:rPr>
        <w:t>Nature</w:t>
      </w:r>
    </w:p>
    <w:p w:rsidR="00520D6A" w:rsidRPr="000B16D5" w:rsidRDefault="00520D6A" w:rsidP="00520D6A">
      <w:pPr>
        <w:autoSpaceDE w:val="0"/>
        <w:autoSpaceDN w:val="0"/>
        <w:adjustRightInd w:val="0"/>
        <w:spacing w:after="0" w:line="240" w:lineRule="auto"/>
        <w:ind w:firstLine="708"/>
        <w:jc w:val="both"/>
        <w:rPr>
          <w:rFonts w:asciiTheme="majorHAnsi" w:hAnsiTheme="majorHAnsi" w:cs="Arial"/>
          <w:sz w:val="16"/>
          <w:szCs w:val="16"/>
        </w:rPr>
      </w:pPr>
      <w:r w:rsidRPr="000B16D5">
        <w:rPr>
          <w:rFonts w:asciiTheme="majorHAnsi" w:hAnsiTheme="majorHAnsi" w:cs="Arial"/>
          <w:sz w:val="16"/>
          <w:szCs w:val="16"/>
        </w:rPr>
        <w:t>1996;382:250–382.</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iCs/>
          <w:sz w:val="16"/>
          <w:szCs w:val="16"/>
        </w:rPr>
      </w:pPr>
      <w:r w:rsidRPr="000B16D5">
        <w:rPr>
          <w:rFonts w:asciiTheme="majorHAnsi" w:hAnsiTheme="majorHAnsi" w:cs="Arial"/>
          <w:sz w:val="16"/>
          <w:szCs w:val="16"/>
        </w:rPr>
        <w:t xml:space="preserve">Lord G.M., Matarese G., Howard J.K., Baker R.J., Bloom S.R., Lechler R.I. </w:t>
      </w:r>
      <w:r w:rsidRPr="000B16D5">
        <w:rPr>
          <w:rFonts w:asciiTheme="majorHAnsi" w:hAnsiTheme="majorHAnsi" w:cs="Arial"/>
          <w:iCs/>
          <w:sz w:val="16"/>
          <w:szCs w:val="16"/>
        </w:rPr>
        <w:t xml:space="preserve">Leptin </w:t>
      </w:r>
      <w:r w:rsidRPr="000B16D5">
        <w:rPr>
          <w:rFonts w:asciiTheme="majorHAnsi" w:hAnsiTheme="majorHAnsi" w:cs="Arial"/>
          <w:sz w:val="16"/>
          <w:szCs w:val="16"/>
        </w:rPr>
        <w:t xml:space="preserve">modulates </w:t>
      </w:r>
      <w:r w:rsidRPr="000B16D5">
        <w:rPr>
          <w:rFonts w:asciiTheme="majorHAnsi" w:hAnsiTheme="majorHAnsi" w:cs="Arial"/>
          <w:iCs/>
          <w:sz w:val="16"/>
          <w:szCs w:val="16"/>
        </w:rPr>
        <w:t>the T-cell immune response and reverses starvation-induced</w:t>
      </w:r>
    </w:p>
    <w:p w:rsidR="00520D6A" w:rsidRPr="000B16D5" w:rsidRDefault="00520D6A" w:rsidP="00520D6A">
      <w:pPr>
        <w:autoSpaceDE w:val="0"/>
        <w:autoSpaceDN w:val="0"/>
        <w:adjustRightInd w:val="0"/>
        <w:spacing w:after="0" w:line="240" w:lineRule="auto"/>
        <w:ind w:firstLine="708"/>
        <w:jc w:val="both"/>
        <w:rPr>
          <w:rFonts w:asciiTheme="majorHAnsi" w:hAnsiTheme="majorHAnsi" w:cs="Arial"/>
          <w:sz w:val="16"/>
          <w:szCs w:val="16"/>
        </w:rPr>
      </w:pPr>
      <w:r w:rsidRPr="000B16D5">
        <w:rPr>
          <w:rFonts w:asciiTheme="majorHAnsi" w:hAnsiTheme="majorHAnsi" w:cs="Arial"/>
          <w:iCs/>
          <w:sz w:val="16"/>
          <w:szCs w:val="16"/>
        </w:rPr>
        <w:t xml:space="preserve">immunosuppression. </w:t>
      </w:r>
      <w:r w:rsidRPr="000B16D5">
        <w:rPr>
          <w:rFonts w:asciiTheme="majorHAnsi" w:hAnsiTheme="majorHAnsi" w:cs="Arial"/>
          <w:sz w:val="16"/>
          <w:szCs w:val="16"/>
        </w:rPr>
        <w:t>Nature 1998; 394:897–901.</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Chan J.L., Heist K., DePaoli A.M., Veldhuis J.D., Mantzoros C.S. </w:t>
      </w:r>
      <w:r w:rsidRPr="000B16D5">
        <w:rPr>
          <w:rFonts w:asciiTheme="majorHAnsi" w:hAnsiTheme="majorHAnsi" w:cs="Arial"/>
          <w:iCs/>
          <w:sz w:val="16"/>
          <w:szCs w:val="16"/>
        </w:rPr>
        <w:t xml:space="preserve">The role of falling leptin levels in the neuroendocrine and metabolic adaptation to short-term starvation in healthy men. </w:t>
      </w:r>
      <w:r w:rsidRPr="000B16D5">
        <w:rPr>
          <w:rFonts w:asciiTheme="majorHAnsi" w:hAnsiTheme="majorHAnsi" w:cs="Arial"/>
          <w:sz w:val="16"/>
          <w:szCs w:val="16"/>
        </w:rPr>
        <w:t>J Clin Invest 2003;111:1409–1421.</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Hegyi K., Fülöp K., Kovács K., Tóth S., Falus A. </w:t>
      </w:r>
      <w:r w:rsidRPr="000B16D5">
        <w:rPr>
          <w:rFonts w:asciiTheme="majorHAnsi" w:hAnsiTheme="majorHAnsi" w:cs="Arial"/>
          <w:iCs/>
          <w:sz w:val="16"/>
          <w:szCs w:val="16"/>
        </w:rPr>
        <w:t>Leptin-induced signal transduction pathways</w:t>
      </w:r>
      <w:r w:rsidRPr="000B16D5">
        <w:rPr>
          <w:rFonts w:asciiTheme="majorHAnsi" w:hAnsiTheme="majorHAnsi" w:cs="Arial"/>
          <w:sz w:val="16"/>
          <w:szCs w:val="16"/>
        </w:rPr>
        <w:t>. Cell Biol Int 2004;28:159-69.</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Sánchez E., Singru P.S., Acharya R., Bodria M., Fekete C., Zavacki A.M., Bianco A.C., Lechan R.M. </w:t>
      </w:r>
      <w:r w:rsidRPr="000B16D5">
        <w:rPr>
          <w:rFonts w:asciiTheme="majorHAnsi" w:hAnsiTheme="majorHAnsi" w:cs="Arial"/>
          <w:iCs/>
          <w:sz w:val="16"/>
          <w:szCs w:val="16"/>
        </w:rPr>
        <w:t>Differential effects of refeeding on melanocortin-responsive neurons in the hypothalamic paraventricular nucleus.</w:t>
      </w:r>
      <w:r w:rsidRPr="000B16D5">
        <w:rPr>
          <w:rFonts w:asciiTheme="majorHAnsi" w:hAnsiTheme="majorHAnsi" w:cs="Arial"/>
          <w:i/>
          <w:iCs/>
          <w:sz w:val="16"/>
          <w:szCs w:val="16"/>
        </w:rPr>
        <w:t xml:space="preserve"> </w:t>
      </w:r>
      <w:r w:rsidRPr="000B16D5">
        <w:rPr>
          <w:rFonts w:asciiTheme="majorHAnsi" w:hAnsiTheme="majorHAnsi" w:cs="Arial"/>
          <w:sz w:val="16"/>
          <w:szCs w:val="16"/>
        </w:rPr>
        <w:t>Endocrinology 2008;149:4329-35.</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Cohen P., Miyazaki M., Socci N.D., Hagge-Greenberg A., Liedtke W., Soukas A.A., Sharma R., Hudgins L.C., Ntambi J.M., Friedman J.M. </w:t>
      </w:r>
      <w:r w:rsidRPr="000B16D5">
        <w:rPr>
          <w:rFonts w:asciiTheme="majorHAnsi" w:hAnsiTheme="majorHAnsi" w:cs="Arial"/>
          <w:iCs/>
          <w:sz w:val="16"/>
          <w:szCs w:val="16"/>
        </w:rPr>
        <w:t xml:space="preserve">Role for stearoyl-CoA desaturase-1 in leptin-mediated weight loss. </w:t>
      </w:r>
      <w:r w:rsidRPr="000B16D5">
        <w:rPr>
          <w:rFonts w:asciiTheme="majorHAnsi" w:hAnsiTheme="majorHAnsi" w:cs="Arial"/>
          <w:sz w:val="16"/>
          <w:szCs w:val="16"/>
        </w:rPr>
        <w:t>Science 2002;297:240–243.</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Erickson J.C., Hollopeter G., Palmiter R.D. </w:t>
      </w:r>
      <w:r w:rsidRPr="000B16D5">
        <w:rPr>
          <w:rFonts w:asciiTheme="majorHAnsi" w:hAnsiTheme="majorHAnsi" w:cs="Arial"/>
          <w:iCs/>
          <w:sz w:val="16"/>
          <w:szCs w:val="16"/>
        </w:rPr>
        <w:t xml:space="preserve">Attenuation of the obesity syndrome of ob/ob </w:t>
      </w:r>
      <w:r w:rsidRPr="000B16D5">
        <w:rPr>
          <w:rFonts w:asciiTheme="majorHAnsi" w:hAnsiTheme="majorHAnsi" w:cs="Arial"/>
          <w:sz w:val="16"/>
          <w:szCs w:val="16"/>
        </w:rPr>
        <w:t xml:space="preserve">mice </w:t>
      </w:r>
      <w:r w:rsidRPr="000B16D5">
        <w:rPr>
          <w:rFonts w:asciiTheme="majorHAnsi" w:hAnsiTheme="majorHAnsi" w:cs="Arial"/>
          <w:iCs/>
          <w:sz w:val="16"/>
          <w:szCs w:val="16"/>
        </w:rPr>
        <w:t xml:space="preserve">by the loss of neuropeptide Y. </w:t>
      </w:r>
      <w:r w:rsidRPr="000B16D5">
        <w:rPr>
          <w:rFonts w:asciiTheme="majorHAnsi" w:hAnsiTheme="majorHAnsi" w:cs="Arial"/>
          <w:sz w:val="16"/>
          <w:szCs w:val="16"/>
        </w:rPr>
        <w:t>Science 1996; 274:1704–1707.</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Segal-Lieberman G., Bradley R.L., Kokkotou E., Carlson M., Trombly D.J., Wang X., Bates S., Myers Jr. M.G., Flier J.S., Maratos-Flier E. </w:t>
      </w:r>
      <w:r w:rsidRPr="000B16D5">
        <w:rPr>
          <w:rFonts w:asciiTheme="majorHAnsi" w:hAnsiTheme="majorHAnsi" w:cs="Arial"/>
          <w:iCs/>
          <w:sz w:val="16"/>
          <w:szCs w:val="16"/>
        </w:rPr>
        <w:t>Melanin-concentrating hormone is a critical mediator of the leptin-deficient phenotype.</w:t>
      </w:r>
      <w:r w:rsidRPr="000B16D5">
        <w:rPr>
          <w:rFonts w:asciiTheme="majorHAnsi" w:hAnsiTheme="majorHAnsi" w:cs="Arial"/>
          <w:i/>
          <w:iCs/>
          <w:sz w:val="16"/>
          <w:szCs w:val="16"/>
        </w:rPr>
        <w:t xml:space="preserve"> </w:t>
      </w:r>
      <w:r w:rsidRPr="000B16D5">
        <w:rPr>
          <w:rFonts w:asciiTheme="majorHAnsi" w:hAnsiTheme="majorHAnsi" w:cs="Arial"/>
          <w:sz w:val="16"/>
          <w:szCs w:val="16"/>
        </w:rPr>
        <w:t>Proc Natl Acad Sci USA 2003; 100:10085–10090.</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Houseknecht K.L., Portocarrero C.P. </w:t>
      </w:r>
      <w:r w:rsidRPr="000B16D5">
        <w:rPr>
          <w:rFonts w:asciiTheme="majorHAnsi" w:hAnsiTheme="majorHAnsi" w:cs="Arial"/>
          <w:iCs/>
          <w:sz w:val="16"/>
          <w:szCs w:val="16"/>
        </w:rPr>
        <w:t>Leptin and its receptors: regulators of whole-body energy homeostasis</w:t>
      </w:r>
      <w:r w:rsidRPr="000B16D5">
        <w:rPr>
          <w:rFonts w:asciiTheme="majorHAnsi" w:hAnsiTheme="majorHAnsi" w:cs="Arial"/>
          <w:i/>
          <w:iCs/>
          <w:sz w:val="16"/>
          <w:szCs w:val="16"/>
        </w:rPr>
        <w:t xml:space="preserve">. </w:t>
      </w:r>
      <w:r w:rsidRPr="000B16D5">
        <w:rPr>
          <w:rFonts w:asciiTheme="majorHAnsi" w:hAnsiTheme="majorHAnsi" w:cs="Arial"/>
          <w:sz w:val="16"/>
          <w:szCs w:val="16"/>
        </w:rPr>
        <w:t>Domest Anim Endocrinol 1998;15:457–75.</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iCs/>
          <w:sz w:val="16"/>
          <w:szCs w:val="16"/>
        </w:rPr>
      </w:pPr>
      <w:r w:rsidRPr="000B16D5">
        <w:rPr>
          <w:rFonts w:asciiTheme="majorHAnsi" w:hAnsiTheme="majorHAnsi" w:cs="Arial"/>
          <w:sz w:val="16"/>
          <w:szCs w:val="16"/>
        </w:rPr>
        <w:t xml:space="preserve">Schwartz M.W., Woods S.C., Porte D.Jr., Seeley R.J., Baskin D.G. </w:t>
      </w:r>
      <w:r w:rsidRPr="000B16D5">
        <w:rPr>
          <w:rFonts w:asciiTheme="majorHAnsi" w:hAnsiTheme="majorHAnsi" w:cs="Arial"/>
          <w:iCs/>
          <w:sz w:val="16"/>
          <w:szCs w:val="16"/>
        </w:rPr>
        <w:t>Central nervous</w:t>
      </w:r>
    </w:p>
    <w:p w:rsidR="00520D6A" w:rsidRPr="000B16D5" w:rsidRDefault="00520D6A" w:rsidP="00520D6A">
      <w:pPr>
        <w:pStyle w:val="Textkomente"/>
        <w:spacing w:after="0"/>
        <w:ind w:firstLine="708"/>
        <w:jc w:val="both"/>
        <w:rPr>
          <w:rFonts w:asciiTheme="majorHAnsi" w:hAnsiTheme="majorHAnsi" w:cs="Arial"/>
          <w:sz w:val="16"/>
          <w:szCs w:val="16"/>
        </w:rPr>
      </w:pPr>
      <w:r w:rsidRPr="000B16D5">
        <w:rPr>
          <w:rFonts w:asciiTheme="majorHAnsi" w:hAnsiTheme="majorHAnsi" w:cs="Arial"/>
          <w:iCs/>
          <w:sz w:val="16"/>
          <w:szCs w:val="16"/>
        </w:rPr>
        <w:t xml:space="preserve">system </w:t>
      </w:r>
      <w:r w:rsidRPr="000B16D5">
        <w:rPr>
          <w:rFonts w:asciiTheme="majorHAnsi" w:hAnsiTheme="majorHAnsi" w:cs="Arial"/>
          <w:sz w:val="16"/>
          <w:szCs w:val="16"/>
        </w:rPr>
        <w:t xml:space="preserve">control </w:t>
      </w:r>
      <w:r w:rsidRPr="000B16D5">
        <w:rPr>
          <w:rFonts w:asciiTheme="majorHAnsi" w:hAnsiTheme="majorHAnsi" w:cs="Arial"/>
          <w:iCs/>
          <w:sz w:val="16"/>
          <w:szCs w:val="16"/>
        </w:rPr>
        <w:t xml:space="preserve">of food intake. </w:t>
      </w:r>
      <w:r w:rsidRPr="000B16D5">
        <w:rPr>
          <w:rFonts w:asciiTheme="majorHAnsi" w:hAnsiTheme="majorHAnsi" w:cs="Arial"/>
          <w:sz w:val="16"/>
          <w:szCs w:val="16"/>
        </w:rPr>
        <w:t>Nature 2000;404:661–671.</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Butler A.A., Cone R.D. </w:t>
      </w:r>
      <w:r w:rsidRPr="000B16D5">
        <w:rPr>
          <w:rFonts w:asciiTheme="majorHAnsi" w:hAnsiTheme="majorHAnsi" w:cs="Arial"/>
          <w:iCs/>
          <w:sz w:val="16"/>
          <w:szCs w:val="16"/>
        </w:rPr>
        <w:t xml:space="preserve">The melanocortin receptors: lessons from knockout models. </w:t>
      </w:r>
      <w:r w:rsidRPr="000B16D5">
        <w:rPr>
          <w:rFonts w:asciiTheme="majorHAnsi" w:hAnsiTheme="majorHAnsi" w:cs="Arial"/>
          <w:sz w:val="16"/>
          <w:szCs w:val="16"/>
        </w:rPr>
        <w:t>Neuropeptides 2000;36:77– 84.</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MacNeil D.J., Howard A.D., Guan X., Fong T.M., Nargund R.P., Bednarek M.A., Goulet M.T., Weinberg D.H., Strack A.M., Marsh D.J., Chen H.Y., Shen C.P., Chen A.S., Rosenblum C.I., MacNeil T., Tota M., MacIntyre E.D., Van der Ploeg L.H. </w:t>
      </w:r>
      <w:r w:rsidRPr="000B16D5">
        <w:rPr>
          <w:rFonts w:asciiTheme="majorHAnsi" w:hAnsiTheme="majorHAnsi" w:cs="Arial"/>
          <w:iCs/>
          <w:sz w:val="16"/>
          <w:szCs w:val="16"/>
        </w:rPr>
        <w:t xml:space="preserve">The role of melanocortins in body weight regulation: opportunities for the treatment of obesity. </w:t>
      </w:r>
      <w:r w:rsidRPr="000B16D5">
        <w:rPr>
          <w:rFonts w:asciiTheme="majorHAnsi" w:hAnsiTheme="majorHAnsi" w:cs="Arial"/>
          <w:sz w:val="16"/>
          <w:szCs w:val="16"/>
        </w:rPr>
        <w:t>Eur J Pharmacol 2002;16;450:93-109.</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Balthasar N., Coppari R., McMinn J., Liu S.M., Lee C.E., Tang V., Kenny C.D., McGovern R.A., Chua S.C. Jr., Elmquist J.K., Lowell B.B. </w:t>
      </w:r>
      <w:r w:rsidRPr="000B16D5">
        <w:rPr>
          <w:rFonts w:asciiTheme="majorHAnsi" w:hAnsiTheme="majorHAnsi" w:cs="Arial"/>
          <w:iCs/>
          <w:sz w:val="16"/>
          <w:szCs w:val="16"/>
        </w:rPr>
        <w:t>Leptin receptor signaling in POMC neurons is required for normal body weight homeostasis.</w:t>
      </w:r>
      <w:r w:rsidRPr="000B16D5">
        <w:rPr>
          <w:rFonts w:asciiTheme="majorHAnsi" w:hAnsiTheme="majorHAnsi" w:cs="Arial"/>
          <w:i/>
          <w:iCs/>
          <w:sz w:val="16"/>
          <w:szCs w:val="16"/>
        </w:rPr>
        <w:t xml:space="preserve"> </w:t>
      </w:r>
      <w:r w:rsidRPr="000B16D5">
        <w:rPr>
          <w:rFonts w:asciiTheme="majorHAnsi" w:hAnsiTheme="majorHAnsi" w:cs="Arial"/>
          <w:sz w:val="16"/>
          <w:szCs w:val="16"/>
        </w:rPr>
        <w:t>Neuron 2004;42:983-91.</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Oh D.K., Ciaraldi T., Henry R.R. </w:t>
      </w:r>
      <w:r w:rsidRPr="000B16D5">
        <w:rPr>
          <w:rFonts w:asciiTheme="majorHAnsi" w:hAnsiTheme="majorHAnsi" w:cs="Arial"/>
          <w:iCs/>
          <w:sz w:val="16"/>
          <w:szCs w:val="16"/>
        </w:rPr>
        <w:t>Adiponectin in health and disease</w:t>
      </w:r>
      <w:r w:rsidRPr="000B16D5">
        <w:rPr>
          <w:rFonts w:asciiTheme="majorHAnsi" w:hAnsiTheme="majorHAnsi" w:cs="Arial"/>
          <w:i/>
          <w:iCs/>
          <w:sz w:val="16"/>
          <w:szCs w:val="16"/>
        </w:rPr>
        <w:t xml:space="preserve">. </w:t>
      </w:r>
      <w:r w:rsidRPr="000B16D5">
        <w:rPr>
          <w:rFonts w:asciiTheme="majorHAnsi" w:hAnsiTheme="majorHAnsi" w:cs="Arial"/>
          <w:sz w:val="16"/>
          <w:szCs w:val="16"/>
        </w:rPr>
        <w:t>Diabetes Obes Metab 2007;9:282-9.</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Kadowaki T., Yamauchi T</w:t>
      </w:r>
      <w:r w:rsidRPr="000B16D5">
        <w:rPr>
          <w:rFonts w:asciiTheme="majorHAnsi" w:hAnsiTheme="majorHAnsi" w:cs="Arial"/>
          <w:i/>
          <w:iCs/>
          <w:sz w:val="16"/>
          <w:szCs w:val="16"/>
        </w:rPr>
        <w:t xml:space="preserve">. </w:t>
      </w:r>
      <w:r w:rsidRPr="000B16D5">
        <w:rPr>
          <w:rFonts w:asciiTheme="majorHAnsi" w:hAnsiTheme="majorHAnsi" w:cs="Arial"/>
          <w:iCs/>
          <w:sz w:val="16"/>
          <w:szCs w:val="16"/>
        </w:rPr>
        <w:t>Adiponectin and adiponectin receptors</w:t>
      </w:r>
      <w:r w:rsidRPr="000B16D5">
        <w:rPr>
          <w:rFonts w:asciiTheme="majorHAnsi" w:hAnsiTheme="majorHAnsi" w:cs="Arial"/>
          <w:sz w:val="16"/>
          <w:szCs w:val="16"/>
        </w:rPr>
        <w:t>. Endocr Rev 2005;26:439-51.</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Blum W.F., Englaro P., Hanitsch S., Juul A., Hertel N.T., Müller J., Skakkebaek N.E., Heiman M.L., Birkett M., Attanasio A.M., Kiess W., Rascher W. </w:t>
      </w:r>
      <w:r w:rsidRPr="000B16D5">
        <w:rPr>
          <w:rFonts w:asciiTheme="majorHAnsi" w:hAnsiTheme="majorHAnsi" w:cs="Arial"/>
          <w:iCs/>
          <w:sz w:val="16"/>
          <w:szCs w:val="16"/>
        </w:rPr>
        <w:t xml:space="preserve">Plasma leptin levels </w:t>
      </w:r>
      <w:r w:rsidRPr="000B16D5">
        <w:rPr>
          <w:rFonts w:asciiTheme="majorHAnsi" w:hAnsiTheme="majorHAnsi" w:cs="Arial"/>
          <w:sz w:val="16"/>
          <w:szCs w:val="16"/>
        </w:rPr>
        <w:t xml:space="preserve">in </w:t>
      </w:r>
      <w:r w:rsidRPr="000B16D5">
        <w:rPr>
          <w:rFonts w:asciiTheme="majorHAnsi" w:hAnsiTheme="majorHAnsi" w:cs="Arial"/>
          <w:iCs/>
          <w:sz w:val="16"/>
          <w:szCs w:val="16"/>
        </w:rPr>
        <w:t>healthy children and adolescents: dependence on body mass index, body fat mass, gender, pubertal stage, and testosterone</w:t>
      </w:r>
      <w:r w:rsidRPr="000B16D5">
        <w:rPr>
          <w:rFonts w:asciiTheme="majorHAnsi" w:hAnsiTheme="majorHAnsi" w:cs="Arial"/>
          <w:sz w:val="16"/>
          <w:szCs w:val="16"/>
        </w:rPr>
        <w:t>. J Clin Endocrinol Metab</w:t>
      </w:r>
    </w:p>
    <w:p w:rsidR="00520D6A" w:rsidRPr="000B16D5" w:rsidRDefault="00520D6A" w:rsidP="00520D6A">
      <w:pPr>
        <w:pStyle w:val="Textkomente"/>
        <w:spacing w:after="0"/>
        <w:ind w:firstLine="708"/>
        <w:jc w:val="both"/>
        <w:rPr>
          <w:rFonts w:asciiTheme="majorHAnsi" w:hAnsiTheme="majorHAnsi" w:cs="Arial"/>
          <w:sz w:val="16"/>
          <w:szCs w:val="16"/>
        </w:rPr>
      </w:pPr>
      <w:r w:rsidRPr="000B16D5">
        <w:rPr>
          <w:rFonts w:asciiTheme="majorHAnsi" w:hAnsiTheme="majorHAnsi" w:cs="Arial"/>
          <w:sz w:val="16"/>
          <w:szCs w:val="16"/>
        </w:rPr>
        <w:lastRenderedPageBreak/>
        <w:t>1997;82:2904-10.</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Seim I., Collet C., Herington A.C., Chopin L.K. </w:t>
      </w:r>
      <w:r w:rsidRPr="000B16D5">
        <w:rPr>
          <w:rFonts w:asciiTheme="majorHAnsi" w:hAnsiTheme="majorHAnsi" w:cs="Arial"/>
          <w:iCs/>
          <w:sz w:val="16"/>
          <w:szCs w:val="16"/>
        </w:rPr>
        <w:t xml:space="preserve">Revised genomic structure of the human ghrelin gene and identification of novel exons, alternative splice variants and natural antisense transcripts. </w:t>
      </w:r>
      <w:r w:rsidRPr="000B16D5">
        <w:rPr>
          <w:rFonts w:asciiTheme="majorHAnsi" w:hAnsiTheme="majorHAnsi" w:cs="Arial"/>
          <w:sz w:val="16"/>
          <w:szCs w:val="16"/>
        </w:rPr>
        <w:t>BMC Genomics 2007;8:298.</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Zhang J., Ren P., Avsian-Kretchmer O., Luo C., Rauch R., Klein C., Hsueh A. </w:t>
      </w:r>
      <w:r w:rsidRPr="000B16D5">
        <w:rPr>
          <w:rFonts w:asciiTheme="majorHAnsi" w:hAnsiTheme="majorHAnsi" w:cs="Arial"/>
          <w:iCs/>
          <w:sz w:val="16"/>
          <w:szCs w:val="16"/>
        </w:rPr>
        <w:t>Obestatin, a peptide encoded by the ghrelin gene, opposes ghrelin's effects on food intake</w:t>
      </w:r>
      <w:r w:rsidRPr="000B16D5">
        <w:rPr>
          <w:rFonts w:asciiTheme="majorHAnsi" w:hAnsiTheme="majorHAnsi" w:cs="Arial"/>
          <w:i/>
          <w:iCs/>
          <w:sz w:val="16"/>
          <w:szCs w:val="16"/>
        </w:rPr>
        <w:t xml:space="preserve">. </w:t>
      </w:r>
      <w:r w:rsidRPr="000B16D5">
        <w:rPr>
          <w:rFonts w:asciiTheme="majorHAnsi" w:hAnsiTheme="majorHAnsi" w:cs="Arial"/>
          <w:sz w:val="16"/>
          <w:szCs w:val="16"/>
        </w:rPr>
        <w:t>Science 2005;310: 996–9.</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Cowley M.A., Smith R.G., Diano S., Tschöp M., Pronchuk N., Grove K.L., Strasburger C.J., Bidlingmaier M., Esterman M., Heiman M.L., Garcia-Segura L.M., Nillni E.A., Mendez P., Low M.J., Sotonyi P., Friedman J.M., Liu H., Pinto S., Colmers W.F., Cone R.D., Horvath T.L. </w:t>
      </w:r>
      <w:r w:rsidRPr="000B16D5">
        <w:rPr>
          <w:rFonts w:asciiTheme="majorHAnsi" w:hAnsiTheme="majorHAnsi" w:cs="Arial"/>
          <w:iCs/>
          <w:sz w:val="16"/>
          <w:szCs w:val="16"/>
        </w:rPr>
        <w:t>The distribution and mechanism of action of ghrelin in the CNS demonstrates a novel hypothalamic circuit regulating energy homeostasis</w:t>
      </w:r>
      <w:r w:rsidRPr="000B16D5">
        <w:rPr>
          <w:rFonts w:asciiTheme="majorHAnsi" w:hAnsiTheme="majorHAnsi" w:cs="Arial"/>
          <w:i/>
          <w:iCs/>
          <w:sz w:val="16"/>
          <w:szCs w:val="16"/>
        </w:rPr>
        <w:t xml:space="preserve">. </w:t>
      </w:r>
      <w:r w:rsidRPr="000B16D5">
        <w:rPr>
          <w:rFonts w:asciiTheme="majorHAnsi" w:hAnsiTheme="majorHAnsi" w:cs="Arial"/>
          <w:sz w:val="16"/>
          <w:szCs w:val="16"/>
        </w:rPr>
        <w:t>Neuron 2003;37:649– 61.</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Hewson A.K., Dickson S.L. </w:t>
      </w:r>
      <w:r w:rsidRPr="000B16D5">
        <w:rPr>
          <w:rFonts w:asciiTheme="majorHAnsi" w:hAnsiTheme="majorHAnsi" w:cs="Arial"/>
          <w:iCs/>
          <w:sz w:val="16"/>
          <w:szCs w:val="16"/>
        </w:rPr>
        <w:t xml:space="preserve">Systemic administration of ghrelin induces Fos and Egr-1 proteins in the hypothalamic arcuate nucleus of fasted and fed rats. </w:t>
      </w:r>
      <w:r w:rsidRPr="000B16D5">
        <w:rPr>
          <w:rFonts w:asciiTheme="majorHAnsi" w:hAnsiTheme="majorHAnsi" w:cs="Arial"/>
          <w:sz w:val="16"/>
          <w:szCs w:val="16"/>
        </w:rPr>
        <w:t>J Neuroendocrinol 2000;12:1047–1049.</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iCs/>
          <w:sz w:val="16"/>
          <w:szCs w:val="16"/>
        </w:rPr>
      </w:pPr>
      <w:r w:rsidRPr="000B16D5">
        <w:rPr>
          <w:rFonts w:asciiTheme="majorHAnsi" w:hAnsiTheme="majorHAnsi" w:cs="Arial"/>
          <w:sz w:val="16"/>
          <w:szCs w:val="16"/>
        </w:rPr>
        <w:t xml:space="preserve">Dickson S.L., Leng G., Robinson I.C.A.F. </w:t>
      </w:r>
      <w:r w:rsidRPr="000B16D5">
        <w:rPr>
          <w:rFonts w:asciiTheme="majorHAnsi" w:hAnsiTheme="majorHAnsi" w:cs="Arial"/>
          <w:iCs/>
          <w:sz w:val="16"/>
          <w:szCs w:val="16"/>
        </w:rPr>
        <w:t>Systemic administration of growth hormone-</w:t>
      </w:r>
      <w:r w:rsidRPr="000B16D5">
        <w:rPr>
          <w:rFonts w:asciiTheme="majorHAnsi" w:hAnsiTheme="majorHAnsi" w:cs="Arial"/>
          <w:sz w:val="16"/>
          <w:szCs w:val="16"/>
        </w:rPr>
        <w:t xml:space="preserve">releasing </w:t>
      </w:r>
      <w:r w:rsidRPr="000B16D5">
        <w:rPr>
          <w:rFonts w:asciiTheme="majorHAnsi" w:hAnsiTheme="majorHAnsi" w:cs="Arial"/>
          <w:iCs/>
          <w:sz w:val="16"/>
          <w:szCs w:val="16"/>
        </w:rPr>
        <w:t>peptide activates hypothalamic arcuate neurons.</w:t>
      </w:r>
    </w:p>
    <w:p w:rsidR="00520D6A" w:rsidRPr="000B16D5" w:rsidRDefault="00520D6A" w:rsidP="00520D6A">
      <w:pPr>
        <w:autoSpaceDE w:val="0"/>
        <w:autoSpaceDN w:val="0"/>
        <w:adjustRightInd w:val="0"/>
        <w:spacing w:after="0" w:line="240" w:lineRule="auto"/>
        <w:ind w:firstLine="708"/>
        <w:jc w:val="both"/>
        <w:rPr>
          <w:rFonts w:asciiTheme="majorHAnsi" w:hAnsiTheme="majorHAnsi" w:cs="Arial"/>
          <w:sz w:val="16"/>
          <w:szCs w:val="16"/>
        </w:rPr>
      </w:pPr>
      <w:r w:rsidRPr="000B16D5">
        <w:rPr>
          <w:rFonts w:asciiTheme="majorHAnsi" w:hAnsiTheme="majorHAnsi" w:cs="Arial"/>
          <w:sz w:val="16"/>
          <w:szCs w:val="16"/>
        </w:rPr>
        <w:t>Neuroscience 1993;54:303–306.</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Dickson S.L., Luckman S.M. </w:t>
      </w:r>
      <w:r w:rsidRPr="000B16D5">
        <w:rPr>
          <w:rFonts w:asciiTheme="majorHAnsi" w:hAnsiTheme="majorHAnsi" w:cs="Arial"/>
          <w:iCs/>
          <w:sz w:val="16"/>
          <w:szCs w:val="16"/>
        </w:rPr>
        <w:t xml:space="preserve">Induction of c-fos messenger ribonucleic acid in neuropeptide Y and growth hormone (GH)-releasing factor neurons in the rat </w:t>
      </w:r>
      <w:r w:rsidRPr="000B16D5">
        <w:rPr>
          <w:rFonts w:asciiTheme="majorHAnsi" w:hAnsiTheme="majorHAnsi" w:cs="Arial"/>
          <w:sz w:val="16"/>
          <w:szCs w:val="16"/>
        </w:rPr>
        <w:t xml:space="preserve">arcuate </w:t>
      </w:r>
      <w:r w:rsidRPr="000B16D5">
        <w:rPr>
          <w:rFonts w:asciiTheme="majorHAnsi" w:hAnsiTheme="majorHAnsi" w:cs="Arial"/>
          <w:iCs/>
          <w:sz w:val="16"/>
          <w:szCs w:val="16"/>
        </w:rPr>
        <w:t>nucleus following systemic injection of the GH secretagogue, GHreleasing peptide-6</w:t>
      </w:r>
      <w:r w:rsidRPr="000B16D5">
        <w:rPr>
          <w:rFonts w:asciiTheme="majorHAnsi" w:hAnsiTheme="majorHAnsi" w:cs="Arial"/>
          <w:sz w:val="16"/>
          <w:szCs w:val="16"/>
        </w:rPr>
        <w:t>. Endokrinology 1997;138:771–777.</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Cummings D.E., Weigle D.S., Frayo R.S., Breen P.A., Ma M.K., Dellinger E.P., Purnell J.Q. </w:t>
      </w:r>
      <w:r w:rsidRPr="000B16D5">
        <w:rPr>
          <w:rFonts w:asciiTheme="majorHAnsi" w:hAnsiTheme="majorHAnsi" w:cs="Arial"/>
          <w:iCs/>
          <w:sz w:val="16"/>
          <w:szCs w:val="16"/>
        </w:rPr>
        <w:t xml:space="preserve">Plasma ghrelin levels after diet-induced weight loss or gastric bypass surgery. </w:t>
      </w:r>
      <w:r w:rsidRPr="000B16D5">
        <w:rPr>
          <w:rFonts w:asciiTheme="majorHAnsi" w:hAnsiTheme="majorHAnsi" w:cs="Arial"/>
          <w:sz w:val="16"/>
          <w:szCs w:val="16"/>
        </w:rPr>
        <w:t>N Engl J Med 2002;346:1623-30.</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Tschöp M., Smiley D.L., Heiman M.L. </w:t>
      </w:r>
      <w:r w:rsidRPr="000B16D5">
        <w:rPr>
          <w:rFonts w:asciiTheme="majorHAnsi" w:hAnsiTheme="majorHAnsi" w:cs="Arial"/>
          <w:iCs/>
          <w:sz w:val="16"/>
          <w:szCs w:val="16"/>
        </w:rPr>
        <w:t>Ghrelin induces adiposity in rodents</w:t>
      </w:r>
      <w:r w:rsidRPr="000B16D5">
        <w:rPr>
          <w:rFonts w:asciiTheme="majorHAnsi" w:hAnsiTheme="majorHAnsi" w:cs="Arial"/>
          <w:sz w:val="16"/>
          <w:szCs w:val="16"/>
        </w:rPr>
        <w:t>. Nature 2000;407:908-13.</w:t>
      </w:r>
    </w:p>
    <w:p w:rsidR="00520D6A" w:rsidRPr="000B16D5" w:rsidRDefault="00520D6A" w:rsidP="00520D6A">
      <w:pPr>
        <w:pStyle w:val="Odstavecseseznamem"/>
        <w:numPr>
          <w:ilvl w:val="0"/>
          <w:numId w:val="40"/>
        </w:numPr>
        <w:autoSpaceDE w:val="0"/>
        <w:autoSpaceDN w:val="0"/>
        <w:adjustRightInd w:val="0"/>
        <w:spacing w:after="0" w:line="240" w:lineRule="auto"/>
        <w:jc w:val="both"/>
        <w:rPr>
          <w:rFonts w:asciiTheme="majorHAnsi" w:hAnsiTheme="majorHAnsi" w:cs="Arial"/>
          <w:sz w:val="16"/>
          <w:szCs w:val="16"/>
        </w:rPr>
      </w:pPr>
      <w:r w:rsidRPr="000B16D5">
        <w:rPr>
          <w:rFonts w:asciiTheme="majorHAnsi" w:hAnsiTheme="majorHAnsi" w:cs="Arial"/>
          <w:sz w:val="16"/>
          <w:szCs w:val="16"/>
        </w:rPr>
        <w:t xml:space="preserve">Tschöp M., Weyer C., Tataranni P.A., Devanarayan V., Ravussin E., Heiman M.L. </w:t>
      </w:r>
      <w:r w:rsidRPr="000B16D5">
        <w:rPr>
          <w:rFonts w:asciiTheme="majorHAnsi" w:hAnsiTheme="majorHAnsi" w:cs="Arial"/>
          <w:iCs/>
          <w:sz w:val="16"/>
          <w:szCs w:val="16"/>
        </w:rPr>
        <w:t>Circulating ghrelin levels are decreased in human obesity</w:t>
      </w:r>
      <w:r w:rsidRPr="000B16D5">
        <w:rPr>
          <w:rFonts w:asciiTheme="majorHAnsi" w:hAnsiTheme="majorHAnsi" w:cs="Arial"/>
          <w:sz w:val="16"/>
          <w:szCs w:val="16"/>
        </w:rPr>
        <w:t>. Diabetes 2001; 50:707-9.</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Frayling T.M., Timpson N.J., Weedon M.N., Zeggini E., Freathy R.M., Lindgren C.M., Perry J.R., Elliott K.S., Lango H., Rayner N.W., Shields B., Harries L.W., Barrett J.C., Ellard S., Groves C.J., Knight B., Patch A.M., Ness A.R., Ebrahim S., Lawlor D.A., Ring S.M., Ben-Shlomo Y., Jarvelin M.R., Sovio U., Bennett A.J., Melzer D., Ferrucci L., Loos R.J., Barroso I., Wareham N.J., Karpe F., Owen K.R., Cardon L.R., Walker M., Hitman G.A., Palmer C.N., Doney A.S., Morris A.D., Smith G.D., Hattersley A.T., McCarthy M.I. A common variant in the FTO gene is associated with body mass index and predisposes to childhood and adult obesity. Science. 2007 May 11;316(5826):889-94. Epub 2007 Apr 12.</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Zeggini E., Weedon M.N., Lindgren C.M. Replication of genome-wide association signals in UK samples reveals risk loci for type 2 diabetes. Science. 2007;316(June (5829)):1336–1341.</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 xml:space="preserve">Wardle J., Carnell S., Haworth C.M., Farooqi I.S., O'Rahilly S., Plomin R. Obesity associated genetic variation in FTO is </w:t>
      </w:r>
      <w:r w:rsidRPr="000B16D5">
        <w:rPr>
          <w:rFonts w:asciiTheme="majorHAnsi" w:hAnsiTheme="majorHAnsi"/>
          <w:sz w:val="16"/>
          <w:szCs w:val="16"/>
        </w:rPr>
        <w:lastRenderedPageBreak/>
        <w:t>associated with diminished satiety. J Clin Endocrinol Metab. 2008 Sep;93(9):3640-3. doi: 10.1210/jc.2008-0472. Epub 2008 Jun 26.</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 xml:space="preserve">Gerken T., Girard C.A., Tung Y.C., Webby C.J., Saudek V., Hewitson K.S., Yeo G.S., McDonough M.A., Cunliffe S., McNeill L.A., Galvanovskis J., Rorsman P., Robins P., Prieur X., Coll A.P., Ma M., Jovanovic Z., Farooqi I.S., Sedgwick B., Barroso I., Lindahl T., Ponting C.P., Ashcroft F.M., O'Rahilly S., Schofield C.J. The obesity-associated FTO gene encodes a 2-oxoglutarate-dependent nucleic acid demethylase. Science. 2007 Nov 30;318(5855):1469-72. Epub 2007 Nov 8. </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Herrera B.M., Keildson S., Lindgrena C.M. Genetics and epigenetics of obesity. Maturitas. 2011 May; 69(1): 41–49. doi:  10.1016/j.maturitas.2011.02.018. Epub 2011 Apr 3.</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Rankinen T., Zuberi A., Chagnon Y.C. The human obesity gene map: the 2005 update. Obesity (Silver Spring) 2006;14(April (4)):529–644.</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Fonts w:asciiTheme="majorHAnsi" w:hAnsiTheme="majorHAnsi"/>
          <w:sz w:val="16"/>
          <w:szCs w:val="16"/>
        </w:rPr>
        <w:t>Saunders C.L., Chiodini B.D., Sham P. Meta-analysis of genome-wide linkage studies in BMI and obesity. Obesity (Silver Spring) 2007;15(September (9)):2263–2275.</w:t>
      </w:r>
    </w:p>
    <w:p w:rsidR="00520D6A" w:rsidRPr="000B16D5" w:rsidRDefault="00520D6A" w:rsidP="00520D6A">
      <w:pPr>
        <w:pStyle w:val="Odstavecseseznamem"/>
        <w:numPr>
          <w:ilvl w:val="0"/>
          <w:numId w:val="40"/>
        </w:numPr>
        <w:spacing w:after="0" w:line="259" w:lineRule="auto"/>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Willer C.J., Speliotes E.K., Loos R.J. Six new loci associated with body mass index highlight a neuronal influence on body weight regulation. </w:t>
      </w:r>
      <w:r w:rsidRPr="000B16D5">
        <w:rPr>
          <w:rStyle w:val="ref-journal"/>
          <w:rFonts w:asciiTheme="majorHAnsi" w:hAnsiTheme="majorHAnsi"/>
          <w:sz w:val="16"/>
          <w:szCs w:val="16"/>
        </w:rPr>
        <w:t xml:space="preserve">Nat Genet. </w:t>
      </w:r>
      <w:r w:rsidRPr="000B16D5">
        <w:rPr>
          <w:rStyle w:val="element-citation"/>
          <w:rFonts w:asciiTheme="majorHAnsi" w:hAnsiTheme="majorHAnsi"/>
          <w:sz w:val="16"/>
          <w:szCs w:val="16"/>
        </w:rPr>
        <w:t>2009;</w:t>
      </w:r>
      <w:r w:rsidRPr="000B16D5">
        <w:rPr>
          <w:rStyle w:val="ref-vol"/>
          <w:rFonts w:asciiTheme="majorHAnsi" w:hAnsiTheme="majorHAnsi"/>
          <w:sz w:val="16"/>
          <w:szCs w:val="16"/>
        </w:rPr>
        <w:t>41</w:t>
      </w:r>
      <w:r w:rsidRPr="000B16D5">
        <w:rPr>
          <w:rStyle w:val="element-citation"/>
          <w:rFonts w:asciiTheme="majorHAnsi" w:hAnsiTheme="majorHAnsi"/>
          <w:sz w:val="16"/>
          <w:szCs w:val="16"/>
        </w:rPr>
        <w:t>(January (1)):25–34.</w:t>
      </w:r>
    </w:p>
    <w:p w:rsidR="00520D6A" w:rsidRPr="000B16D5" w:rsidRDefault="00520D6A" w:rsidP="00520D6A">
      <w:pPr>
        <w:pStyle w:val="Odstavecseseznamem"/>
        <w:numPr>
          <w:ilvl w:val="0"/>
          <w:numId w:val="40"/>
        </w:numPr>
        <w:spacing w:after="0" w:line="259" w:lineRule="auto"/>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Thorleifsson G., Walters G.B., Gudbjartsson D.F. Genome-wide association yields new sequence variants at seven loci that associate with measures of obesity. </w:t>
      </w:r>
      <w:r w:rsidRPr="000B16D5">
        <w:rPr>
          <w:rStyle w:val="ref-journal"/>
          <w:rFonts w:asciiTheme="majorHAnsi" w:hAnsiTheme="majorHAnsi"/>
          <w:sz w:val="16"/>
          <w:szCs w:val="16"/>
        </w:rPr>
        <w:t xml:space="preserve">Nat Genet. </w:t>
      </w:r>
      <w:r w:rsidRPr="000B16D5">
        <w:rPr>
          <w:rStyle w:val="element-citation"/>
          <w:rFonts w:asciiTheme="majorHAnsi" w:hAnsiTheme="majorHAnsi"/>
          <w:sz w:val="16"/>
          <w:szCs w:val="16"/>
        </w:rPr>
        <w:t>2009;</w:t>
      </w:r>
      <w:r w:rsidRPr="000B16D5">
        <w:rPr>
          <w:rStyle w:val="ref-vol"/>
          <w:rFonts w:asciiTheme="majorHAnsi" w:hAnsiTheme="majorHAnsi"/>
          <w:sz w:val="16"/>
          <w:szCs w:val="16"/>
        </w:rPr>
        <w:t>41</w:t>
      </w:r>
      <w:r w:rsidRPr="000B16D5">
        <w:rPr>
          <w:rStyle w:val="element-citation"/>
          <w:rFonts w:asciiTheme="majorHAnsi" w:hAnsiTheme="majorHAnsi"/>
          <w:sz w:val="16"/>
          <w:szCs w:val="16"/>
        </w:rPr>
        <w:t>(January (1)):18–24.</w:t>
      </w:r>
    </w:p>
    <w:p w:rsidR="00520D6A" w:rsidRPr="000B16D5" w:rsidRDefault="00520D6A" w:rsidP="00520D6A">
      <w:pPr>
        <w:pStyle w:val="Odstavecseseznamem"/>
        <w:numPr>
          <w:ilvl w:val="0"/>
          <w:numId w:val="40"/>
        </w:numPr>
        <w:spacing w:after="0" w:line="259" w:lineRule="auto"/>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Meyre D., Delplanque J., Chevre J.C. Genome-wide association study for early-onset and morbid adult obesity identifies three new risk loci in European populations. </w:t>
      </w:r>
      <w:r w:rsidRPr="000B16D5">
        <w:rPr>
          <w:rStyle w:val="ref-journal"/>
          <w:rFonts w:asciiTheme="majorHAnsi" w:hAnsiTheme="majorHAnsi"/>
          <w:sz w:val="16"/>
          <w:szCs w:val="16"/>
        </w:rPr>
        <w:t xml:space="preserve">Nat Genet. </w:t>
      </w:r>
      <w:r w:rsidRPr="000B16D5">
        <w:rPr>
          <w:rStyle w:val="element-citation"/>
          <w:rFonts w:asciiTheme="majorHAnsi" w:hAnsiTheme="majorHAnsi"/>
          <w:sz w:val="16"/>
          <w:szCs w:val="16"/>
        </w:rPr>
        <w:t>2009;</w:t>
      </w:r>
      <w:r w:rsidRPr="000B16D5">
        <w:rPr>
          <w:rStyle w:val="ref-vol"/>
          <w:rFonts w:asciiTheme="majorHAnsi" w:hAnsiTheme="majorHAnsi"/>
          <w:sz w:val="16"/>
          <w:szCs w:val="16"/>
        </w:rPr>
        <w:t>41</w:t>
      </w:r>
      <w:r w:rsidRPr="000B16D5">
        <w:rPr>
          <w:rStyle w:val="element-citation"/>
          <w:rFonts w:asciiTheme="majorHAnsi" w:hAnsiTheme="majorHAnsi"/>
          <w:sz w:val="16"/>
          <w:szCs w:val="16"/>
        </w:rPr>
        <w:t>(February (2)):157–159.</w:t>
      </w:r>
    </w:p>
    <w:p w:rsidR="00520D6A" w:rsidRPr="000B16D5" w:rsidRDefault="00520D6A" w:rsidP="00520D6A">
      <w:pPr>
        <w:pStyle w:val="Textkomente"/>
        <w:numPr>
          <w:ilvl w:val="0"/>
          <w:numId w:val="40"/>
        </w:numPr>
        <w:spacing w:after="0"/>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Speliotes E.K., Willer C.J., Berndt S.I. Association analyses of 249,796 individuals reveal 18 new loci associated with body mass index. </w:t>
      </w:r>
      <w:r w:rsidRPr="000B16D5">
        <w:rPr>
          <w:rStyle w:val="ref-journal"/>
          <w:rFonts w:asciiTheme="majorHAnsi" w:hAnsiTheme="majorHAnsi"/>
          <w:sz w:val="16"/>
          <w:szCs w:val="16"/>
        </w:rPr>
        <w:t xml:space="preserve">Nat Genet. </w:t>
      </w:r>
      <w:r w:rsidRPr="000B16D5">
        <w:rPr>
          <w:rStyle w:val="element-citation"/>
          <w:rFonts w:asciiTheme="majorHAnsi" w:hAnsiTheme="majorHAnsi"/>
          <w:sz w:val="16"/>
          <w:szCs w:val="16"/>
        </w:rPr>
        <w:t>2010;</w:t>
      </w:r>
      <w:r w:rsidRPr="000B16D5">
        <w:rPr>
          <w:rStyle w:val="ref-vol"/>
          <w:rFonts w:asciiTheme="majorHAnsi" w:hAnsiTheme="majorHAnsi"/>
          <w:sz w:val="16"/>
          <w:szCs w:val="16"/>
        </w:rPr>
        <w:t>42</w:t>
      </w:r>
      <w:r w:rsidRPr="000B16D5">
        <w:rPr>
          <w:rStyle w:val="element-citation"/>
          <w:rFonts w:asciiTheme="majorHAnsi" w:hAnsiTheme="majorHAnsi"/>
          <w:sz w:val="16"/>
          <w:szCs w:val="16"/>
        </w:rPr>
        <w:t>(November (11)):937–948.</w:t>
      </w:r>
    </w:p>
    <w:p w:rsidR="00520D6A" w:rsidRPr="000B16D5" w:rsidRDefault="00520D6A" w:rsidP="00520D6A">
      <w:pPr>
        <w:pStyle w:val="Textkomente"/>
        <w:numPr>
          <w:ilvl w:val="0"/>
          <w:numId w:val="40"/>
        </w:numPr>
        <w:spacing w:after="0"/>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Farooqi I.S., Drop S., Clements A. Heterozygosity for a POMC-null mutation and increased obesity risk in humans. </w:t>
      </w:r>
      <w:r w:rsidRPr="000B16D5">
        <w:rPr>
          <w:rStyle w:val="ref-journal"/>
          <w:rFonts w:asciiTheme="majorHAnsi" w:hAnsiTheme="majorHAnsi"/>
          <w:sz w:val="16"/>
          <w:szCs w:val="16"/>
        </w:rPr>
        <w:t xml:space="preserve">Diabetes. </w:t>
      </w:r>
      <w:r w:rsidRPr="000B16D5">
        <w:rPr>
          <w:rStyle w:val="element-citation"/>
          <w:rFonts w:asciiTheme="majorHAnsi" w:hAnsiTheme="majorHAnsi"/>
          <w:sz w:val="16"/>
          <w:szCs w:val="16"/>
        </w:rPr>
        <w:t>2006;</w:t>
      </w:r>
      <w:r w:rsidRPr="000B16D5">
        <w:rPr>
          <w:rStyle w:val="ref-vol"/>
          <w:rFonts w:asciiTheme="majorHAnsi" w:hAnsiTheme="majorHAnsi"/>
          <w:sz w:val="16"/>
          <w:szCs w:val="16"/>
        </w:rPr>
        <w:t>55</w:t>
      </w:r>
      <w:r w:rsidRPr="000B16D5">
        <w:rPr>
          <w:rStyle w:val="element-citation"/>
          <w:rFonts w:asciiTheme="majorHAnsi" w:hAnsiTheme="majorHAnsi"/>
          <w:sz w:val="16"/>
          <w:szCs w:val="16"/>
        </w:rPr>
        <w:t>(September (9)):2549–2553.</w:t>
      </w:r>
    </w:p>
    <w:p w:rsidR="00520D6A" w:rsidRPr="000B16D5" w:rsidRDefault="00520D6A" w:rsidP="00520D6A">
      <w:pPr>
        <w:pStyle w:val="Odstavecseseznamem"/>
        <w:numPr>
          <w:ilvl w:val="0"/>
          <w:numId w:val="40"/>
        </w:numPr>
        <w:spacing w:after="0" w:line="259" w:lineRule="auto"/>
        <w:jc w:val="both"/>
        <w:rPr>
          <w:rStyle w:val="Nadpis1Char"/>
          <w:rFonts w:eastAsiaTheme="minorHAnsi"/>
          <w:b w:val="0"/>
          <w:bCs w:val="0"/>
          <w:color w:val="auto"/>
          <w:sz w:val="16"/>
          <w:szCs w:val="16"/>
          <w:lang w:eastAsia="en-US"/>
        </w:rPr>
      </w:pPr>
      <w:r w:rsidRPr="000B16D5">
        <w:rPr>
          <w:rStyle w:val="element-citation"/>
          <w:rFonts w:asciiTheme="majorHAnsi" w:hAnsiTheme="majorHAnsi"/>
          <w:sz w:val="16"/>
          <w:szCs w:val="16"/>
        </w:rPr>
        <w:t xml:space="preserve">D’Angelo C.S., Kohl I., Varela M.C., et al. Extending the phenotype of monosomy 1p36 syndrome and mapping of a critical region for obesity and hyperphagia. </w:t>
      </w:r>
      <w:r w:rsidRPr="000B16D5">
        <w:rPr>
          <w:rStyle w:val="Zdraznn"/>
          <w:rFonts w:asciiTheme="majorHAnsi" w:hAnsiTheme="majorHAnsi"/>
          <w:sz w:val="16"/>
          <w:szCs w:val="16"/>
        </w:rPr>
        <w:t>American Journal of Medical Genetics, Part A</w:t>
      </w:r>
      <w:r w:rsidRPr="000B16D5">
        <w:rPr>
          <w:rStyle w:val="ref-journal"/>
          <w:rFonts w:asciiTheme="majorHAnsi" w:hAnsiTheme="majorHAnsi"/>
          <w:i/>
          <w:sz w:val="16"/>
          <w:szCs w:val="16"/>
        </w:rPr>
        <w:t xml:space="preserve">. </w:t>
      </w:r>
      <w:r w:rsidRPr="000B16D5">
        <w:rPr>
          <w:rStyle w:val="element-citation"/>
          <w:rFonts w:asciiTheme="majorHAnsi" w:hAnsiTheme="majorHAnsi"/>
          <w:sz w:val="16"/>
          <w:szCs w:val="16"/>
        </w:rPr>
        <w:t>2010;</w:t>
      </w:r>
      <w:r w:rsidRPr="000B16D5">
        <w:rPr>
          <w:rStyle w:val="ref-vol"/>
          <w:rFonts w:asciiTheme="majorHAnsi" w:hAnsiTheme="majorHAnsi"/>
          <w:sz w:val="16"/>
          <w:szCs w:val="16"/>
        </w:rPr>
        <w:t>152</w:t>
      </w:r>
      <w:r w:rsidRPr="000B16D5">
        <w:rPr>
          <w:rStyle w:val="element-citation"/>
          <w:rFonts w:asciiTheme="majorHAnsi" w:hAnsiTheme="majorHAnsi"/>
          <w:sz w:val="16"/>
          <w:szCs w:val="16"/>
        </w:rPr>
        <w:t>(1):102–110.</w:t>
      </w:r>
      <w:r w:rsidRPr="000B16D5">
        <w:rPr>
          <w:rStyle w:val="Nadpis1Char"/>
          <w:rFonts w:eastAsiaTheme="minorHAnsi"/>
          <w:color w:val="auto"/>
          <w:sz w:val="16"/>
          <w:szCs w:val="16"/>
        </w:rPr>
        <w:t xml:space="preserve"> </w:t>
      </w:r>
    </w:p>
    <w:p w:rsidR="00520D6A" w:rsidRPr="000B16D5" w:rsidRDefault="00520D6A" w:rsidP="00520D6A">
      <w:pPr>
        <w:pStyle w:val="Odstavecseseznamem"/>
        <w:numPr>
          <w:ilvl w:val="0"/>
          <w:numId w:val="40"/>
        </w:numPr>
        <w:spacing w:after="0" w:line="259" w:lineRule="auto"/>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Wentzel C., Lynch S.A., Stattin E.L., Sharkey F.H., Annerén G., Thuresson A.C. Interstitial deletions at 6q14.1-q15 associated with obesity, developmental delay and a distinct clinical phenotype. </w:t>
      </w:r>
      <w:r w:rsidRPr="000B16D5">
        <w:rPr>
          <w:rStyle w:val="Zdraznn"/>
          <w:rFonts w:asciiTheme="majorHAnsi" w:hAnsiTheme="majorHAnsi"/>
          <w:sz w:val="16"/>
          <w:szCs w:val="16"/>
        </w:rPr>
        <w:t>Molecular Syndromology</w:t>
      </w:r>
      <w:r w:rsidRPr="000B16D5">
        <w:rPr>
          <w:rStyle w:val="ref-journal"/>
          <w:rFonts w:asciiTheme="majorHAnsi" w:hAnsiTheme="majorHAnsi"/>
          <w:i/>
          <w:sz w:val="16"/>
          <w:szCs w:val="16"/>
        </w:rPr>
        <w:t>.</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2010;</w:t>
      </w:r>
      <w:r w:rsidRPr="000B16D5">
        <w:rPr>
          <w:rStyle w:val="ref-vol"/>
          <w:rFonts w:asciiTheme="majorHAnsi" w:hAnsiTheme="majorHAnsi"/>
          <w:sz w:val="16"/>
          <w:szCs w:val="16"/>
        </w:rPr>
        <w:t>1</w:t>
      </w:r>
      <w:r w:rsidRPr="000B16D5">
        <w:rPr>
          <w:rStyle w:val="element-citation"/>
          <w:rFonts w:asciiTheme="majorHAnsi" w:hAnsiTheme="majorHAnsi"/>
          <w:sz w:val="16"/>
          <w:szCs w:val="16"/>
        </w:rPr>
        <w:t>(2):75–81.</w:t>
      </w:r>
    </w:p>
    <w:p w:rsidR="00520D6A" w:rsidRPr="000B16D5" w:rsidRDefault="00520D6A" w:rsidP="00520D6A">
      <w:pPr>
        <w:pStyle w:val="Odstavecseseznamem"/>
        <w:numPr>
          <w:ilvl w:val="0"/>
          <w:numId w:val="40"/>
        </w:numPr>
        <w:spacing w:after="0" w:line="259" w:lineRule="auto"/>
        <w:jc w:val="both"/>
        <w:rPr>
          <w:rStyle w:val="element-citation"/>
          <w:rFonts w:asciiTheme="majorHAnsi" w:hAnsiTheme="majorHAnsi"/>
          <w:sz w:val="16"/>
          <w:szCs w:val="16"/>
        </w:rPr>
      </w:pPr>
      <w:r w:rsidRPr="000B16D5">
        <w:rPr>
          <w:rStyle w:val="element-citation"/>
          <w:rFonts w:asciiTheme="majorHAnsi" w:hAnsiTheme="majorHAnsi"/>
          <w:sz w:val="16"/>
          <w:szCs w:val="16"/>
        </w:rPr>
        <w:t xml:space="preserve">Shinawi M., Sahoo T., Maranda B., et al. 11p14.1 microdeletions associated with ADHD, autism, developmental delay, and obesity. </w:t>
      </w:r>
      <w:r w:rsidRPr="000B16D5">
        <w:rPr>
          <w:rStyle w:val="Zdraznn"/>
          <w:rFonts w:asciiTheme="majorHAnsi" w:hAnsiTheme="majorHAnsi"/>
          <w:sz w:val="16"/>
          <w:szCs w:val="16"/>
        </w:rPr>
        <w:t>American Journal of Medical Genetics, Part A</w:t>
      </w:r>
      <w:r w:rsidRPr="000B16D5">
        <w:rPr>
          <w:rStyle w:val="ref-journal"/>
          <w:rFonts w:asciiTheme="majorHAnsi" w:hAnsiTheme="majorHAnsi"/>
          <w:i/>
          <w:sz w:val="16"/>
          <w:szCs w:val="16"/>
        </w:rPr>
        <w:t>.</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2011;</w:t>
      </w:r>
      <w:r w:rsidRPr="000B16D5">
        <w:rPr>
          <w:rStyle w:val="ref-vol"/>
          <w:rFonts w:asciiTheme="majorHAnsi" w:hAnsiTheme="majorHAnsi"/>
          <w:sz w:val="16"/>
          <w:szCs w:val="16"/>
        </w:rPr>
        <w:t>155</w:t>
      </w:r>
      <w:r w:rsidRPr="000B16D5">
        <w:rPr>
          <w:rStyle w:val="element-citation"/>
          <w:rFonts w:asciiTheme="majorHAnsi" w:hAnsiTheme="majorHAnsi"/>
          <w:sz w:val="16"/>
          <w:szCs w:val="16"/>
        </w:rPr>
        <w:t>(6):1272–1280.</w:t>
      </w:r>
    </w:p>
    <w:p w:rsidR="00520D6A" w:rsidRPr="000B16D5" w:rsidRDefault="00520D6A" w:rsidP="00520D6A">
      <w:pPr>
        <w:pStyle w:val="Textkomente"/>
        <w:numPr>
          <w:ilvl w:val="0"/>
          <w:numId w:val="40"/>
        </w:numPr>
        <w:spacing w:after="0"/>
        <w:jc w:val="both"/>
        <w:rPr>
          <w:rFonts w:asciiTheme="majorHAnsi" w:hAnsiTheme="majorHAnsi"/>
          <w:sz w:val="16"/>
          <w:szCs w:val="16"/>
        </w:rPr>
      </w:pPr>
      <w:r w:rsidRPr="000B16D5">
        <w:rPr>
          <w:rStyle w:val="element-citation"/>
          <w:rFonts w:asciiTheme="majorHAnsi" w:hAnsiTheme="majorHAnsi"/>
          <w:sz w:val="16"/>
          <w:szCs w:val="16"/>
        </w:rPr>
        <w:t xml:space="preserve">Kearney H.M., Thorland E.C., Brown K.K., Quintero-Rivera F., South S.T. American College of Medical Genetics standards and guidelines for interpretation and reporting of postnatal constitutional copy number variants. </w:t>
      </w:r>
      <w:r w:rsidRPr="000B16D5">
        <w:rPr>
          <w:rStyle w:val="Zdraznn"/>
          <w:rFonts w:asciiTheme="majorHAnsi" w:hAnsiTheme="majorHAnsi"/>
          <w:sz w:val="16"/>
          <w:szCs w:val="16"/>
        </w:rPr>
        <w:t>Genetics in Medicine</w:t>
      </w:r>
      <w:r w:rsidRPr="000B16D5">
        <w:rPr>
          <w:rStyle w:val="ref-journal"/>
          <w:rFonts w:asciiTheme="majorHAnsi" w:hAnsiTheme="majorHAnsi"/>
          <w:i/>
          <w:sz w:val="16"/>
          <w:szCs w:val="16"/>
        </w:rPr>
        <w:t>.</w:t>
      </w:r>
      <w:r w:rsidRPr="000B16D5">
        <w:rPr>
          <w:rStyle w:val="ref-journal"/>
          <w:rFonts w:asciiTheme="majorHAnsi" w:hAnsiTheme="majorHAnsi"/>
          <w:sz w:val="16"/>
          <w:szCs w:val="16"/>
        </w:rPr>
        <w:t xml:space="preserve"> </w:t>
      </w:r>
      <w:r w:rsidRPr="000B16D5">
        <w:rPr>
          <w:rStyle w:val="element-citation"/>
          <w:rFonts w:asciiTheme="majorHAnsi" w:hAnsiTheme="majorHAnsi"/>
          <w:sz w:val="16"/>
          <w:szCs w:val="16"/>
        </w:rPr>
        <w:t>2011;</w:t>
      </w:r>
      <w:r w:rsidRPr="000B16D5">
        <w:rPr>
          <w:rStyle w:val="ref-vol"/>
          <w:rFonts w:asciiTheme="majorHAnsi" w:hAnsiTheme="majorHAnsi"/>
          <w:sz w:val="16"/>
          <w:szCs w:val="16"/>
        </w:rPr>
        <w:t>13</w:t>
      </w:r>
      <w:r w:rsidRPr="000B16D5">
        <w:rPr>
          <w:rStyle w:val="element-citation"/>
          <w:rFonts w:asciiTheme="majorHAnsi" w:hAnsiTheme="majorHAnsi"/>
          <w:sz w:val="16"/>
          <w:szCs w:val="16"/>
        </w:rPr>
        <w:t>(7):680–685.</w:t>
      </w:r>
    </w:p>
    <w:p w:rsidR="00520D6A" w:rsidRPr="000B16D5" w:rsidRDefault="00520D6A">
      <w:pPr>
        <w:rPr>
          <w:rFonts w:asciiTheme="majorHAnsi" w:hAnsiTheme="majorHAnsi"/>
        </w:rPr>
        <w:sectPr w:rsidR="00520D6A" w:rsidRPr="000B16D5" w:rsidSect="00A2684E">
          <w:type w:val="continuous"/>
          <w:pgSz w:w="11906" w:h="16838"/>
          <w:pgMar w:top="720" w:right="720" w:bottom="720" w:left="720" w:header="708" w:footer="708" w:gutter="0"/>
          <w:pgNumType w:start="51"/>
          <w:cols w:num="2" w:space="708"/>
          <w:titlePg/>
          <w:docGrid w:linePitch="360"/>
        </w:sectPr>
      </w:pPr>
    </w:p>
    <w:p w:rsidR="00520D6A" w:rsidRPr="000B16D5" w:rsidRDefault="00520D6A">
      <w:pPr>
        <w:rPr>
          <w:rFonts w:asciiTheme="majorHAnsi" w:hAnsiTheme="majorHAnsi"/>
        </w:rPr>
      </w:pPr>
    </w:p>
    <w:p w:rsidR="00520D6A" w:rsidRPr="000B16D5" w:rsidRDefault="00520D6A">
      <w:pPr>
        <w:rPr>
          <w:rFonts w:asciiTheme="majorHAnsi" w:hAnsiTheme="majorHAnsi"/>
        </w:rPr>
      </w:pPr>
    </w:p>
    <w:p w:rsidR="00520D6A" w:rsidRPr="000B16D5" w:rsidRDefault="00520D6A">
      <w:pPr>
        <w:rPr>
          <w:rFonts w:asciiTheme="majorHAnsi" w:hAnsiTheme="majorHAnsi"/>
          <w:b/>
          <w:smallCaps/>
          <w:sz w:val="28"/>
        </w:rPr>
      </w:pPr>
      <w:r w:rsidRPr="000B16D5">
        <w:rPr>
          <w:rFonts w:asciiTheme="majorHAnsi" w:hAnsiTheme="majorHAnsi"/>
        </w:rPr>
        <w:br w:type="page"/>
      </w:r>
    </w:p>
    <w:bookmarkStart w:id="53" w:name="_Toc380240620"/>
    <w:p w:rsidR="009272DB" w:rsidRPr="000B16D5" w:rsidRDefault="00100C72" w:rsidP="009272DB">
      <w:pPr>
        <w:pStyle w:val="Nadpiskapitoly"/>
        <w:rPr>
          <w:rFonts w:asciiTheme="majorHAnsi" w:hAnsiTheme="majorHAnsi"/>
        </w:rPr>
      </w:pPr>
      <w:r w:rsidRPr="000B16D5">
        <w:rPr>
          <w:rFonts w:asciiTheme="majorHAnsi" w:hAnsiTheme="majorHAnsi"/>
          <w:i/>
          <w:noProof/>
        </w:rPr>
        <w:lastRenderedPageBreak/>
        <mc:AlternateContent>
          <mc:Choice Requires="wps">
            <w:drawing>
              <wp:anchor distT="0" distB="0" distL="114300" distR="114300" simplePos="0" relativeHeight="251669504" behindDoc="0" locked="0" layoutInCell="1" allowOverlap="1" wp14:anchorId="0919C454" wp14:editId="3C8D8C14">
                <wp:simplePos x="0" y="0"/>
                <wp:positionH relativeFrom="column">
                  <wp:posOffset>5224780</wp:posOffset>
                </wp:positionH>
                <wp:positionV relativeFrom="paragraph">
                  <wp:posOffset>-128270</wp:posOffset>
                </wp:positionV>
                <wp:extent cx="1303655" cy="1416685"/>
                <wp:effectExtent l="0" t="71755" r="7239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9C454" id="Text Box 12" o:spid="_x0000_s1035" type="#_x0000_t202" style="position:absolute;left:0;text-align:left;margin-left:411.4pt;margin-top:-10.1pt;width:102.65pt;height:1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" stroked="f">
                <v:shadow on="t" opacity=".5" offset="6pt,-6pt"/>
                <v:textbo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10</w:t>
                      </w:r>
                    </w:p>
                  </w:txbxContent>
                </v:textbox>
              </v:shape>
            </w:pict>
          </mc:Fallback>
        </mc:AlternateContent>
      </w:r>
      <w:r w:rsidR="00312118" w:rsidRPr="000B16D5">
        <w:rPr>
          <w:rFonts w:asciiTheme="majorHAnsi" w:hAnsiTheme="majorHAnsi"/>
        </w:rPr>
        <w:t xml:space="preserve">Geny, Metabolismus </w:t>
      </w:r>
      <w:r w:rsidR="00F55D4E" w:rsidRPr="000B16D5">
        <w:rPr>
          <w:rFonts w:asciiTheme="majorHAnsi" w:hAnsiTheme="majorHAnsi"/>
        </w:rPr>
        <w:t xml:space="preserve">vitamínu </w:t>
      </w:r>
      <w:r w:rsidR="00312118" w:rsidRPr="000B16D5">
        <w:rPr>
          <w:rFonts w:asciiTheme="majorHAnsi" w:hAnsiTheme="majorHAnsi"/>
        </w:rPr>
        <w:t>D a vztah k</w:t>
      </w:r>
      <w:r w:rsidR="009272DB" w:rsidRPr="000B16D5">
        <w:rPr>
          <w:rFonts w:asciiTheme="majorHAnsi" w:hAnsiTheme="majorHAnsi"/>
        </w:rPr>
        <w:t> </w:t>
      </w:r>
      <w:r w:rsidR="00312118" w:rsidRPr="000B16D5">
        <w:rPr>
          <w:rFonts w:asciiTheme="majorHAnsi" w:hAnsiTheme="majorHAnsi"/>
        </w:rPr>
        <w:t>nejrůznějším</w:t>
      </w:r>
      <w:bookmarkEnd w:id="53"/>
    </w:p>
    <w:p w:rsidR="00815DA3" w:rsidRPr="000B16D5" w:rsidRDefault="00312118" w:rsidP="009272DB">
      <w:pPr>
        <w:pStyle w:val="Nadpiskapitoly"/>
        <w:numPr>
          <w:ilvl w:val="0"/>
          <w:numId w:val="0"/>
        </w:numPr>
        <w:ind w:left="360"/>
        <w:rPr>
          <w:rFonts w:asciiTheme="majorHAnsi" w:hAnsiTheme="majorHAnsi"/>
        </w:rPr>
      </w:pPr>
      <w:bookmarkStart w:id="54" w:name="_Toc370686277"/>
      <w:bookmarkStart w:id="55" w:name="_Toc377653332"/>
      <w:bookmarkStart w:id="56" w:name="_Toc380240621"/>
      <w:r w:rsidRPr="000B16D5">
        <w:rPr>
          <w:rFonts w:asciiTheme="majorHAnsi" w:hAnsiTheme="majorHAnsi"/>
        </w:rPr>
        <w:t>patologiím</w:t>
      </w:r>
      <w:bookmarkEnd w:id="54"/>
      <w:bookmarkEnd w:id="55"/>
      <w:bookmarkEnd w:id="56"/>
    </w:p>
    <w:p w:rsidR="00815DA3" w:rsidRPr="000B16D5" w:rsidRDefault="00815DA3" w:rsidP="00815DA3">
      <w:pPr>
        <w:pStyle w:val="Palatino"/>
        <w:rPr>
          <w:rFonts w:asciiTheme="majorHAnsi" w:hAnsiTheme="majorHAnsi"/>
          <w:i/>
        </w:rPr>
      </w:pPr>
    </w:p>
    <w:p w:rsidR="00D33064" w:rsidRPr="000B16D5" w:rsidRDefault="00D33064" w:rsidP="00815DA3">
      <w:pPr>
        <w:pStyle w:val="Palatino"/>
        <w:rPr>
          <w:rFonts w:asciiTheme="majorHAnsi" w:hAnsiTheme="majorHAnsi"/>
          <w:i/>
        </w:rPr>
      </w:pPr>
    </w:p>
    <w:p w:rsidR="008103DC" w:rsidRPr="000B16D5" w:rsidRDefault="008103DC" w:rsidP="008103DC">
      <w:pPr>
        <w:pStyle w:val="Palatino"/>
        <w:rPr>
          <w:rFonts w:asciiTheme="majorHAnsi" w:hAnsiTheme="majorHAnsi"/>
        </w:rPr>
      </w:pPr>
      <w:r w:rsidRPr="000B16D5">
        <w:rPr>
          <w:rFonts w:asciiTheme="majorHAnsi" w:hAnsiTheme="majorHAnsi"/>
          <w:i/>
        </w:rPr>
        <w:t>Jan Vinklárek</w:t>
      </w:r>
    </w:p>
    <w:p w:rsidR="008103DC" w:rsidRPr="000B16D5" w:rsidRDefault="008103DC" w:rsidP="008103DC">
      <w:pPr>
        <w:pStyle w:val="Palatino"/>
        <w:rPr>
          <w:rFonts w:asciiTheme="majorHAnsi" w:hAnsiTheme="majorHAnsi"/>
          <w:i/>
        </w:rPr>
      </w:pPr>
    </w:p>
    <w:p w:rsidR="008103DC" w:rsidRPr="000B16D5" w:rsidRDefault="00F55D4E" w:rsidP="008103DC">
      <w:pPr>
        <w:spacing w:before="120" w:after="0"/>
        <w:jc w:val="both"/>
        <w:rPr>
          <w:rFonts w:asciiTheme="majorHAnsi" w:hAnsiTheme="majorHAnsi" w:cs="Arial"/>
          <w:color w:val="000000"/>
          <w:shd w:val="clear" w:color="auto" w:fill="FFFFFF"/>
        </w:rPr>
      </w:pPr>
      <w:r w:rsidRPr="000B16D5">
        <w:rPr>
          <w:rFonts w:asciiTheme="majorHAnsi" w:hAnsiTheme="majorHAnsi" w:cs="Arial"/>
          <w:color w:val="000000"/>
          <w:shd w:val="clear" w:color="auto" w:fill="FFFFFF"/>
        </w:rPr>
        <w:t xml:space="preserve">Vitamín </w:t>
      </w:r>
      <w:r w:rsidR="008103DC" w:rsidRPr="000B16D5">
        <w:rPr>
          <w:rFonts w:asciiTheme="majorHAnsi" w:hAnsiTheme="majorHAnsi" w:cs="Arial"/>
          <w:color w:val="000000"/>
          <w:shd w:val="clear" w:color="auto" w:fill="FFFFFF"/>
        </w:rPr>
        <w:t>D je svou strukturou popsanou v roce 1931 steroidním hormonem. Dnes je popisována jeho varianta rostlinná (ergokalciferol)</w:t>
      </w:r>
      <w:r w:rsidR="001859BF" w:rsidRPr="000B16D5">
        <w:rPr>
          <w:rFonts w:asciiTheme="majorHAnsi" w:hAnsiTheme="majorHAnsi" w:cs="Arial"/>
          <w:color w:val="000000"/>
          <w:shd w:val="clear" w:color="auto" w:fill="FFFFFF"/>
        </w:rPr>
        <w:t xml:space="preserve"> –</w:t>
      </w:r>
      <w:r w:rsidR="008103DC" w:rsidRPr="000B16D5">
        <w:rPr>
          <w:rFonts w:asciiTheme="majorHAnsi" w:hAnsiTheme="majorHAnsi" w:cs="Arial"/>
          <w:color w:val="000000"/>
          <w:shd w:val="clear" w:color="auto" w:fill="FFFFFF"/>
        </w:rPr>
        <w:t xml:space="preserve"> </w:t>
      </w:r>
      <w:r w:rsidRPr="000B16D5">
        <w:rPr>
          <w:rFonts w:asciiTheme="majorHAnsi" w:hAnsiTheme="majorHAnsi" w:cs="Arial"/>
          <w:color w:val="000000"/>
          <w:shd w:val="clear" w:color="auto" w:fill="FFFFFF"/>
        </w:rPr>
        <w:t xml:space="preserve">vitamín </w:t>
      </w:r>
      <w:r w:rsidR="008103DC" w:rsidRPr="000B16D5">
        <w:rPr>
          <w:rFonts w:asciiTheme="majorHAnsi" w:hAnsiTheme="majorHAnsi" w:cs="Arial"/>
          <w:color w:val="000000"/>
          <w:shd w:val="clear" w:color="auto" w:fill="FFFFFF"/>
        </w:rPr>
        <w:t>D2</w:t>
      </w:r>
      <w:r w:rsidR="001859BF" w:rsidRPr="000B16D5">
        <w:rPr>
          <w:rFonts w:asciiTheme="majorHAnsi" w:hAnsiTheme="majorHAnsi" w:cs="Arial"/>
          <w:color w:val="000000"/>
          <w:shd w:val="clear" w:color="auto" w:fill="FFFFFF"/>
        </w:rPr>
        <w:t>,</w:t>
      </w:r>
      <w:r w:rsidR="008103DC" w:rsidRPr="000B16D5">
        <w:rPr>
          <w:rFonts w:asciiTheme="majorHAnsi" w:hAnsiTheme="majorHAnsi" w:cs="Arial"/>
          <w:color w:val="000000"/>
          <w:shd w:val="clear" w:color="auto" w:fill="FFFFFF"/>
        </w:rPr>
        <w:t xml:space="preserve"> a živočišná (cholekalciferol)</w:t>
      </w:r>
      <w:r w:rsidR="001859BF" w:rsidRPr="000B16D5">
        <w:rPr>
          <w:rFonts w:asciiTheme="majorHAnsi" w:hAnsiTheme="majorHAnsi" w:cs="Arial"/>
          <w:color w:val="000000"/>
          <w:shd w:val="clear" w:color="auto" w:fill="FFFFFF"/>
        </w:rPr>
        <w:t xml:space="preserve"> –</w:t>
      </w:r>
      <w:r w:rsidR="008103DC" w:rsidRPr="000B16D5">
        <w:rPr>
          <w:rFonts w:asciiTheme="majorHAnsi" w:hAnsiTheme="majorHAnsi" w:cs="Arial"/>
          <w:color w:val="000000"/>
          <w:shd w:val="clear" w:color="auto" w:fill="FFFFFF"/>
        </w:rPr>
        <w:t xml:space="preserve"> </w:t>
      </w:r>
      <w:r w:rsidRPr="000B16D5">
        <w:rPr>
          <w:rFonts w:asciiTheme="majorHAnsi" w:hAnsiTheme="majorHAnsi" w:cs="Arial"/>
          <w:color w:val="000000"/>
          <w:shd w:val="clear" w:color="auto" w:fill="FFFFFF"/>
        </w:rPr>
        <w:t xml:space="preserve">vitamín </w:t>
      </w:r>
      <w:r w:rsidR="008103DC" w:rsidRPr="000B16D5">
        <w:rPr>
          <w:rFonts w:asciiTheme="majorHAnsi" w:hAnsiTheme="majorHAnsi" w:cs="Arial"/>
          <w:color w:val="000000"/>
          <w:shd w:val="clear" w:color="auto" w:fill="FFFFFF"/>
        </w:rPr>
        <w:t xml:space="preserve">D3. Obě varianty mají dle většiny odborníků podobné účinky a svým systémovým i lokálním působením jsou pro správné fungování organismu nedocenitelné. Základními a nejdéle známými funkcemi </w:t>
      </w:r>
      <w:r w:rsidRPr="000B16D5">
        <w:rPr>
          <w:rFonts w:asciiTheme="majorHAnsi" w:hAnsiTheme="majorHAnsi" w:cs="Arial"/>
          <w:color w:val="000000"/>
          <w:shd w:val="clear" w:color="auto" w:fill="FFFFFF"/>
        </w:rPr>
        <w:t xml:space="preserve">vitamínu </w:t>
      </w:r>
      <w:r w:rsidR="008103DC" w:rsidRPr="000B16D5">
        <w:rPr>
          <w:rFonts w:asciiTheme="majorHAnsi" w:hAnsiTheme="majorHAnsi" w:cs="Arial"/>
          <w:color w:val="000000"/>
          <w:shd w:val="clear" w:color="auto" w:fill="FFFFFF"/>
        </w:rPr>
        <w:t>D jsou vliv na homeostázu kalcia a kostní metabolismus. Dnes jsou tyto poznatky jen špičkou ledovce</w:t>
      </w:r>
      <w:r w:rsidR="001859BF" w:rsidRPr="000B16D5">
        <w:rPr>
          <w:rFonts w:asciiTheme="majorHAnsi" w:hAnsiTheme="majorHAnsi" w:cs="Arial"/>
          <w:color w:val="000000"/>
          <w:shd w:val="clear" w:color="auto" w:fill="FFFFFF"/>
        </w:rPr>
        <w:t xml:space="preserve"> informací</w:t>
      </w:r>
      <w:r w:rsidR="008103DC" w:rsidRPr="000B16D5">
        <w:rPr>
          <w:rFonts w:asciiTheme="majorHAnsi" w:hAnsiTheme="majorHAnsi" w:cs="Arial"/>
          <w:color w:val="000000"/>
          <w:shd w:val="clear" w:color="auto" w:fill="FFFFFF"/>
        </w:rPr>
        <w:t xml:space="preserve"> o jeho působení v organismu. Hraje významnou roli v patogenezi osteoporózy, hypertenze, autoimunitních a srdečních onemocnění, při chronické bolesti, únavě a samozřejmě i v onkologické problematice, zejména karcinomu tlustého střeva, prsu a prostaty. Jeho rozmanité působení je dáno důsledkem vitamín D receptoru, který je obsažen nejspíše ve všech tkáních člověka. </w:t>
      </w:r>
    </w:p>
    <w:p w:rsidR="008103DC" w:rsidRPr="000B16D5" w:rsidRDefault="000C6245" w:rsidP="008103DC">
      <w:pPr>
        <w:spacing w:before="120" w:after="0"/>
        <w:jc w:val="both"/>
        <w:rPr>
          <w:rFonts w:asciiTheme="majorHAnsi" w:hAnsiTheme="majorHAnsi" w:cs="Arial"/>
          <w:color w:val="000000"/>
          <w:shd w:val="clear" w:color="auto" w:fill="FFFFFF"/>
        </w:rPr>
      </w:pPr>
      <w:r w:rsidRPr="000B16D5">
        <w:rPr>
          <w:rFonts w:asciiTheme="majorHAnsi" w:hAnsiTheme="majorHAnsi" w:cs="Arial"/>
          <w:color w:val="000000"/>
          <w:shd w:val="clear" w:color="auto" w:fill="FFFFFF"/>
        </w:rPr>
        <w:t>P</w:t>
      </w:r>
      <w:r w:rsidR="007409CE" w:rsidRPr="000B16D5">
        <w:rPr>
          <w:rFonts w:asciiTheme="majorHAnsi" w:hAnsiTheme="majorHAnsi" w:cs="Arial"/>
          <w:color w:val="000000"/>
          <w:shd w:val="clear" w:color="auto" w:fill="FFFFFF"/>
        </w:rPr>
        <w:t>ř</w:t>
      </w:r>
      <w:r w:rsidRPr="000B16D5">
        <w:rPr>
          <w:rFonts w:asciiTheme="majorHAnsi" w:hAnsiTheme="majorHAnsi" w:cs="Arial"/>
          <w:color w:val="000000"/>
          <w:shd w:val="clear" w:color="auto" w:fill="FFFFFF"/>
        </w:rPr>
        <w:t xml:space="preserve">íjem </w:t>
      </w:r>
      <w:r w:rsidR="008103DC" w:rsidRPr="000B16D5">
        <w:rPr>
          <w:rFonts w:asciiTheme="majorHAnsi" w:hAnsiTheme="majorHAnsi" w:cs="Arial"/>
          <w:color w:val="000000"/>
          <w:shd w:val="clear" w:color="auto" w:fill="FFFFFF"/>
        </w:rPr>
        <w:t>vitamínu D je z větší čísti zajišťován potravou, menší procento je získá</w:t>
      </w:r>
      <w:r w:rsidRPr="000B16D5">
        <w:rPr>
          <w:rFonts w:asciiTheme="majorHAnsi" w:hAnsiTheme="majorHAnsi" w:cs="Arial"/>
          <w:color w:val="000000"/>
          <w:shd w:val="clear" w:color="auto" w:fill="FFFFFF"/>
        </w:rPr>
        <w:t>vá</w:t>
      </w:r>
      <w:r w:rsidR="008103DC" w:rsidRPr="000B16D5">
        <w:rPr>
          <w:rFonts w:asciiTheme="majorHAnsi" w:hAnsiTheme="majorHAnsi" w:cs="Arial"/>
          <w:color w:val="000000"/>
          <w:shd w:val="clear" w:color="auto" w:fill="FFFFFF"/>
        </w:rPr>
        <w:t xml:space="preserve">no </w:t>
      </w:r>
      <w:r w:rsidRPr="000B16D5">
        <w:rPr>
          <w:rFonts w:asciiTheme="majorHAnsi" w:hAnsiTheme="majorHAnsi" w:cs="Arial"/>
          <w:color w:val="000000"/>
          <w:shd w:val="clear" w:color="auto" w:fill="FFFFFF"/>
        </w:rPr>
        <w:t xml:space="preserve">ze </w:t>
      </w:r>
      <w:r w:rsidR="008103DC" w:rsidRPr="000B16D5">
        <w:rPr>
          <w:rFonts w:asciiTheme="majorHAnsi" w:hAnsiTheme="majorHAnsi" w:cs="Arial"/>
          <w:color w:val="000000"/>
          <w:shd w:val="clear" w:color="auto" w:fill="FFFFFF"/>
        </w:rPr>
        <w:t>sluneční</w:t>
      </w:r>
      <w:r w:rsidRPr="000B16D5">
        <w:rPr>
          <w:rFonts w:asciiTheme="majorHAnsi" w:hAnsiTheme="majorHAnsi" w:cs="Arial"/>
          <w:color w:val="000000"/>
          <w:shd w:val="clear" w:color="auto" w:fill="FFFFFF"/>
        </w:rPr>
        <w:t>ho</w:t>
      </w:r>
      <w:r w:rsidR="008103DC" w:rsidRPr="000B16D5">
        <w:rPr>
          <w:rFonts w:asciiTheme="majorHAnsi" w:hAnsiTheme="majorHAnsi" w:cs="Arial"/>
          <w:color w:val="000000"/>
          <w:shd w:val="clear" w:color="auto" w:fill="FFFFFF"/>
        </w:rPr>
        <w:t xml:space="preserve"> záření. Hojně je přítomen v rybách, vaječném žloutku, játrech a másle, jiné potraviny jsou na jeho zastoupení chudé. Proto se jím například v USA fortifikují některé potraviny jako je mléko či jogurty. U nás se dříve dětem podával preventivně rybí tuk. Dnes je možné hradit nedostatky vitamínu i perorálními tabletami. Je třeba zdůraznit, že vegetariánská strava je z hlediska dostatečného příjmu vitamínu D nedostačující.</w:t>
      </w:r>
    </w:p>
    <w:p w:rsidR="008103DC" w:rsidRPr="000B16D5" w:rsidRDefault="008103DC" w:rsidP="008103DC">
      <w:pPr>
        <w:spacing w:before="120" w:after="0"/>
        <w:jc w:val="both"/>
        <w:rPr>
          <w:rFonts w:asciiTheme="majorHAnsi" w:hAnsiTheme="majorHAnsi" w:cs="Arial"/>
          <w:color w:val="000000"/>
          <w:shd w:val="clear" w:color="auto" w:fill="FFFFFF"/>
        </w:rPr>
      </w:pPr>
      <w:r w:rsidRPr="000B16D5">
        <w:rPr>
          <w:rFonts w:asciiTheme="majorHAnsi" w:hAnsiTheme="majorHAnsi" w:cs="Arial"/>
          <w:color w:val="000000"/>
          <w:shd w:val="clear" w:color="auto" w:fill="FFFFFF"/>
        </w:rPr>
        <w:t>Kalciferol je lipofilní látka, která je vstřebá</w:t>
      </w:r>
      <w:r w:rsidR="00201B49" w:rsidRPr="000B16D5">
        <w:rPr>
          <w:rFonts w:asciiTheme="majorHAnsi" w:hAnsiTheme="majorHAnsi" w:cs="Arial"/>
          <w:color w:val="000000"/>
          <w:shd w:val="clear" w:color="auto" w:fill="FFFFFF"/>
        </w:rPr>
        <w:t>vá</w:t>
      </w:r>
      <w:r w:rsidRPr="000B16D5">
        <w:rPr>
          <w:rFonts w:asciiTheme="majorHAnsi" w:hAnsiTheme="majorHAnsi" w:cs="Arial"/>
          <w:color w:val="000000"/>
          <w:shd w:val="clear" w:color="auto" w:fill="FFFFFF"/>
        </w:rPr>
        <w:t xml:space="preserve">na v proximální části tenkého střeva. </w:t>
      </w:r>
      <w:r w:rsidR="00201B49" w:rsidRPr="000B16D5">
        <w:rPr>
          <w:rFonts w:asciiTheme="majorHAnsi" w:hAnsiTheme="majorHAnsi" w:cs="Arial"/>
          <w:color w:val="000000"/>
          <w:shd w:val="clear" w:color="auto" w:fill="FFFFFF"/>
        </w:rPr>
        <w:t>J</w:t>
      </w:r>
      <w:r w:rsidRPr="000B16D5">
        <w:rPr>
          <w:rFonts w:asciiTheme="majorHAnsi" w:hAnsiTheme="majorHAnsi" w:cs="Arial"/>
          <w:color w:val="000000"/>
          <w:shd w:val="clear" w:color="auto" w:fill="FFFFFF"/>
        </w:rPr>
        <w:t>eho absorpci napomáhá přítomnost žlučových kyselin. Naše tělo je schopno do určité míry tvořit endogenní vitamín D z 7-dehydrocholesterolu v kůži působením slunečního UV-záření, kdy dochází k tvorbě provitamínu D3 (7-dehydrocholekalciferolu). Ten je termickou izomerací upraven na vitamín D3 (cholekalciferol). (Vlivem slunečního záření dochází částečně i k přeměně na inaktivní produkty.) Vitamín D3 je dále z </w:t>
      </w:r>
      <w:r w:rsidR="00D83A31" w:rsidRPr="000B16D5">
        <w:rPr>
          <w:rFonts w:asciiTheme="majorHAnsi" w:hAnsiTheme="majorHAnsi" w:cs="Arial"/>
          <w:color w:val="000000"/>
          <w:shd w:val="clear" w:color="auto" w:fill="FFFFFF"/>
        </w:rPr>
        <w:t xml:space="preserve">větší </w:t>
      </w:r>
      <w:r w:rsidRPr="000B16D5">
        <w:rPr>
          <w:rFonts w:asciiTheme="majorHAnsi" w:hAnsiTheme="majorHAnsi" w:cs="Arial"/>
          <w:color w:val="000000"/>
          <w:shd w:val="clear" w:color="auto" w:fill="FFFFFF"/>
        </w:rPr>
        <w:t>části uklád</w:t>
      </w:r>
      <w:r w:rsidR="00D83A31" w:rsidRPr="000B16D5">
        <w:rPr>
          <w:rFonts w:asciiTheme="majorHAnsi" w:hAnsiTheme="majorHAnsi" w:cs="Arial"/>
          <w:color w:val="000000"/>
          <w:shd w:val="clear" w:color="auto" w:fill="FFFFFF"/>
        </w:rPr>
        <w:t>á</w:t>
      </w:r>
      <w:r w:rsidRPr="000B16D5">
        <w:rPr>
          <w:rFonts w:asciiTheme="majorHAnsi" w:hAnsiTheme="majorHAnsi" w:cs="Arial"/>
          <w:color w:val="000000"/>
          <w:shd w:val="clear" w:color="auto" w:fill="FFFFFF"/>
        </w:rPr>
        <w:t>n do zásoby do tukové tkáně a podle potřeb organismu je přeměňován na 25-OH vitamín D3 (kalcidiol). Přeměna se děje za pomocí enzymu 25-hydroxylázy nacházejícího se hlavně v játrech. K další hydroxylaci v poloze 1 (enzym 1-alfa-hydroxyláza) dochází v ledvinách (mimo ledviny i v kůži, pankreatu, prostatě, mléčné žláze, placentě a lymfatické tkáni)</w:t>
      </w:r>
      <w:r w:rsidR="00A355A8" w:rsidRPr="000B16D5">
        <w:rPr>
          <w:rFonts w:asciiTheme="majorHAnsi" w:hAnsiTheme="majorHAnsi" w:cs="Arial"/>
          <w:color w:val="000000"/>
          <w:shd w:val="clear" w:color="auto" w:fill="FFFFFF"/>
        </w:rPr>
        <w:t>,</w:t>
      </w:r>
      <w:r w:rsidRPr="000B16D5">
        <w:rPr>
          <w:rFonts w:asciiTheme="majorHAnsi" w:hAnsiTheme="majorHAnsi" w:cs="Arial"/>
          <w:color w:val="000000"/>
          <w:shd w:val="clear" w:color="auto" w:fill="FFFFFF"/>
        </w:rPr>
        <w:t xml:space="preserve"> za vniku aktivního metabolitu 1,25-OH vitamínu D3 (kalcitriolu). Podobné úpravě podléhá i vitamín D2. Zásadní roli v metabolismu vitamínu D hraje parathyrin (PTH), který má pozitivní vliv na enzym 1-alfa-hydroxylázu. Naopak opačným vlivem působí fosfatoniny, kalcium, fosfát a aktivní vitamín D3, </w:t>
      </w:r>
      <w:r w:rsidR="00A355A8" w:rsidRPr="000B16D5">
        <w:rPr>
          <w:rFonts w:asciiTheme="majorHAnsi" w:hAnsiTheme="majorHAnsi" w:cs="Arial"/>
          <w:color w:val="000000"/>
          <w:shd w:val="clear" w:color="auto" w:fill="FFFFFF"/>
        </w:rPr>
        <w:t xml:space="preserve">který </w:t>
      </w:r>
      <w:r w:rsidRPr="000B16D5">
        <w:rPr>
          <w:rFonts w:asciiTheme="majorHAnsi" w:hAnsiTheme="majorHAnsi" w:cs="Arial"/>
          <w:color w:val="000000"/>
          <w:shd w:val="clear" w:color="auto" w:fill="FFFFFF"/>
        </w:rPr>
        <w:t>je zároveň i inhibitorem PTH. Řízení hladin vitamínu D v těle je tedy velmi propracovaným a komplexním dějem (Mimo již jmenované regulátory má na homeostázu vitamínu vliv i acidobazická rovnováha, inzulín, somatotropin, kalcitonin a sexuální hormony.</w:t>
      </w:r>
      <w:r w:rsidR="0098140D" w:rsidRPr="000B16D5">
        <w:rPr>
          <w:rFonts w:asciiTheme="majorHAnsi" w:hAnsiTheme="majorHAnsi" w:cs="Arial"/>
          <w:color w:val="000000"/>
          <w:shd w:val="clear" w:color="auto" w:fill="FFFFFF"/>
        </w:rPr>
        <w:t>)</w:t>
      </w:r>
      <w:r w:rsidRPr="000B16D5">
        <w:rPr>
          <w:rFonts w:asciiTheme="majorHAnsi" w:hAnsiTheme="majorHAnsi" w:cs="Arial"/>
          <w:color w:val="000000"/>
          <w:shd w:val="clear" w:color="auto" w:fill="FFFFFF"/>
        </w:rPr>
        <w:t xml:space="preserve"> Jak už bylo zmíněno, vitamín D je v organismu nepostradatelný pro jeho správné fungování. Podílí se na udržení rovnováhy minerálů – kalcia (kalia, magnezia a fosfátů). V GIT stimuluje vstřebávání kalcia pasívní difuzí, v ledvinách potom tvorbu CaBP (kalcium biding protein)</w:t>
      </w:r>
      <w:r w:rsidR="0098140D" w:rsidRPr="000B16D5">
        <w:rPr>
          <w:rFonts w:asciiTheme="majorHAnsi" w:hAnsiTheme="majorHAnsi" w:cs="Arial"/>
          <w:color w:val="000000"/>
          <w:shd w:val="clear" w:color="auto" w:fill="FFFFFF"/>
        </w:rPr>
        <w:t>,</w:t>
      </w:r>
      <w:r w:rsidRPr="000B16D5">
        <w:rPr>
          <w:rFonts w:asciiTheme="majorHAnsi" w:hAnsiTheme="majorHAnsi" w:cs="Arial"/>
          <w:color w:val="000000"/>
          <w:shd w:val="clear" w:color="auto" w:fill="FFFFFF"/>
        </w:rPr>
        <w:t xml:space="preserve"> </w:t>
      </w:r>
      <w:r w:rsidR="0098140D" w:rsidRPr="000B16D5">
        <w:rPr>
          <w:rFonts w:asciiTheme="majorHAnsi" w:hAnsiTheme="majorHAnsi" w:cs="Arial"/>
          <w:color w:val="000000"/>
          <w:shd w:val="clear" w:color="auto" w:fill="FFFFFF"/>
        </w:rPr>
        <w:t xml:space="preserve">který přispívá </w:t>
      </w:r>
      <w:r w:rsidRPr="000B16D5">
        <w:rPr>
          <w:rFonts w:asciiTheme="majorHAnsi" w:hAnsiTheme="majorHAnsi" w:cs="Arial"/>
          <w:color w:val="000000"/>
          <w:shd w:val="clear" w:color="auto" w:fill="FFFFFF"/>
        </w:rPr>
        <w:t>k reabsobci kalcia a fosforu v proximálním a distálním tubulu. V kostech působí prostřednictvím osteoblastů na vyzrávání a mineralizaci a v případě nízké hladiny kalcia v plazmě aktivuje osteoklasty resorbující kostní tkáň. Byl prokázán i pozitivní vliv na imunitu, CNS, reprodukční systém či syntézu inzulínu. Ve fyziologii vitamínu D je významný i jeho receptor (VDR), který je hojně přítomen v mnohých typech buněk. VDR slouží jako transkripční faktor s propracovaným aktivačním algoritmem spočívajícím v navázání ligandu (vitamín D), heterodimerizací s Retinol X receptorem (RXR) a vznikem komplexu vit</w:t>
      </w:r>
      <w:r w:rsidR="008B50FC" w:rsidRPr="000B16D5">
        <w:rPr>
          <w:rFonts w:asciiTheme="majorHAnsi" w:hAnsiTheme="majorHAnsi" w:cs="Arial"/>
          <w:color w:val="000000"/>
          <w:shd w:val="clear" w:color="auto" w:fill="FFFFFF"/>
        </w:rPr>
        <w:t>amínů</w:t>
      </w:r>
      <w:r w:rsidRPr="000B16D5">
        <w:rPr>
          <w:rFonts w:asciiTheme="majorHAnsi" w:hAnsiTheme="majorHAnsi" w:cs="Arial"/>
          <w:color w:val="000000"/>
          <w:shd w:val="clear" w:color="auto" w:fill="FFFFFF"/>
        </w:rPr>
        <w:t xml:space="preserve"> D-VDR-RXR. Vše spěje k ovlivnění transkripce daných genů. Dle některých studií v USA bylo nalezeno na 2 776 vazebných míst v lidském genomu pro VDR. </w:t>
      </w:r>
      <w:r w:rsidR="00D83EFF" w:rsidRPr="000B16D5">
        <w:rPr>
          <w:rFonts w:asciiTheme="majorHAnsi" w:hAnsiTheme="majorHAnsi" w:cs="Arial"/>
          <w:color w:val="000000"/>
          <w:shd w:val="clear" w:color="auto" w:fill="FFFFFF"/>
        </w:rPr>
        <w:t>N</w:t>
      </w:r>
      <w:r w:rsidRPr="000B16D5">
        <w:rPr>
          <w:rFonts w:asciiTheme="majorHAnsi" w:hAnsiTheme="majorHAnsi" w:cs="Arial"/>
          <w:color w:val="000000"/>
          <w:shd w:val="clear" w:color="auto" w:fill="FFFFFF"/>
        </w:rPr>
        <w:t xml:space="preserve">ěkteré z těchto genů (kolem 229) byly velmi těsně zapojeny do patogeneze roztroušené sklerózy (gen IRF8), Crohnovy nemoci (gen PTPN2), lupus erythematodes, revmatické artritidy a mnohých onkologických onemocnění. </w:t>
      </w:r>
      <w:r w:rsidRPr="000B16D5">
        <w:rPr>
          <w:rFonts w:asciiTheme="majorHAnsi" w:hAnsiTheme="majorHAnsi"/>
          <w:lang w:bidi="ar-SY"/>
        </w:rPr>
        <w:t>Jak už bylo výše zmíněno</w:t>
      </w:r>
      <w:r w:rsidR="006145E8" w:rsidRPr="000B16D5">
        <w:rPr>
          <w:rFonts w:asciiTheme="majorHAnsi" w:hAnsiTheme="majorHAnsi"/>
          <w:lang w:bidi="ar-SY"/>
        </w:rPr>
        <w:t>,</w:t>
      </w:r>
      <w:r w:rsidRPr="000B16D5">
        <w:rPr>
          <w:rFonts w:asciiTheme="majorHAnsi" w:hAnsiTheme="majorHAnsi"/>
          <w:lang w:bidi="ar-SY"/>
        </w:rPr>
        <w:t xml:space="preserve"> vitamín D ovlivňuje vstřebávání kalcia v GIT. Tento proces je umožněn aktivací VDR a následným zvýšení exprese </w:t>
      </w:r>
      <w:r w:rsidR="006145E8" w:rsidRPr="000B16D5">
        <w:rPr>
          <w:rFonts w:asciiTheme="majorHAnsi" w:hAnsiTheme="majorHAnsi"/>
          <w:lang w:bidi="ar-SY"/>
        </w:rPr>
        <w:t xml:space="preserve">proteinů </w:t>
      </w:r>
      <w:r w:rsidRPr="000B16D5">
        <w:rPr>
          <w:rFonts w:asciiTheme="majorHAnsi" w:hAnsiTheme="majorHAnsi"/>
          <w:lang w:bidi="ar-SY"/>
        </w:rPr>
        <w:t>podílejících se na transportu kalcia. Navíc slouží jako protektivní faktor ve vzniku dětských rachitid</w:t>
      </w:r>
      <w:r w:rsidR="00015235" w:rsidRPr="000B16D5">
        <w:rPr>
          <w:rFonts w:asciiTheme="majorHAnsi" w:hAnsiTheme="majorHAnsi"/>
          <w:lang w:bidi="ar-SY"/>
        </w:rPr>
        <w:t xml:space="preserve"> a</w:t>
      </w:r>
      <w:r w:rsidRPr="000B16D5">
        <w:rPr>
          <w:rFonts w:asciiTheme="majorHAnsi" w:hAnsiTheme="majorHAnsi"/>
          <w:lang w:bidi="ar-SY"/>
        </w:rPr>
        <w:t xml:space="preserve"> osteoporózy svým působením </w:t>
      </w:r>
      <w:r w:rsidR="00015235" w:rsidRPr="000B16D5">
        <w:rPr>
          <w:rFonts w:asciiTheme="majorHAnsi" w:hAnsiTheme="majorHAnsi"/>
          <w:lang w:bidi="ar-SY"/>
        </w:rPr>
        <w:t>n</w:t>
      </w:r>
      <w:r w:rsidRPr="000B16D5">
        <w:rPr>
          <w:rFonts w:asciiTheme="majorHAnsi" w:hAnsiTheme="majorHAnsi"/>
          <w:lang w:bidi="ar-SY"/>
        </w:rPr>
        <w:t xml:space="preserve">a expresi RANKL </w:t>
      </w:r>
      <w:r w:rsidR="00015235" w:rsidRPr="000B16D5">
        <w:rPr>
          <w:rFonts w:asciiTheme="majorHAnsi" w:hAnsiTheme="majorHAnsi"/>
          <w:lang w:bidi="ar-SY"/>
        </w:rPr>
        <w:t xml:space="preserve">a </w:t>
      </w:r>
      <w:r w:rsidRPr="000B16D5">
        <w:rPr>
          <w:rFonts w:asciiTheme="majorHAnsi" w:hAnsiTheme="majorHAnsi"/>
          <w:lang w:bidi="ar-SY"/>
        </w:rPr>
        <w:t xml:space="preserve">RANK na </w:t>
      </w:r>
      <w:r w:rsidRPr="000B16D5">
        <w:rPr>
          <w:rFonts w:asciiTheme="majorHAnsi" w:hAnsiTheme="majorHAnsi"/>
          <w:lang w:bidi="ar-SY"/>
        </w:rPr>
        <w:lastRenderedPageBreak/>
        <w:t xml:space="preserve">povrchu osteoklastů. Další vliv má na metabolismus kostí ovlivněním příštítných tělísek a produkci PTH a to nepřímo nebo přímo přes VDR. Vitamín D nemá ale pouze účinky kalcemické. Byl prokázán vliv antiproliferativní a prodiferenciační. Například lze takto ovlivnit některé karcinomy, u kterých byl prokázán VDR. </w:t>
      </w:r>
    </w:p>
    <w:p w:rsidR="008103DC" w:rsidRPr="000B16D5" w:rsidRDefault="008103DC" w:rsidP="008103DC">
      <w:pPr>
        <w:pStyle w:val="Normlnweb"/>
        <w:shd w:val="clear" w:color="auto" w:fill="FFFFFF"/>
        <w:spacing w:before="0" w:beforeAutospacing="0" w:after="0" w:afterAutospacing="0" w:line="276" w:lineRule="auto"/>
        <w:jc w:val="both"/>
        <w:rPr>
          <w:rFonts w:asciiTheme="majorHAnsi" w:hAnsiTheme="majorHAnsi" w:cs="Arial"/>
          <w:color w:val="000000"/>
          <w:sz w:val="21"/>
          <w:szCs w:val="21"/>
        </w:rPr>
      </w:pPr>
    </w:p>
    <w:p w:rsidR="008103DC" w:rsidRPr="000B16D5" w:rsidRDefault="008103DC" w:rsidP="008103DC">
      <w:pPr>
        <w:pStyle w:val="Normlnweb"/>
        <w:shd w:val="clear" w:color="auto" w:fill="FFFFFF"/>
        <w:spacing w:before="0" w:beforeAutospacing="0" w:after="0" w:afterAutospacing="0" w:line="276" w:lineRule="auto"/>
        <w:jc w:val="both"/>
        <w:rPr>
          <w:rFonts w:asciiTheme="majorHAnsi" w:eastAsiaTheme="minorHAnsi" w:hAnsiTheme="majorHAnsi" w:cstheme="minorBidi"/>
          <w:sz w:val="22"/>
          <w:szCs w:val="22"/>
          <w:lang w:eastAsia="en-US" w:bidi="ar-SY"/>
        </w:rPr>
      </w:pPr>
      <w:r w:rsidRPr="000B16D5">
        <w:rPr>
          <w:rFonts w:asciiTheme="majorHAnsi" w:eastAsiaTheme="minorHAnsi" w:hAnsiTheme="majorHAnsi" w:cstheme="minorBidi"/>
          <w:sz w:val="22"/>
          <w:szCs w:val="22"/>
          <w:lang w:eastAsia="en-US" w:bidi="ar-SY"/>
        </w:rPr>
        <w:t xml:space="preserve">Deplece vitamínu D je v dnešní populaci zvýrazněna způsobem života. Nejvíce ohroženými skupinami jsou děti, senioři, ženy a diabetici. Hypovitaminóza může mít za následek nízkou porodní hmotnost novorozence, rozvoj metabolického syndromu, kardiovaskulárních a onkologických onemocnění. </w:t>
      </w:r>
      <w:r w:rsidR="00F058F5" w:rsidRPr="000B16D5">
        <w:rPr>
          <w:rFonts w:asciiTheme="majorHAnsi" w:eastAsiaTheme="minorHAnsi" w:hAnsiTheme="majorHAnsi" w:cstheme="minorBidi"/>
          <w:sz w:val="22"/>
          <w:szCs w:val="22"/>
          <w:lang w:eastAsia="en-US" w:bidi="ar-SY"/>
        </w:rPr>
        <w:t xml:space="preserve">Má také </w:t>
      </w:r>
      <w:r w:rsidRPr="000B16D5">
        <w:rPr>
          <w:rFonts w:asciiTheme="majorHAnsi" w:eastAsiaTheme="minorHAnsi" w:hAnsiTheme="majorHAnsi" w:cstheme="minorBidi"/>
          <w:sz w:val="22"/>
          <w:szCs w:val="22"/>
          <w:lang w:eastAsia="en-US" w:bidi="ar-SY"/>
        </w:rPr>
        <w:t xml:space="preserve">již dlouho známý nepříznivý vliv na kostní tkáň – rachitida (u dětí) či osteomalacie (u dospělých). Opačný stav hypervitaminózy </w:t>
      </w:r>
      <w:r w:rsidR="004E5338" w:rsidRPr="000B16D5">
        <w:rPr>
          <w:rFonts w:asciiTheme="majorHAnsi" w:eastAsiaTheme="minorHAnsi" w:hAnsiTheme="majorHAnsi" w:cstheme="minorBidi"/>
          <w:sz w:val="22"/>
          <w:szCs w:val="22"/>
          <w:lang w:eastAsia="en-US" w:bidi="ar-SY"/>
        </w:rPr>
        <w:t>se vyskytuje zřídka</w:t>
      </w:r>
      <w:r w:rsidRPr="000B16D5">
        <w:rPr>
          <w:rFonts w:asciiTheme="majorHAnsi" w:eastAsiaTheme="minorHAnsi" w:hAnsiTheme="majorHAnsi" w:cstheme="minorBidi"/>
          <w:sz w:val="22"/>
          <w:szCs w:val="22"/>
          <w:lang w:eastAsia="en-US" w:bidi="ar-SY"/>
        </w:rPr>
        <w:t xml:space="preserve">. Mohou se projevit symptomy jako je nauzea, zvracení, nechutenství, úbytek na váze a zácpa. Je však třeba připomenout, že přirozeně nemůže dojít k předávkování vitamínem D díky jeho současně probíhající fotodegradaci. Teoreticky by mohla nastat intoxikace vitamínem způsobená suplementací ve výživových doplňcích. Ani tato varianta však není moc pravděpodobná vzhledem k všeobecnému stavu hypovitaminózy v populaci (sérová hladina by musela přerůst 750 nmol/l). </w:t>
      </w:r>
      <w:r w:rsidR="008B0A2E" w:rsidRPr="000B16D5">
        <w:rPr>
          <w:rFonts w:asciiTheme="majorHAnsi" w:eastAsiaTheme="minorHAnsi" w:hAnsiTheme="majorHAnsi" w:cstheme="minorBidi"/>
          <w:sz w:val="22"/>
          <w:szCs w:val="22"/>
          <w:lang w:eastAsia="en-US" w:bidi="ar-SY"/>
        </w:rPr>
        <w:t>Z výše uvedených důvodů je nutno</w:t>
      </w:r>
      <w:r w:rsidRPr="000B16D5">
        <w:rPr>
          <w:rFonts w:asciiTheme="majorHAnsi" w:eastAsiaTheme="minorHAnsi" w:hAnsiTheme="majorHAnsi" w:cstheme="minorBidi"/>
          <w:sz w:val="22"/>
          <w:szCs w:val="22"/>
          <w:lang w:eastAsia="en-US" w:bidi="ar-SY"/>
        </w:rPr>
        <w:t xml:space="preserve"> nepodceňovat potřebu vitamín</w:t>
      </w:r>
      <w:r w:rsidR="008B0A2E" w:rsidRPr="000B16D5">
        <w:rPr>
          <w:rFonts w:asciiTheme="majorHAnsi" w:eastAsiaTheme="minorHAnsi" w:hAnsiTheme="majorHAnsi" w:cstheme="minorBidi"/>
          <w:sz w:val="22"/>
          <w:szCs w:val="22"/>
          <w:lang w:eastAsia="en-US" w:bidi="ar-SY"/>
        </w:rPr>
        <w:t>u</w:t>
      </w:r>
      <w:r w:rsidRPr="000B16D5">
        <w:rPr>
          <w:rFonts w:asciiTheme="majorHAnsi" w:eastAsiaTheme="minorHAnsi" w:hAnsiTheme="majorHAnsi" w:cstheme="minorBidi"/>
          <w:sz w:val="22"/>
          <w:szCs w:val="22"/>
          <w:lang w:eastAsia="en-US" w:bidi="ar-SY"/>
        </w:rPr>
        <w:t xml:space="preserve"> D, jak </w:t>
      </w:r>
      <w:r w:rsidR="008B0A2E" w:rsidRPr="000B16D5">
        <w:rPr>
          <w:rFonts w:asciiTheme="majorHAnsi" w:eastAsiaTheme="minorHAnsi" w:hAnsiTheme="majorHAnsi" w:cstheme="minorBidi"/>
          <w:sz w:val="22"/>
          <w:szCs w:val="22"/>
          <w:lang w:eastAsia="en-US" w:bidi="ar-SY"/>
        </w:rPr>
        <w:t>se dnes často děje</w:t>
      </w:r>
      <w:r w:rsidR="00651732" w:rsidRPr="000B16D5">
        <w:rPr>
          <w:rFonts w:asciiTheme="majorHAnsi" w:eastAsiaTheme="minorHAnsi" w:hAnsiTheme="majorHAnsi" w:cstheme="minorBidi"/>
          <w:sz w:val="22"/>
          <w:szCs w:val="22"/>
          <w:lang w:eastAsia="en-US" w:bidi="ar-SY"/>
        </w:rPr>
        <w:t>; naopak je zapotřebí zajistit organismu jeho dostatečné množství</w:t>
      </w:r>
      <w:r w:rsidRPr="000B16D5">
        <w:rPr>
          <w:rFonts w:asciiTheme="majorHAnsi" w:eastAsiaTheme="minorHAnsi" w:hAnsiTheme="majorHAnsi" w:cstheme="minorBidi"/>
          <w:sz w:val="22"/>
          <w:szCs w:val="22"/>
          <w:lang w:eastAsia="en-US" w:bidi="ar-SY"/>
        </w:rPr>
        <w:t xml:space="preserve">. </w:t>
      </w:r>
    </w:p>
    <w:p w:rsidR="00DC0816" w:rsidRDefault="00DC0816" w:rsidP="008103DC">
      <w:pPr>
        <w:pStyle w:val="Normlnweb"/>
        <w:shd w:val="clear" w:color="auto" w:fill="FFFFFF"/>
        <w:spacing w:before="0" w:beforeAutospacing="0" w:after="0" w:afterAutospacing="0" w:line="276" w:lineRule="auto"/>
        <w:jc w:val="center"/>
        <w:rPr>
          <w:rFonts w:asciiTheme="majorHAnsi" w:eastAsiaTheme="minorHAnsi" w:hAnsiTheme="majorHAnsi" w:cstheme="minorBidi"/>
          <w:sz w:val="22"/>
          <w:szCs w:val="22"/>
          <w:lang w:eastAsia="en-US" w:bidi="ar-SY"/>
        </w:rPr>
      </w:pPr>
    </w:p>
    <w:p w:rsidR="008103DC" w:rsidRPr="000B16D5" w:rsidRDefault="008103DC" w:rsidP="008103DC">
      <w:pPr>
        <w:pStyle w:val="Normlnweb"/>
        <w:shd w:val="clear" w:color="auto" w:fill="FFFFFF"/>
        <w:spacing w:before="0" w:beforeAutospacing="0" w:after="0" w:afterAutospacing="0" w:line="276" w:lineRule="auto"/>
        <w:jc w:val="center"/>
        <w:rPr>
          <w:rFonts w:asciiTheme="majorHAnsi" w:eastAsiaTheme="minorHAnsi" w:hAnsiTheme="majorHAnsi" w:cstheme="minorBidi"/>
          <w:sz w:val="22"/>
          <w:szCs w:val="22"/>
          <w:lang w:eastAsia="en-US" w:bidi="ar-SY"/>
        </w:rPr>
      </w:pPr>
      <w:r w:rsidRPr="000B16D5">
        <w:rPr>
          <w:rFonts w:asciiTheme="majorHAnsi" w:eastAsiaTheme="minorHAnsi" w:hAnsiTheme="majorHAnsi" w:cstheme="minorBidi"/>
          <w:noProof/>
          <w:sz w:val="22"/>
          <w:szCs w:val="22"/>
        </w:rPr>
        <w:drawing>
          <wp:inline distT="0" distB="0" distL="0" distR="0" wp14:anchorId="1D43B2A2" wp14:editId="4928C2BF">
            <wp:extent cx="5727406" cy="4157331"/>
            <wp:effectExtent l="0" t="0" r="6985" b="0"/>
            <wp:docPr id="137" name="Obrázek 137" descr="D:\JFCV\Articles\Skripta\vit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FCV\Articles\Skripta\vitD3.tif"/>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t="3218"/>
                    <a:stretch/>
                  </pic:blipFill>
                  <pic:spPr bwMode="auto">
                    <a:xfrm>
                      <a:off x="0" y="0"/>
                      <a:ext cx="5737957" cy="4164989"/>
                    </a:xfrm>
                    <a:prstGeom prst="rect">
                      <a:avLst/>
                    </a:prstGeom>
                    <a:noFill/>
                    <a:ln>
                      <a:noFill/>
                    </a:ln>
                    <a:extLst>
                      <a:ext uri="{53640926-AAD7-44D8-BBD7-CCE9431645EC}">
                        <a14:shadowObscured xmlns:a14="http://schemas.microsoft.com/office/drawing/2010/main"/>
                      </a:ext>
                    </a:extLst>
                  </pic:spPr>
                </pic:pic>
              </a:graphicData>
            </a:graphic>
          </wp:inline>
        </w:drawing>
      </w:r>
    </w:p>
    <w:p w:rsidR="008103DC" w:rsidRPr="000B16D5" w:rsidRDefault="008103DC" w:rsidP="008103DC">
      <w:pPr>
        <w:pStyle w:val="Titulek"/>
        <w:jc w:val="center"/>
        <w:rPr>
          <w:rFonts w:asciiTheme="majorHAnsi" w:hAnsiTheme="majorHAnsi"/>
          <w:i/>
          <w:color w:val="808080" w:themeColor="background1" w:themeShade="80"/>
          <w:highlight w:val="green"/>
        </w:rPr>
      </w:pPr>
      <w:r w:rsidRPr="000B16D5">
        <w:rPr>
          <w:rFonts w:asciiTheme="majorHAnsi" w:hAnsiTheme="majorHAnsi"/>
          <w:i/>
          <w:color w:val="808080" w:themeColor="background1" w:themeShade="80"/>
        </w:rPr>
        <w:t>Obrázek 9 – Metabolismus vitamínu D</w:t>
      </w:r>
    </w:p>
    <w:p w:rsidR="008103DC" w:rsidRPr="000B16D5" w:rsidRDefault="008103DC" w:rsidP="008103DC">
      <w:pPr>
        <w:jc w:val="both"/>
        <w:rPr>
          <w:rFonts w:asciiTheme="majorHAnsi" w:hAnsiTheme="majorHAnsi"/>
        </w:rPr>
      </w:pPr>
      <w:r w:rsidRPr="000B16D5">
        <w:rPr>
          <w:rFonts w:asciiTheme="majorHAnsi" w:hAnsiTheme="majorHAnsi"/>
        </w:rPr>
        <w:t>____________________________________________</w:t>
      </w:r>
    </w:p>
    <w:p w:rsidR="008103DC" w:rsidRPr="000B16D5" w:rsidRDefault="008103DC" w:rsidP="008103DC">
      <w:pPr>
        <w:spacing w:after="0"/>
        <w:jc w:val="both"/>
        <w:rPr>
          <w:rFonts w:asciiTheme="majorHAnsi" w:hAnsiTheme="majorHAnsi"/>
          <w:b/>
          <w:sz w:val="20"/>
        </w:rPr>
      </w:pPr>
      <w:r w:rsidRPr="000B16D5">
        <w:rPr>
          <w:rFonts w:asciiTheme="majorHAnsi" w:hAnsiTheme="majorHAnsi"/>
          <w:b/>
          <w:sz w:val="20"/>
        </w:rPr>
        <w:t>Zdroje:</w:t>
      </w:r>
    </w:p>
    <w:p w:rsidR="008103DC" w:rsidRPr="000B16D5" w:rsidRDefault="008103DC" w:rsidP="008103DC">
      <w:pPr>
        <w:spacing w:after="0"/>
        <w:jc w:val="both"/>
        <w:rPr>
          <w:rFonts w:asciiTheme="majorHAnsi" w:hAnsiTheme="majorHAnsi"/>
          <w:sz w:val="14"/>
        </w:rPr>
        <w:sectPr w:rsidR="008103DC" w:rsidRPr="000B16D5" w:rsidSect="00A2684E">
          <w:footerReference w:type="default" r:id="rId63"/>
          <w:type w:val="continuous"/>
          <w:pgSz w:w="11906" w:h="16838"/>
          <w:pgMar w:top="720" w:right="720" w:bottom="720" w:left="720" w:header="708" w:footer="708" w:gutter="0"/>
          <w:pgNumType w:start="54"/>
          <w:cols w:space="708"/>
          <w:titlePg/>
          <w:docGrid w:linePitch="360"/>
        </w:sectPr>
      </w:pPr>
    </w:p>
    <w:p w:rsidR="008103DC" w:rsidRPr="000B16D5" w:rsidRDefault="008468D9" w:rsidP="008103DC">
      <w:pPr>
        <w:pStyle w:val="Odstavecseseznamem"/>
        <w:numPr>
          <w:ilvl w:val="0"/>
          <w:numId w:val="26"/>
        </w:numPr>
        <w:jc w:val="both"/>
        <w:rPr>
          <w:rFonts w:asciiTheme="majorHAnsi" w:hAnsiTheme="majorHAnsi"/>
          <w:sz w:val="16"/>
        </w:rPr>
      </w:pPr>
      <w:hyperlink r:id="rId64" w:history="1">
        <w:r w:rsidR="008103DC" w:rsidRPr="000B16D5">
          <w:rPr>
            <w:rStyle w:val="Hypertextovodkaz"/>
            <w:rFonts w:asciiTheme="majorHAnsi" w:hAnsiTheme="majorHAnsi"/>
            <w:sz w:val="16"/>
          </w:rPr>
          <w:t>http://zdravi.e15.cz/clanek/postgradualni-medicina/vitamin-d-412191</w:t>
        </w:r>
      </w:hyperlink>
    </w:p>
    <w:p w:rsidR="008103DC" w:rsidRPr="000B16D5" w:rsidRDefault="008468D9" w:rsidP="008103DC">
      <w:pPr>
        <w:pStyle w:val="Odstavecseseznamem"/>
        <w:numPr>
          <w:ilvl w:val="0"/>
          <w:numId w:val="26"/>
        </w:numPr>
        <w:jc w:val="both"/>
        <w:rPr>
          <w:rFonts w:asciiTheme="majorHAnsi" w:hAnsiTheme="majorHAnsi"/>
          <w:sz w:val="16"/>
        </w:rPr>
      </w:pPr>
      <w:hyperlink r:id="rId65" w:history="1">
        <w:r w:rsidR="008103DC" w:rsidRPr="000B16D5">
          <w:rPr>
            <w:rStyle w:val="Hypertextovodkaz"/>
            <w:rFonts w:asciiTheme="majorHAnsi" w:hAnsiTheme="majorHAnsi"/>
            <w:sz w:val="16"/>
          </w:rPr>
          <w:t>http://phys.org/news201791554.html</w:t>
        </w:r>
      </w:hyperlink>
    </w:p>
    <w:p w:rsidR="008103DC" w:rsidRPr="000B16D5" w:rsidRDefault="008103DC" w:rsidP="008103DC">
      <w:pPr>
        <w:pStyle w:val="Odstavecseseznamem"/>
        <w:numPr>
          <w:ilvl w:val="0"/>
          <w:numId w:val="26"/>
        </w:numPr>
        <w:jc w:val="both"/>
        <w:rPr>
          <w:rFonts w:asciiTheme="majorHAnsi" w:hAnsiTheme="majorHAnsi"/>
          <w:sz w:val="16"/>
        </w:rPr>
      </w:pPr>
      <w:r w:rsidRPr="000B16D5">
        <w:rPr>
          <w:rFonts w:asciiTheme="majorHAnsi" w:hAnsiTheme="majorHAnsi"/>
          <w:sz w:val="16"/>
        </w:rPr>
        <w:t>Sylvia Christakos, Ph.D.,a Dare V. Ajibade, B.A.,b Puneet Dhawan, Ph.D.,c Adam J. Fechner, M.D.,d and Leila J. Mady, B.A.b, Vitamin D: Metabolism, Endocrinol Metab Clin North Am. 2010 June; 39(2): 243–253.</w:t>
      </w:r>
    </w:p>
    <w:p w:rsidR="008103DC" w:rsidRPr="000B16D5" w:rsidRDefault="008468D9" w:rsidP="008103DC">
      <w:pPr>
        <w:pStyle w:val="Odstavecseseznamem"/>
        <w:numPr>
          <w:ilvl w:val="0"/>
          <w:numId w:val="26"/>
        </w:numPr>
        <w:jc w:val="both"/>
        <w:rPr>
          <w:rFonts w:asciiTheme="majorHAnsi" w:hAnsiTheme="majorHAnsi"/>
          <w:sz w:val="16"/>
        </w:rPr>
      </w:pPr>
      <w:hyperlink r:id="rId66" w:history="1">
        <w:r w:rsidR="008103DC" w:rsidRPr="000B16D5">
          <w:rPr>
            <w:rStyle w:val="Hypertextovodkaz"/>
            <w:rFonts w:asciiTheme="majorHAnsi" w:hAnsiTheme="majorHAnsi"/>
            <w:sz w:val="16"/>
          </w:rPr>
          <w:t>http://zdravi.e15.cz/clanek/postgradualni-medicina/mnohotne-ucinky-vitaminu-d-461272</w:t>
        </w:r>
      </w:hyperlink>
    </w:p>
    <w:p w:rsidR="00CA2C88" w:rsidRPr="000B16D5" w:rsidRDefault="008468D9" w:rsidP="00D33064">
      <w:pPr>
        <w:pStyle w:val="Odstavecseseznamem"/>
        <w:numPr>
          <w:ilvl w:val="0"/>
          <w:numId w:val="26"/>
        </w:numPr>
        <w:jc w:val="both"/>
        <w:rPr>
          <w:rFonts w:asciiTheme="majorHAnsi" w:hAnsiTheme="majorHAnsi"/>
          <w:sz w:val="16"/>
        </w:rPr>
      </w:pPr>
      <w:hyperlink r:id="rId67" w:history="1">
        <w:r w:rsidR="00CA2C88" w:rsidRPr="000B16D5">
          <w:rPr>
            <w:rStyle w:val="Hypertextovodkaz"/>
            <w:rFonts w:asciiTheme="majorHAnsi" w:hAnsiTheme="majorHAnsi"/>
            <w:sz w:val="16"/>
          </w:rPr>
          <w:t>http://zdravi.e15.cz/clanek/postgradualni-medicina/mnohotne-ucinky-vitaminu-d-461272</w:t>
        </w:r>
      </w:hyperlink>
    </w:p>
    <w:p w:rsidR="00CA2C88" w:rsidRPr="000B16D5" w:rsidRDefault="008468D9" w:rsidP="00D33064">
      <w:pPr>
        <w:pStyle w:val="Odstavecseseznamem"/>
        <w:numPr>
          <w:ilvl w:val="0"/>
          <w:numId w:val="26"/>
        </w:numPr>
        <w:jc w:val="both"/>
        <w:rPr>
          <w:rFonts w:asciiTheme="majorHAnsi" w:hAnsiTheme="majorHAnsi"/>
          <w:sz w:val="16"/>
        </w:rPr>
      </w:pPr>
      <w:hyperlink r:id="rId68" w:history="1">
        <w:r w:rsidR="00CA2C88" w:rsidRPr="000B16D5">
          <w:rPr>
            <w:rStyle w:val="Hypertextovodkaz"/>
            <w:rFonts w:asciiTheme="majorHAnsi" w:hAnsiTheme="majorHAnsi"/>
            <w:sz w:val="16"/>
          </w:rPr>
          <w:t>http://zdravi.e15.cz/clanek/postgradualni-medicina/syndrom-deficitu-vitaminu-d-teorie-nebo-klinicka-realita-308615</w:t>
        </w:r>
      </w:hyperlink>
    </w:p>
    <w:p w:rsidR="00D33064" w:rsidRPr="000B16D5" w:rsidRDefault="00D33064" w:rsidP="00236F03">
      <w:pPr>
        <w:jc w:val="both"/>
        <w:rPr>
          <w:rFonts w:asciiTheme="majorHAnsi" w:hAnsiTheme="majorHAnsi"/>
          <w:lang w:bidi="ar-SY"/>
        </w:rPr>
      </w:pPr>
    </w:p>
    <w:p w:rsidR="00D33064" w:rsidRPr="000B16D5" w:rsidRDefault="00D33064" w:rsidP="00236F03">
      <w:pPr>
        <w:jc w:val="both"/>
        <w:rPr>
          <w:rFonts w:asciiTheme="majorHAnsi" w:hAnsiTheme="majorHAnsi"/>
          <w:lang w:bidi="ar-SY"/>
        </w:rPr>
        <w:sectPr w:rsidR="00D33064" w:rsidRPr="000B16D5" w:rsidSect="00D33064">
          <w:type w:val="continuous"/>
          <w:pgSz w:w="11906" w:h="16838"/>
          <w:pgMar w:top="720" w:right="720" w:bottom="720" w:left="720" w:header="708" w:footer="708" w:gutter="0"/>
          <w:pgNumType w:start="0"/>
          <w:cols w:num="2" w:space="708"/>
          <w:titlePg/>
          <w:docGrid w:linePitch="360"/>
        </w:sectPr>
      </w:pPr>
    </w:p>
    <w:p w:rsidR="00CA2C88" w:rsidRPr="000B16D5" w:rsidRDefault="00CA2C88" w:rsidP="00236F03">
      <w:pPr>
        <w:jc w:val="both"/>
        <w:rPr>
          <w:rFonts w:asciiTheme="majorHAnsi" w:hAnsiTheme="majorHAnsi"/>
          <w:highlight w:val="red"/>
        </w:rPr>
      </w:pPr>
    </w:p>
    <w:p w:rsidR="00312118" w:rsidRPr="000B16D5" w:rsidRDefault="00312118" w:rsidP="00236F03">
      <w:pPr>
        <w:jc w:val="both"/>
        <w:rPr>
          <w:rFonts w:asciiTheme="majorHAnsi" w:hAnsiTheme="majorHAnsi"/>
          <w:b/>
          <w:smallCaps/>
          <w:sz w:val="24"/>
          <w:highlight w:val="red"/>
        </w:rPr>
      </w:pPr>
      <w:r w:rsidRPr="000B16D5">
        <w:rPr>
          <w:rFonts w:asciiTheme="majorHAnsi" w:hAnsiTheme="majorHAnsi"/>
          <w:highlight w:val="red"/>
        </w:rPr>
        <w:br w:type="page"/>
      </w:r>
    </w:p>
    <w:bookmarkStart w:id="57" w:name="_Toc380240622"/>
    <w:p w:rsidR="00815DA3" w:rsidRPr="000B16D5" w:rsidRDefault="00100C72" w:rsidP="00236F03">
      <w:pPr>
        <w:pStyle w:val="Nadpiskapitoly"/>
        <w:rPr>
          <w:rFonts w:asciiTheme="majorHAnsi" w:hAnsiTheme="majorHAnsi"/>
        </w:rPr>
      </w:pPr>
      <w:r w:rsidRPr="000B16D5">
        <w:rPr>
          <w:rFonts w:asciiTheme="majorHAnsi" w:hAnsiTheme="majorHAnsi"/>
          <w:noProof/>
        </w:rPr>
        <w:lastRenderedPageBreak/>
        <mc:AlternateContent>
          <mc:Choice Requires="wps">
            <w:drawing>
              <wp:anchor distT="0" distB="0" distL="114300" distR="114300" simplePos="0" relativeHeight="251670528" behindDoc="0" locked="0" layoutInCell="1" allowOverlap="1" wp14:anchorId="3BC407AF" wp14:editId="6A67866F">
                <wp:simplePos x="0" y="0"/>
                <wp:positionH relativeFrom="column">
                  <wp:posOffset>5224780</wp:posOffset>
                </wp:positionH>
                <wp:positionV relativeFrom="paragraph">
                  <wp:posOffset>-31750</wp:posOffset>
                </wp:positionV>
                <wp:extent cx="1303655" cy="1416685"/>
                <wp:effectExtent l="0" t="73025" r="72390" b="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407AF" id="Text Box 13" o:spid="_x0000_s1036" type="#_x0000_t202" style="position:absolute;left:0;text-align:left;margin-left:411.4pt;margin-top:-2.5pt;width:102.65pt;height:1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" stroked="f">
                <v:shadow on="t" opacity=".5" offset="6pt,-6pt"/>
                <v:textbo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11</w:t>
                      </w:r>
                    </w:p>
                  </w:txbxContent>
                </v:textbox>
              </v:shape>
            </w:pict>
          </mc:Fallback>
        </mc:AlternateContent>
      </w:r>
      <w:r w:rsidR="00312118" w:rsidRPr="000B16D5">
        <w:rPr>
          <w:rFonts w:asciiTheme="majorHAnsi" w:hAnsiTheme="majorHAnsi"/>
        </w:rPr>
        <w:t>Intolerance laktózy</w:t>
      </w:r>
      <w:bookmarkEnd w:id="57"/>
    </w:p>
    <w:p w:rsidR="00D33064" w:rsidRPr="000B16D5" w:rsidRDefault="00D33064" w:rsidP="00D33064">
      <w:pPr>
        <w:pStyle w:val="Palatino"/>
        <w:rPr>
          <w:rFonts w:asciiTheme="majorHAnsi" w:hAnsiTheme="majorHAnsi"/>
        </w:rPr>
      </w:pPr>
      <w:r w:rsidRPr="000B16D5">
        <w:rPr>
          <w:rFonts w:asciiTheme="majorHAnsi" w:hAnsiTheme="majorHAnsi"/>
        </w:rPr>
        <w:t>D</w:t>
      </w:r>
      <w:r w:rsidR="00312118" w:rsidRPr="000B16D5">
        <w:rPr>
          <w:rFonts w:asciiTheme="majorHAnsi" w:hAnsiTheme="majorHAnsi"/>
        </w:rPr>
        <w:t>efinice, geografická distribuce</w:t>
      </w:r>
    </w:p>
    <w:p w:rsidR="00D33064" w:rsidRPr="000B16D5" w:rsidRDefault="00D33064" w:rsidP="00D33064">
      <w:pPr>
        <w:pStyle w:val="Palatino"/>
        <w:rPr>
          <w:rFonts w:asciiTheme="majorHAnsi" w:hAnsiTheme="majorHAnsi"/>
        </w:rPr>
      </w:pPr>
      <w:r w:rsidRPr="000B16D5">
        <w:rPr>
          <w:rFonts w:asciiTheme="majorHAnsi" w:hAnsiTheme="majorHAnsi"/>
        </w:rPr>
        <w:t>P</w:t>
      </w:r>
      <w:r w:rsidR="00312118" w:rsidRPr="000B16D5">
        <w:rPr>
          <w:rFonts w:asciiTheme="majorHAnsi" w:hAnsiTheme="majorHAnsi"/>
        </w:rPr>
        <w:t>atofyziologický podklad, genetické pozadí</w:t>
      </w:r>
    </w:p>
    <w:p w:rsidR="00D33064" w:rsidRPr="000B16D5" w:rsidRDefault="00D33064" w:rsidP="00D33064">
      <w:pPr>
        <w:pStyle w:val="Palatino"/>
        <w:rPr>
          <w:rFonts w:asciiTheme="majorHAnsi" w:hAnsiTheme="majorHAnsi"/>
        </w:rPr>
      </w:pPr>
      <w:r w:rsidRPr="000B16D5">
        <w:rPr>
          <w:rFonts w:asciiTheme="majorHAnsi" w:hAnsiTheme="majorHAnsi"/>
        </w:rPr>
        <w:t>P</w:t>
      </w:r>
      <w:r w:rsidR="00312118" w:rsidRPr="000B16D5">
        <w:rPr>
          <w:rFonts w:asciiTheme="majorHAnsi" w:hAnsiTheme="majorHAnsi"/>
        </w:rPr>
        <w:t>opulační rozdíl</w:t>
      </w:r>
      <w:r w:rsidRPr="000B16D5">
        <w:rPr>
          <w:rFonts w:asciiTheme="majorHAnsi" w:hAnsiTheme="majorHAnsi"/>
        </w:rPr>
        <w:t>y</w:t>
      </w:r>
    </w:p>
    <w:p w:rsidR="00D33064" w:rsidRPr="000B16D5" w:rsidRDefault="00D33064" w:rsidP="00D33064">
      <w:pPr>
        <w:pStyle w:val="Palatino"/>
        <w:rPr>
          <w:rFonts w:asciiTheme="majorHAnsi" w:hAnsiTheme="majorHAnsi"/>
        </w:rPr>
      </w:pPr>
    </w:p>
    <w:p w:rsidR="00312118" w:rsidRPr="000B16D5" w:rsidRDefault="00D33064" w:rsidP="00D33064">
      <w:pPr>
        <w:pStyle w:val="Palatino"/>
        <w:rPr>
          <w:rFonts w:asciiTheme="majorHAnsi" w:hAnsiTheme="majorHAnsi"/>
          <w:i/>
        </w:rPr>
      </w:pPr>
      <w:r w:rsidRPr="000B16D5">
        <w:rPr>
          <w:rFonts w:asciiTheme="majorHAnsi" w:hAnsiTheme="majorHAnsi"/>
          <w:i/>
        </w:rPr>
        <w:t>J</w:t>
      </w:r>
      <w:r w:rsidR="00312118" w:rsidRPr="000B16D5">
        <w:rPr>
          <w:rFonts w:asciiTheme="majorHAnsi" w:hAnsiTheme="majorHAnsi"/>
          <w:i/>
        </w:rPr>
        <w:t xml:space="preserve">an </w:t>
      </w:r>
      <w:r w:rsidRPr="000B16D5">
        <w:rPr>
          <w:rFonts w:asciiTheme="majorHAnsi" w:hAnsiTheme="majorHAnsi"/>
          <w:i/>
        </w:rPr>
        <w:t>N</w:t>
      </w:r>
      <w:r w:rsidR="00312118" w:rsidRPr="000B16D5">
        <w:rPr>
          <w:rFonts w:asciiTheme="majorHAnsi" w:hAnsiTheme="majorHAnsi"/>
          <w:i/>
        </w:rPr>
        <w:t>ovák</w:t>
      </w:r>
    </w:p>
    <w:p w:rsidR="00815DA3" w:rsidRPr="000B16D5" w:rsidRDefault="00815DA3" w:rsidP="00D33064">
      <w:pPr>
        <w:pStyle w:val="Palatino"/>
        <w:rPr>
          <w:rFonts w:asciiTheme="majorHAnsi" w:hAnsiTheme="majorHAnsi"/>
        </w:rPr>
      </w:pPr>
    </w:p>
    <w:p w:rsidR="00312118" w:rsidRPr="000B16D5" w:rsidRDefault="00312118" w:rsidP="00236F03">
      <w:pPr>
        <w:pStyle w:val="Nadpispodkapitoly"/>
        <w:jc w:val="both"/>
        <w:rPr>
          <w:rFonts w:asciiTheme="majorHAnsi" w:hAnsiTheme="majorHAnsi"/>
        </w:rPr>
      </w:pPr>
      <w:bookmarkStart w:id="58" w:name="_Toc380240623"/>
      <w:r w:rsidRPr="000B16D5">
        <w:rPr>
          <w:rFonts w:asciiTheme="majorHAnsi" w:hAnsiTheme="majorHAnsi"/>
        </w:rPr>
        <w:t>Laktóza</w:t>
      </w:r>
      <w:bookmarkEnd w:id="58"/>
    </w:p>
    <w:p w:rsidR="00312118" w:rsidRPr="000B16D5" w:rsidRDefault="00312118" w:rsidP="00236F03">
      <w:pPr>
        <w:jc w:val="both"/>
        <w:rPr>
          <w:rFonts w:asciiTheme="majorHAnsi" w:hAnsiTheme="majorHAnsi"/>
        </w:rPr>
      </w:pPr>
      <w:r w:rsidRPr="000B16D5">
        <w:rPr>
          <w:rFonts w:asciiTheme="majorHAnsi" w:hAnsiTheme="majorHAnsi"/>
          <w:b/>
        </w:rPr>
        <w:t>Laktóza</w:t>
      </w:r>
      <w:r w:rsidRPr="000B16D5">
        <w:rPr>
          <w:rFonts w:asciiTheme="majorHAnsi" w:hAnsiTheme="majorHAnsi"/>
        </w:rPr>
        <w:t xml:space="preserve"> je </w:t>
      </w:r>
      <w:r w:rsidRPr="000B16D5">
        <w:rPr>
          <w:rFonts w:asciiTheme="majorHAnsi" w:hAnsiTheme="majorHAnsi"/>
          <w:b/>
        </w:rPr>
        <w:t>disacharid</w:t>
      </w:r>
      <w:r w:rsidRPr="000B16D5">
        <w:rPr>
          <w:rFonts w:asciiTheme="majorHAnsi" w:hAnsiTheme="majorHAnsi"/>
        </w:rPr>
        <w:t xml:space="preserve"> (</w:t>
      </w:r>
      <w:r w:rsidR="007D53D2" w:rsidRPr="000B16D5">
        <w:rPr>
          <w:rFonts w:asciiTheme="majorHAnsi" w:hAnsiTheme="majorHAnsi"/>
        </w:rPr>
        <w:t xml:space="preserve">glukóza </w:t>
      </w:r>
      <w:r w:rsidRPr="000B16D5">
        <w:rPr>
          <w:rFonts w:asciiTheme="majorHAnsi" w:hAnsiTheme="majorHAnsi"/>
        </w:rPr>
        <w:t xml:space="preserve">+ </w:t>
      </w:r>
      <w:r w:rsidR="007D53D2" w:rsidRPr="000B16D5">
        <w:rPr>
          <w:rFonts w:asciiTheme="majorHAnsi" w:hAnsiTheme="majorHAnsi"/>
        </w:rPr>
        <w:t>galaktóza</w:t>
      </w:r>
      <w:r w:rsidRPr="000B16D5">
        <w:rPr>
          <w:rFonts w:asciiTheme="majorHAnsi" w:hAnsiTheme="majorHAnsi"/>
        </w:rPr>
        <w:t xml:space="preserve">) obsažený ve zvýšeném množství v mléce a mléčných výrobcích. Aby bylo možné jej strávit (vstřebat ze zažívacího traktu), je nutné, aby došlo ke štěpení na uvedené monosacharidy za účasti </w:t>
      </w:r>
      <w:r w:rsidRPr="000B16D5">
        <w:rPr>
          <w:rFonts w:asciiTheme="majorHAnsi" w:hAnsiTheme="majorHAnsi"/>
          <w:b/>
        </w:rPr>
        <w:t>laktázy</w:t>
      </w:r>
      <w:r w:rsidRPr="000B16D5">
        <w:rPr>
          <w:rFonts w:asciiTheme="majorHAnsi" w:hAnsiTheme="majorHAnsi"/>
        </w:rPr>
        <w:t xml:space="preserve"> (β-galaktosidázy), která se nachází v kartáčovém lemu střevních buněk, enterocytů. Vzniklé monosacharidy jsou následně pomocí odpovídajících transportérů přeneseny do enterocytů a z nich do krve.</w:t>
      </w:r>
    </w:p>
    <w:p w:rsidR="00312118" w:rsidRPr="000B16D5" w:rsidRDefault="00312118" w:rsidP="00236F03">
      <w:pPr>
        <w:pStyle w:val="Nadpispodkapitoly"/>
        <w:jc w:val="both"/>
        <w:rPr>
          <w:rFonts w:asciiTheme="majorHAnsi" w:hAnsiTheme="majorHAnsi"/>
        </w:rPr>
      </w:pPr>
      <w:bookmarkStart w:id="59" w:name="_Toc380240624"/>
      <w:r w:rsidRPr="000B16D5">
        <w:rPr>
          <w:rFonts w:asciiTheme="majorHAnsi" w:hAnsiTheme="majorHAnsi"/>
        </w:rPr>
        <w:t>Patofyziologie laktózové intolerance</w:t>
      </w:r>
      <w:bookmarkEnd w:id="59"/>
    </w:p>
    <w:p w:rsidR="00312118" w:rsidRPr="000B16D5" w:rsidRDefault="00312118" w:rsidP="00236F03">
      <w:pPr>
        <w:jc w:val="both"/>
        <w:rPr>
          <w:rFonts w:asciiTheme="majorHAnsi" w:hAnsiTheme="majorHAnsi"/>
        </w:rPr>
      </w:pPr>
      <w:r w:rsidRPr="000B16D5">
        <w:rPr>
          <w:rFonts w:asciiTheme="majorHAnsi" w:hAnsiTheme="majorHAnsi"/>
        </w:rPr>
        <w:t xml:space="preserve">Protože mléko je hlavním zdrojem energie i substrátů pro novorozence a kojence, je aktivita laktázy v jejich střevech vysoká. Postupný přechod na nemléčnou (smíšenou) stravu, tzv. </w:t>
      </w:r>
      <w:r w:rsidRPr="000B16D5">
        <w:rPr>
          <w:rFonts w:asciiTheme="majorHAnsi" w:hAnsiTheme="majorHAnsi"/>
          <w:b/>
        </w:rPr>
        <w:t>weaning</w:t>
      </w:r>
      <w:r w:rsidRPr="000B16D5">
        <w:rPr>
          <w:rFonts w:asciiTheme="majorHAnsi" w:hAnsiTheme="majorHAnsi"/>
        </w:rPr>
        <w:t xml:space="preserve">, však u některých jedinců vede k postupné ztrátě laktázové aktivity (tento pokles aktivity je geneticky determinovaný). Snížení aktivity laktázy s věkem se označuje jako </w:t>
      </w:r>
      <w:r w:rsidRPr="000B16D5">
        <w:rPr>
          <w:rFonts w:asciiTheme="majorHAnsi" w:hAnsiTheme="majorHAnsi"/>
          <w:b/>
        </w:rPr>
        <w:t>laktázová non-persistence</w:t>
      </w:r>
      <w:r w:rsidRPr="000B16D5">
        <w:rPr>
          <w:rFonts w:asciiTheme="majorHAnsi" w:hAnsiTheme="majorHAnsi"/>
        </w:rPr>
        <w:t xml:space="preserve"> („nevydržení“) či </w:t>
      </w:r>
      <w:r w:rsidRPr="000B16D5">
        <w:rPr>
          <w:rFonts w:asciiTheme="majorHAnsi" w:hAnsiTheme="majorHAnsi"/>
          <w:b/>
        </w:rPr>
        <w:t>laktázová insuficience</w:t>
      </w:r>
      <w:r w:rsidRPr="000B16D5">
        <w:rPr>
          <w:rFonts w:asciiTheme="majorHAnsi" w:hAnsiTheme="majorHAnsi"/>
        </w:rPr>
        <w:t xml:space="preserve">. K tomuto dochází u homozygotních jedinců s CC genotypem v promotorové oblasti laktázového genu. Zbytková </w:t>
      </w:r>
      <w:r w:rsidR="00B56C10" w:rsidRPr="000B16D5">
        <w:rPr>
          <w:rFonts w:asciiTheme="majorHAnsi" w:hAnsiTheme="majorHAnsi"/>
        </w:rPr>
        <w:t xml:space="preserve">aktivita </w:t>
      </w:r>
      <w:r w:rsidRPr="000B16D5">
        <w:rPr>
          <w:rFonts w:asciiTheme="majorHAnsi" w:hAnsiTheme="majorHAnsi"/>
        </w:rPr>
        <w:t>laktázy je však zachována a postižení jedinci nemusejí mít nutně klinické potíže. Pokud se u nich klinické potíže objeví</w:t>
      </w:r>
      <w:r w:rsidR="00D33064" w:rsidRPr="000B16D5">
        <w:rPr>
          <w:rFonts w:asciiTheme="majorHAnsi" w:hAnsiTheme="majorHAnsi"/>
        </w:rPr>
        <w:t>,</w:t>
      </w:r>
      <w:r w:rsidRPr="000B16D5">
        <w:rPr>
          <w:rFonts w:asciiTheme="majorHAnsi" w:hAnsiTheme="majorHAnsi"/>
        </w:rPr>
        <w:t xml:space="preserve"> znamená to, že se laktóza dostala do tlustého střeva v takovém množství, že to již vede ke vzniku průjmu (laktóza s sebou táhne vodu), břišního dyskomfortu, bolestí břicha a nadýmání. Takový stav se pak označuje jako </w:t>
      </w:r>
      <w:r w:rsidRPr="000B16D5">
        <w:rPr>
          <w:rFonts w:asciiTheme="majorHAnsi" w:hAnsiTheme="majorHAnsi"/>
          <w:b/>
        </w:rPr>
        <w:t>laktózová intolerance</w:t>
      </w:r>
      <w:r w:rsidRPr="000B16D5">
        <w:rPr>
          <w:rFonts w:asciiTheme="majorHAnsi" w:hAnsiTheme="majorHAnsi"/>
        </w:rPr>
        <w:t xml:space="preserve">. Někdy je možné se setkat s pojmem </w:t>
      </w:r>
      <w:r w:rsidRPr="000B16D5">
        <w:rPr>
          <w:rFonts w:asciiTheme="majorHAnsi" w:hAnsiTheme="majorHAnsi"/>
          <w:b/>
        </w:rPr>
        <w:t>laktózová malabsorpce</w:t>
      </w:r>
      <w:r w:rsidRPr="000B16D5">
        <w:rPr>
          <w:rFonts w:asciiTheme="majorHAnsi" w:hAnsiTheme="majorHAnsi"/>
        </w:rPr>
        <w:t>, což je stav popisný, poukazující na to, že se laktóza dostala do tlustého střeva a nebyla vstřebána v tenkém střevě. Většinou se jedná o výsledek laktózové insuficience (pojmy se proto částečně překrývají), ale s laktózovou malabsorpcí je možné se setkat např. i u jedinců trpících Crohnovou chorobou či jiným střevním zánětem, kdy zánětlivý proces rovněž resultuje v malabsoprci laktózy.</w:t>
      </w:r>
    </w:p>
    <w:p w:rsidR="00312118" w:rsidRPr="000B16D5" w:rsidRDefault="00312118" w:rsidP="00236F03">
      <w:pPr>
        <w:pStyle w:val="Nadpispodkapitoly"/>
        <w:jc w:val="both"/>
        <w:rPr>
          <w:rFonts w:asciiTheme="majorHAnsi" w:hAnsiTheme="majorHAnsi"/>
        </w:rPr>
      </w:pPr>
      <w:bookmarkStart w:id="60" w:name="_Toc380240625"/>
      <w:r w:rsidRPr="000B16D5">
        <w:rPr>
          <w:rFonts w:asciiTheme="majorHAnsi" w:hAnsiTheme="majorHAnsi"/>
        </w:rPr>
        <w:t>Prevalence v kontextu geografie</w:t>
      </w:r>
      <w:bookmarkEnd w:id="60"/>
    </w:p>
    <w:p w:rsidR="00312118" w:rsidRPr="000B16D5" w:rsidRDefault="00312118" w:rsidP="00236F03">
      <w:pPr>
        <w:jc w:val="both"/>
        <w:rPr>
          <w:rFonts w:asciiTheme="majorHAnsi" w:hAnsiTheme="majorHAnsi"/>
        </w:rPr>
      </w:pPr>
      <w:r w:rsidRPr="000B16D5">
        <w:rPr>
          <w:rFonts w:asciiTheme="majorHAnsi" w:hAnsiTheme="majorHAnsi"/>
        </w:rPr>
        <w:t xml:space="preserve">Stanovení přesné prevalence (výskytu) </w:t>
      </w:r>
      <w:r w:rsidR="00B56C10" w:rsidRPr="000B16D5">
        <w:rPr>
          <w:rFonts w:asciiTheme="majorHAnsi" w:hAnsiTheme="majorHAnsi"/>
        </w:rPr>
        <w:t xml:space="preserve">laktózové </w:t>
      </w:r>
      <w:r w:rsidRPr="000B16D5">
        <w:rPr>
          <w:rFonts w:asciiTheme="majorHAnsi" w:hAnsiTheme="majorHAnsi"/>
        </w:rPr>
        <w:t>intolerance znemožňuje její poddiagnostikovanost (často je zaměněna za jiné onemocnění nebo pacienti ani nedorazí do ordinace praktického lékaře a léčí se sami). Odhadovaná prevalence se pohybuje v rozmezí od 5</w:t>
      </w:r>
      <w:r w:rsidR="00B56C10" w:rsidRPr="000B16D5">
        <w:rPr>
          <w:rFonts w:asciiTheme="majorHAnsi" w:hAnsiTheme="majorHAnsi"/>
        </w:rPr>
        <w:t xml:space="preserve"> </w:t>
      </w:r>
      <w:r w:rsidRPr="000B16D5">
        <w:rPr>
          <w:rFonts w:asciiTheme="majorHAnsi" w:hAnsiTheme="majorHAnsi"/>
        </w:rPr>
        <w:t>% do 17</w:t>
      </w:r>
      <w:r w:rsidR="00B56C10" w:rsidRPr="000B16D5">
        <w:rPr>
          <w:rFonts w:asciiTheme="majorHAnsi" w:hAnsiTheme="majorHAnsi"/>
        </w:rPr>
        <w:t xml:space="preserve"> </w:t>
      </w:r>
      <w:r w:rsidRPr="000B16D5">
        <w:rPr>
          <w:rFonts w:asciiTheme="majorHAnsi" w:hAnsiTheme="majorHAnsi"/>
        </w:rPr>
        <w:t>% pro Evropu, Severní Ameriku a Austrálii, okolo 50</w:t>
      </w:r>
      <w:r w:rsidR="00B56C10" w:rsidRPr="000B16D5">
        <w:rPr>
          <w:rFonts w:asciiTheme="majorHAnsi" w:hAnsiTheme="majorHAnsi"/>
        </w:rPr>
        <w:t xml:space="preserve"> </w:t>
      </w:r>
      <w:r w:rsidRPr="000B16D5">
        <w:rPr>
          <w:rFonts w:asciiTheme="majorHAnsi" w:hAnsiTheme="majorHAnsi"/>
        </w:rPr>
        <w:t>% pro Jižní Ameriku a Afriku a v rozmezí od 65 do 85</w:t>
      </w:r>
      <w:r w:rsidR="00B56C10" w:rsidRPr="000B16D5">
        <w:rPr>
          <w:rFonts w:asciiTheme="majorHAnsi" w:hAnsiTheme="majorHAnsi"/>
        </w:rPr>
        <w:t xml:space="preserve"> </w:t>
      </w:r>
      <w:r w:rsidRPr="000B16D5">
        <w:rPr>
          <w:rFonts w:asciiTheme="majorHAnsi" w:hAnsiTheme="majorHAnsi"/>
        </w:rPr>
        <w:t xml:space="preserve">% pro </w:t>
      </w:r>
      <w:r w:rsidR="00B56C10" w:rsidRPr="000B16D5">
        <w:rPr>
          <w:rFonts w:asciiTheme="majorHAnsi" w:hAnsiTheme="majorHAnsi"/>
        </w:rPr>
        <w:t xml:space="preserve">asijskou </w:t>
      </w:r>
      <w:r w:rsidRPr="000B16D5">
        <w:rPr>
          <w:rFonts w:asciiTheme="majorHAnsi" w:hAnsiTheme="majorHAnsi"/>
        </w:rPr>
        <w:t>a indiánskou populaci. Výrazné geografické rozdíly souvisí s rozvojem hospodářství v Evropě a jejích koloniích a konzumací mléčných produktů, která např. v Asii nemá svou tradici. Během dlouhých staletí se tak organismus přizpůsobil a ponechal si aktivitu laktázy až do dospělosti.</w:t>
      </w:r>
    </w:p>
    <w:p w:rsidR="00312118" w:rsidRPr="000B16D5" w:rsidRDefault="00312118" w:rsidP="00236F03">
      <w:pPr>
        <w:pStyle w:val="Nadpispodkapitoly"/>
        <w:jc w:val="both"/>
        <w:rPr>
          <w:rFonts w:asciiTheme="majorHAnsi" w:hAnsiTheme="majorHAnsi"/>
        </w:rPr>
      </w:pPr>
      <w:bookmarkStart w:id="61" w:name="_Toc380240626"/>
      <w:r w:rsidRPr="000B16D5">
        <w:rPr>
          <w:rFonts w:asciiTheme="majorHAnsi" w:hAnsiTheme="majorHAnsi"/>
        </w:rPr>
        <w:t>Diagnostika</w:t>
      </w:r>
      <w:bookmarkEnd w:id="61"/>
      <w:r w:rsidRPr="000B16D5">
        <w:rPr>
          <w:rFonts w:asciiTheme="majorHAnsi" w:hAnsiTheme="majorHAnsi"/>
        </w:rPr>
        <w:t xml:space="preserve"> </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Pro stanovení diagnózy laktózové intolerance je </w:t>
      </w:r>
      <w:r w:rsidRPr="000B16D5">
        <w:rPr>
          <w:rFonts w:asciiTheme="majorHAnsi" w:hAnsiTheme="majorHAnsi"/>
          <w:b/>
        </w:rPr>
        <w:t>nejpřesnější</w:t>
      </w:r>
      <w:r w:rsidRPr="000B16D5">
        <w:rPr>
          <w:rFonts w:asciiTheme="majorHAnsi" w:hAnsiTheme="majorHAnsi"/>
        </w:rPr>
        <w:t xml:space="preserve"> dechový test se značenou laktózou. Pacient vypije 50 ml označeného laktózového roztoku a následně se měří množství vydechovaného vodíku, který vzniká pouze v případě, že se laktóza dostala až do tlustého střeva, kde dochází k její fermentaci za vzniku plynného vodíku.</w:t>
      </w:r>
    </w:p>
    <w:p w:rsidR="00312118" w:rsidRPr="000B16D5" w:rsidRDefault="00312118" w:rsidP="00236F03">
      <w:pPr>
        <w:spacing w:after="0"/>
        <w:jc w:val="both"/>
        <w:rPr>
          <w:rFonts w:asciiTheme="majorHAnsi" w:hAnsiTheme="majorHAnsi"/>
        </w:rPr>
      </w:pPr>
      <w:r w:rsidRPr="000B16D5">
        <w:rPr>
          <w:rFonts w:asciiTheme="majorHAnsi" w:hAnsiTheme="majorHAnsi"/>
        </w:rPr>
        <w:t xml:space="preserve">Pro náročnost svého provedení se </w:t>
      </w:r>
      <w:r w:rsidRPr="000B16D5">
        <w:rPr>
          <w:rFonts w:asciiTheme="majorHAnsi" w:hAnsiTheme="majorHAnsi"/>
          <w:b/>
        </w:rPr>
        <w:t>častěji</w:t>
      </w:r>
      <w:r w:rsidRPr="000B16D5">
        <w:rPr>
          <w:rFonts w:asciiTheme="majorHAnsi" w:hAnsiTheme="majorHAnsi"/>
        </w:rPr>
        <w:t xml:space="preserve"> setkáme s jinými testy – např. testy laktózové tolerance vycházejí z toho, že po konzumaci laktózy by mělo dojít ke zvýšení hladiny glykémie, kterou lze snadno změřit. Pokud k tomu zvýšení nedojde, trpí pacient laktózovou intolerancí.</w:t>
      </w:r>
    </w:p>
    <w:p w:rsidR="00312118" w:rsidRPr="000B16D5" w:rsidRDefault="00312118" w:rsidP="00236F03">
      <w:pPr>
        <w:spacing w:after="0"/>
        <w:jc w:val="both"/>
        <w:rPr>
          <w:rFonts w:asciiTheme="majorHAnsi" w:hAnsiTheme="majorHAnsi"/>
        </w:rPr>
      </w:pPr>
      <w:r w:rsidRPr="000B16D5">
        <w:rPr>
          <w:rFonts w:asciiTheme="majorHAnsi" w:hAnsiTheme="majorHAnsi"/>
        </w:rPr>
        <w:t>Rovněž se můžeme setkat s pacienty, u nichž je pro výrazné klinické obtíže nutno vyloučit jiné onemocnění než jen laktózovou intoleranci a tito jsou pak indikováni k </w:t>
      </w:r>
      <w:r w:rsidRPr="000B16D5">
        <w:rPr>
          <w:rFonts w:asciiTheme="majorHAnsi" w:hAnsiTheme="majorHAnsi"/>
          <w:b/>
        </w:rPr>
        <w:t>endoskopickému</w:t>
      </w:r>
      <w:r w:rsidRPr="000B16D5">
        <w:rPr>
          <w:rFonts w:asciiTheme="majorHAnsi" w:hAnsiTheme="majorHAnsi"/>
        </w:rPr>
        <w:t xml:space="preserve"> </w:t>
      </w:r>
      <w:r w:rsidRPr="000B16D5">
        <w:rPr>
          <w:rFonts w:asciiTheme="majorHAnsi" w:hAnsiTheme="majorHAnsi"/>
          <w:b/>
        </w:rPr>
        <w:t>vyšetření</w:t>
      </w:r>
      <w:r w:rsidRPr="000B16D5">
        <w:rPr>
          <w:rFonts w:asciiTheme="majorHAnsi" w:hAnsiTheme="majorHAnsi"/>
        </w:rPr>
        <w:t>. Jedná se o semiinvazivní výkon, který umožňuje získat vzorek tkáně přímo ze střeva a stanovit tak přesně aktivitu laktázy.</w:t>
      </w:r>
    </w:p>
    <w:p w:rsidR="00312118" w:rsidRPr="000B16D5" w:rsidRDefault="00312118" w:rsidP="00236F03">
      <w:pPr>
        <w:spacing w:after="0"/>
        <w:jc w:val="both"/>
        <w:rPr>
          <w:rFonts w:asciiTheme="majorHAnsi" w:hAnsiTheme="majorHAnsi"/>
        </w:rPr>
      </w:pPr>
      <w:r w:rsidRPr="000B16D5">
        <w:rPr>
          <w:rFonts w:asciiTheme="majorHAnsi" w:hAnsiTheme="majorHAnsi"/>
        </w:rPr>
        <w:lastRenderedPageBreak/>
        <w:t xml:space="preserve">V budoucnu bude teoreticky možné využít </w:t>
      </w:r>
      <w:r w:rsidRPr="000B16D5">
        <w:rPr>
          <w:rFonts w:asciiTheme="majorHAnsi" w:hAnsiTheme="majorHAnsi"/>
          <w:b/>
        </w:rPr>
        <w:t>genetického</w:t>
      </w:r>
      <w:r w:rsidRPr="000B16D5">
        <w:rPr>
          <w:rFonts w:asciiTheme="majorHAnsi" w:hAnsiTheme="majorHAnsi"/>
        </w:rPr>
        <w:t xml:space="preserve"> </w:t>
      </w:r>
      <w:r w:rsidRPr="000B16D5">
        <w:rPr>
          <w:rFonts w:asciiTheme="majorHAnsi" w:hAnsiTheme="majorHAnsi"/>
          <w:b/>
        </w:rPr>
        <w:t>testování</w:t>
      </w:r>
      <w:r w:rsidRPr="000B16D5">
        <w:rPr>
          <w:rFonts w:asciiTheme="majorHAnsi" w:hAnsiTheme="majorHAnsi"/>
        </w:rPr>
        <w:t>, kdy zjištění CC genotypu v promotorové oblasti laktázového genu (-13910 párů bází od začátku kódující oblasti) by jasně indikovalo, že pacienti budou trpět laktózovou intolerancí, ale pro využití genetického te</w:t>
      </w:r>
      <w:r w:rsidR="00B56C10" w:rsidRPr="000B16D5">
        <w:rPr>
          <w:rFonts w:asciiTheme="majorHAnsi" w:hAnsiTheme="majorHAnsi"/>
        </w:rPr>
        <w:t>s</w:t>
      </w:r>
      <w:r w:rsidRPr="000B16D5">
        <w:rPr>
          <w:rFonts w:asciiTheme="majorHAnsi" w:hAnsiTheme="majorHAnsi"/>
        </w:rPr>
        <w:t xml:space="preserve">tování zatím nemáme dostatek důkazů. </w:t>
      </w:r>
    </w:p>
    <w:p w:rsidR="00312118" w:rsidRPr="000B16D5" w:rsidRDefault="00312118" w:rsidP="00236F03">
      <w:pPr>
        <w:spacing w:after="0"/>
        <w:jc w:val="both"/>
        <w:rPr>
          <w:rFonts w:asciiTheme="majorHAnsi" w:hAnsiTheme="majorHAnsi"/>
        </w:rPr>
      </w:pPr>
    </w:p>
    <w:p w:rsidR="00312118" w:rsidRPr="000B16D5" w:rsidRDefault="00312118" w:rsidP="00236F03">
      <w:pPr>
        <w:pStyle w:val="Nadpispodkapitoly"/>
        <w:jc w:val="both"/>
        <w:rPr>
          <w:rFonts w:asciiTheme="majorHAnsi" w:hAnsiTheme="majorHAnsi"/>
        </w:rPr>
      </w:pPr>
      <w:bookmarkStart w:id="62" w:name="_Toc380240627"/>
      <w:r w:rsidRPr="000B16D5">
        <w:rPr>
          <w:rFonts w:asciiTheme="majorHAnsi" w:hAnsiTheme="majorHAnsi"/>
        </w:rPr>
        <w:t>Terapie</w:t>
      </w:r>
      <w:bookmarkEnd w:id="62"/>
    </w:p>
    <w:p w:rsidR="00312118" w:rsidRPr="000B16D5" w:rsidRDefault="00312118" w:rsidP="00236F03">
      <w:pPr>
        <w:jc w:val="both"/>
        <w:rPr>
          <w:rFonts w:asciiTheme="majorHAnsi" w:hAnsiTheme="majorHAnsi"/>
        </w:rPr>
      </w:pPr>
      <w:r w:rsidRPr="000B16D5">
        <w:rPr>
          <w:rFonts w:asciiTheme="majorHAnsi" w:hAnsiTheme="majorHAnsi"/>
        </w:rPr>
        <w:t>Mnohým pacientů s laktózovou intoleranci jednoduše prospěje vysazení mléka a mléčných výrobků ze stravy. U jedinců, kteří mají alespoň nějakou aktivitu laktázy zachovalou (většinou jsou pacienti s laktózovou intolerancí schopni zkonzumovat jeden hrnek mléka, pokud spolu s ním konzumují další stravu), je možné doporučit malé dávky nízkotučného mléka či fermentovaných výrobků v průběhu dne (tyto se průběžně zmetabolizují a gastrointestinální potíže se tak neprojeví). Problémem u pacientů, kteří omezí příjem mléčných výrobků, se pak ovšem stává příjem vápníku, jehož jsou mléčné výrobky výsadním zdrojem, což může vést k dalším komplikacím jako je osteoporóza, častější fraktury apod. (této komplikaci je však možné předejít dostatečnou substitucí vápníku ve stravě).</w:t>
      </w:r>
    </w:p>
    <w:p w:rsidR="00312118" w:rsidRPr="000B16D5" w:rsidRDefault="00312118" w:rsidP="00236F03">
      <w:pPr>
        <w:jc w:val="both"/>
        <w:rPr>
          <w:rFonts w:asciiTheme="majorHAnsi" w:hAnsiTheme="majorHAnsi"/>
        </w:rPr>
      </w:pPr>
      <w:r w:rsidRPr="000B16D5">
        <w:rPr>
          <w:rFonts w:asciiTheme="majorHAnsi" w:hAnsiTheme="majorHAnsi"/>
        </w:rPr>
        <w:t>Bylo již vytvořeno několik dalších přístupů</w:t>
      </w:r>
      <w:r w:rsidR="005B1AFC" w:rsidRPr="000B16D5">
        <w:rPr>
          <w:rFonts w:asciiTheme="majorHAnsi" w:hAnsiTheme="majorHAnsi"/>
        </w:rPr>
        <w:t>,</w:t>
      </w:r>
      <w:r w:rsidRPr="000B16D5">
        <w:rPr>
          <w:rFonts w:asciiTheme="majorHAnsi" w:hAnsiTheme="majorHAnsi"/>
        </w:rPr>
        <w:t xml:space="preserve"> jak s laktózovou intolerancí bojovat, ale většina z nich se neukázala příliš účinná. Existují tzv. „lactose-free“ výrobky, které buď neobsahují laktózu vůbec a obsahují jen její monosacharidy, nebo obsahují předpřipravený enzym (laktázu), který by měl podpořit štěpení laktózy ve střevech. V některých studiích se zkoušelo přidání probiotik či prebiotik do stravy, ale výsledky těchto studií nebyly příliš přesvědčivé.</w:t>
      </w:r>
    </w:p>
    <w:p w:rsidR="00075C9C" w:rsidRPr="000B16D5" w:rsidRDefault="00075C9C" w:rsidP="00075C9C">
      <w:pPr>
        <w:jc w:val="both"/>
        <w:rPr>
          <w:rFonts w:asciiTheme="majorHAnsi" w:hAnsiTheme="majorHAnsi"/>
        </w:rPr>
      </w:pPr>
      <w:r w:rsidRPr="000B16D5">
        <w:rPr>
          <w:rFonts w:asciiTheme="majorHAnsi" w:hAnsiTheme="majorHAnsi"/>
        </w:rPr>
        <w:t>____________________________________________</w:t>
      </w:r>
    </w:p>
    <w:p w:rsidR="005652F3" w:rsidRPr="000B16D5" w:rsidRDefault="005652F3" w:rsidP="005652F3">
      <w:pPr>
        <w:spacing w:after="0"/>
        <w:jc w:val="both"/>
        <w:rPr>
          <w:rFonts w:asciiTheme="majorHAnsi" w:hAnsiTheme="majorHAnsi"/>
          <w:b/>
          <w:sz w:val="20"/>
        </w:rPr>
      </w:pPr>
      <w:r w:rsidRPr="000B16D5">
        <w:rPr>
          <w:rFonts w:asciiTheme="majorHAnsi" w:hAnsiTheme="majorHAnsi"/>
          <w:b/>
          <w:sz w:val="20"/>
        </w:rPr>
        <w:t>Zdroje:</w:t>
      </w:r>
    </w:p>
    <w:p w:rsidR="005652F3" w:rsidRPr="000B16D5" w:rsidRDefault="005652F3" w:rsidP="005652F3">
      <w:pPr>
        <w:pStyle w:val="Odstavecseseznamem"/>
        <w:numPr>
          <w:ilvl w:val="0"/>
          <w:numId w:val="28"/>
        </w:numPr>
        <w:spacing w:after="0"/>
        <w:jc w:val="both"/>
        <w:rPr>
          <w:rFonts w:asciiTheme="majorHAnsi" w:hAnsiTheme="majorHAnsi"/>
          <w:sz w:val="16"/>
          <w:szCs w:val="16"/>
        </w:rPr>
        <w:sectPr w:rsidR="005652F3" w:rsidRPr="000B16D5" w:rsidSect="00A2684E">
          <w:footerReference w:type="default" r:id="rId69"/>
          <w:type w:val="continuous"/>
          <w:pgSz w:w="11906" w:h="16838"/>
          <w:pgMar w:top="720" w:right="720" w:bottom="720" w:left="720" w:header="708" w:footer="708" w:gutter="0"/>
          <w:pgNumType w:start="57"/>
          <w:cols w:space="708"/>
          <w:titlePg/>
          <w:docGrid w:linePitch="360"/>
        </w:sectPr>
      </w:pPr>
    </w:p>
    <w:p w:rsidR="005652F3" w:rsidRPr="000B16D5" w:rsidRDefault="005652F3" w:rsidP="005652F3">
      <w:pPr>
        <w:pStyle w:val="Odstavecseseznamem"/>
        <w:numPr>
          <w:ilvl w:val="0"/>
          <w:numId w:val="28"/>
        </w:numPr>
        <w:spacing w:after="0"/>
        <w:jc w:val="both"/>
        <w:rPr>
          <w:rFonts w:asciiTheme="majorHAnsi" w:hAnsiTheme="majorHAnsi"/>
          <w:sz w:val="16"/>
          <w:szCs w:val="16"/>
        </w:rPr>
      </w:pPr>
      <w:r w:rsidRPr="000B16D5">
        <w:rPr>
          <w:rFonts w:asciiTheme="majorHAnsi" w:hAnsiTheme="majorHAnsi"/>
          <w:sz w:val="16"/>
          <w:szCs w:val="16"/>
        </w:rPr>
        <w:lastRenderedPageBreak/>
        <w:t xml:space="preserve">Wilt TJ, Shaukat A, Shamliyan T, Taylor BC, MacDonald R, Tacklind J, Rutks I, Schwarzenberg SJ, Kane RL, Levitt M. </w:t>
      </w:r>
      <w:r w:rsidRPr="000B16D5">
        <w:rPr>
          <w:rFonts w:asciiTheme="majorHAnsi" w:hAnsiTheme="majorHAnsi"/>
          <w:b/>
          <w:sz w:val="16"/>
          <w:szCs w:val="16"/>
        </w:rPr>
        <w:t>Lactose intolerance and health</w:t>
      </w:r>
      <w:r w:rsidRPr="000B16D5">
        <w:rPr>
          <w:rFonts w:asciiTheme="majorHAnsi" w:hAnsiTheme="majorHAnsi"/>
          <w:sz w:val="16"/>
          <w:szCs w:val="16"/>
        </w:rPr>
        <w:t>. Evid Rep Technol Assess (Full Rep). 2010 Feb;(192):1-410.</w:t>
      </w:r>
    </w:p>
    <w:p w:rsidR="005652F3" w:rsidRPr="000B16D5" w:rsidRDefault="005652F3" w:rsidP="005652F3">
      <w:pPr>
        <w:pStyle w:val="Odstavecseseznamem"/>
        <w:numPr>
          <w:ilvl w:val="0"/>
          <w:numId w:val="28"/>
        </w:numPr>
        <w:spacing w:after="0"/>
        <w:jc w:val="both"/>
        <w:rPr>
          <w:rFonts w:asciiTheme="majorHAnsi" w:hAnsiTheme="majorHAnsi"/>
          <w:sz w:val="16"/>
          <w:szCs w:val="16"/>
        </w:rPr>
      </w:pPr>
      <w:r w:rsidRPr="000B16D5">
        <w:rPr>
          <w:rFonts w:asciiTheme="majorHAnsi" w:hAnsiTheme="majorHAnsi"/>
          <w:sz w:val="16"/>
          <w:szCs w:val="16"/>
        </w:rPr>
        <w:t>H</w:t>
      </w:r>
      <w:r w:rsidR="00075C9C" w:rsidRPr="000B16D5">
        <w:rPr>
          <w:rFonts w:asciiTheme="majorHAnsi" w:hAnsiTheme="majorHAnsi"/>
          <w:sz w:val="16"/>
          <w:szCs w:val="16"/>
        </w:rPr>
        <w:t>eaney RP.</w:t>
      </w:r>
      <w:r w:rsidRPr="000B16D5">
        <w:rPr>
          <w:rFonts w:asciiTheme="majorHAnsi" w:hAnsiTheme="majorHAnsi"/>
          <w:sz w:val="16"/>
          <w:szCs w:val="16"/>
        </w:rPr>
        <w:t xml:space="preserve"> </w:t>
      </w:r>
      <w:r w:rsidRPr="000B16D5">
        <w:rPr>
          <w:rFonts w:asciiTheme="majorHAnsi" w:hAnsiTheme="majorHAnsi"/>
          <w:b/>
          <w:sz w:val="16"/>
          <w:szCs w:val="16"/>
        </w:rPr>
        <w:t>Dairy intake, dietary adequacy, and lactose intolerance</w:t>
      </w:r>
      <w:r w:rsidRPr="000B16D5">
        <w:rPr>
          <w:rFonts w:asciiTheme="majorHAnsi" w:hAnsiTheme="majorHAnsi"/>
          <w:sz w:val="16"/>
          <w:szCs w:val="16"/>
        </w:rPr>
        <w:t>, Adv Nutr. 2013 Mar 1;4(2):151-6. doi: 10.3945/an.112.003368.</w:t>
      </w:r>
    </w:p>
    <w:p w:rsidR="005652F3" w:rsidRPr="000B16D5" w:rsidRDefault="005652F3" w:rsidP="005652F3">
      <w:pPr>
        <w:pStyle w:val="Odstavecseseznamem"/>
        <w:numPr>
          <w:ilvl w:val="0"/>
          <w:numId w:val="28"/>
        </w:numPr>
        <w:spacing w:after="0"/>
        <w:jc w:val="both"/>
        <w:rPr>
          <w:rFonts w:asciiTheme="majorHAnsi" w:hAnsiTheme="majorHAnsi"/>
          <w:sz w:val="16"/>
          <w:szCs w:val="16"/>
        </w:rPr>
      </w:pPr>
      <w:r w:rsidRPr="000B16D5">
        <w:rPr>
          <w:rFonts w:asciiTheme="majorHAnsi" w:hAnsiTheme="majorHAnsi"/>
          <w:sz w:val="16"/>
          <w:szCs w:val="16"/>
        </w:rPr>
        <w:lastRenderedPageBreak/>
        <w:t xml:space="preserve">Carter SL, Attel S. </w:t>
      </w:r>
      <w:r w:rsidRPr="000B16D5">
        <w:rPr>
          <w:rFonts w:asciiTheme="majorHAnsi" w:hAnsiTheme="majorHAnsi"/>
          <w:b/>
          <w:sz w:val="16"/>
          <w:szCs w:val="16"/>
        </w:rPr>
        <w:t>The diagnosis and management of patients with lactose-intolerance</w:t>
      </w:r>
      <w:r w:rsidRPr="000B16D5">
        <w:rPr>
          <w:rFonts w:asciiTheme="majorHAnsi" w:hAnsiTheme="majorHAnsi"/>
          <w:sz w:val="16"/>
          <w:szCs w:val="16"/>
        </w:rPr>
        <w:t>. Nurse Pract. 2013 Jul 10;38(7):23-8. doi: 10.1097/01.NPR.0000429894.03255.80.</w:t>
      </w:r>
    </w:p>
    <w:p w:rsidR="005652F3" w:rsidRPr="000B16D5" w:rsidRDefault="005652F3" w:rsidP="005652F3">
      <w:pPr>
        <w:spacing w:after="0"/>
        <w:jc w:val="both"/>
        <w:rPr>
          <w:rFonts w:asciiTheme="majorHAnsi" w:hAnsiTheme="majorHAnsi"/>
        </w:rPr>
      </w:pPr>
    </w:p>
    <w:p w:rsidR="005652F3" w:rsidRPr="000B16D5" w:rsidRDefault="005652F3" w:rsidP="005652F3">
      <w:pPr>
        <w:spacing w:after="0"/>
        <w:jc w:val="both"/>
        <w:rPr>
          <w:rFonts w:asciiTheme="majorHAnsi" w:hAnsiTheme="majorHAnsi"/>
        </w:rPr>
        <w:sectPr w:rsidR="005652F3" w:rsidRPr="000B16D5" w:rsidSect="005652F3">
          <w:type w:val="continuous"/>
          <w:pgSz w:w="11906" w:h="16838"/>
          <w:pgMar w:top="720" w:right="720" w:bottom="720" w:left="720" w:header="708" w:footer="708" w:gutter="0"/>
          <w:pgNumType w:start="0"/>
          <w:cols w:num="2" w:space="708"/>
          <w:titlePg/>
          <w:docGrid w:linePitch="360"/>
        </w:sectPr>
      </w:pPr>
    </w:p>
    <w:p w:rsidR="005652F3" w:rsidRPr="000B16D5" w:rsidRDefault="005652F3" w:rsidP="005652F3">
      <w:pPr>
        <w:spacing w:after="0"/>
        <w:jc w:val="both"/>
        <w:rPr>
          <w:rFonts w:asciiTheme="majorHAnsi" w:hAnsiTheme="majorHAnsi"/>
        </w:rPr>
      </w:pPr>
    </w:p>
    <w:p w:rsidR="00815DA3" w:rsidRPr="000B16D5" w:rsidRDefault="005652F3" w:rsidP="005652F3">
      <w:pPr>
        <w:spacing w:after="0"/>
        <w:jc w:val="both"/>
        <w:rPr>
          <w:rFonts w:asciiTheme="majorHAnsi" w:hAnsiTheme="majorHAnsi"/>
          <w:b/>
          <w:sz w:val="20"/>
        </w:rPr>
      </w:pPr>
      <w:r w:rsidRPr="000B16D5">
        <w:rPr>
          <w:rFonts w:asciiTheme="majorHAnsi" w:hAnsiTheme="majorHAnsi"/>
          <w:highlight w:val="cyan"/>
        </w:rPr>
        <w:t xml:space="preserve"> </w:t>
      </w:r>
      <w:r w:rsidR="00312118" w:rsidRPr="000B16D5">
        <w:rPr>
          <w:rFonts w:asciiTheme="majorHAnsi" w:hAnsiTheme="majorHAnsi"/>
          <w:highlight w:val="cyan"/>
        </w:rPr>
        <w:br w:type="page"/>
      </w:r>
    </w:p>
    <w:bookmarkStart w:id="63" w:name="_Toc380240628"/>
    <w:p w:rsidR="00815DA3" w:rsidRPr="000B16D5" w:rsidRDefault="00100C72" w:rsidP="00236F03">
      <w:pPr>
        <w:pStyle w:val="Nadpiskapitoly"/>
        <w:rPr>
          <w:rFonts w:asciiTheme="majorHAnsi" w:hAnsiTheme="majorHAnsi"/>
        </w:rPr>
      </w:pPr>
      <w:r w:rsidRPr="000B16D5">
        <w:rPr>
          <w:rFonts w:asciiTheme="majorHAnsi" w:hAnsiTheme="majorHAnsi"/>
          <w:noProof/>
        </w:rPr>
        <w:lastRenderedPageBreak/>
        <mc:AlternateContent>
          <mc:Choice Requires="wps">
            <w:drawing>
              <wp:anchor distT="0" distB="0" distL="114300" distR="114300" simplePos="0" relativeHeight="251671552" behindDoc="0" locked="0" layoutInCell="1" allowOverlap="1" wp14:anchorId="209D4391" wp14:editId="4C35D316">
                <wp:simplePos x="0" y="0"/>
                <wp:positionH relativeFrom="column">
                  <wp:posOffset>5211445</wp:posOffset>
                </wp:positionH>
                <wp:positionV relativeFrom="paragraph">
                  <wp:posOffset>-31115</wp:posOffset>
                </wp:positionV>
                <wp:extent cx="1303655" cy="1416685"/>
                <wp:effectExtent l="1270" t="73660" r="7620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D4391" id="Text Box 14" o:spid="_x0000_s1037" type="#_x0000_t202" style="position:absolute;left:0;text-align:left;margin-left:410.35pt;margin-top:-2.45pt;width:102.65pt;height:1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" stroked="f">
                <v:shadow on="t" opacity=".5" offset="6pt,-6pt"/>
                <v:textbo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12</w:t>
                      </w:r>
                    </w:p>
                  </w:txbxContent>
                </v:textbox>
              </v:shape>
            </w:pict>
          </mc:Fallback>
        </mc:AlternateContent>
      </w:r>
      <w:r w:rsidR="00312118" w:rsidRPr="000B16D5">
        <w:rPr>
          <w:rFonts w:asciiTheme="majorHAnsi" w:hAnsiTheme="majorHAnsi"/>
        </w:rPr>
        <w:t>Nutrienty a mozkové funkce u člověka</w:t>
      </w:r>
      <w:bookmarkEnd w:id="63"/>
    </w:p>
    <w:p w:rsidR="0076148D" w:rsidRPr="000B16D5" w:rsidRDefault="00DC0816" w:rsidP="0076148D">
      <w:pPr>
        <w:pStyle w:val="Palatino"/>
        <w:rPr>
          <w:rFonts w:asciiTheme="majorHAnsi" w:hAnsiTheme="majorHAnsi"/>
        </w:rPr>
      </w:pPr>
      <w:r>
        <w:rPr>
          <w:rFonts w:asciiTheme="majorHAnsi" w:hAnsiTheme="majorHAnsi"/>
        </w:rPr>
        <w:t>Vztah mozkových funkcí,</w:t>
      </w:r>
    </w:p>
    <w:p w:rsidR="0076148D" w:rsidRPr="000B16D5" w:rsidRDefault="00312118" w:rsidP="0076148D">
      <w:pPr>
        <w:pStyle w:val="Palatino"/>
        <w:rPr>
          <w:rFonts w:asciiTheme="majorHAnsi" w:hAnsiTheme="majorHAnsi"/>
        </w:rPr>
      </w:pPr>
      <w:r w:rsidRPr="000B16D5">
        <w:rPr>
          <w:rFonts w:asciiTheme="majorHAnsi" w:hAnsiTheme="majorHAnsi"/>
        </w:rPr>
        <w:t xml:space="preserve">metabolizace nutrientů </w:t>
      </w:r>
    </w:p>
    <w:p w:rsidR="0076148D" w:rsidRPr="000B16D5" w:rsidRDefault="00312118" w:rsidP="0076148D">
      <w:pPr>
        <w:pStyle w:val="Palatino"/>
        <w:rPr>
          <w:rFonts w:asciiTheme="majorHAnsi" w:hAnsiTheme="majorHAnsi"/>
        </w:rPr>
      </w:pPr>
      <w:r w:rsidRPr="000B16D5">
        <w:rPr>
          <w:rFonts w:asciiTheme="majorHAnsi" w:hAnsiTheme="majorHAnsi"/>
        </w:rPr>
        <w:t>a genových polymorfismů</w:t>
      </w:r>
    </w:p>
    <w:p w:rsidR="0076148D" w:rsidRPr="000B16D5" w:rsidRDefault="0076148D" w:rsidP="0076148D">
      <w:pPr>
        <w:pStyle w:val="Palatino"/>
        <w:rPr>
          <w:rFonts w:asciiTheme="majorHAnsi" w:hAnsiTheme="majorHAnsi"/>
        </w:rPr>
      </w:pPr>
    </w:p>
    <w:p w:rsidR="00312118" w:rsidRPr="000B16D5" w:rsidRDefault="00312118" w:rsidP="0076148D">
      <w:pPr>
        <w:pStyle w:val="Palatino"/>
        <w:rPr>
          <w:rFonts w:asciiTheme="majorHAnsi" w:hAnsiTheme="majorHAnsi"/>
          <w:i/>
        </w:rPr>
      </w:pPr>
      <w:r w:rsidRPr="000B16D5">
        <w:rPr>
          <w:rFonts w:asciiTheme="majorHAnsi" w:hAnsiTheme="majorHAnsi"/>
          <w:i/>
        </w:rPr>
        <w:t xml:space="preserve">Ivo </w:t>
      </w:r>
      <w:r w:rsidR="0076148D" w:rsidRPr="000B16D5">
        <w:rPr>
          <w:rFonts w:asciiTheme="majorHAnsi" w:hAnsiTheme="majorHAnsi"/>
          <w:i/>
        </w:rPr>
        <w:t>N</w:t>
      </w:r>
      <w:r w:rsidRPr="000B16D5">
        <w:rPr>
          <w:rFonts w:asciiTheme="majorHAnsi" w:hAnsiTheme="majorHAnsi"/>
          <w:i/>
        </w:rPr>
        <w:t>ečesánek</w:t>
      </w:r>
    </w:p>
    <w:p w:rsidR="00B437DA" w:rsidRPr="000B16D5" w:rsidRDefault="00B437DA" w:rsidP="00236F03">
      <w:pPr>
        <w:jc w:val="both"/>
        <w:rPr>
          <w:rFonts w:asciiTheme="majorHAnsi" w:hAnsiTheme="majorHAnsi"/>
        </w:rPr>
      </w:pPr>
    </w:p>
    <w:p w:rsidR="00B437DA" w:rsidRPr="000B16D5" w:rsidRDefault="0076148D" w:rsidP="0076148D">
      <w:pPr>
        <w:pStyle w:val="Nadpispodkapitoly"/>
        <w:rPr>
          <w:rFonts w:asciiTheme="majorHAnsi" w:hAnsiTheme="majorHAnsi"/>
        </w:rPr>
      </w:pPr>
      <w:bookmarkStart w:id="64" w:name="_Toc380240629"/>
      <w:r w:rsidRPr="000B16D5">
        <w:rPr>
          <w:rFonts w:asciiTheme="majorHAnsi" w:hAnsiTheme="majorHAnsi"/>
        </w:rPr>
        <w:t xml:space="preserve">Vliv </w:t>
      </w:r>
      <w:r w:rsidR="00F07147" w:rsidRPr="000B16D5">
        <w:rPr>
          <w:rFonts w:asciiTheme="majorHAnsi" w:hAnsiTheme="majorHAnsi"/>
        </w:rPr>
        <w:t xml:space="preserve">výživy </w:t>
      </w:r>
      <w:r w:rsidRPr="000B16D5">
        <w:rPr>
          <w:rFonts w:asciiTheme="majorHAnsi" w:hAnsiTheme="majorHAnsi"/>
        </w:rPr>
        <w:t>na CNS</w:t>
      </w:r>
      <w:bookmarkEnd w:id="64"/>
    </w:p>
    <w:p w:rsidR="00DC0816" w:rsidRDefault="00DC0816" w:rsidP="00DC0816">
      <w:pPr>
        <w:spacing w:after="0"/>
      </w:pPr>
      <w:r w:rsidRPr="006D45E8">
        <w:t xml:space="preserve">Kapitola se zabývá cíleným a specifickým vlivem potravy na </w:t>
      </w:r>
      <w:r w:rsidRPr="006D45E8">
        <w:rPr>
          <w:u w:val="single"/>
        </w:rPr>
        <w:t>c</w:t>
      </w:r>
      <w:r w:rsidRPr="006D45E8">
        <w:t xml:space="preserve">entrální </w:t>
      </w:r>
      <w:r w:rsidRPr="006D45E8">
        <w:rPr>
          <w:u w:val="single"/>
        </w:rPr>
        <w:t>n</w:t>
      </w:r>
      <w:r w:rsidRPr="006D45E8">
        <w:t xml:space="preserve">ervový </w:t>
      </w:r>
      <w:r w:rsidRPr="006D45E8">
        <w:rPr>
          <w:u w:val="single"/>
        </w:rPr>
        <w:t>s</w:t>
      </w:r>
      <w:r w:rsidRPr="006D45E8">
        <w:t xml:space="preserve">ystém </w:t>
      </w:r>
      <w:r w:rsidRPr="006D45E8">
        <w:rPr>
          <w:rFonts w:eastAsia="TrebuchetMS-Bold" w:cs="TrebuchetMS-Bold"/>
        </w:rPr>
        <w:t>(CNS= mozek + mícha)</w:t>
      </w:r>
      <w:r w:rsidRPr="006D45E8">
        <w:t>. Procesy, které působí prvotně na jiné orgánové systémy (přestože souvisejí s výživou a do funkcí CNS zasahují přeneseně) zde nejsou zmíněny a k dohledání jsou v příslušných kapitolách.</w:t>
      </w:r>
    </w:p>
    <w:p w:rsidR="00DC0816" w:rsidRPr="00DC0816" w:rsidRDefault="00DC0816" w:rsidP="00DC0816">
      <w:pPr>
        <w:spacing w:after="0"/>
        <w:rPr>
          <w:sz w:val="18"/>
          <w:szCs w:val="18"/>
        </w:rPr>
      </w:pPr>
      <w:r w:rsidRPr="00DC0816">
        <w:rPr>
          <w:sz w:val="18"/>
          <w:szCs w:val="18"/>
        </w:rPr>
        <w:t xml:space="preserve">(Např.: proces kornatění tepen- ateroskleróza- působí na stěnu cév po celém těle /tedy i v mozku a míše/, zhoršuje průtok a zásobování tkání, zvyšuje riziko proděravění cévy... Více podrobností naleznete v kapitole o kardiovaskulárním systému.) </w:t>
      </w:r>
    </w:p>
    <w:p w:rsidR="00DC0816" w:rsidRPr="006D45E8" w:rsidRDefault="00DC0816" w:rsidP="00DC0816">
      <w:r w:rsidRPr="006D45E8">
        <w:t>Samotné řízení a regulaci příjemu potravy je možné při hlubším zájmu dohledat v učebnicích fyziologie.</w:t>
      </w:r>
    </w:p>
    <w:p w:rsidR="00C51339" w:rsidRPr="000B16D5" w:rsidRDefault="00C51339" w:rsidP="00DC0816">
      <w:r w:rsidRPr="000B16D5">
        <w:t>Význam stravy pro pro rozvoj CNS ilustruje jedna z teorií o původu druhu Homo sapiens:</w:t>
      </w:r>
    </w:p>
    <w:p w:rsidR="00C51339" w:rsidRPr="000B16D5" w:rsidRDefault="00C51339" w:rsidP="00C51339">
      <w:pPr>
        <w:jc w:val="both"/>
        <w:rPr>
          <w:rFonts w:asciiTheme="majorHAnsi" w:hAnsiTheme="majorHAnsi"/>
          <w:i/>
          <w:color w:val="000000"/>
          <w:sz w:val="18"/>
        </w:rPr>
      </w:pPr>
      <w:r w:rsidRPr="000B16D5">
        <w:rPr>
          <w:rFonts w:asciiTheme="majorHAnsi" w:hAnsiTheme="majorHAnsi"/>
          <w:i/>
          <w:sz w:val="18"/>
        </w:rPr>
        <w:t xml:space="preserve">Před 4,5 mil. let vzniká na planetě Zemi předchůdce moderního člověka. Jedním z jeho významných atributů oproti jiným vývojovým větvím je velký mozek. Přechod na masitou stravu, která se stala základní složkou jídelníčku našich předků, a která obsahuje vyšší podíl tuku použitelného pro výstavbu CNS, tak pravděpodobně stojí za až trojnásobným nárůstem objemu mozkové hmoty, rozvojem kognitivních fcí, a trochu nadneseně můžeme říci, že živočišná strava tak položila základ zrodu </w:t>
      </w:r>
      <w:r w:rsidRPr="000B16D5">
        <w:rPr>
          <w:rFonts w:asciiTheme="majorHAnsi" w:hAnsiTheme="majorHAnsi"/>
          <w:i/>
          <w:color w:val="000000"/>
          <w:sz w:val="18"/>
        </w:rPr>
        <w:t xml:space="preserve">moderního </w:t>
      </w:r>
      <w:r w:rsidR="00842CB3" w:rsidRPr="000B16D5">
        <w:rPr>
          <w:rFonts w:asciiTheme="majorHAnsi" w:hAnsiTheme="majorHAnsi"/>
          <w:i/>
          <w:color w:val="000000"/>
          <w:sz w:val="18"/>
        </w:rPr>
        <w:t>„</w:t>
      </w:r>
      <w:r w:rsidRPr="000B16D5">
        <w:rPr>
          <w:rFonts w:asciiTheme="majorHAnsi" w:hAnsiTheme="majorHAnsi"/>
          <w:i/>
          <w:color w:val="000000"/>
          <w:sz w:val="18"/>
        </w:rPr>
        <w:t>člověka moudrého</w:t>
      </w:r>
      <w:r w:rsidR="00842CB3" w:rsidRPr="000B16D5">
        <w:rPr>
          <w:rFonts w:asciiTheme="majorHAnsi" w:hAnsiTheme="majorHAnsi"/>
          <w:i/>
          <w:color w:val="000000"/>
          <w:sz w:val="18"/>
        </w:rPr>
        <w:t>“</w:t>
      </w:r>
      <w:r w:rsidRPr="000B16D5">
        <w:rPr>
          <w:rFonts w:asciiTheme="majorHAnsi" w:hAnsiTheme="majorHAnsi"/>
          <w:i/>
          <w:color w:val="000000"/>
          <w:sz w:val="18"/>
        </w:rPr>
        <w:t>.</w:t>
      </w:r>
    </w:p>
    <w:p w:rsidR="0076148D" w:rsidRPr="000B16D5" w:rsidRDefault="0076148D" w:rsidP="00C51339">
      <w:pPr>
        <w:spacing w:after="0"/>
        <w:jc w:val="both"/>
        <w:rPr>
          <w:rFonts w:asciiTheme="majorHAnsi" w:hAnsiTheme="majorHAnsi"/>
          <w:iCs/>
        </w:rPr>
      </w:pPr>
    </w:p>
    <w:p w:rsidR="00B437DA" w:rsidRPr="000B16D5" w:rsidRDefault="0076148D" w:rsidP="0076148D">
      <w:pPr>
        <w:pStyle w:val="Podpodnadpis"/>
        <w:rPr>
          <w:rFonts w:asciiTheme="majorHAnsi" w:hAnsiTheme="majorHAnsi"/>
          <w:caps/>
        </w:rPr>
      </w:pPr>
      <w:r w:rsidRPr="000B16D5">
        <w:rPr>
          <w:rFonts w:asciiTheme="majorHAnsi" w:hAnsiTheme="majorHAnsi"/>
        </w:rPr>
        <w:t>Co je ovlivňováno?</w:t>
      </w:r>
    </w:p>
    <w:p w:rsidR="00B437DA" w:rsidRPr="000B16D5" w:rsidRDefault="00B437DA" w:rsidP="0076148D">
      <w:pPr>
        <w:spacing w:after="0"/>
        <w:jc w:val="both"/>
        <w:rPr>
          <w:rFonts w:asciiTheme="majorHAnsi" w:hAnsiTheme="majorHAnsi"/>
        </w:rPr>
      </w:pPr>
      <w:r w:rsidRPr="000B16D5">
        <w:rPr>
          <w:rFonts w:asciiTheme="majorHAnsi" w:hAnsiTheme="majorHAnsi"/>
        </w:rPr>
        <w:t xml:space="preserve">Dopad výživy na organismus můžeme rozlišit </w:t>
      </w:r>
      <w:r w:rsidRPr="000B16D5">
        <w:rPr>
          <w:rFonts w:asciiTheme="majorHAnsi" w:hAnsiTheme="majorHAnsi"/>
          <w:b/>
          <w:bCs/>
        </w:rPr>
        <w:t>podle věku</w:t>
      </w:r>
      <w:r w:rsidRPr="000B16D5">
        <w:rPr>
          <w:rFonts w:asciiTheme="majorHAnsi" w:hAnsiTheme="majorHAnsi"/>
        </w:rPr>
        <w:t xml:space="preserve"> daného jedince. </w:t>
      </w:r>
      <w:r w:rsidRPr="000B16D5">
        <w:rPr>
          <w:rFonts w:asciiTheme="majorHAnsi" w:hAnsiTheme="majorHAnsi"/>
          <w:i/>
        </w:rPr>
        <w:t>U dětí</w:t>
      </w:r>
      <w:r w:rsidRPr="000B16D5">
        <w:rPr>
          <w:rFonts w:asciiTheme="majorHAnsi" w:hAnsiTheme="majorHAnsi"/>
        </w:rPr>
        <w:t xml:space="preserve"> pozorujeme především dopad na </w:t>
      </w:r>
      <w:r w:rsidRPr="000B16D5">
        <w:rPr>
          <w:rFonts w:asciiTheme="majorHAnsi" w:hAnsiTheme="majorHAnsi"/>
          <w:b/>
          <w:iCs/>
        </w:rPr>
        <w:t>vývoj</w:t>
      </w:r>
      <w:r w:rsidRPr="000B16D5">
        <w:rPr>
          <w:rFonts w:asciiTheme="majorHAnsi" w:hAnsiTheme="majorHAnsi"/>
        </w:rPr>
        <w:t xml:space="preserve"> CNS (růst a vývoj), </w:t>
      </w:r>
      <w:r w:rsidRPr="000B16D5">
        <w:rPr>
          <w:rFonts w:asciiTheme="majorHAnsi" w:hAnsiTheme="majorHAnsi"/>
          <w:i/>
        </w:rPr>
        <w:t xml:space="preserve">u dospělých </w:t>
      </w:r>
      <w:r w:rsidRPr="000B16D5">
        <w:rPr>
          <w:rFonts w:asciiTheme="majorHAnsi" w:hAnsiTheme="majorHAnsi"/>
        </w:rPr>
        <w:t>pak nutrice ovlivňuje zejména</w:t>
      </w:r>
      <w:r w:rsidRPr="000B16D5">
        <w:rPr>
          <w:rFonts w:asciiTheme="majorHAnsi" w:hAnsiTheme="majorHAnsi"/>
          <w:i/>
          <w:iCs/>
        </w:rPr>
        <w:t xml:space="preserve"> </w:t>
      </w:r>
      <w:r w:rsidRPr="000B16D5">
        <w:rPr>
          <w:rFonts w:asciiTheme="majorHAnsi" w:hAnsiTheme="majorHAnsi"/>
          <w:b/>
          <w:iCs/>
        </w:rPr>
        <w:t>kognitivní funkce</w:t>
      </w:r>
      <w:r w:rsidRPr="000B16D5">
        <w:rPr>
          <w:rFonts w:asciiTheme="majorHAnsi" w:hAnsiTheme="majorHAnsi"/>
        </w:rPr>
        <w:t xml:space="preserve"> (poznávání, učení, paměť, řešení problémů),</w:t>
      </w:r>
      <w:r w:rsidRPr="000B16D5">
        <w:rPr>
          <w:rFonts w:asciiTheme="majorHAnsi" w:hAnsiTheme="majorHAnsi"/>
          <w:b/>
          <w:iCs/>
        </w:rPr>
        <w:t xml:space="preserve"> průběh</w:t>
      </w:r>
      <w:r w:rsidRPr="000B16D5">
        <w:rPr>
          <w:rFonts w:asciiTheme="majorHAnsi" w:hAnsiTheme="majorHAnsi"/>
          <w:i/>
          <w:iCs/>
        </w:rPr>
        <w:t xml:space="preserve"> </w:t>
      </w:r>
      <w:r w:rsidRPr="000B16D5">
        <w:rPr>
          <w:rFonts w:asciiTheme="majorHAnsi" w:hAnsiTheme="majorHAnsi"/>
        </w:rPr>
        <w:t xml:space="preserve">některých </w:t>
      </w:r>
      <w:r w:rsidRPr="000B16D5">
        <w:rPr>
          <w:rFonts w:asciiTheme="majorHAnsi" w:hAnsiTheme="majorHAnsi"/>
          <w:b/>
          <w:iCs/>
        </w:rPr>
        <w:t>onemocnění nervstva</w:t>
      </w:r>
      <w:r w:rsidRPr="000B16D5">
        <w:rPr>
          <w:rFonts w:asciiTheme="majorHAnsi" w:hAnsiTheme="majorHAnsi"/>
        </w:rPr>
        <w:t xml:space="preserve"> jako je deprese, schizofrenie</w:t>
      </w:r>
      <w:r w:rsidR="0093526F" w:rsidRPr="000B16D5">
        <w:rPr>
          <w:rFonts w:asciiTheme="majorHAnsi" w:hAnsiTheme="majorHAnsi"/>
        </w:rPr>
        <w:t xml:space="preserve"> aj., </w:t>
      </w:r>
      <w:r w:rsidRPr="000B16D5">
        <w:rPr>
          <w:rFonts w:asciiTheme="majorHAnsi" w:hAnsiTheme="majorHAnsi"/>
        </w:rPr>
        <w:t xml:space="preserve">nebo </w:t>
      </w:r>
      <w:r w:rsidRPr="000B16D5">
        <w:rPr>
          <w:rFonts w:asciiTheme="majorHAnsi" w:hAnsiTheme="majorHAnsi"/>
          <w:b/>
        </w:rPr>
        <w:t>rychlost</w:t>
      </w:r>
      <w:r w:rsidRPr="000B16D5">
        <w:rPr>
          <w:rFonts w:asciiTheme="majorHAnsi" w:hAnsiTheme="majorHAnsi"/>
        </w:rPr>
        <w:t xml:space="preserve"> </w:t>
      </w:r>
      <w:r w:rsidRPr="000B16D5">
        <w:rPr>
          <w:rFonts w:asciiTheme="majorHAnsi" w:hAnsiTheme="majorHAnsi"/>
          <w:b/>
          <w:iCs/>
        </w:rPr>
        <w:t>degenerativních změn</w:t>
      </w:r>
      <w:r w:rsidRPr="000B16D5">
        <w:rPr>
          <w:rFonts w:asciiTheme="majorHAnsi" w:hAnsiTheme="majorHAnsi"/>
        </w:rPr>
        <w:t xml:space="preserve"> ve stáří, např. Alzheimereova nemoc (předčasná, presenilní demence). Více k tématu specificity věku viz </w:t>
      </w:r>
      <w:r w:rsidR="0093526F" w:rsidRPr="000B16D5">
        <w:rPr>
          <w:rFonts w:asciiTheme="majorHAnsi" w:hAnsiTheme="majorHAnsi"/>
        </w:rPr>
        <w:t>oddíl</w:t>
      </w:r>
      <w:r w:rsidR="00370379" w:rsidRPr="000B16D5">
        <w:rPr>
          <w:rFonts w:asciiTheme="majorHAnsi" w:hAnsiTheme="majorHAnsi"/>
        </w:rPr>
        <w:t xml:space="preserve"> 12.</w:t>
      </w:r>
      <w:r w:rsidRPr="000B16D5">
        <w:rPr>
          <w:rFonts w:asciiTheme="majorHAnsi" w:hAnsiTheme="majorHAnsi"/>
        </w:rPr>
        <w:t>2.</w:t>
      </w:r>
    </w:p>
    <w:p w:rsidR="0076148D" w:rsidRPr="000B16D5" w:rsidRDefault="0076148D" w:rsidP="0076148D">
      <w:pPr>
        <w:spacing w:after="0"/>
        <w:jc w:val="both"/>
        <w:rPr>
          <w:rFonts w:asciiTheme="majorHAnsi" w:hAnsiTheme="majorHAnsi"/>
        </w:rPr>
      </w:pPr>
    </w:p>
    <w:p w:rsidR="00B437DA" w:rsidRPr="000B16D5" w:rsidRDefault="0076148D" w:rsidP="0076148D">
      <w:pPr>
        <w:pStyle w:val="Podpodnadpis"/>
        <w:rPr>
          <w:rFonts w:asciiTheme="majorHAnsi" w:hAnsiTheme="majorHAnsi"/>
        </w:rPr>
      </w:pPr>
      <w:r w:rsidRPr="000B16D5">
        <w:rPr>
          <w:rFonts w:asciiTheme="majorHAnsi" w:hAnsiTheme="majorHAnsi"/>
        </w:rPr>
        <w:t>Jakými způsoby ovlivňuje nutrice CNS?</w:t>
      </w:r>
    </w:p>
    <w:p w:rsidR="00C51339" w:rsidRPr="000B16D5" w:rsidRDefault="00C51339" w:rsidP="00C51339">
      <w:pPr>
        <w:spacing w:after="0"/>
        <w:jc w:val="both"/>
        <w:rPr>
          <w:rFonts w:asciiTheme="majorHAnsi" w:hAnsiTheme="majorHAnsi"/>
        </w:rPr>
      </w:pPr>
      <w:r w:rsidRPr="000B16D5">
        <w:rPr>
          <w:rFonts w:asciiTheme="majorHAnsi" w:hAnsiTheme="majorHAnsi"/>
        </w:rPr>
        <w:t xml:space="preserve">Zdaleka nejsou známy všechny pochody, které ve výsledku funkci i podobu CNS ovlivňují. Z těch doposud popsaných uvádíme alespoň ty nejdůležitější. </w:t>
      </w:r>
    </w:p>
    <w:p w:rsidR="00C51339" w:rsidRPr="000B16D5" w:rsidRDefault="00C51339" w:rsidP="00C51339">
      <w:pPr>
        <w:spacing w:after="0"/>
        <w:jc w:val="both"/>
        <w:rPr>
          <w:rFonts w:asciiTheme="majorHAnsi" w:hAnsiTheme="majorHAnsi"/>
        </w:rPr>
      </w:pPr>
    </w:p>
    <w:p w:rsidR="00C51339" w:rsidRPr="000B16D5" w:rsidRDefault="00C51339" w:rsidP="00C51339">
      <w:pPr>
        <w:spacing w:after="0"/>
        <w:jc w:val="both"/>
        <w:rPr>
          <w:rFonts w:asciiTheme="majorHAnsi" w:hAnsiTheme="majorHAnsi"/>
        </w:rPr>
      </w:pPr>
      <w:r w:rsidRPr="000B16D5">
        <w:rPr>
          <w:rFonts w:asciiTheme="majorHAnsi" w:hAnsiTheme="majorHAnsi"/>
        </w:rPr>
        <w:t xml:space="preserve">Speciálními vlastnostmi mozkové tkáně jsou </w:t>
      </w:r>
      <w:r w:rsidR="001F088E" w:rsidRPr="000B16D5">
        <w:rPr>
          <w:rFonts w:asciiTheme="majorHAnsi" w:hAnsiTheme="majorHAnsi"/>
        </w:rPr>
        <w:t xml:space="preserve">malá schopnost opravovat </w:t>
      </w:r>
      <w:r w:rsidRPr="000B16D5">
        <w:rPr>
          <w:rFonts w:asciiTheme="majorHAnsi" w:hAnsiTheme="majorHAnsi"/>
        </w:rPr>
        <w:t>poškození (= i menší poškození je vážné, protože málo napravitelné) a</w:t>
      </w:r>
      <w:r w:rsidRPr="000B16D5">
        <w:rPr>
          <w:rFonts w:asciiTheme="majorHAnsi" w:hAnsiTheme="majorHAnsi"/>
          <w:b/>
          <w:bCs/>
        </w:rPr>
        <w:t xml:space="preserve"> </w:t>
      </w:r>
      <w:r w:rsidRPr="000B16D5">
        <w:rPr>
          <w:rFonts w:asciiTheme="majorHAnsi" w:hAnsiTheme="majorHAnsi"/>
        </w:rPr>
        <w:t>velká</w:t>
      </w:r>
      <w:r w:rsidR="001F088E" w:rsidRPr="000B16D5">
        <w:rPr>
          <w:rFonts w:asciiTheme="majorHAnsi" w:hAnsiTheme="majorHAnsi"/>
        </w:rPr>
        <w:t xml:space="preserve"> energetická náročnost</w:t>
      </w:r>
      <w:r w:rsidRPr="000B16D5">
        <w:rPr>
          <w:rFonts w:asciiTheme="majorHAnsi" w:hAnsiTheme="majorHAnsi"/>
        </w:rPr>
        <w:t xml:space="preserve"> probíhajících pochodů</w:t>
      </w:r>
      <w:r w:rsidR="001F088E" w:rsidRPr="000B16D5">
        <w:rPr>
          <w:rFonts w:asciiTheme="majorHAnsi" w:hAnsiTheme="majorHAnsi"/>
        </w:rPr>
        <w:t xml:space="preserve"> – </w:t>
      </w:r>
      <w:r w:rsidR="00146F7F" w:rsidRPr="000B16D5">
        <w:rPr>
          <w:rFonts w:asciiTheme="majorHAnsi" w:hAnsiTheme="majorHAnsi"/>
        </w:rPr>
        <w:t>ostatní tkáně těla</w:t>
      </w:r>
      <w:r w:rsidR="00146F7F" w:rsidRPr="000B16D5" w:rsidDel="00146F7F">
        <w:rPr>
          <w:rFonts w:asciiTheme="majorHAnsi" w:hAnsiTheme="majorHAnsi"/>
        </w:rPr>
        <w:t xml:space="preserve"> </w:t>
      </w:r>
      <w:r w:rsidRPr="000B16D5">
        <w:rPr>
          <w:rFonts w:asciiTheme="majorHAnsi" w:hAnsiTheme="majorHAnsi"/>
        </w:rPr>
        <w:t>převyšuje asi 9krát</w:t>
      </w:r>
      <w:r w:rsidR="00146F7F" w:rsidRPr="000B16D5">
        <w:rPr>
          <w:rFonts w:asciiTheme="majorHAnsi" w:hAnsiTheme="majorHAnsi"/>
        </w:rPr>
        <w:t xml:space="preserve">. </w:t>
      </w:r>
      <w:r w:rsidRPr="000B16D5">
        <w:rPr>
          <w:rFonts w:asciiTheme="majorHAnsi" w:hAnsiTheme="majorHAnsi"/>
        </w:rPr>
        <w:t>Pro pokrytí energetických nároků navíc mozek vyžaduje výhradně cuk</w:t>
      </w:r>
      <w:r w:rsidR="000C7553" w:rsidRPr="000B16D5">
        <w:rPr>
          <w:rFonts w:asciiTheme="majorHAnsi" w:hAnsiTheme="majorHAnsi"/>
        </w:rPr>
        <w:t>e</w:t>
      </w:r>
      <w:r w:rsidRPr="000B16D5">
        <w:rPr>
          <w:rFonts w:asciiTheme="majorHAnsi" w:hAnsiTheme="majorHAnsi"/>
        </w:rPr>
        <w:t>rné zdroje energie (přesněji glukózu, v malé míře ketolátky při dlouhodobém hladovění). Z těchto důvodů je nezbytné, aby tělo v krvi udržovalo stálou hladinu krevního cukru, který bude CNS bez ustání k dispozici.</w:t>
      </w:r>
    </w:p>
    <w:p w:rsidR="00C51339" w:rsidRPr="000B16D5" w:rsidRDefault="00C51339" w:rsidP="00C51339">
      <w:pPr>
        <w:spacing w:after="0"/>
        <w:jc w:val="both"/>
        <w:rPr>
          <w:rFonts w:asciiTheme="majorHAnsi" w:hAnsiTheme="majorHAnsi"/>
          <w:i/>
          <w:sz w:val="18"/>
        </w:rPr>
      </w:pPr>
      <w:r w:rsidRPr="000B16D5">
        <w:rPr>
          <w:rFonts w:asciiTheme="majorHAnsi" w:hAnsiTheme="majorHAnsi"/>
          <w:i/>
          <w:sz w:val="18"/>
        </w:rPr>
        <w:t>Přísun sacharidů do těla není přirozeně stálý. Ve chvílích přechodného nedostatku probíhá uvolňování glukózy</w:t>
      </w:r>
      <w:r w:rsidR="00312A43" w:rsidRPr="000B16D5">
        <w:rPr>
          <w:rFonts w:asciiTheme="majorHAnsi" w:hAnsiTheme="majorHAnsi"/>
          <w:i/>
          <w:sz w:val="18"/>
        </w:rPr>
        <w:t xml:space="preserve"> –</w:t>
      </w:r>
      <w:r w:rsidRPr="000B16D5">
        <w:rPr>
          <w:rFonts w:asciiTheme="majorHAnsi" w:hAnsiTheme="majorHAnsi"/>
          <w:i/>
          <w:sz w:val="18"/>
        </w:rPr>
        <w:t xml:space="preserve"> pro některé orgány </w:t>
      </w:r>
      <w:r w:rsidRPr="000B16D5">
        <w:rPr>
          <w:rFonts w:asciiTheme="majorHAnsi" w:hAnsiTheme="majorHAnsi"/>
          <w:i/>
          <w:iCs/>
          <w:sz w:val="18"/>
        </w:rPr>
        <w:t>nezbytného</w:t>
      </w:r>
      <w:r w:rsidRPr="000B16D5">
        <w:rPr>
          <w:rFonts w:asciiTheme="majorHAnsi" w:hAnsiTheme="majorHAnsi"/>
          <w:i/>
          <w:sz w:val="18"/>
        </w:rPr>
        <w:t xml:space="preserve"> energetického paliva, do krve ze zásobních zdrojů. Zásobní živiny se díky propojení různých metabolických drah přeměňují na glukózu buď přímo (např. glukogenní aminokyseliny, glycerol...), nebo její syntézu podporují vlastním štěpěním a uvolněním energie v nich obsažené. Syntéza glukózy ve svém průběhu energii spotřebovává, v případě jejího nedostatku by potřebné množství krevního cukru nevzniklo. Glukózu potom dokáže mj. mozek využít a uspokojit svoji výraznou spotřebu.</w:t>
      </w:r>
    </w:p>
    <w:p w:rsidR="00C51339" w:rsidRPr="000B16D5" w:rsidRDefault="00C51339" w:rsidP="00C51339">
      <w:pPr>
        <w:spacing w:after="0"/>
        <w:jc w:val="both"/>
        <w:rPr>
          <w:rFonts w:asciiTheme="majorHAnsi" w:hAnsiTheme="majorHAnsi"/>
        </w:rPr>
      </w:pPr>
      <w:r w:rsidRPr="000B16D5">
        <w:rPr>
          <w:rFonts w:asciiTheme="majorHAnsi" w:hAnsiTheme="majorHAnsi"/>
        </w:rPr>
        <w:t xml:space="preserve">Zvýšené energetické nároky CNS vedou při </w:t>
      </w:r>
      <w:r w:rsidRPr="000B16D5">
        <w:rPr>
          <w:rFonts w:asciiTheme="majorHAnsi" w:hAnsiTheme="majorHAnsi"/>
          <w:i/>
        </w:rPr>
        <w:t>oxidaci živin</w:t>
      </w:r>
      <w:r w:rsidRPr="000B16D5">
        <w:rPr>
          <w:rFonts w:asciiTheme="majorHAnsi" w:hAnsiTheme="majorHAnsi"/>
        </w:rPr>
        <w:t xml:space="preserve"> (označení pro proces získávání energie v nich uložené; štěpení), ke zvýšenému </w:t>
      </w:r>
      <w:r w:rsidRPr="000B16D5">
        <w:rPr>
          <w:rFonts w:asciiTheme="majorHAnsi" w:hAnsiTheme="majorHAnsi"/>
          <w:b/>
        </w:rPr>
        <w:t>vzniku reaktivních (oxidačních) radikálů.</w:t>
      </w:r>
      <w:r w:rsidRPr="000B16D5">
        <w:rPr>
          <w:rFonts w:asciiTheme="majorHAnsi" w:hAnsiTheme="majorHAnsi"/>
        </w:rPr>
        <w:t xml:space="preserve"> Jde o škodlivé částice, vznikající jako vedlejší produkt některých reakcí metabolických přeměn. Podstatou jejich negativního vlivu je vysoká reaktivita, při které napadají náchylné, okolní molekuly, reagují s nimi a ve výsledku změní jejich vlastnosti. (Například dojde k pozměnění tvaru molekuly, a tím např. k utlumení enzymatické funkce.) Pokud molekula tvoří důležitou buněčnou strukturu, m</w:t>
      </w:r>
      <w:r w:rsidR="00A0549E" w:rsidRPr="000B16D5">
        <w:rPr>
          <w:rFonts w:asciiTheme="majorHAnsi" w:hAnsiTheme="majorHAnsi"/>
        </w:rPr>
        <w:t>ů</w:t>
      </w:r>
      <w:r w:rsidRPr="000B16D5">
        <w:rPr>
          <w:rFonts w:asciiTheme="majorHAnsi" w:hAnsiTheme="majorHAnsi"/>
        </w:rPr>
        <w:t xml:space="preserve">že být funkce a existence buňky </w:t>
      </w:r>
      <w:r w:rsidR="00A0549E" w:rsidRPr="000B16D5">
        <w:rPr>
          <w:rFonts w:asciiTheme="majorHAnsi" w:hAnsiTheme="majorHAnsi"/>
        </w:rPr>
        <w:t xml:space="preserve">vážně </w:t>
      </w:r>
      <w:r w:rsidRPr="000B16D5">
        <w:rPr>
          <w:rFonts w:asciiTheme="majorHAnsi" w:hAnsiTheme="majorHAnsi"/>
        </w:rPr>
        <w:t>ohrožena.</w:t>
      </w:r>
    </w:p>
    <w:p w:rsidR="00C51339" w:rsidRPr="000B16D5" w:rsidRDefault="00C51339" w:rsidP="00C51339">
      <w:pPr>
        <w:spacing w:after="0"/>
        <w:jc w:val="both"/>
        <w:rPr>
          <w:rFonts w:asciiTheme="majorHAnsi" w:hAnsiTheme="majorHAnsi"/>
        </w:rPr>
      </w:pPr>
      <w:r w:rsidRPr="000B16D5">
        <w:rPr>
          <w:rFonts w:asciiTheme="majorHAnsi" w:hAnsiTheme="majorHAnsi"/>
        </w:rPr>
        <w:lastRenderedPageBreak/>
        <w:t xml:space="preserve">Mimo samotnou energetickou náročnost nervových dějů (přinášející zvýšenou produkci reaktivních částic) řadíme mezi rizikové faktory i </w:t>
      </w:r>
      <w:r w:rsidRPr="000B16D5">
        <w:rPr>
          <w:rFonts w:asciiTheme="majorHAnsi" w:hAnsiTheme="majorHAnsi"/>
          <w:b/>
        </w:rPr>
        <w:t xml:space="preserve">nedostatek antioxidantů </w:t>
      </w:r>
      <w:r w:rsidRPr="000B16D5">
        <w:rPr>
          <w:rFonts w:asciiTheme="majorHAnsi" w:hAnsiTheme="majorHAnsi"/>
        </w:rPr>
        <w:t xml:space="preserve">v potravě. </w:t>
      </w:r>
      <w:r w:rsidRPr="000B16D5">
        <w:rPr>
          <w:rFonts w:asciiTheme="majorHAnsi" w:hAnsiTheme="majorHAnsi"/>
          <w:i/>
          <w:iCs/>
        </w:rPr>
        <w:t>Antioxidanty</w:t>
      </w:r>
      <w:r w:rsidRPr="000B16D5">
        <w:rPr>
          <w:rFonts w:asciiTheme="majorHAnsi" w:hAnsiTheme="majorHAnsi"/>
        </w:rPr>
        <w:t xml:space="preserve"> jsou látky, které se vlivem reaktivních částic samy oxidují. Samy se vystavují jako zástupný terč negativnímu působení a zabraňují tak oxidaci jiných, životně důležitých struktur. Typickým příkladem funkčně důležité struktury může v CNS být tuk myelinových pochev (ovlivňují rychlost přenosu nervového vzruchu vláknem nervu), nebo životně důležitá fosfolipidová membrána, která tvoří obal každé živočišné buňky (stejně jako i ohraničení organel v jejím nitru). Fosfolipidy (specifické molekuly tuků) jsou účinkem oxidačního stresu pozměněné, dochází např. ke strukturním deformacím. Molekuly membrány pak nepřiléhají těsně k sobě, je porušena soudržnost, pružnost a vhodné strukturální uspořádání. V nervové soustavě, jejíž funkce je umožněna na základě membránového přenosu signálu, je postižení těchto struktur významným problémem. </w:t>
      </w:r>
    </w:p>
    <w:p w:rsidR="00C51339" w:rsidRPr="000B16D5" w:rsidRDefault="00C51339" w:rsidP="00C51339">
      <w:pPr>
        <w:spacing w:after="0"/>
        <w:jc w:val="both"/>
        <w:rPr>
          <w:rFonts w:asciiTheme="majorHAnsi" w:hAnsiTheme="majorHAnsi"/>
        </w:rPr>
      </w:pPr>
      <w:r w:rsidRPr="000B16D5">
        <w:rPr>
          <w:rFonts w:asciiTheme="majorHAnsi" w:hAnsiTheme="majorHAnsi"/>
        </w:rPr>
        <w:t>Uvedli jsme již, že energetické nároky nervového systému mohou být díky propojení metabolických drah pokryty zástupně rozličnými živinami, které byly v potravě přijaty (</w:t>
      </w:r>
      <w:r w:rsidR="00A0549E" w:rsidRPr="000B16D5">
        <w:rPr>
          <w:rFonts w:asciiTheme="majorHAnsi" w:hAnsiTheme="majorHAnsi"/>
        </w:rPr>
        <w:t xml:space="preserve">díky </w:t>
      </w:r>
      <w:r w:rsidRPr="000B16D5">
        <w:rPr>
          <w:rFonts w:asciiTheme="majorHAnsi" w:hAnsiTheme="majorHAnsi"/>
        </w:rPr>
        <w:t xml:space="preserve">jejich metabolické přeměně na GLC uvnitř organismu). V roli </w:t>
      </w:r>
      <w:r w:rsidRPr="000B16D5">
        <w:rPr>
          <w:rFonts w:asciiTheme="majorHAnsi" w:hAnsiTheme="majorHAnsi"/>
          <w:b/>
        </w:rPr>
        <w:t>stavebních kamenů</w:t>
      </w:r>
      <w:r w:rsidRPr="000B16D5">
        <w:rPr>
          <w:rFonts w:asciiTheme="majorHAnsi" w:hAnsiTheme="majorHAnsi"/>
        </w:rPr>
        <w:t xml:space="preserve"> pro tvorbu molekul, buněk, orgánů i orgánových systémů</w:t>
      </w:r>
      <w:r w:rsidR="00A0549E" w:rsidRPr="000B16D5">
        <w:rPr>
          <w:rFonts w:asciiTheme="majorHAnsi" w:hAnsiTheme="majorHAnsi"/>
        </w:rPr>
        <w:t>,</w:t>
      </w:r>
      <w:r w:rsidRPr="000B16D5">
        <w:rPr>
          <w:rFonts w:asciiTheme="majorHAnsi" w:hAnsiTheme="majorHAnsi"/>
        </w:rPr>
        <w:t xml:space="preserve"> a tedy i celého těla</w:t>
      </w:r>
      <w:r w:rsidR="00A0549E" w:rsidRPr="000B16D5">
        <w:rPr>
          <w:rFonts w:asciiTheme="majorHAnsi" w:hAnsiTheme="majorHAnsi"/>
        </w:rPr>
        <w:t>,</w:t>
      </w:r>
      <w:r w:rsidRPr="000B16D5">
        <w:rPr>
          <w:rFonts w:asciiTheme="majorHAnsi" w:hAnsiTheme="majorHAnsi"/>
        </w:rPr>
        <w:t xml:space="preserve"> však některé nutrienty nejsou zastupitelné. V centrální nervové soustavě takovouto úlohu mají především </w:t>
      </w:r>
      <w:r w:rsidRPr="000B16D5">
        <w:rPr>
          <w:rFonts w:asciiTheme="majorHAnsi" w:hAnsiTheme="majorHAnsi"/>
          <w:i/>
        </w:rPr>
        <w:t>mastné kyseliny</w:t>
      </w:r>
      <w:r w:rsidRPr="000B16D5">
        <w:rPr>
          <w:rFonts w:asciiTheme="majorHAnsi" w:hAnsiTheme="majorHAnsi"/>
        </w:rPr>
        <w:t xml:space="preserve"> dlouhých řetězců s nenasycenými vazbami, které si tělo neumí syntetizovat samo a</w:t>
      </w:r>
      <w:r w:rsidR="00A0549E" w:rsidRPr="000B16D5">
        <w:rPr>
          <w:rFonts w:asciiTheme="majorHAnsi" w:hAnsiTheme="majorHAnsi"/>
        </w:rPr>
        <w:t xml:space="preserve"> které</w:t>
      </w:r>
      <w:r w:rsidRPr="000B16D5">
        <w:rPr>
          <w:rFonts w:asciiTheme="majorHAnsi" w:hAnsiTheme="majorHAnsi"/>
        </w:rPr>
        <w:t xml:space="preserve"> jsou zároveň jedním z hlavních stavebních prvků CNS (např. DHA- </w:t>
      </w:r>
      <w:r w:rsidRPr="000B16D5">
        <w:rPr>
          <w:rFonts w:asciiTheme="majorHAnsi" w:hAnsiTheme="majorHAnsi"/>
          <w:u w:val="single"/>
        </w:rPr>
        <w:t>d</w:t>
      </w:r>
      <w:r w:rsidRPr="000B16D5">
        <w:rPr>
          <w:rFonts w:asciiTheme="majorHAnsi" w:hAnsiTheme="majorHAnsi"/>
        </w:rPr>
        <w:t>ecosa</w:t>
      </w:r>
      <w:r w:rsidRPr="000B16D5">
        <w:rPr>
          <w:rFonts w:asciiTheme="majorHAnsi" w:hAnsiTheme="majorHAnsi"/>
          <w:u w:val="single"/>
        </w:rPr>
        <w:t>h</w:t>
      </w:r>
      <w:r w:rsidRPr="000B16D5">
        <w:rPr>
          <w:rFonts w:asciiTheme="majorHAnsi" w:hAnsiTheme="majorHAnsi"/>
        </w:rPr>
        <w:t xml:space="preserve">exaenic </w:t>
      </w:r>
      <w:r w:rsidRPr="000B16D5">
        <w:rPr>
          <w:rFonts w:asciiTheme="majorHAnsi" w:hAnsiTheme="majorHAnsi"/>
          <w:u w:val="single"/>
        </w:rPr>
        <w:t>a</w:t>
      </w:r>
      <w:r w:rsidRPr="000B16D5">
        <w:rPr>
          <w:rFonts w:asciiTheme="majorHAnsi" w:hAnsiTheme="majorHAnsi"/>
        </w:rPr>
        <w:t>cid- pro stavbu neuronálních membrán). Pokud nejsou takovéto vhodné stavební kameny ve stravě obsaženy, chybí zdroje pro vznik a obnovu.</w:t>
      </w:r>
    </w:p>
    <w:p w:rsidR="00C51339" w:rsidRPr="000B16D5" w:rsidRDefault="00C51339" w:rsidP="00C51339">
      <w:pPr>
        <w:spacing w:after="0"/>
        <w:jc w:val="both"/>
        <w:rPr>
          <w:rFonts w:asciiTheme="majorHAnsi" w:hAnsiTheme="majorHAnsi"/>
        </w:rPr>
      </w:pPr>
      <w:r w:rsidRPr="000B16D5">
        <w:rPr>
          <w:rFonts w:asciiTheme="majorHAnsi" w:hAnsiTheme="majorHAnsi"/>
        </w:rPr>
        <w:t>Jak již bylo uvedeno, tento fenomén pravděpodobně stojí za vznikem naší dnešní podoby</w:t>
      </w:r>
      <w:r w:rsidR="00A0549E" w:rsidRPr="000B16D5">
        <w:rPr>
          <w:rFonts w:asciiTheme="majorHAnsi" w:hAnsiTheme="majorHAnsi"/>
        </w:rPr>
        <w:t xml:space="preserve"> </w:t>
      </w:r>
      <w:r w:rsidR="009D532C" w:rsidRPr="000B16D5">
        <w:rPr>
          <w:rFonts w:asciiTheme="majorHAnsi" w:hAnsiTheme="majorHAnsi"/>
        </w:rPr>
        <w:t>označované jako</w:t>
      </w:r>
      <w:r w:rsidR="00A0549E" w:rsidRPr="000B16D5">
        <w:rPr>
          <w:rFonts w:asciiTheme="majorHAnsi" w:hAnsiTheme="majorHAnsi"/>
        </w:rPr>
        <w:t xml:space="preserve"> </w:t>
      </w:r>
      <w:r w:rsidR="003D717C" w:rsidRPr="000B16D5">
        <w:rPr>
          <w:rFonts w:asciiTheme="majorHAnsi" w:hAnsiTheme="majorHAnsi"/>
        </w:rPr>
        <w:t>„</w:t>
      </w:r>
      <w:r w:rsidRPr="000B16D5">
        <w:rPr>
          <w:rFonts w:asciiTheme="majorHAnsi" w:hAnsiTheme="majorHAnsi"/>
        </w:rPr>
        <w:t>moderní člověk moudrý</w:t>
      </w:r>
      <w:r w:rsidR="003D717C" w:rsidRPr="000B16D5">
        <w:rPr>
          <w:rFonts w:asciiTheme="majorHAnsi" w:hAnsiTheme="majorHAnsi"/>
        </w:rPr>
        <w:t xml:space="preserve">“. </w:t>
      </w:r>
      <w:r w:rsidRPr="000B16D5">
        <w:rPr>
          <w:rFonts w:asciiTheme="majorHAnsi" w:hAnsiTheme="majorHAnsi"/>
        </w:rPr>
        <w:t xml:space="preserve">Díky zvýšenému příjmu VMK z masa lovených zvířat </w:t>
      </w:r>
      <w:r w:rsidR="00371AEB" w:rsidRPr="000B16D5">
        <w:rPr>
          <w:rFonts w:asciiTheme="majorHAnsi" w:hAnsiTheme="majorHAnsi"/>
        </w:rPr>
        <w:t>měl člověk více</w:t>
      </w:r>
      <w:r w:rsidRPr="000B16D5">
        <w:rPr>
          <w:rFonts w:asciiTheme="majorHAnsi" w:hAnsiTheme="majorHAnsi"/>
        </w:rPr>
        <w:t xml:space="preserve"> než dostatek stavebního materiálu pro někalikonásobný rozvoj struktur CNS. Narůstání masy mozkové hmoty (proces tzv.</w:t>
      </w:r>
      <w:r w:rsidRPr="000B16D5">
        <w:rPr>
          <w:rFonts w:asciiTheme="majorHAnsi" w:hAnsiTheme="majorHAnsi"/>
          <w:i/>
          <w:iCs/>
        </w:rPr>
        <w:t xml:space="preserve"> encefalizace</w:t>
      </w:r>
      <w:r w:rsidRPr="000B16D5">
        <w:rPr>
          <w:rFonts w:asciiTheme="majorHAnsi" w:hAnsiTheme="majorHAnsi"/>
        </w:rPr>
        <w:t xml:space="preserve">) tak dalo strukturální </w:t>
      </w:r>
      <w:r w:rsidR="00D72B28" w:rsidRPr="000B16D5">
        <w:rPr>
          <w:rFonts w:asciiTheme="majorHAnsi" w:hAnsiTheme="majorHAnsi"/>
        </w:rPr>
        <w:t xml:space="preserve">základ </w:t>
      </w:r>
      <w:r w:rsidRPr="000B16D5">
        <w:rPr>
          <w:rFonts w:asciiTheme="majorHAnsi" w:hAnsiTheme="majorHAnsi"/>
        </w:rPr>
        <w:t xml:space="preserve">mohutnému rozvoji funkčních schopností. Masitá strava tak má, zdá se, význam při rozvoji nervové soustavy obecně (větší mozek vůči tělu vykazují i dravci a šelmy; </w:t>
      </w:r>
      <w:r w:rsidR="00097015" w:rsidRPr="000B16D5">
        <w:rPr>
          <w:rFonts w:asciiTheme="majorHAnsi" w:hAnsiTheme="majorHAnsi"/>
        </w:rPr>
        <w:t xml:space="preserve">je důležitá </w:t>
      </w:r>
      <w:r w:rsidRPr="000B16D5">
        <w:rPr>
          <w:rFonts w:asciiTheme="majorHAnsi" w:hAnsiTheme="majorHAnsi"/>
        </w:rPr>
        <w:t>při vývoji jedince</w:t>
      </w:r>
      <w:r w:rsidR="00371AEB" w:rsidRPr="000B16D5">
        <w:rPr>
          <w:rFonts w:asciiTheme="majorHAnsi" w:hAnsiTheme="majorHAnsi"/>
        </w:rPr>
        <w:t xml:space="preserve"> –</w:t>
      </w:r>
      <w:r w:rsidRPr="000B16D5">
        <w:rPr>
          <w:rFonts w:asciiTheme="majorHAnsi" w:hAnsiTheme="majorHAnsi"/>
        </w:rPr>
        <w:t xml:space="preserve"> viz dále</w:t>
      </w:r>
      <w:r w:rsidR="00371AEB" w:rsidRPr="000B16D5">
        <w:rPr>
          <w:rFonts w:asciiTheme="majorHAnsi" w:hAnsiTheme="majorHAnsi"/>
        </w:rPr>
        <w:t xml:space="preserve"> oddíl </w:t>
      </w:r>
      <w:r w:rsidR="00371AEB" w:rsidRPr="000B16D5">
        <w:rPr>
          <w:rFonts w:asciiTheme="majorHAnsi" w:hAnsiTheme="majorHAnsi"/>
          <w:i/>
        </w:rPr>
        <w:t>Specifi</w:t>
      </w:r>
      <w:r w:rsidR="00D12DF4" w:rsidRPr="000B16D5">
        <w:rPr>
          <w:rFonts w:asciiTheme="majorHAnsi" w:hAnsiTheme="majorHAnsi"/>
          <w:i/>
        </w:rPr>
        <w:t>ta</w:t>
      </w:r>
      <w:r w:rsidRPr="000B16D5">
        <w:rPr>
          <w:rFonts w:asciiTheme="majorHAnsi" w:hAnsiTheme="majorHAnsi"/>
          <w:i/>
        </w:rPr>
        <w:t xml:space="preserve"> dětství</w:t>
      </w:r>
      <w:r w:rsidRPr="000B16D5">
        <w:rPr>
          <w:rFonts w:asciiTheme="majorHAnsi" w:hAnsiTheme="majorHAnsi"/>
        </w:rPr>
        <w:t xml:space="preserve">), a je v adekvátním množství </w:t>
      </w:r>
      <w:r w:rsidR="00463B32" w:rsidRPr="000B16D5">
        <w:rPr>
          <w:rFonts w:asciiTheme="majorHAnsi" w:hAnsiTheme="majorHAnsi"/>
        </w:rPr>
        <w:t xml:space="preserve">nezbytnou </w:t>
      </w:r>
      <w:r w:rsidRPr="000B16D5">
        <w:rPr>
          <w:rFonts w:asciiTheme="majorHAnsi" w:hAnsiTheme="majorHAnsi"/>
        </w:rPr>
        <w:t xml:space="preserve">přirozenou součástí jídelníčku. </w:t>
      </w:r>
    </w:p>
    <w:p w:rsidR="00C51339" w:rsidRPr="000B16D5" w:rsidRDefault="00C51339" w:rsidP="00C51339">
      <w:pPr>
        <w:spacing w:after="0"/>
        <w:jc w:val="both"/>
        <w:rPr>
          <w:rFonts w:asciiTheme="majorHAnsi" w:hAnsiTheme="majorHAnsi"/>
        </w:rPr>
      </w:pPr>
      <w:r w:rsidRPr="000B16D5">
        <w:rPr>
          <w:rFonts w:asciiTheme="majorHAnsi" w:hAnsiTheme="majorHAnsi"/>
        </w:rPr>
        <w:t>Jako poslední z možných mechanismů vlivu na CNS uvádíme v posledních několika letech zkoumanou spojitost vysokokalorické diety</w:t>
      </w:r>
      <w:r w:rsidR="00371AEB" w:rsidRPr="000B16D5">
        <w:rPr>
          <w:rFonts w:asciiTheme="majorHAnsi" w:hAnsiTheme="majorHAnsi"/>
        </w:rPr>
        <w:t xml:space="preserve"> –</w:t>
      </w:r>
      <w:r w:rsidRPr="000B16D5">
        <w:rPr>
          <w:rFonts w:asciiTheme="majorHAnsi" w:hAnsiTheme="majorHAnsi"/>
        </w:rPr>
        <w:t xml:space="preserve"> </w:t>
      </w:r>
      <w:r w:rsidRPr="000B16D5">
        <w:rPr>
          <w:rFonts w:asciiTheme="majorHAnsi" w:hAnsiTheme="majorHAnsi"/>
          <w:b/>
        </w:rPr>
        <w:t>vysokého obsahu energie</w:t>
      </w:r>
      <w:r w:rsidRPr="000B16D5">
        <w:rPr>
          <w:rFonts w:asciiTheme="majorHAnsi" w:hAnsiTheme="majorHAnsi"/>
        </w:rPr>
        <w:t xml:space="preserve"> zastoupeného </w:t>
      </w:r>
      <w:r w:rsidRPr="000B16D5">
        <w:rPr>
          <w:rFonts w:asciiTheme="majorHAnsi" w:hAnsiTheme="majorHAnsi"/>
          <w:b/>
          <w:bCs/>
        </w:rPr>
        <w:t>v potravě</w:t>
      </w:r>
      <w:r w:rsidR="00371AEB" w:rsidRPr="000B16D5">
        <w:rPr>
          <w:rFonts w:asciiTheme="majorHAnsi" w:hAnsiTheme="majorHAnsi"/>
          <w:b/>
          <w:bCs/>
        </w:rPr>
        <w:t xml:space="preserve"> </w:t>
      </w:r>
      <w:r w:rsidR="00371AEB" w:rsidRPr="000B16D5">
        <w:rPr>
          <w:rFonts w:asciiTheme="majorHAnsi" w:hAnsiTheme="majorHAnsi"/>
          <w:bCs/>
        </w:rPr>
        <w:t>–</w:t>
      </w:r>
      <w:r w:rsidR="00371AEB" w:rsidRPr="000B16D5">
        <w:rPr>
          <w:rFonts w:asciiTheme="majorHAnsi" w:hAnsiTheme="majorHAnsi"/>
          <w:b/>
          <w:bCs/>
        </w:rPr>
        <w:t xml:space="preserve"> </w:t>
      </w:r>
      <w:r w:rsidRPr="000B16D5">
        <w:rPr>
          <w:rFonts w:asciiTheme="majorHAnsi" w:hAnsiTheme="majorHAnsi"/>
        </w:rPr>
        <w:t>s vlivem na neuronální plasticitu i kognitivní funkce (např. paměť, učení, řeš</w:t>
      </w:r>
      <w:r w:rsidR="00371AEB" w:rsidRPr="000B16D5">
        <w:rPr>
          <w:rFonts w:asciiTheme="majorHAnsi" w:hAnsiTheme="majorHAnsi"/>
        </w:rPr>
        <w:t>ení</w:t>
      </w:r>
      <w:r w:rsidRPr="000B16D5">
        <w:rPr>
          <w:rFonts w:asciiTheme="majorHAnsi" w:hAnsiTheme="majorHAnsi"/>
        </w:rPr>
        <w:t xml:space="preserve"> problémů). Ukazuje se, že nadbytek energie vede prostřednictvím zvýšeného energetického metabolismu k expresi molekuly brain-derived neurotrophic factor (</w:t>
      </w:r>
      <w:r w:rsidRPr="000B16D5">
        <w:rPr>
          <w:rFonts w:asciiTheme="majorHAnsi" w:hAnsiTheme="majorHAnsi"/>
          <w:i/>
        </w:rPr>
        <w:t>BDNF</w:t>
      </w:r>
      <w:r w:rsidRPr="000B16D5">
        <w:rPr>
          <w:rFonts w:asciiTheme="majorHAnsi" w:hAnsiTheme="majorHAnsi"/>
        </w:rPr>
        <w:t xml:space="preserve">), která hraje v procesech kognitivních funkcí ústřední roli. Na zvýšení hladiny BDNF navazují kaskády buněčných dějů, které vedou při zvýšeném energetickém příjmu z diety u testovaných myší k prokazatelně horším schopnostem učit se. </w:t>
      </w:r>
      <w:r w:rsidR="00117EEE" w:rsidRPr="000B16D5">
        <w:rPr>
          <w:rFonts w:asciiTheme="majorHAnsi" w:hAnsiTheme="majorHAnsi"/>
        </w:rPr>
        <w:t xml:space="preserve">Pro další informace </w:t>
      </w:r>
      <w:r w:rsidRPr="000B16D5">
        <w:rPr>
          <w:rFonts w:asciiTheme="majorHAnsi" w:hAnsiTheme="majorHAnsi"/>
        </w:rPr>
        <w:t>viz</w:t>
      </w:r>
      <w:r w:rsidR="00371AEB" w:rsidRPr="000B16D5">
        <w:rPr>
          <w:rFonts w:asciiTheme="majorHAnsi" w:hAnsiTheme="majorHAnsi"/>
        </w:rPr>
        <w:t xml:space="preserve"> oddíl</w:t>
      </w:r>
      <w:r w:rsidRPr="000B16D5">
        <w:rPr>
          <w:rFonts w:asciiTheme="majorHAnsi" w:hAnsiTheme="majorHAnsi"/>
        </w:rPr>
        <w:t xml:space="preserve"> 3 této kapitoly.</w:t>
      </w:r>
    </w:p>
    <w:p w:rsidR="00C51339" w:rsidRPr="000B16D5" w:rsidRDefault="00C51339" w:rsidP="00C51339">
      <w:pPr>
        <w:spacing w:after="0"/>
        <w:jc w:val="both"/>
        <w:rPr>
          <w:rFonts w:asciiTheme="majorHAnsi" w:hAnsiTheme="majorHAnsi"/>
        </w:rPr>
      </w:pPr>
      <w:r w:rsidRPr="000B16D5">
        <w:rPr>
          <w:rFonts w:asciiTheme="majorHAnsi" w:hAnsiTheme="majorHAnsi"/>
        </w:rPr>
        <w:t xml:space="preserve">Obecně můžeme říci, že nadbytečný příjem kalorií, tolik příznačný pro současnou vyspělou společnost, začíná být stejným </w:t>
      </w:r>
      <w:r w:rsidR="00371AEB" w:rsidRPr="000B16D5">
        <w:rPr>
          <w:rFonts w:asciiTheme="majorHAnsi" w:hAnsiTheme="majorHAnsi"/>
        </w:rPr>
        <w:t xml:space="preserve">zdravotním </w:t>
      </w:r>
      <w:r w:rsidRPr="000B16D5">
        <w:rPr>
          <w:rFonts w:asciiTheme="majorHAnsi" w:hAnsiTheme="majorHAnsi"/>
        </w:rPr>
        <w:t>problémem jako nedostatek potravy v chudších částech světa. Zřejmý podíl na rozvoji civilizačních chorob (</w:t>
      </w:r>
      <w:r w:rsidR="00371AEB" w:rsidRPr="000B16D5">
        <w:rPr>
          <w:rFonts w:asciiTheme="majorHAnsi" w:hAnsiTheme="majorHAnsi"/>
        </w:rPr>
        <w:t>na</w:t>
      </w:r>
      <w:r w:rsidRPr="000B16D5">
        <w:rPr>
          <w:rFonts w:asciiTheme="majorHAnsi" w:hAnsiTheme="majorHAnsi"/>
        </w:rPr>
        <w:t>př. diabetes mellitus, kornatění cév), Alzheimerovy choroby nebo deprese je toho důkazem.</w:t>
      </w:r>
    </w:p>
    <w:p w:rsidR="00C51339" w:rsidRPr="000B16D5" w:rsidRDefault="00C51339" w:rsidP="00C51339">
      <w:pPr>
        <w:keepNext/>
        <w:jc w:val="center"/>
        <w:rPr>
          <w:rFonts w:asciiTheme="majorHAnsi" w:hAnsiTheme="majorHAnsi"/>
        </w:rPr>
      </w:pPr>
      <w:r w:rsidRPr="000B16D5">
        <w:rPr>
          <w:rFonts w:asciiTheme="majorHAnsi" w:hAnsiTheme="majorHAnsi"/>
          <w:noProof/>
        </w:rPr>
        <w:drawing>
          <wp:inline distT="0" distB="0" distL="0" distR="0" wp14:anchorId="47EFE2C9" wp14:editId="58DC1328">
            <wp:extent cx="1669311" cy="1618726"/>
            <wp:effectExtent l="0" t="0" r="7620" b="635"/>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8744" cy="1627873"/>
                    </a:xfrm>
                    <a:prstGeom prst="rect">
                      <a:avLst/>
                    </a:prstGeom>
                    <a:noFill/>
                  </pic:spPr>
                </pic:pic>
              </a:graphicData>
            </a:graphic>
          </wp:inline>
        </w:drawing>
      </w:r>
    </w:p>
    <w:p w:rsidR="00C51339" w:rsidRPr="000B16D5" w:rsidRDefault="00C51339" w:rsidP="00C51339">
      <w:pPr>
        <w:pStyle w:val="Titulek"/>
        <w:jc w:val="center"/>
        <w:rPr>
          <w:rFonts w:asciiTheme="majorHAnsi" w:hAnsiTheme="majorHAnsi"/>
          <w:i/>
          <w:color w:val="808080" w:themeColor="background1" w:themeShade="80"/>
          <w:sz w:val="20"/>
        </w:rPr>
      </w:pPr>
      <w:r w:rsidRPr="000B16D5">
        <w:rPr>
          <w:rFonts w:asciiTheme="majorHAnsi" w:hAnsiTheme="majorHAnsi"/>
          <w:i/>
          <w:color w:val="808080" w:themeColor="background1" w:themeShade="80"/>
          <w:sz w:val="20"/>
        </w:rPr>
        <w:t xml:space="preserve">Obrázek </w:t>
      </w:r>
      <w:r w:rsidRPr="000B16D5">
        <w:rPr>
          <w:rFonts w:asciiTheme="majorHAnsi" w:hAnsiTheme="majorHAnsi"/>
          <w:i/>
          <w:color w:val="808080" w:themeColor="background1" w:themeShade="80"/>
          <w:sz w:val="20"/>
        </w:rPr>
        <w:fldChar w:fldCharType="begin"/>
      </w:r>
      <w:r w:rsidRPr="000B16D5">
        <w:rPr>
          <w:rFonts w:asciiTheme="majorHAnsi" w:hAnsiTheme="majorHAnsi"/>
          <w:i/>
          <w:color w:val="808080" w:themeColor="background1" w:themeShade="80"/>
          <w:sz w:val="20"/>
        </w:rPr>
        <w:instrText xml:space="preserve"> SEQ Obrázek \* ARABIC </w:instrText>
      </w:r>
      <w:r w:rsidRPr="000B16D5">
        <w:rPr>
          <w:rFonts w:asciiTheme="majorHAnsi" w:hAnsiTheme="majorHAnsi"/>
          <w:i/>
          <w:color w:val="808080" w:themeColor="background1" w:themeShade="80"/>
          <w:sz w:val="20"/>
        </w:rPr>
        <w:fldChar w:fldCharType="separate"/>
      </w:r>
      <w:r w:rsidR="008378F9" w:rsidRPr="000B16D5">
        <w:rPr>
          <w:rFonts w:asciiTheme="majorHAnsi" w:hAnsiTheme="majorHAnsi"/>
          <w:i/>
          <w:noProof/>
          <w:color w:val="808080" w:themeColor="background1" w:themeShade="80"/>
          <w:sz w:val="20"/>
        </w:rPr>
        <w:t>11</w:t>
      </w:r>
      <w:r w:rsidRPr="000B16D5">
        <w:rPr>
          <w:rFonts w:asciiTheme="majorHAnsi" w:hAnsiTheme="majorHAnsi"/>
          <w:i/>
          <w:color w:val="808080" w:themeColor="background1" w:themeShade="80"/>
          <w:sz w:val="20"/>
        </w:rPr>
        <w:fldChar w:fldCharType="end"/>
      </w:r>
      <w:r w:rsidRPr="000B16D5">
        <w:rPr>
          <w:rFonts w:asciiTheme="majorHAnsi" w:hAnsiTheme="majorHAnsi"/>
          <w:i/>
          <w:color w:val="808080" w:themeColor="background1" w:themeShade="80"/>
          <w:sz w:val="20"/>
        </w:rPr>
        <w:t xml:space="preserve"> </w:t>
      </w:r>
      <w:r w:rsidR="009F06BC" w:rsidRPr="000B16D5">
        <w:rPr>
          <w:rFonts w:asciiTheme="majorHAnsi" w:hAnsiTheme="majorHAnsi"/>
          <w:i/>
          <w:color w:val="808080" w:themeColor="background1" w:themeShade="80"/>
          <w:sz w:val="20"/>
        </w:rPr>
        <w:t xml:space="preserve">– </w:t>
      </w:r>
      <w:r w:rsidRPr="000B16D5">
        <w:rPr>
          <w:rFonts w:asciiTheme="majorHAnsi" w:hAnsiTheme="majorHAnsi"/>
          <w:i/>
          <w:color w:val="808080" w:themeColor="background1" w:themeShade="80"/>
          <w:sz w:val="20"/>
        </w:rPr>
        <w:t>Zjednodušené</w:t>
      </w:r>
      <w:r w:rsidRPr="000B16D5">
        <w:rPr>
          <w:rFonts w:asciiTheme="majorHAnsi" w:hAnsiTheme="majorHAnsi"/>
          <w:i/>
          <w:noProof/>
          <w:color w:val="808080" w:themeColor="background1" w:themeShade="80"/>
          <w:sz w:val="20"/>
        </w:rPr>
        <w:t xml:space="preserve"> schéma významu živin pro CNS</w:t>
      </w:r>
    </w:p>
    <w:p w:rsidR="00B437DA" w:rsidRPr="000B16D5" w:rsidRDefault="00B437DA" w:rsidP="0076148D">
      <w:pPr>
        <w:pStyle w:val="Nadpispodkapitoly"/>
        <w:rPr>
          <w:rFonts w:asciiTheme="majorHAnsi" w:hAnsiTheme="majorHAnsi"/>
        </w:rPr>
      </w:pPr>
      <w:bookmarkStart w:id="65" w:name="_Toc380240630"/>
      <w:r w:rsidRPr="000B16D5">
        <w:rPr>
          <w:rFonts w:asciiTheme="majorHAnsi" w:hAnsiTheme="majorHAnsi"/>
        </w:rPr>
        <w:t>význam věku</w:t>
      </w:r>
      <w:bookmarkEnd w:id="65"/>
    </w:p>
    <w:p w:rsidR="00B437DA" w:rsidRPr="000B16D5" w:rsidRDefault="00B437DA" w:rsidP="00670415">
      <w:pPr>
        <w:pStyle w:val="Podpodnadpis"/>
        <w:rPr>
          <w:rFonts w:asciiTheme="majorHAnsi" w:hAnsiTheme="majorHAnsi"/>
        </w:rPr>
      </w:pPr>
      <w:r w:rsidRPr="000B16D5">
        <w:rPr>
          <w:rFonts w:asciiTheme="majorHAnsi" w:hAnsiTheme="majorHAnsi"/>
        </w:rPr>
        <w:t>specifita dětství</w:t>
      </w:r>
    </w:p>
    <w:p w:rsidR="00670415" w:rsidRPr="000B16D5" w:rsidRDefault="00670415" w:rsidP="00670415">
      <w:pPr>
        <w:spacing w:after="0"/>
        <w:jc w:val="both"/>
        <w:rPr>
          <w:rFonts w:asciiTheme="majorHAnsi" w:hAnsiTheme="majorHAnsi"/>
        </w:rPr>
      </w:pPr>
      <w:r w:rsidRPr="000B16D5">
        <w:rPr>
          <w:rFonts w:asciiTheme="majorHAnsi" w:hAnsiTheme="majorHAnsi"/>
        </w:rPr>
        <w:t>Dětský věk je příznačný bouřlivým</w:t>
      </w:r>
      <w:r w:rsidRPr="000B16D5">
        <w:rPr>
          <w:rFonts w:asciiTheme="majorHAnsi" w:hAnsiTheme="majorHAnsi"/>
          <w:b/>
        </w:rPr>
        <w:t xml:space="preserve"> vývojem</w:t>
      </w:r>
      <w:r w:rsidRPr="000B16D5">
        <w:rPr>
          <w:rFonts w:asciiTheme="majorHAnsi" w:hAnsiTheme="majorHAnsi"/>
        </w:rPr>
        <w:t xml:space="preserve"> mozkových neuronálních struktur. Nejdůležitějším je v tomto ohledu fetální období před narozením a brzký postnatální život, zvýšená náchylnost je ovšem příznačná pro celé </w:t>
      </w:r>
      <w:r w:rsidRPr="000B16D5">
        <w:rPr>
          <w:rFonts w:asciiTheme="majorHAnsi" w:hAnsiTheme="majorHAnsi"/>
        </w:rPr>
        <w:lastRenderedPageBreak/>
        <w:t>dětství i m</w:t>
      </w:r>
      <w:r w:rsidR="00F64421" w:rsidRPr="000B16D5">
        <w:rPr>
          <w:rFonts w:asciiTheme="majorHAnsi" w:hAnsiTheme="majorHAnsi"/>
        </w:rPr>
        <w:t>l</w:t>
      </w:r>
      <w:r w:rsidRPr="000B16D5">
        <w:rPr>
          <w:rFonts w:asciiTheme="majorHAnsi" w:hAnsiTheme="majorHAnsi"/>
        </w:rPr>
        <w:t>adší dospělost (</w:t>
      </w:r>
      <w:r w:rsidR="00F64421" w:rsidRPr="000B16D5">
        <w:rPr>
          <w:rFonts w:asciiTheme="majorHAnsi" w:hAnsiTheme="majorHAnsi"/>
        </w:rPr>
        <w:t xml:space="preserve">ukončení </w:t>
      </w:r>
      <w:r w:rsidRPr="000B16D5">
        <w:rPr>
          <w:rFonts w:asciiTheme="majorHAnsi" w:hAnsiTheme="majorHAnsi"/>
        </w:rPr>
        <w:t xml:space="preserve">vývoje struktur CNS se odhaduje po 20. roce života.) Pro ideální rozvoj struktur je nezbytný přísun adekvátních nutrientů v adekvátním množství. Limitující se zdá především přísun </w:t>
      </w:r>
      <w:r w:rsidRPr="000B16D5">
        <w:rPr>
          <w:rFonts w:asciiTheme="majorHAnsi" w:hAnsiTheme="majorHAnsi"/>
          <w:i/>
          <w:iCs/>
        </w:rPr>
        <w:t>proteinů</w:t>
      </w:r>
      <w:r w:rsidRPr="000B16D5">
        <w:rPr>
          <w:rFonts w:asciiTheme="majorHAnsi" w:hAnsiTheme="majorHAnsi"/>
        </w:rPr>
        <w:t xml:space="preserve">. Jejich nedostatek v dětství má </w:t>
      </w:r>
      <w:r w:rsidR="00F64421" w:rsidRPr="000B16D5">
        <w:rPr>
          <w:rFonts w:asciiTheme="majorHAnsi" w:hAnsiTheme="majorHAnsi"/>
        </w:rPr>
        <w:t xml:space="preserve">mimo jiné </w:t>
      </w:r>
      <w:r w:rsidRPr="000B16D5">
        <w:rPr>
          <w:rFonts w:asciiTheme="majorHAnsi" w:hAnsiTheme="majorHAnsi"/>
        </w:rPr>
        <w:t>vliv na velikost buněk, počet synapsí</w:t>
      </w:r>
      <w:r w:rsidR="00F64421" w:rsidRPr="000B16D5">
        <w:rPr>
          <w:rFonts w:asciiTheme="majorHAnsi" w:hAnsiTheme="majorHAnsi"/>
        </w:rPr>
        <w:t xml:space="preserve">, přičemž </w:t>
      </w:r>
      <w:r w:rsidRPr="000B16D5">
        <w:rPr>
          <w:rFonts w:asciiTheme="majorHAnsi" w:hAnsiTheme="majorHAnsi"/>
        </w:rPr>
        <w:t>náprava hojností v pozdějším věku je navíc nemožná</w:t>
      </w:r>
      <w:r w:rsidR="00F64421" w:rsidRPr="000B16D5">
        <w:rPr>
          <w:rFonts w:asciiTheme="majorHAnsi" w:hAnsiTheme="majorHAnsi"/>
        </w:rPr>
        <w:t>.</w:t>
      </w:r>
    </w:p>
    <w:p w:rsidR="00670415" w:rsidRPr="000B16D5" w:rsidRDefault="00670415" w:rsidP="00670415">
      <w:pPr>
        <w:spacing w:after="0"/>
        <w:jc w:val="both"/>
        <w:rPr>
          <w:rFonts w:asciiTheme="majorHAnsi" w:hAnsiTheme="majorHAnsi"/>
          <w:i/>
        </w:rPr>
      </w:pPr>
      <w:r w:rsidRPr="000B16D5">
        <w:rPr>
          <w:rFonts w:asciiTheme="majorHAnsi" w:hAnsiTheme="majorHAnsi"/>
        </w:rPr>
        <w:t>Závažnost dopadu na proces vyzrávání CNS tedy můžeme odhadovat podle tří základních parametrů:</w:t>
      </w:r>
      <w:r w:rsidRPr="000B16D5">
        <w:rPr>
          <w:rFonts w:asciiTheme="majorHAnsi" w:hAnsiTheme="majorHAnsi"/>
          <w:b/>
        </w:rPr>
        <w:t xml:space="preserve"> absolutních hodnot nedostatku/nadbytku </w:t>
      </w:r>
      <w:r w:rsidRPr="000B16D5">
        <w:rPr>
          <w:rFonts w:asciiTheme="majorHAnsi" w:hAnsiTheme="majorHAnsi"/>
        </w:rPr>
        <w:t xml:space="preserve">živiny </w:t>
      </w:r>
      <w:r w:rsidRPr="000B16D5">
        <w:rPr>
          <w:rFonts w:asciiTheme="majorHAnsi" w:hAnsiTheme="majorHAnsi"/>
          <w:i/>
        </w:rPr>
        <w:t>(co a jak moc?);</w:t>
      </w:r>
      <w:r w:rsidRPr="000B16D5">
        <w:rPr>
          <w:rFonts w:asciiTheme="majorHAnsi" w:hAnsiTheme="majorHAnsi"/>
        </w:rPr>
        <w:t xml:space="preserve"> </w:t>
      </w:r>
      <w:r w:rsidRPr="000B16D5">
        <w:rPr>
          <w:rFonts w:asciiTheme="majorHAnsi" w:hAnsiTheme="majorHAnsi"/>
          <w:b/>
        </w:rPr>
        <w:t>období</w:t>
      </w:r>
      <w:r w:rsidRPr="000B16D5">
        <w:rPr>
          <w:rFonts w:asciiTheme="majorHAnsi" w:hAnsiTheme="majorHAnsi"/>
        </w:rPr>
        <w:t xml:space="preserve"> života, ve kterém jím plod/dítě trpí </w:t>
      </w:r>
      <w:r w:rsidRPr="000B16D5">
        <w:rPr>
          <w:rFonts w:asciiTheme="majorHAnsi" w:hAnsiTheme="majorHAnsi"/>
          <w:i/>
        </w:rPr>
        <w:t>(kdy?);</w:t>
      </w:r>
      <w:r w:rsidRPr="000B16D5">
        <w:rPr>
          <w:rFonts w:asciiTheme="majorHAnsi" w:hAnsiTheme="majorHAnsi"/>
        </w:rPr>
        <w:t xml:space="preserve"> a rovněž </w:t>
      </w:r>
      <w:r w:rsidRPr="000B16D5">
        <w:rPr>
          <w:rFonts w:asciiTheme="majorHAnsi" w:hAnsiTheme="majorHAnsi"/>
          <w:b/>
        </w:rPr>
        <w:t xml:space="preserve">délky </w:t>
      </w:r>
      <w:r w:rsidRPr="000B16D5">
        <w:rPr>
          <w:rFonts w:asciiTheme="majorHAnsi" w:hAnsiTheme="majorHAnsi"/>
        </w:rPr>
        <w:t xml:space="preserve">působení </w:t>
      </w:r>
      <w:r w:rsidRPr="000B16D5">
        <w:rPr>
          <w:rFonts w:asciiTheme="majorHAnsi" w:hAnsiTheme="majorHAnsi"/>
          <w:i/>
        </w:rPr>
        <w:t>(jak dlouho?).</w:t>
      </w:r>
    </w:p>
    <w:p w:rsidR="00670415" w:rsidRPr="000B16D5" w:rsidRDefault="00670415" w:rsidP="00670415">
      <w:pPr>
        <w:spacing w:after="0"/>
        <w:jc w:val="both"/>
        <w:rPr>
          <w:rFonts w:asciiTheme="majorHAnsi" w:hAnsiTheme="majorHAnsi"/>
        </w:rPr>
      </w:pPr>
      <w:r w:rsidRPr="000B16D5">
        <w:rPr>
          <w:rFonts w:asciiTheme="majorHAnsi" w:hAnsiTheme="majorHAnsi"/>
        </w:rPr>
        <w:t>Krom absolutních hodnot nutrientů, především ve významu stavebních kamenů (výstavba struktur CNS; např. nedostatek proteinů mozek nevratně postihuje</w:t>
      </w:r>
      <w:r w:rsidR="00CF2D53" w:rsidRPr="000B16D5">
        <w:rPr>
          <w:rFonts w:asciiTheme="majorHAnsi" w:hAnsiTheme="majorHAnsi"/>
        </w:rPr>
        <w:t>)</w:t>
      </w:r>
      <w:r w:rsidRPr="000B16D5">
        <w:rPr>
          <w:rFonts w:asciiTheme="majorHAnsi" w:hAnsiTheme="majorHAnsi"/>
        </w:rPr>
        <w:t>, je pro dětství příznačná ještě změněná propustnost látek do nervových struktur, a tedy možnost vstupovat s mozkovou tkání do vzájemných interakcí (někdy prospěšných, daleko častěji však negativních). U dospělého je vyvinuta bariéra oddělující nervovou tkáň od krve, která propouští do centrálních nervových struktur jen některé z rozpuštěných látek. Omezuje tak nebezpečí poškození CNS možnými toxickými vlivy. U dětí však tato bariéra není vyvinuta a funkčně nedokáže zabránit</w:t>
      </w:r>
      <w:r w:rsidRPr="000B16D5">
        <w:rPr>
          <w:rFonts w:asciiTheme="majorHAnsi" w:hAnsiTheme="majorHAnsi"/>
          <w:b/>
        </w:rPr>
        <w:t xml:space="preserve"> prostupu</w:t>
      </w:r>
      <w:r w:rsidRPr="000B16D5">
        <w:rPr>
          <w:rFonts w:asciiTheme="majorHAnsi" w:hAnsiTheme="majorHAnsi"/>
        </w:rPr>
        <w:t xml:space="preserve"> potenciálně nebezpečných látek. Vhodné stravování v období těhotenství i u malých dítek je tedy důležitým předpokladem pro bezchybný vývoj. </w:t>
      </w:r>
    </w:p>
    <w:p w:rsidR="00670415" w:rsidRPr="000B16D5" w:rsidRDefault="00670415" w:rsidP="0076148D">
      <w:pPr>
        <w:spacing w:after="0"/>
        <w:jc w:val="both"/>
        <w:rPr>
          <w:rFonts w:asciiTheme="majorHAnsi" w:hAnsiTheme="majorHAnsi"/>
          <w:i/>
        </w:rPr>
      </w:pPr>
    </w:p>
    <w:p w:rsidR="00B437DA" w:rsidRPr="000B16D5" w:rsidRDefault="00B437DA" w:rsidP="00670415">
      <w:pPr>
        <w:pStyle w:val="Podpodnadpis"/>
        <w:rPr>
          <w:rFonts w:asciiTheme="majorHAnsi" w:hAnsiTheme="majorHAnsi"/>
        </w:rPr>
      </w:pPr>
      <w:r w:rsidRPr="000B16D5">
        <w:rPr>
          <w:rFonts w:asciiTheme="majorHAnsi" w:hAnsiTheme="majorHAnsi"/>
        </w:rPr>
        <w:t xml:space="preserve">specifita stáří </w:t>
      </w:r>
    </w:p>
    <w:p w:rsidR="00670415" w:rsidRPr="000B16D5" w:rsidRDefault="00670415" w:rsidP="00670415">
      <w:pPr>
        <w:spacing w:after="0"/>
        <w:jc w:val="both"/>
        <w:rPr>
          <w:rFonts w:asciiTheme="majorHAnsi" w:hAnsiTheme="majorHAnsi"/>
        </w:rPr>
      </w:pPr>
      <w:r w:rsidRPr="000B16D5">
        <w:rPr>
          <w:rFonts w:asciiTheme="majorHAnsi" w:hAnsiTheme="majorHAnsi"/>
        </w:rPr>
        <w:t>Pro stáří je typický pozvolný pokles neuronálních schopností a degenerativní změny z opotřebení věkem. Tyto procesy jsou přirozené a nelze je zcela zastavit, ani jim zabránit. Mimo neustálý trénink mozkových funkcí i ve vyšším věku (učení se novým věcem, sociální vztahy, různorodost mentálních činností, např. hra na hudební nástroj</w:t>
      </w:r>
      <w:r w:rsidR="006E69C6" w:rsidRPr="000B16D5">
        <w:rPr>
          <w:rFonts w:asciiTheme="majorHAnsi" w:hAnsiTheme="majorHAnsi"/>
        </w:rPr>
        <w:t>, studium cizích jazyků</w:t>
      </w:r>
      <w:r w:rsidRPr="000B16D5">
        <w:rPr>
          <w:rFonts w:asciiTheme="majorHAnsi" w:hAnsiTheme="majorHAnsi"/>
        </w:rPr>
        <w:t xml:space="preserve"> apod.) existují i živiny, které svým zastoupením v jídelníčku mohou průběh těchto pochodů zpomalit. </w:t>
      </w:r>
    </w:p>
    <w:p w:rsidR="00670415" w:rsidRPr="000B16D5" w:rsidRDefault="00670415" w:rsidP="00670415">
      <w:pPr>
        <w:spacing w:after="0"/>
        <w:jc w:val="both"/>
        <w:rPr>
          <w:rFonts w:asciiTheme="majorHAnsi" w:hAnsiTheme="majorHAnsi"/>
          <w:color w:val="000000"/>
        </w:rPr>
      </w:pPr>
      <w:r w:rsidRPr="000B16D5">
        <w:rPr>
          <w:rFonts w:asciiTheme="majorHAnsi" w:hAnsiTheme="majorHAnsi"/>
        </w:rPr>
        <w:t>U neurodegenerativních onemocnění (kupříkladu Alzheimerova choroba</w:t>
      </w:r>
      <w:r w:rsidR="006E69C6" w:rsidRPr="000B16D5">
        <w:rPr>
          <w:rFonts w:asciiTheme="majorHAnsi" w:hAnsiTheme="majorHAnsi"/>
        </w:rPr>
        <w:t xml:space="preserve"> – </w:t>
      </w:r>
      <w:r w:rsidRPr="000B16D5">
        <w:rPr>
          <w:rFonts w:asciiTheme="majorHAnsi" w:hAnsiTheme="majorHAnsi"/>
        </w:rPr>
        <w:t>předčasný nástup morfologických i funkčních změn odpovídajících stařecké demenci) některé nutrienty (např. mastná kyselina ALA: alfa-lipoic acid nebo kurkumin) mohou prokazatelně zlepšit prognózu</w:t>
      </w:r>
      <w:r w:rsidR="006E69C6" w:rsidRPr="000B16D5">
        <w:rPr>
          <w:rFonts w:asciiTheme="majorHAnsi" w:hAnsiTheme="majorHAnsi"/>
        </w:rPr>
        <w:t>;</w:t>
      </w:r>
      <w:r w:rsidRPr="000B16D5">
        <w:rPr>
          <w:rFonts w:asciiTheme="majorHAnsi" w:hAnsiTheme="majorHAnsi"/>
        </w:rPr>
        <w:t xml:space="preserve"> na myším modelu se podařilo úbytek</w:t>
      </w:r>
      <w:r w:rsidRPr="000B16D5">
        <w:rPr>
          <w:rFonts w:asciiTheme="majorHAnsi" w:hAnsiTheme="majorHAnsi"/>
          <w:color w:val="000000"/>
        </w:rPr>
        <w:t xml:space="preserve"> kognitivních f</w:t>
      </w:r>
      <w:r w:rsidR="006E69C6" w:rsidRPr="000B16D5">
        <w:rPr>
          <w:rFonts w:asciiTheme="majorHAnsi" w:hAnsiTheme="majorHAnsi"/>
          <w:color w:val="000000"/>
        </w:rPr>
        <w:t>unk</w:t>
      </w:r>
      <w:r w:rsidRPr="000B16D5">
        <w:rPr>
          <w:rFonts w:asciiTheme="majorHAnsi" w:hAnsiTheme="majorHAnsi"/>
          <w:color w:val="000000"/>
        </w:rPr>
        <w:t>cí dokonce i zvrátit.</w:t>
      </w:r>
    </w:p>
    <w:p w:rsidR="00670415" w:rsidRPr="000B16D5" w:rsidRDefault="00670415" w:rsidP="00670415">
      <w:pPr>
        <w:spacing w:after="0"/>
        <w:jc w:val="both"/>
        <w:rPr>
          <w:rFonts w:asciiTheme="majorHAnsi" w:hAnsiTheme="majorHAnsi"/>
          <w:i/>
          <w:color w:val="000000"/>
          <w:sz w:val="18"/>
        </w:rPr>
      </w:pPr>
      <w:r w:rsidRPr="000B16D5">
        <w:rPr>
          <w:rFonts w:asciiTheme="majorHAnsi" w:hAnsiTheme="majorHAnsi"/>
          <w:i/>
          <w:color w:val="000000"/>
          <w:sz w:val="18"/>
        </w:rPr>
        <w:t xml:space="preserve">Pozn. </w:t>
      </w:r>
      <w:r w:rsidR="006E69C6" w:rsidRPr="000B16D5">
        <w:rPr>
          <w:rFonts w:asciiTheme="majorHAnsi" w:hAnsiTheme="majorHAnsi"/>
          <w:i/>
          <w:color w:val="000000"/>
          <w:sz w:val="18"/>
        </w:rPr>
        <w:t xml:space="preserve">kurkuminu </w:t>
      </w:r>
      <w:r w:rsidRPr="000B16D5">
        <w:rPr>
          <w:rFonts w:asciiTheme="majorHAnsi" w:hAnsiTheme="majorHAnsi"/>
          <w:i/>
          <w:color w:val="000000"/>
          <w:sz w:val="18"/>
        </w:rPr>
        <w:t>je přičítán možný preventivní účinek vůči Alzheim</w:t>
      </w:r>
      <w:r w:rsidR="006E69C6" w:rsidRPr="000B16D5">
        <w:rPr>
          <w:rFonts w:asciiTheme="majorHAnsi" w:hAnsiTheme="majorHAnsi"/>
          <w:i/>
          <w:color w:val="000000"/>
          <w:sz w:val="18"/>
        </w:rPr>
        <w:t>erově</w:t>
      </w:r>
      <w:r w:rsidRPr="000B16D5">
        <w:rPr>
          <w:rFonts w:asciiTheme="majorHAnsi" w:hAnsiTheme="majorHAnsi"/>
          <w:i/>
          <w:color w:val="000000"/>
          <w:sz w:val="18"/>
        </w:rPr>
        <w:t xml:space="preserve"> nemoci. Např. v Indii dochází k výskytu onemocnění méně, pravděpodobně hojným užíváním kari koření v orientální kuchyni.</w:t>
      </w:r>
    </w:p>
    <w:p w:rsidR="00670415" w:rsidRPr="000B16D5" w:rsidRDefault="00670415" w:rsidP="00670415">
      <w:pPr>
        <w:spacing w:after="0"/>
        <w:jc w:val="both"/>
        <w:rPr>
          <w:rFonts w:asciiTheme="majorHAnsi" w:hAnsiTheme="majorHAnsi"/>
          <w:i/>
          <w:color w:val="000000"/>
          <w:sz w:val="18"/>
        </w:rPr>
      </w:pPr>
    </w:p>
    <w:p w:rsidR="00B437DA" w:rsidRPr="000B16D5" w:rsidRDefault="00B437DA" w:rsidP="00075C9C">
      <w:pPr>
        <w:pStyle w:val="Nadpispodkapitoly"/>
        <w:rPr>
          <w:rFonts w:asciiTheme="majorHAnsi" w:hAnsiTheme="majorHAnsi"/>
        </w:rPr>
      </w:pPr>
      <w:bookmarkStart w:id="66" w:name="_Toc380240631"/>
      <w:r w:rsidRPr="000B16D5">
        <w:rPr>
          <w:rFonts w:asciiTheme="majorHAnsi" w:hAnsiTheme="majorHAnsi"/>
        </w:rPr>
        <w:t>význam genových polymorfizmů pro cns: role bdnf</w:t>
      </w:r>
      <w:bookmarkEnd w:id="66"/>
    </w:p>
    <w:p w:rsidR="00670415" w:rsidRPr="000B16D5" w:rsidRDefault="00670415" w:rsidP="00670415">
      <w:pPr>
        <w:spacing w:after="0"/>
        <w:jc w:val="both"/>
        <w:rPr>
          <w:rFonts w:asciiTheme="majorHAnsi" w:hAnsiTheme="majorHAnsi"/>
          <w:i/>
          <w:color w:val="000000"/>
          <w:sz w:val="20"/>
        </w:rPr>
      </w:pPr>
      <w:r w:rsidRPr="000B16D5">
        <w:rPr>
          <w:rFonts w:asciiTheme="majorHAnsi" w:hAnsiTheme="majorHAnsi"/>
          <w:i/>
          <w:color w:val="000000"/>
          <w:sz w:val="20"/>
        </w:rPr>
        <w:t xml:space="preserve">Pozn. </w:t>
      </w:r>
      <w:r w:rsidR="00B8779F" w:rsidRPr="000B16D5">
        <w:rPr>
          <w:rFonts w:asciiTheme="majorHAnsi" w:hAnsiTheme="majorHAnsi"/>
          <w:i/>
          <w:color w:val="000000"/>
          <w:sz w:val="20"/>
        </w:rPr>
        <w:t>g</w:t>
      </w:r>
      <w:r w:rsidRPr="000B16D5">
        <w:rPr>
          <w:rFonts w:asciiTheme="majorHAnsi" w:hAnsiTheme="majorHAnsi"/>
          <w:i/>
          <w:color w:val="000000"/>
          <w:sz w:val="20"/>
        </w:rPr>
        <w:t>enetické polymorfizmy a defekty, které se projevují v postižení některých metabolických pochodů v </w:t>
      </w:r>
      <w:r w:rsidRPr="000B16D5">
        <w:rPr>
          <w:rFonts w:asciiTheme="majorHAnsi" w:hAnsiTheme="majorHAnsi"/>
          <w:b/>
          <w:i/>
          <w:color w:val="000000"/>
          <w:sz w:val="20"/>
        </w:rPr>
        <w:t>celém</w:t>
      </w:r>
      <w:r w:rsidRPr="000B16D5">
        <w:rPr>
          <w:rFonts w:asciiTheme="majorHAnsi" w:hAnsiTheme="majorHAnsi"/>
          <w:i/>
          <w:color w:val="000000"/>
          <w:sz w:val="20"/>
        </w:rPr>
        <w:t xml:space="preserve"> těle (přestože tak zasahují i procesy v CNS) jsou podrobněji </w:t>
      </w:r>
      <w:r w:rsidR="00B8779F" w:rsidRPr="000B16D5">
        <w:rPr>
          <w:rFonts w:asciiTheme="majorHAnsi" w:hAnsiTheme="majorHAnsi"/>
          <w:i/>
          <w:color w:val="000000"/>
          <w:sz w:val="20"/>
        </w:rPr>
        <w:t xml:space="preserve">popsány </w:t>
      </w:r>
      <w:r w:rsidRPr="000B16D5">
        <w:rPr>
          <w:rFonts w:asciiTheme="majorHAnsi" w:hAnsiTheme="majorHAnsi"/>
          <w:i/>
          <w:color w:val="000000"/>
          <w:sz w:val="20"/>
        </w:rPr>
        <w:t>v příslušné kapitole.</w:t>
      </w:r>
    </w:p>
    <w:p w:rsidR="00B437DA" w:rsidRPr="000B16D5" w:rsidRDefault="00670415" w:rsidP="00670415">
      <w:pPr>
        <w:jc w:val="both"/>
        <w:rPr>
          <w:rFonts w:asciiTheme="majorHAnsi" w:hAnsiTheme="majorHAnsi"/>
          <w:color w:val="000000"/>
        </w:rPr>
      </w:pPr>
      <w:r w:rsidRPr="000B16D5">
        <w:rPr>
          <w:rFonts w:asciiTheme="majorHAnsi" w:hAnsiTheme="majorHAnsi"/>
          <w:color w:val="000000"/>
        </w:rPr>
        <w:t xml:space="preserve">Genetickým polymorfismem, který se bezpodmínečně dotýká nervové tkáně, je existence více variant pro gen kódující molekulu BDNF. Jedná se o molekulu ovlivňující mj. růst a vytváření neuronálních </w:t>
      </w:r>
      <w:r w:rsidRPr="000B16D5">
        <w:rPr>
          <w:rFonts w:asciiTheme="majorHAnsi" w:hAnsiTheme="majorHAnsi"/>
          <w:i/>
          <w:color w:val="000000"/>
        </w:rPr>
        <w:t>synapsí</w:t>
      </w:r>
      <w:r w:rsidR="0099377B" w:rsidRPr="000B16D5">
        <w:rPr>
          <w:rFonts w:asciiTheme="majorHAnsi" w:hAnsiTheme="majorHAnsi"/>
          <w:color w:val="000000"/>
        </w:rPr>
        <w:t xml:space="preserve"> –</w:t>
      </w:r>
      <w:r w:rsidRPr="000B16D5">
        <w:rPr>
          <w:rFonts w:asciiTheme="majorHAnsi" w:hAnsiTheme="majorHAnsi"/>
          <w:color w:val="000000"/>
        </w:rPr>
        <w:t xml:space="preserve"> spojení, jež umožňují přenos nervového vzruchu na další neuron v řadě. Vytvářením, upevňováním, nebo naopak oslabováním těchto spojů vznikají naučené paměťové stopy a osvojují se vzorce chování. BDNF je tedy nejhojněji nalézán v oblastech mozku, které jsou sídlem kognitivních funkcí (paměti, poznávání, řešení problémů…) a metabolických regulací. Při expresi </w:t>
      </w:r>
      <w:r w:rsidR="00A67F2E" w:rsidRPr="000B16D5">
        <w:rPr>
          <w:rFonts w:asciiTheme="majorHAnsi" w:hAnsiTheme="majorHAnsi"/>
          <w:color w:val="000000"/>
        </w:rPr>
        <w:t xml:space="preserve">(kterou </w:t>
      </w:r>
      <w:r w:rsidRPr="000B16D5">
        <w:rPr>
          <w:rFonts w:asciiTheme="majorHAnsi" w:hAnsiTheme="majorHAnsi"/>
          <w:color w:val="000000"/>
        </w:rPr>
        <w:t>ovlivňuje mj. strava</w:t>
      </w:r>
      <w:r w:rsidR="00A67F2E" w:rsidRPr="000B16D5">
        <w:rPr>
          <w:rFonts w:asciiTheme="majorHAnsi" w:hAnsiTheme="majorHAnsi"/>
          <w:color w:val="000000"/>
        </w:rPr>
        <w:t>)</w:t>
      </w:r>
      <w:r w:rsidRPr="000B16D5">
        <w:rPr>
          <w:rFonts w:asciiTheme="majorHAnsi" w:hAnsiTheme="majorHAnsi"/>
          <w:color w:val="000000"/>
        </w:rPr>
        <w:t xml:space="preserve"> jeho abnormální formy </w:t>
      </w:r>
      <w:r w:rsidR="00667AA5" w:rsidRPr="000B16D5">
        <w:rPr>
          <w:rFonts w:asciiTheme="majorHAnsi" w:hAnsiTheme="majorHAnsi"/>
          <w:color w:val="000000"/>
        </w:rPr>
        <w:t>(</w:t>
      </w:r>
      <w:r w:rsidRPr="000B16D5">
        <w:rPr>
          <w:rFonts w:asciiTheme="majorHAnsi" w:hAnsiTheme="majorHAnsi"/>
          <w:color w:val="000000"/>
        </w:rPr>
        <w:t>určeno polymorfismem</w:t>
      </w:r>
      <w:r w:rsidR="00667AA5" w:rsidRPr="000B16D5">
        <w:rPr>
          <w:rFonts w:asciiTheme="majorHAnsi" w:hAnsiTheme="majorHAnsi"/>
          <w:color w:val="000000"/>
        </w:rPr>
        <w:t xml:space="preserve">) </w:t>
      </w:r>
      <w:r w:rsidRPr="000B16D5">
        <w:rPr>
          <w:rFonts w:asciiTheme="majorHAnsi" w:hAnsiTheme="majorHAnsi"/>
          <w:color w:val="000000"/>
        </w:rPr>
        <w:t xml:space="preserve">je tak nasnadě, že pozměněná molekula rozkolísává regulační mechanismy (složitá kaskáda procesů ve spojitosti s IGF1: insulin-like growth factor), které překvapivě propojují živiny, metabolismus a vysoké funkce nervového systému jako učení, problem-solving apod. </w:t>
      </w:r>
    </w:p>
    <w:p w:rsidR="00B437DA" w:rsidRPr="000B16D5" w:rsidRDefault="00B437DA" w:rsidP="00075C9C">
      <w:pPr>
        <w:pStyle w:val="Nadpispodkapitoly"/>
        <w:rPr>
          <w:rFonts w:asciiTheme="majorHAnsi" w:hAnsiTheme="majorHAnsi"/>
        </w:rPr>
      </w:pPr>
      <w:bookmarkStart w:id="67" w:name="_Toc380240632"/>
      <w:r w:rsidRPr="000B16D5">
        <w:rPr>
          <w:rFonts w:asciiTheme="majorHAnsi" w:hAnsiTheme="majorHAnsi"/>
        </w:rPr>
        <w:t>M</w:t>
      </w:r>
      <w:r w:rsidR="00075C9C" w:rsidRPr="000B16D5">
        <w:rPr>
          <w:rFonts w:asciiTheme="majorHAnsi" w:hAnsiTheme="majorHAnsi"/>
        </w:rPr>
        <w:t>ožno</w:t>
      </w:r>
      <w:r w:rsidRPr="000B16D5">
        <w:rPr>
          <w:rFonts w:asciiTheme="majorHAnsi" w:hAnsiTheme="majorHAnsi"/>
        </w:rPr>
        <w:t>sti dietetického ovlivnění/ prevence</w:t>
      </w:r>
      <w:bookmarkEnd w:id="67"/>
    </w:p>
    <w:p w:rsidR="00670415" w:rsidRPr="000B16D5" w:rsidRDefault="00670415" w:rsidP="00670415">
      <w:pPr>
        <w:spacing w:after="0"/>
        <w:jc w:val="both"/>
        <w:rPr>
          <w:rFonts w:asciiTheme="majorHAnsi" w:hAnsiTheme="majorHAnsi"/>
        </w:rPr>
      </w:pPr>
      <w:r w:rsidRPr="000B16D5">
        <w:rPr>
          <w:rFonts w:asciiTheme="majorHAnsi" w:hAnsiTheme="majorHAnsi"/>
        </w:rPr>
        <w:t xml:space="preserve">Přestože je u některých konkrétních látek a živin prokázaný přínos k rozvoji a funkci CNS, odborná doporučení vyzývají ke </w:t>
      </w:r>
      <w:r w:rsidRPr="000B16D5">
        <w:rPr>
          <w:rFonts w:asciiTheme="majorHAnsi" w:hAnsiTheme="majorHAnsi"/>
          <w:b/>
        </w:rPr>
        <w:t>komplexním</w:t>
      </w:r>
      <w:r w:rsidRPr="000B16D5">
        <w:rPr>
          <w:rFonts w:asciiTheme="majorHAnsi" w:hAnsiTheme="majorHAnsi"/>
        </w:rPr>
        <w:t xml:space="preserve"> dietním </w:t>
      </w:r>
      <w:r w:rsidRPr="000B16D5">
        <w:rPr>
          <w:rFonts w:asciiTheme="majorHAnsi" w:hAnsiTheme="majorHAnsi"/>
          <w:b/>
        </w:rPr>
        <w:t>opatřením</w:t>
      </w:r>
      <w:r w:rsidRPr="000B16D5">
        <w:rPr>
          <w:rFonts w:asciiTheme="majorHAnsi" w:hAnsiTheme="majorHAnsi"/>
        </w:rPr>
        <w:t>, namísto dílčí substituce jednotlivých nutrientů.</w:t>
      </w:r>
    </w:p>
    <w:p w:rsidR="00670415" w:rsidRPr="000B16D5" w:rsidRDefault="00670415" w:rsidP="00670415">
      <w:pPr>
        <w:spacing w:after="0"/>
        <w:jc w:val="both"/>
        <w:rPr>
          <w:rFonts w:asciiTheme="majorHAnsi" w:hAnsiTheme="majorHAnsi"/>
        </w:rPr>
      </w:pPr>
      <w:r w:rsidRPr="000B16D5">
        <w:rPr>
          <w:rFonts w:asciiTheme="majorHAnsi" w:hAnsiTheme="majorHAnsi"/>
        </w:rPr>
        <w:t xml:space="preserve">Je možné, že výživa především v době těhotenství a raného dětství předznamenává pozdější mentální schopnosti dítěte (případně onemocnění). </w:t>
      </w:r>
    </w:p>
    <w:p w:rsidR="00670415" w:rsidRPr="000B16D5" w:rsidRDefault="009E1924" w:rsidP="00670415">
      <w:pPr>
        <w:spacing w:after="0"/>
        <w:jc w:val="both"/>
        <w:rPr>
          <w:rFonts w:asciiTheme="majorHAnsi" w:hAnsiTheme="majorHAnsi"/>
        </w:rPr>
      </w:pPr>
      <w:r w:rsidRPr="000B16D5">
        <w:rPr>
          <w:rFonts w:asciiTheme="majorHAnsi" w:hAnsiTheme="majorHAnsi"/>
        </w:rPr>
        <w:t>Do budoucna se na tomto poli hodně očekává od</w:t>
      </w:r>
      <w:r w:rsidR="00670415" w:rsidRPr="000B16D5">
        <w:rPr>
          <w:rFonts w:asciiTheme="majorHAnsi" w:hAnsiTheme="majorHAnsi"/>
        </w:rPr>
        <w:t xml:space="preserve"> poradenství </w:t>
      </w:r>
      <w:r w:rsidRPr="000B16D5">
        <w:rPr>
          <w:rFonts w:asciiTheme="majorHAnsi" w:hAnsiTheme="majorHAnsi"/>
        </w:rPr>
        <w:t>koncipovaného</w:t>
      </w:r>
      <w:r w:rsidR="00670415" w:rsidRPr="000B16D5">
        <w:rPr>
          <w:rFonts w:asciiTheme="majorHAnsi" w:hAnsiTheme="majorHAnsi"/>
        </w:rPr>
        <w:t xml:space="preserve"> dle genetických parametrů </w:t>
      </w:r>
      <w:r w:rsidR="00687006" w:rsidRPr="000B16D5">
        <w:rPr>
          <w:rFonts w:asciiTheme="majorHAnsi" w:hAnsiTheme="majorHAnsi"/>
        </w:rPr>
        <w:t>na míru</w:t>
      </w:r>
      <w:r w:rsidR="00687006" w:rsidRPr="000B16D5" w:rsidDel="00083276">
        <w:rPr>
          <w:rFonts w:asciiTheme="majorHAnsi" w:hAnsiTheme="majorHAnsi"/>
        </w:rPr>
        <w:t xml:space="preserve"> </w:t>
      </w:r>
      <w:r w:rsidR="00083276" w:rsidRPr="000B16D5">
        <w:rPr>
          <w:rFonts w:asciiTheme="majorHAnsi" w:hAnsiTheme="majorHAnsi"/>
        </w:rPr>
        <w:t>každému jedinci</w:t>
      </w:r>
      <w:r w:rsidR="00670415" w:rsidRPr="000B16D5">
        <w:rPr>
          <w:rFonts w:asciiTheme="majorHAnsi" w:hAnsiTheme="majorHAnsi"/>
        </w:rPr>
        <w:t>.</w:t>
      </w:r>
    </w:p>
    <w:p w:rsidR="00670415" w:rsidRPr="000B16D5" w:rsidRDefault="00670415" w:rsidP="00670415">
      <w:pPr>
        <w:spacing w:after="0"/>
        <w:jc w:val="both"/>
        <w:rPr>
          <w:rFonts w:asciiTheme="majorHAnsi" w:hAnsiTheme="majorHAnsi"/>
          <w:shd w:val="clear" w:color="auto" w:fill="E6E6E6"/>
        </w:rPr>
      </w:pPr>
    </w:p>
    <w:p w:rsidR="00DC0816" w:rsidRPr="00DC0816" w:rsidRDefault="00DC0816" w:rsidP="00DC0816">
      <w:pPr>
        <w:spacing w:line="360" w:lineRule="auto"/>
        <w:jc w:val="both"/>
        <w:rPr>
          <w:rFonts w:ascii="Cambria" w:hAnsi="Cambria"/>
        </w:rPr>
      </w:pPr>
      <w:r w:rsidRPr="00DC0816">
        <w:rPr>
          <w:rFonts w:ascii="Cambria" w:hAnsi="Cambria"/>
        </w:rPr>
        <w:lastRenderedPageBreak/>
        <w:t xml:space="preserve">Pro dobrou funkčnost a kondici CNS každopádně již dnes platí obecná doporučení: pravidelné </w:t>
      </w:r>
      <w:r w:rsidRPr="00DC0816">
        <w:rPr>
          <w:rFonts w:ascii="Cambria" w:hAnsi="Cambria"/>
          <w:b/>
        </w:rPr>
        <w:t>cvičení fyzické</w:t>
      </w:r>
      <w:r w:rsidRPr="00DC0816">
        <w:rPr>
          <w:rFonts w:ascii="Cambria" w:hAnsi="Cambria"/>
        </w:rPr>
        <w:t xml:space="preserve"> (pohyb zvyšuje průtok krve některými částmi mozku, dochází ke zvýšené tvorbě cév a spojení mezi neurony- prevence stařecké demence) i </w:t>
      </w:r>
      <w:r w:rsidRPr="00DC0816">
        <w:rPr>
          <w:rFonts w:ascii="Cambria" w:hAnsi="Cambria"/>
          <w:b/>
        </w:rPr>
        <w:t>mentální trénink</w:t>
      </w:r>
      <w:r w:rsidRPr="00DC0816">
        <w:rPr>
          <w:rFonts w:ascii="Cambria" w:hAnsi="Cambria"/>
        </w:rPr>
        <w:t xml:space="preserve">, dostatečný </w:t>
      </w:r>
      <w:r w:rsidRPr="00DC0816">
        <w:rPr>
          <w:rFonts w:ascii="Cambria" w:hAnsi="Cambria"/>
          <w:b/>
        </w:rPr>
        <w:t>spánek</w:t>
      </w:r>
      <w:r w:rsidRPr="00DC0816">
        <w:rPr>
          <w:rFonts w:ascii="Cambria" w:hAnsi="Cambria"/>
        </w:rPr>
        <w:t xml:space="preserve"> a </w:t>
      </w:r>
      <w:r w:rsidRPr="00DC0816">
        <w:rPr>
          <w:rFonts w:ascii="Cambria" w:hAnsi="Cambria"/>
          <w:i/>
          <w:iCs/>
        </w:rPr>
        <w:t xml:space="preserve">přiměřená </w:t>
      </w:r>
      <w:r w:rsidRPr="00DC0816">
        <w:rPr>
          <w:rFonts w:ascii="Cambria" w:hAnsi="Cambria"/>
          <w:b/>
        </w:rPr>
        <w:t>nutrice</w:t>
      </w:r>
      <w:r w:rsidRPr="00DC0816">
        <w:rPr>
          <w:rFonts w:ascii="Cambria" w:hAnsi="Cambria"/>
        </w:rPr>
        <w:t xml:space="preserve"> s důrazem na některé živiny.</w:t>
      </w:r>
    </w:p>
    <w:p w:rsidR="00670415" w:rsidRPr="000B16D5" w:rsidRDefault="00670415" w:rsidP="00670415">
      <w:pPr>
        <w:spacing w:after="0"/>
        <w:jc w:val="both"/>
        <w:rPr>
          <w:rFonts w:asciiTheme="majorHAnsi" w:hAnsiTheme="majorHAnsi"/>
        </w:rPr>
      </w:pPr>
    </w:p>
    <w:p w:rsidR="00B437DA" w:rsidRPr="000B16D5" w:rsidRDefault="00B437DA" w:rsidP="00075C9C">
      <w:pPr>
        <w:pStyle w:val="Nadpispodkapitoly"/>
        <w:rPr>
          <w:rFonts w:asciiTheme="majorHAnsi" w:hAnsiTheme="majorHAnsi"/>
          <w:bCs/>
        </w:rPr>
      </w:pPr>
      <w:r w:rsidRPr="000B16D5">
        <w:rPr>
          <w:rFonts w:asciiTheme="majorHAnsi" w:hAnsiTheme="majorHAnsi"/>
          <w:color w:val="000000"/>
        </w:rPr>
        <w:t xml:space="preserve"> </w:t>
      </w:r>
      <w:bookmarkStart w:id="68" w:name="_Toc380240633"/>
      <w:r w:rsidRPr="000B16D5">
        <w:rPr>
          <w:rFonts w:asciiTheme="majorHAnsi" w:hAnsiTheme="majorHAnsi"/>
        </w:rPr>
        <w:t xml:space="preserve">konkrétní </w:t>
      </w:r>
      <w:r w:rsidRPr="000B16D5">
        <w:rPr>
          <w:rFonts w:asciiTheme="majorHAnsi" w:hAnsiTheme="majorHAnsi"/>
          <w:bCs/>
        </w:rPr>
        <w:t>Nutrienty</w:t>
      </w:r>
      <w:r w:rsidR="00E7761B" w:rsidRPr="000B16D5">
        <w:rPr>
          <w:rFonts w:asciiTheme="majorHAnsi" w:hAnsiTheme="majorHAnsi"/>
        </w:rPr>
        <w:t xml:space="preserve"> </w:t>
      </w:r>
      <w:r w:rsidRPr="000B16D5">
        <w:rPr>
          <w:rFonts w:asciiTheme="majorHAnsi" w:hAnsiTheme="majorHAnsi"/>
        </w:rPr>
        <w:t xml:space="preserve">ovlivňující funkce Cns </w:t>
      </w:r>
      <w:r w:rsidRPr="000B16D5">
        <w:rPr>
          <w:rFonts w:asciiTheme="majorHAnsi" w:hAnsiTheme="majorHAnsi"/>
          <w:bCs/>
        </w:rPr>
        <w:t>a jejich výskyt</w:t>
      </w:r>
      <w:bookmarkEnd w:id="68"/>
    </w:p>
    <w:p w:rsidR="00B437DA" w:rsidRPr="000B16D5" w:rsidRDefault="00670415" w:rsidP="00236F03">
      <w:pPr>
        <w:jc w:val="both"/>
        <w:rPr>
          <w:rFonts w:asciiTheme="majorHAnsi" w:hAnsiTheme="majorHAnsi"/>
          <w:bCs/>
        </w:rPr>
      </w:pPr>
      <w:r w:rsidRPr="000B16D5">
        <w:rPr>
          <w:rFonts w:asciiTheme="majorHAnsi" w:hAnsiTheme="majorHAnsi"/>
          <w:bCs/>
        </w:rPr>
        <w:t xml:space="preserve">Nejvíce patrné projevy působení jednotlivých živin jsou přirozeně při jejich drastickém nedostatku, nebo naopak přebytku. V </w:t>
      </w:r>
      <w:r w:rsidR="00E7761B" w:rsidRPr="000B16D5">
        <w:rPr>
          <w:rFonts w:asciiTheme="majorHAnsi" w:hAnsiTheme="majorHAnsi"/>
          <w:bCs/>
        </w:rPr>
        <w:t>„</w:t>
      </w:r>
      <w:r w:rsidRPr="000B16D5">
        <w:rPr>
          <w:rFonts w:asciiTheme="majorHAnsi" w:hAnsiTheme="majorHAnsi"/>
          <w:bCs/>
        </w:rPr>
        <w:t>šedé zóně</w:t>
      </w:r>
      <w:r w:rsidR="00E7761B" w:rsidRPr="000B16D5">
        <w:rPr>
          <w:rFonts w:asciiTheme="majorHAnsi" w:hAnsiTheme="majorHAnsi"/>
          <w:bCs/>
        </w:rPr>
        <w:t xml:space="preserve">“ </w:t>
      </w:r>
      <w:r w:rsidRPr="000B16D5">
        <w:rPr>
          <w:rFonts w:asciiTheme="majorHAnsi" w:hAnsiTheme="majorHAnsi"/>
          <w:bCs/>
        </w:rPr>
        <w:t>mezi extrémy je však sběr spolehlivých dat nesnadný, především kvůli skrytým interferencím (=</w:t>
      </w:r>
      <w:r w:rsidR="00E7761B" w:rsidRPr="000B16D5">
        <w:rPr>
          <w:rFonts w:asciiTheme="majorHAnsi" w:hAnsiTheme="majorHAnsi"/>
          <w:bCs/>
        </w:rPr>
        <w:t xml:space="preserve"> </w:t>
      </w:r>
      <w:r w:rsidRPr="000B16D5">
        <w:rPr>
          <w:rFonts w:asciiTheme="majorHAnsi" w:hAnsiTheme="majorHAnsi"/>
          <w:bCs/>
        </w:rPr>
        <w:t xml:space="preserve">vzájemnému ovlivňovaní), kterým nejsme schopni vždy </w:t>
      </w:r>
      <w:r w:rsidR="00E7761B" w:rsidRPr="000B16D5">
        <w:rPr>
          <w:rFonts w:asciiTheme="majorHAnsi" w:hAnsiTheme="majorHAnsi"/>
          <w:bCs/>
        </w:rPr>
        <w:t>zabránit</w:t>
      </w:r>
      <w:r w:rsidRPr="000B16D5">
        <w:rPr>
          <w:rFonts w:asciiTheme="majorHAnsi" w:hAnsiTheme="majorHAnsi"/>
          <w:bCs/>
        </w:rPr>
        <w:t>. Mnoho dat, s</w:t>
      </w:r>
      <w:r w:rsidR="005051A4" w:rsidRPr="000B16D5">
        <w:rPr>
          <w:rFonts w:asciiTheme="majorHAnsi" w:hAnsiTheme="majorHAnsi"/>
          <w:bCs/>
        </w:rPr>
        <w:t>e</w:t>
      </w:r>
      <w:r w:rsidRPr="000B16D5">
        <w:rPr>
          <w:rFonts w:asciiTheme="majorHAnsi" w:hAnsiTheme="majorHAnsi"/>
          <w:bCs/>
        </w:rPr>
        <w:t xml:space="preserve"> kterými pracujeme, vychází ze zvířecích experimentálních modelů. Výsledky jsou však většinou přenositelné. Příklady vybraných živin uvádíme v tabulce.</w:t>
      </w:r>
    </w:p>
    <w:p w:rsidR="00670415" w:rsidRPr="000B16D5" w:rsidRDefault="008468D9" w:rsidP="00236F03">
      <w:pPr>
        <w:jc w:val="both"/>
        <w:rPr>
          <w:rFonts w:asciiTheme="majorHAnsi" w:hAnsiTheme="majorHAnsi"/>
          <w:bCs/>
          <w:sz w:val="21"/>
          <w:szCs w:val="21"/>
        </w:rPr>
      </w:pPr>
      <w:r>
        <w:rPr>
          <w:rFonts w:asciiTheme="majorHAnsi" w:hAnsiTheme="majorHAnsi"/>
          <w:bCs/>
          <w:noProof/>
          <w:sz w:val="21"/>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19.85pt;margin-top:26.3pt;width:477.75pt;height:472.35pt;z-index:251678720;mso-wrap-distance-left:0;mso-wrap-distance-right:0;mso-position-horizontal:absolute;mso-position-horizontal-relative:text;mso-position-vertical:absolute;mso-position-vertical-relative:text" filled="t">
            <v:fill color2="black"/>
            <v:imagedata r:id="rId71" o:title=""/>
            <w10:wrap type="square"/>
          </v:shape>
          <o:OLEObject Type="Embed" ProgID="opendocument.CalcDocument.1" ShapeID="_x0000_s1050" DrawAspect="Content" ObjectID="_1517822862" r:id="rId72"/>
        </w:object>
      </w:r>
    </w:p>
    <w:p w:rsidR="00670415" w:rsidRPr="000B16D5" w:rsidRDefault="00670415" w:rsidP="00236F03">
      <w:pPr>
        <w:jc w:val="both"/>
        <w:rPr>
          <w:rFonts w:asciiTheme="majorHAnsi" w:hAnsiTheme="majorHAnsi"/>
          <w:shd w:val="clear" w:color="auto" w:fill="FFFF00"/>
        </w:rPr>
      </w:pPr>
    </w:p>
    <w:p w:rsidR="00B437DA" w:rsidRPr="000B16D5" w:rsidRDefault="00B437DA" w:rsidP="00236F03">
      <w:pPr>
        <w:jc w:val="both"/>
        <w:rPr>
          <w:rFonts w:asciiTheme="majorHAnsi" w:hAnsiTheme="majorHAnsi"/>
          <w:highlight w:val="green"/>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DC0816" w:rsidRDefault="00DC0816" w:rsidP="005652F3">
      <w:pPr>
        <w:jc w:val="both"/>
        <w:rPr>
          <w:rFonts w:asciiTheme="majorHAnsi" w:hAnsiTheme="majorHAnsi"/>
        </w:rPr>
      </w:pPr>
    </w:p>
    <w:p w:rsidR="005652F3" w:rsidRPr="000B16D5" w:rsidRDefault="005652F3" w:rsidP="005652F3">
      <w:pPr>
        <w:jc w:val="both"/>
        <w:rPr>
          <w:rFonts w:asciiTheme="majorHAnsi" w:hAnsiTheme="majorHAnsi"/>
        </w:rPr>
      </w:pPr>
      <w:r w:rsidRPr="000B16D5">
        <w:rPr>
          <w:rFonts w:asciiTheme="majorHAnsi" w:hAnsiTheme="majorHAnsi"/>
        </w:rPr>
        <w:t>____________________________________________</w:t>
      </w:r>
    </w:p>
    <w:p w:rsidR="005652F3" w:rsidRPr="000B16D5" w:rsidRDefault="005652F3" w:rsidP="005652F3">
      <w:pPr>
        <w:spacing w:after="0"/>
        <w:jc w:val="both"/>
        <w:rPr>
          <w:rFonts w:asciiTheme="majorHAnsi" w:hAnsiTheme="majorHAnsi"/>
          <w:b/>
          <w:sz w:val="20"/>
        </w:rPr>
      </w:pPr>
      <w:r w:rsidRPr="000B16D5">
        <w:rPr>
          <w:rFonts w:asciiTheme="majorHAnsi" w:hAnsiTheme="majorHAnsi"/>
          <w:b/>
          <w:sz w:val="20"/>
        </w:rPr>
        <w:t>Zdroje:</w:t>
      </w:r>
    </w:p>
    <w:p w:rsidR="005652F3" w:rsidRPr="000B16D5" w:rsidRDefault="005652F3" w:rsidP="005652F3">
      <w:pPr>
        <w:pStyle w:val="Odstavecseseznamem"/>
        <w:numPr>
          <w:ilvl w:val="0"/>
          <w:numId w:val="28"/>
        </w:numPr>
        <w:spacing w:after="0"/>
        <w:jc w:val="both"/>
        <w:rPr>
          <w:rFonts w:asciiTheme="majorHAnsi" w:hAnsiTheme="majorHAnsi"/>
          <w:sz w:val="16"/>
          <w:szCs w:val="16"/>
        </w:rPr>
        <w:sectPr w:rsidR="005652F3" w:rsidRPr="000B16D5" w:rsidSect="00A2684E">
          <w:footerReference w:type="default" r:id="rId73"/>
          <w:type w:val="continuous"/>
          <w:pgSz w:w="11906" w:h="16838"/>
          <w:pgMar w:top="720" w:right="720" w:bottom="720" w:left="720" w:header="708" w:footer="708" w:gutter="0"/>
          <w:pgNumType w:start="59"/>
          <w:cols w:space="708"/>
          <w:titlePg/>
          <w:docGrid w:linePitch="360"/>
        </w:sectPr>
      </w:pPr>
    </w:p>
    <w:p w:rsidR="0076148D" w:rsidRPr="000B16D5" w:rsidRDefault="0076148D" w:rsidP="005652F3">
      <w:pPr>
        <w:pStyle w:val="Odstavecseseznamem"/>
        <w:numPr>
          <w:ilvl w:val="0"/>
          <w:numId w:val="30"/>
        </w:numPr>
        <w:spacing w:after="0"/>
        <w:jc w:val="both"/>
        <w:rPr>
          <w:rFonts w:asciiTheme="majorHAnsi" w:hAnsiTheme="majorHAnsi"/>
          <w:sz w:val="16"/>
          <w:szCs w:val="16"/>
        </w:rPr>
      </w:pPr>
      <w:r w:rsidRPr="000B16D5">
        <w:rPr>
          <w:rFonts w:asciiTheme="majorHAnsi" w:hAnsiTheme="majorHAnsi"/>
          <w:sz w:val="16"/>
          <w:szCs w:val="16"/>
        </w:rPr>
        <w:lastRenderedPageBreak/>
        <w:t>Fernando Gómez-Pinilla, Brain foods: the effects of nutrients on brain function, Nat Rev Neurosci. 2008 July; 9(7): 568–578. doi:  10.1038/nrn2421</w:t>
      </w:r>
    </w:p>
    <w:p w:rsidR="00B437DA" w:rsidRPr="000B16D5" w:rsidRDefault="0076148D" w:rsidP="005652F3">
      <w:pPr>
        <w:pStyle w:val="Odstavecseseznamem"/>
        <w:numPr>
          <w:ilvl w:val="0"/>
          <w:numId w:val="30"/>
        </w:numPr>
        <w:spacing w:after="0"/>
        <w:jc w:val="both"/>
        <w:rPr>
          <w:rFonts w:asciiTheme="majorHAnsi" w:hAnsiTheme="majorHAnsi"/>
          <w:sz w:val="16"/>
          <w:szCs w:val="16"/>
        </w:rPr>
      </w:pPr>
      <w:r w:rsidRPr="000B16D5">
        <w:rPr>
          <w:rFonts w:asciiTheme="majorHAnsi" w:hAnsiTheme="majorHAnsi"/>
          <w:sz w:val="16"/>
          <w:szCs w:val="16"/>
        </w:rPr>
        <w:t>Pujol J, Vendrell P, Junqué C, Martí-Vilalta JL, Capdevila A., When does human brain development end? Evidence of corpus callosum growth up to adulthood. Ann Neurol. 1993 Jul;34(1):71-5.</w:t>
      </w:r>
    </w:p>
    <w:p w:rsidR="00B437DA" w:rsidRPr="000B16D5" w:rsidRDefault="0076148D" w:rsidP="005652F3">
      <w:pPr>
        <w:pStyle w:val="Odstavecseseznamem"/>
        <w:numPr>
          <w:ilvl w:val="0"/>
          <w:numId w:val="30"/>
        </w:numPr>
        <w:spacing w:after="0"/>
        <w:jc w:val="both"/>
        <w:rPr>
          <w:rFonts w:asciiTheme="majorHAnsi" w:hAnsiTheme="majorHAnsi"/>
          <w:sz w:val="16"/>
          <w:szCs w:val="16"/>
        </w:rPr>
      </w:pPr>
      <w:r w:rsidRPr="000B16D5">
        <w:rPr>
          <w:rFonts w:asciiTheme="majorHAnsi" w:hAnsiTheme="majorHAnsi"/>
          <w:sz w:val="16"/>
          <w:szCs w:val="16"/>
        </w:rPr>
        <w:t>Winick M, Noble A., Cellular Response in Rats during Malnutrition at Various Ages, J Nutr. 1966 Jul;89(3):300-6.</w:t>
      </w:r>
    </w:p>
    <w:p w:rsidR="00075C9C" w:rsidRPr="000B16D5" w:rsidRDefault="00075C9C" w:rsidP="005652F3">
      <w:pPr>
        <w:pStyle w:val="Odstavecseseznamem"/>
        <w:numPr>
          <w:ilvl w:val="0"/>
          <w:numId w:val="30"/>
        </w:numPr>
        <w:spacing w:after="0"/>
        <w:jc w:val="both"/>
        <w:rPr>
          <w:rFonts w:asciiTheme="majorHAnsi" w:hAnsiTheme="majorHAnsi"/>
          <w:sz w:val="16"/>
          <w:szCs w:val="16"/>
        </w:rPr>
      </w:pPr>
      <w:r w:rsidRPr="000B16D5">
        <w:rPr>
          <w:rFonts w:asciiTheme="majorHAnsi" w:hAnsiTheme="majorHAnsi"/>
          <w:sz w:val="16"/>
          <w:szCs w:val="16"/>
        </w:rPr>
        <w:t>The NUTRIMENTHE Research Group. Nutrition and neurodevelopment in children: focus on NUTRIMENTHE project. Eur J Nutr. 2013 Jul 25 (Epub ahead of print)</w:t>
      </w:r>
    </w:p>
    <w:p w:rsidR="00312118" w:rsidRPr="000B16D5" w:rsidRDefault="00075C9C" w:rsidP="005652F3">
      <w:pPr>
        <w:pStyle w:val="Odstavecseseznamem"/>
        <w:numPr>
          <w:ilvl w:val="0"/>
          <w:numId w:val="30"/>
        </w:numPr>
        <w:spacing w:after="0"/>
        <w:jc w:val="both"/>
        <w:rPr>
          <w:rFonts w:asciiTheme="majorHAnsi" w:hAnsiTheme="majorHAnsi"/>
          <w:sz w:val="16"/>
          <w:szCs w:val="16"/>
        </w:rPr>
      </w:pPr>
      <w:r w:rsidRPr="000B16D5">
        <w:rPr>
          <w:rFonts w:asciiTheme="majorHAnsi" w:hAnsiTheme="majorHAnsi"/>
          <w:sz w:val="16"/>
          <w:szCs w:val="16"/>
        </w:rPr>
        <w:lastRenderedPageBreak/>
        <w:t>Bherer L, Erickson KI, Liu-Ambrose T. A Review of the Effects of Physical Activity and Exercise on Cognitive and Brain Functions in Older Adults. J Aging Res. 2013;2013:657508. Epub 2013 Sep 11.</w:t>
      </w:r>
    </w:p>
    <w:p w:rsidR="00075C9C" w:rsidRPr="000B16D5" w:rsidRDefault="00075C9C" w:rsidP="005652F3">
      <w:pPr>
        <w:pStyle w:val="Odstavecseseznamem"/>
        <w:numPr>
          <w:ilvl w:val="0"/>
          <w:numId w:val="30"/>
        </w:numPr>
        <w:spacing w:after="0"/>
        <w:rPr>
          <w:rFonts w:asciiTheme="majorHAnsi" w:hAnsiTheme="majorHAnsi"/>
          <w:sz w:val="16"/>
          <w:szCs w:val="16"/>
        </w:rPr>
      </w:pPr>
      <w:r w:rsidRPr="000B16D5">
        <w:rPr>
          <w:rFonts w:asciiTheme="majorHAnsi" w:hAnsiTheme="majorHAnsi"/>
          <w:sz w:val="16"/>
          <w:szCs w:val="16"/>
        </w:rPr>
        <w:t>JoannaBriggsInstitute, Účinnédietníintervenceprodětisnadváhouaobezitou, Best Practice, 2007, 11(1): 2</w:t>
      </w:r>
    </w:p>
    <w:p w:rsidR="00075C9C" w:rsidRPr="000B16D5" w:rsidRDefault="00075C9C" w:rsidP="005652F3">
      <w:pPr>
        <w:pStyle w:val="Odstavecseseznamem"/>
        <w:numPr>
          <w:ilvl w:val="0"/>
          <w:numId w:val="30"/>
        </w:numPr>
        <w:spacing w:after="0"/>
        <w:rPr>
          <w:rFonts w:asciiTheme="majorHAnsi" w:hAnsiTheme="majorHAnsi"/>
          <w:sz w:val="16"/>
          <w:szCs w:val="16"/>
        </w:rPr>
      </w:pPr>
      <w:r w:rsidRPr="000B16D5">
        <w:rPr>
          <w:rFonts w:asciiTheme="majorHAnsi" w:hAnsiTheme="majorHAnsi"/>
          <w:sz w:val="16"/>
          <w:szCs w:val="16"/>
        </w:rPr>
        <w:t>Winick M, Rosso P. The effect of severe early malnutrition on cellular growth of the human brain. Pediatr Res 1969;3:181–4.</w:t>
      </w:r>
    </w:p>
    <w:p w:rsidR="005652F3" w:rsidRPr="000B16D5" w:rsidRDefault="00075C9C" w:rsidP="005652F3">
      <w:pPr>
        <w:pStyle w:val="Odstavecseseznamem"/>
        <w:numPr>
          <w:ilvl w:val="0"/>
          <w:numId w:val="30"/>
        </w:numPr>
        <w:spacing w:after="0"/>
        <w:rPr>
          <w:rFonts w:asciiTheme="majorHAnsi" w:hAnsiTheme="majorHAnsi"/>
          <w:sz w:val="16"/>
          <w:szCs w:val="16"/>
        </w:rPr>
        <w:sectPr w:rsidR="005652F3" w:rsidRPr="000B16D5" w:rsidSect="005652F3">
          <w:type w:val="continuous"/>
          <w:pgSz w:w="11906" w:h="16838"/>
          <w:pgMar w:top="720" w:right="720" w:bottom="720" w:left="720" w:header="708" w:footer="708" w:gutter="0"/>
          <w:pgNumType w:start="0"/>
          <w:cols w:num="2" w:space="708"/>
          <w:titlePg/>
          <w:docGrid w:linePitch="360"/>
        </w:sectPr>
      </w:pPr>
      <w:r w:rsidRPr="000B16D5">
        <w:rPr>
          <w:rFonts w:asciiTheme="majorHAnsi" w:hAnsiTheme="majorHAnsi"/>
          <w:sz w:val="16"/>
          <w:szCs w:val="16"/>
        </w:rPr>
        <w:t>Georgieff MK. Nutrition and the developing brain: nutrient priorities and measurement. Am J Clin Nutr. 2007 Feb;85(2):614S-620S.</w:t>
      </w:r>
    </w:p>
    <w:p w:rsidR="00075C9C" w:rsidRPr="000B16D5" w:rsidRDefault="00075C9C" w:rsidP="005652F3">
      <w:pPr>
        <w:pStyle w:val="Odstavecseseznamem"/>
        <w:numPr>
          <w:ilvl w:val="0"/>
          <w:numId w:val="30"/>
        </w:numPr>
        <w:spacing w:after="0"/>
        <w:rPr>
          <w:rFonts w:asciiTheme="majorHAnsi" w:hAnsiTheme="majorHAnsi"/>
          <w:sz w:val="24"/>
        </w:rPr>
      </w:pPr>
      <w:r w:rsidRPr="000B16D5">
        <w:rPr>
          <w:rFonts w:asciiTheme="majorHAnsi" w:hAnsiTheme="majorHAnsi"/>
          <w:sz w:val="24"/>
        </w:rPr>
        <w:lastRenderedPageBreak/>
        <w:br w:type="page"/>
      </w:r>
    </w:p>
    <w:bookmarkStart w:id="69" w:name="_Toc380240634"/>
    <w:p w:rsidR="00815DA3" w:rsidRPr="000B16D5" w:rsidRDefault="00100C72" w:rsidP="00236F03">
      <w:pPr>
        <w:pStyle w:val="Nadpiskapitoly"/>
        <w:rPr>
          <w:rFonts w:asciiTheme="majorHAnsi" w:hAnsiTheme="majorHAnsi"/>
        </w:rPr>
      </w:pPr>
      <w:r w:rsidRPr="000B16D5">
        <w:rPr>
          <w:rFonts w:asciiTheme="majorHAnsi" w:hAnsiTheme="majorHAnsi"/>
          <w:noProof/>
        </w:rPr>
        <w:lastRenderedPageBreak/>
        <mc:AlternateContent>
          <mc:Choice Requires="wps">
            <w:drawing>
              <wp:anchor distT="0" distB="0" distL="114300" distR="114300" simplePos="0" relativeHeight="251673600" behindDoc="0" locked="0" layoutInCell="1" allowOverlap="1" wp14:anchorId="0DD7D314" wp14:editId="2BC96F2C">
                <wp:simplePos x="0" y="0"/>
                <wp:positionH relativeFrom="column">
                  <wp:posOffset>5211445</wp:posOffset>
                </wp:positionH>
                <wp:positionV relativeFrom="paragraph">
                  <wp:posOffset>-88265</wp:posOffset>
                </wp:positionV>
                <wp:extent cx="1303655" cy="1416685"/>
                <wp:effectExtent l="1270" t="73660" r="7620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7D314" id="Text Box 16" o:spid="_x0000_s1038" type="#_x0000_t202" style="position:absolute;left:0;text-align:left;margin-left:410.35pt;margin-top:-6.95pt;width:102.65pt;height:11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" stroked="f">
                <v:shadow on="t" opacity=".5" offset="6pt,-6pt"/>
                <v:textbo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13</w:t>
                      </w:r>
                    </w:p>
                  </w:txbxContent>
                </v:textbox>
              </v:shape>
            </w:pict>
          </mc:Fallback>
        </mc:AlternateContent>
      </w:r>
      <w:r w:rsidR="00312118" w:rsidRPr="000B16D5">
        <w:rPr>
          <w:rFonts w:asciiTheme="majorHAnsi" w:hAnsiTheme="majorHAnsi"/>
        </w:rPr>
        <w:t>Genetika, výživa a kardiovaskulární choroby</w:t>
      </w:r>
      <w:bookmarkEnd w:id="69"/>
      <w:r w:rsidR="00312118" w:rsidRPr="000B16D5">
        <w:rPr>
          <w:rFonts w:asciiTheme="majorHAnsi" w:hAnsiTheme="majorHAnsi"/>
        </w:rPr>
        <w:t xml:space="preserve"> </w:t>
      </w:r>
    </w:p>
    <w:p w:rsidR="00815DA3" w:rsidRPr="000B16D5" w:rsidRDefault="00815DA3" w:rsidP="00815DA3">
      <w:pPr>
        <w:pStyle w:val="Nadpiskapitoly"/>
        <w:numPr>
          <w:ilvl w:val="0"/>
          <w:numId w:val="0"/>
        </w:numPr>
        <w:rPr>
          <w:rFonts w:asciiTheme="majorHAnsi" w:hAnsiTheme="majorHAnsi"/>
        </w:rPr>
      </w:pPr>
    </w:p>
    <w:p w:rsidR="006631F1" w:rsidRPr="000B16D5" w:rsidRDefault="006631F1" w:rsidP="006631F1">
      <w:pPr>
        <w:pStyle w:val="Palatino"/>
        <w:rPr>
          <w:rFonts w:asciiTheme="majorHAnsi" w:hAnsiTheme="majorHAnsi"/>
          <w:i/>
        </w:rPr>
      </w:pPr>
    </w:p>
    <w:p w:rsidR="00312118" w:rsidRPr="000B16D5" w:rsidRDefault="00312118" w:rsidP="006631F1">
      <w:pPr>
        <w:pStyle w:val="Palatino"/>
        <w:rPr>
          <w:rFonts w:asciiTheme="majorHAnsi" w:hAnsiTheme="majorHAnsi"/>
          <w:i/>
        </w:rPr>
      </w:pPr>
      <w:r w:rsidRPr="000B16D5">
        <w:rPr>
          <w:rFonts w:asciiTheme="majorHAnsi" w:hAnsiTheme="majorHAnsi"/>
          <w:i/>
        </w:rPr>
        <w:t>J</w:t>
      </w:r>
      <w:r w:rsidR="006631F1" w:rsidRPr="000B16D5">
        <w:rPr>
          <w:rFonts w:asciiTheme="majorHAnsi" w:hAnsiTheme="majorHAnsi"/>
          <w:i/>
        </w:rPr>
        <w:t>an</w:t>
      </w:r>
      <w:r w:rsidRPr="000B16D5">
        <w:rPr>
          <w:rFonts w:asciiTheme="majorHAnsi" w:hAnsiTheme="majorHAnsi"/>
          <w:i/>
        </w:rPr>
        <w:t xml:space="preserve"> Novák</w:t>
      </w:r>
    </w:p>
    <w:p w:rsidR="006631F1" w:rsidRPr="000B16D5" w:rsidRDefault="006631F1" w:rsidP="006631F1">
      <w:pPr>
        <w:pStyle w:val="Palatino"/>
        <w:rPr>
          <w:rFonts w:asciiTheme="majorHAnsi" w:hAnsiTheme="majorHAnsi"/>
          <w:i/>
        </w:rPr>
      </w:pPr>
    </w:p>
    <w:p w:rsidR="006631F1" w:rsidRPr="000B16D5" w:rsidRDefault="006631F1" w:rsidP="006631F1">
      <w:pPr>
        <w:pStyle w:val="Palatino"/>
        <w:rPr>
          <w:rFonts w:asciiTheme="majorHAnsi" w:hAnsiTheme="majorHAnsi"/>
        </w:rPr>
      </w:pPr>
    </w:p>
    <w:p w:rsidR="00960C7E" w:rsidRPr="000B16D5" w:rsidRDefault="00960C7E" w:rsidP="00236F03">
      <w:pPr>
        <w:pStyle w:val="Nadpispodkapitoly"/>
        <w:jc w:val="both"/>
        <w:rPr>
          <w:rFonts w:asciiTheme="majorHAnsi" w:hAnsiTheme="majorHAnsi"/>
        </w:rPr>
      </w:pPr>
      <w:bookmarkStart w:id="70" w:name="_Toc351088835"/>
      <w:bookmarkStart w:id="71" w:name="_Toc380240635"/>
      <w:r w:rsidRPr="000B16D5">
        <w:rPr>
          <w:rFonts w:asciiTheme="majorHAnsi" w:hAnsiTheme="majorHAnsi"/>
        </w:rPr>
        <w:t>Úvod</w:t>
      </w:r>
      <w:bookmarkEnd w:id="70"/>
      <w:bookmarkEnd w:id="71"/>
    </w:p>
    <w:p w:rsidR="00960C7E" w:rsidRPr="000B16D5" w:rsidRDefault="00960C7E" w:rsidP="00236F03">
      <w:pPr>
        <w:jc w:val="both"/>
        <w:rPr>
          <w:rFonts w:asciiTheme="majorHAnsi" w:hAnsiTheme="majorHAnsi"/>
        </w:rPr>
      </w:pPr>
      <w:r w:rsidRPr="000B16D5">
        <w:rPr>
          <w:rFonts w:asciiTheme="majorHAnsi" w:hAnsiTheme="majorHAnsi"/>
        </w:rPr>
        <w:t xml:space="preserve">Nemoci srdce a cév (kardiovaskulární choroby) jsou </w:t>
      </w:r>
      <w:r w:rsidRPr="000B16D5">
        <w:rPr>
          <w:rFonts w:asciiTheme="majorHAnsi" w:hAnsiTheme="majorHAnsi"/>
          <w:b/>
        </w:rPr>
        <w:t>nejčastější</w:t>
      </w:r>
      <w:r w:rsidRPr="000B16D5">
        <w:rPr>
          <w:rFonts w:asciiTheme="majorHAnsi" w:hAnsiTheme="majorHAnsi"/>
        </w:rPr>
        <w:t xml:space="preserve"> příčinou přijetí pacienta do zdravotnického zařízení (hospitalizace) a bohužel také úmrtnosti (mortality) ve všech vyspělých zemích světa, včetně České Republiky</w:t>
      </w:r>
      <w:r w:rsidR="006631F1" w:rsidRPr="000B16D5">
        <w:rPr>
          <w:rFonts w:asciiTheme="majorHAnsi" w:hAnsiTheme="majorHAnsi"/>
        </w:rPr>
        <w:t xml:space="preserve"> (1,2).</w:t>
      </w:r>
    </w:p>
    <w:p w:rsidR="00960C7E" w:rsidRPr="000B16D5" w:rsidRDefault="00960C7E" w:rsidP="00236F03">
      <w:pPr>
        <w:jc w:val="both"/>
        <w:rPr>
          <w:rFonts w:asciiTheme="majorHAnsi" w:hAnsiTheme="majorHAnsi"/>
        </w:rPr>
      </w:pPr>
      <w:r w:rsidRPr="000B16D5">
        <w:rPr>
          <w:rFonts w:asciiTheme="majorHAnsi" w:hAnsiTheme="majorHAnsi"/>
        </w:rPr>
        <w:t xml:space="preserve">Patogeneze mnohých kardiovaskulárních chorob je v dnešní době velice dobře prozkoumána, a to až na molekulární úroveň. V tomto ohledu můžeme některé nemoci zařadit mezi choroby </w:t>
      </w:r>
      <w:r w:rsidRPr="000B16D5">
        <w:rPr>
          <w:rFonts w:asciiTheme="majorHAnsi" w:hAnsiTheme="majorHAnsi"/>
          <w:b/>
        </w:rPr>
        <w:t>monogenní</w:t>
      </w:r>
      <w:r w:rsidRPr="000B16D5">
        <w:rPr>
          <w:rFonts w:asciiTheme="majorHAnsi" w:hAnsiTheme="majorHAnsi"/>
        </w:rPr>
        <w:t xml:space="preserve">, tj. ty, které jsou způsobeny mutacemi v kauzálních genech a příslušná mutace sama o sobě </w:t>
      </w:r>
      <w:r w:rsidR="002248FB" w:rsidRPr="000B16D5">
        <w:rPr>
          <w:rFonts w:asciiTheme="majorHAnsi" w:hAnsiTheme="majorHAnsi"/>
        </w:rPr>
        <w:t>například</w:t>
      </w:r>
      <w:r w:rsidRPr="000B16D5">
        <w:rPr>
          <w:rFonts w:asciiTheme="majorHAnsi" w:hAnsiTheme="majorHAnsi"/>
        </w:rPr>
        <w:t xml:space="preserve"> změní strukturu proteinu</w:t>
      </w:r>
      <w:r w:rsidR="002248FB" w:rsidRPr="000B16D5">
        <w:rPr>
          <w:rFonts w:asciiTheme="majorHAnsi" w:hAnsiTheme="majorHAnsi"/>
        </w:rPr>
        <w:t xml:space="preserve"> a</w:t>
      </w:r>
      <w:r w:rsidRPr="000B16D5">
        <w:rPr>
          <w:rFonts w:asciiTheme="majorHAnsi" w:hAnsiTheme="majorHAnsi"/>
        </w:rPr>
        <w:t xml:space="preserve"> tím jeho funkci, </w:t>
      </w:r>
      <w:r w:rsidR="002248FB" w:rsidRPr="000B16D5">
        <w:rPr>
          <w:rFonts w:asciiTheme="majorHAnsi" w:hAnsiTheme="majorHAnsi"/>
        </w:rPr>
        <w:t xml:space="preserve">což </w:t>
      </w:r>
      <w:r w:rsidRPr="000B16D5">
        <w:rPr>
          <w:rFonts w:asciiTheme="majorHAnsi" w:hAnsiTheme="majorHAnsi"/>
        </w:rPr>
        <w:t xml:space="preserve">je pak příčinou nemoci. Velká většina kardiovaskulárních chorob je však řazena mezi poruchy </w:t>
      </w:r>
      <w:r w:rsidRPr="000B16D5">
        <w:rPr>
          <w:rFonts w:asciiTheme="majorHAnsi" w:hAnsiTheme="majorHAnsi"/>
          <w:b/>
        </w:rPr>
        <w:t>polygenní</w:t>
      </w:r>
      <w:r w:rsidRPr="000B16D5">
        <w:rPr>
          <w:rFonts w:asciiTheme="majorHAnsi" w:hAnsiTheme="majorHAnsi"/>
        </w:rPr>
        <w:t xml:space="preserve"> nebo též </w:t>
      </w:r>
      <w:r w:rsidRPr="000B16D5">
        <w:rPr>
          <w:rFonts w:asciiTheme="majorHAnsi" w:hAnsiTheme="majorHAnsi"/>
          <w:b/>
        </w:rPr>
        <w:t>multifaktoriální</w:t>
      </w:r>
      <w:r w:rsidRPr="000B16D5">
        <w:rPr>
          <w:rFonts w:asciiTheme="majorHAnsi" w:hAnsiTheme="majorHAnsi"/>
        </w:rPr>
        <w:t xml:space="preserve">, tedy choroby, na jejichž vzniku se podílejí jak vlivy genetické, tak faktory vnějšího prostředí. Genetickými faktory u takovýchto nemocí míníme mutace/variace ve více různých genech (tzv. „genech malého účinku“), které samy o sobě nemají větší význam, avšak jejich kombinace s působením faktorů vnějšího prostředí (mezi něž patří např. výživa), může podpořit jejich vznik, progresi a případně ovlivnit i jejich terapii </w:t>
      </w:r>
      <w:r w:rsidR="006631F1" w:rsidRPr="000B16D5">
        <w:rPr>
          <w:rFonts w:asciiTheme="majorHAnsi" w:hAnsiTheme="majorHAnsi"/>
        </w:rPr>
        <w:t>(3)</w:t>
      </w:r>
      <w:r w:rsidR="0043011F" w:rsidRPr="000B16D5">
        <w:rPr>
          <w:rFonts w:asciiTheme="majorHAnsi" w:hAnsiTheme="majorHAnsi"/>
        </w:rPr>
        <w:t>.</w:t>
      </w:r>
    </w:p>
    <w:p w:rsidR="00960C7E" w:rsidRPr="000B16D5" w:rsidRDefault="00960C7E" w:rsidP="00236F03">
      <w:pPr>
        <w:jc w:val="both"/>
        <w:rPr>
          <w:rFonts w:asciiTheme="majorHAnsi" w:hAnsiTheme="majorHAnsi"/>
          <w:b/>
        </w:rPr>
      </w:pPr>
      <w:r w:rsidRPr="000B16D5">
        <w:rPr>
          <w:rFonts w:asciiTheme="majorHAnsi" w:hAnsiTheme="majorHAnsi"/>
        </w:rPr>
        <w:t xml:space="preserve">Vztahu výživy a genetického pozadí pacienta je v rámci předcházení (prevence) a případné léčby (terapie) nemocí oběhové soustavy věnována větší pozornost až v posledních letech. V rámci této kapitoly se nyní zaměříme na některé monogenní nemoci, které zasahují do metabolických drah organismu a svým zásahem zvyšují u svého nositele riziko onemocnění kardiovaskulární chorobou, a dále pak na některá multifaktoriální kardiovaskulární onemocnění, u nichž je rizikovým faktorem konkrétní genetické pozadí jedince a zároveň je možné jejich průběh modifikovat správným působením vnějších vlivů – např. fyzickou aktivitou či výživou </w:t>
      </w:r>
      <w:r w:rsidR="006631F1" w:rsidRPr="000B16D5">
        <w:rPr>
          <w:rFonts w:asciiTheme="majorHAnsi" w:hAnsiTheme="majorHAnsi"/>
        </w:rPr>
        <w:t>(3)</w:t>
      </w:r>
      <w:r w:rsidR="0043011F" w:rsidRPr="000B16D5">
        <w:rPr>
          <w:rFonts w:asciiTheme="majorHAnsi" w:hAnsiTheme="majorHAnsi"/>
        </w:rPr>
        <w:t>.</w:t>
      </w:r>
    </w:p>
    <w:p w:rsidR="00960C7E" w:rsidRPr="000B16D5" w:rsidRDefault="00960C7E" w:rsidP="00236F03">
      <w:pPr>
        <w:pStyle w:val="Nadpispodkapitoly"/>
        <w:jc w:val="both"/>
        <w:rPr>
          <w:rFonts w:asciiTheme="majorHAnsi" w:hAnsiTheme="majorHAnsi"/>
        </w:rPr>
      </w:pPr>
      <w:bookmarkStart w:id="72" w:name="_Toc351088836"/>
      <w:bookmarkStart w:id="73" w:name="_Toc380240636"/>
      <w:r w:rsidRPr="000B16D5">
        <w:rPr>
          <w:rFonts w:asciiTheme="majorHAnsi" w:hAnsiTheme="majorHAnsi"/>
        </w:rPr>
        <w:t>Kardiovaskulární rizikové faktory a genetická variabilita</w:t>
      </w:r>
      <w:bookmarkEnd w:id="72"/>
      <w:bookmarkEnd w:id="73"/>
    </w:p>
    <w:p w:rsidR="006631F1" w:rsidRPr="000B16D5" w:rsidRDefault="00960C7E" w:rsidP="00236F03">
      <w:pPr>
        <w:jc w:val="both"/>
        <w:rPr>
          <w:rFonts w:asciiTheme="majorHAnsi" w:hAnsiTheme="majorHAnsi"/>
        </w:rPr>
      </w:pPr>
      <w:r w:rsidRPr="000B16D5">
        <w:rPr>
          <w:rFonts w:asciiTheme="majorHAnsi" w:hAnsiTheme="majorHAnsi"/>
        </w:rPr>
        <w:t xml:space="preserve">Kardiovaskulární rizikové faktory jsou faktory, které predisponují pacienta k tomu, že onemocní a případně i zemře na některou z chorob srdce a cév. Obecně tyto faktory můžeme rozlišit na ty, které nelze ovlivnit (věk, pohlaví, etnikum), a na ty, které ovlivnit můžeme. Mezi tyto </w:t>
      </w:r>
      <w:r w:rsidRPr="000B16D5">
        <w:rPr>
          <w:rFonts w:asciiTheme="majorHAnsi" w:hAnsiTheme="majorHAnsi"/>
          <w:b/>
        </w:rPr>
        <w:t>ovlivnitelné</w:t>
      </w:r>
      <w:r w:rsidRPr="000B16D5">
        <w:rPr>
          <w:rFonts w:asciiTheme="majorHAnsi" w:hAnsiTheme="majorHAnsi"/>
        </w:rPr>
        <w:t xml:space="preserve"> </w:t>
      </w:r>
      <w:r w:rsidRPr="000B16D5">
        <w:rPr>
          <w:rFonts w:asciiTheme="majorHAnsi" w:hAnsiTheme="majorHAnsi"/>
          <w:b/>
        </w:rPr>
        <w:t>rizikové</w:t>
      </w:r>
      <w:r w:rsidRPr="000B16D5">
        <w:rPr>
          <w:rFonts w:asciiTheme="majorHAnsi" w:hAnsiTheme="majorHAnsi"/>
        </w:rPr>
        <w:t xml:space="preserve"> </w:t>
      </w:r>
      <w:r w:rsidRPr="000B16D5">
        <w:rPr>
          <w:rFonts w:asciiTheme="majorHAnsi" w:hAnsiTheme="majorHAnsi"/>
          <w:b/>
        </w:rPr>
        <w:t>faktory</w:t>
      </w:r>
      <w:r w:rsidRPr="000B16D5">
        <w:rPr>
          <w:rFonts w:asciiTheme="majorHAnsi" w:hAnsiTheme="majorHAnsi"/>
        </w:rPr>
        <w:t xml:space="preserve"> patří především </w:t>
      </w:r>
      <w:r w:rsidRPr="000B16D5">
        <w:rPr>
          <w:rFonts w:asciiTheme="majorHAnsi" w:hAnsiTheme="majorHAnsi"/>
          <w:b/>
        </w:rPr>
        <w:t>výživa</w:t>
      </w:r>
      <w:r w:rsidRPr="000B16D5">
        <w:rPr>
          <w:rFonts w:asciiTheme="majorHAnsi" w:hAnsiTheme="majorHAnsi"/>
        </w:rPr>
        <w:t xml:space="preserve">, </w:t>
      </w:r>
      <w:r w:rsidRPr="000B16D5">
        <w:rPr>
          <w:rFonts w:asciiTheme="majorHAnsi" w:hAnsiTheme="majorHAnsi"/>
          <w:b/>
        </w:rPr>
        <w:t>kouření</w:t>
      </w:r>
      <w:r w:rsidRPr="000B16D5">
        <w:rPr>
          <w:rFonts w:asciiTheme="majorHAnsi" w:hAnsiTheme="majorHAnsi"/>
        </w:rPr>
        <w:t xml:space="preserve">, </w:t>
      </w:r>
      <w:r w:rsidRPr="000B16D5">
        <w:rPr>
          <w:rFonts w:asciiTheme="majorHAnsi" w:hAnsiTheme="majorHAnsi"/>
          <w:b/>
        </w:rPr>
        <w:t>fyzická</w:t>
      </w:r>
      <w:r w:rsidRPr="000B16D5">
        <w:rPr>
          <w:rFonts w:asciiTheme="majorHAnsi" w:hAnsiTheme="majorHAnsi"/>
        </w:rPr>
        <w:t xml:space="preserve"> </w:t>
      </w:r>
      <w:r w:rsidRPr="000B16D5">
        <w:rPr>
          <w:rFonts w:asciiTheme="majorHAnsi" w:hAnsiTheme="majorHAnsi"/>
          <w:b/>
        </w:rPr>
        <w:t>inaktivita</w:t>
      </w:r>
      <w:r w:rsidRPr="000B16D5">
        <w:rPr>
          <w:rFonts w:asciiTheme="majorHAnsi" w:hAnsiTheme="majorHAnsi"/>
        </w:rPr>
        <w:t xml:space="preserve">, </w:t>
      </w:r>
      <w:r w:rsidRPr="000B16D5">
        <w:rPr>
          <w:rFonts w:asciiTheme="majorHAnsi" w:hAnsiTheme="majorHAnsi"/>
          <w:b/>
        </w:rPr>
        <w:t>konzumace</w:t>
      </w:r>
      <w:r w:rsidRPr="000B16D5">
        <w:rPr>
          <w:rFonts w:asciiTheme="majorHAnsi" w:hAnsiTheme="majorHAnsi"/>
        </w:rPr>
        <w:t xml:space="preserve"> </w:t>
      </w:r>
      <w:r w:rsidRPr="000B16D5">
        <w:rPr>
          <w:rFonts w:asciiTheme="majorHAnsi" w:hAnsiTheme="majorHAnsi"/>
          <w:b/>
        </w:rPr>
        <w:t>alkoholických</w:t>
      </w:r>
      <w:r w:rsidRPr="000B16D5">
        <w:rPr>
          <w:rFonts w:asciiTheme="majorHAnsi" w:hAnsiTheme="majorHAnsi"/>
        </w:rPr>
        <w:t xml:space="preserve"> </w:t>
      </w:r>
      <w:r w:rsidRPr="000B16D5">
        <w:rPr>
          <w:rFonts w:asciiTheme="majorHAnsi" w:hAnsiTheme="majorHAnsi"/>
          <w:b/>
        </w:rPr>
        <w:t>nápojů</w:t>
      </w:r>
      <w:r w:rsidRPr="000B16D5">
        <w:rPr>
          <w:rFonts w:asciiTheme="majorHAnsi" w:hAnsiTheme="majorHAnsi"/>
        </w:rPr>
        <w:t xml:space="preserve"> či </w:t>
      </w:r>
      <w:r w:rsidRPr="000B16D5">
        <w:rPr>
          <w:rFonts w:asciiTheme="majorHAnsi" w:hAnsiTheme="majorHAnsi"/>
          <w:b/>
        </w:rPr>
        <w:t>psychický stres</w:t>
      </w:r>
      <w:r w:rsidRPr="000B16D5">
        <w:rPr>
          <w:rFonts w:asciiTheme="majorHAnsi" w:hAnsiTheme="majorHAnsi"/>
        </w:rPr>
        <w:t xml:space="preserve">. Vyjmenované rizikové faktory predisponují člověka k rozvoji </w:t>
      </w:r>
      <w:r w:rsidRPr="000B16D5">
        <w:rPr>
          <w:rFonts w:asciiTheme="majorHAnsi" w:hAnsiTheme="majorHAnsi"/>
          <w:b/>
        </w:rPr>
        <w:t>vysokého</w:t>
      </w:r>
      <w:r w:rsidRPr="000B16D5">
        <w:rPr>
          <w:rFonts w:asciiTheme="majorHAnsi" w:hAnsiTheme="majorHAnsi"/>
        </w:rPr>
        <w:t xml:space="preserve"> </w:t>
      </w:r>
      <w:r w:rsidRPr="000B16D5">
        <w:rPr>
          <w:rFonts w:asciiTheme="majorHAnsi" w:hAnsiTheme="majorHAnsi"/>
          <w:b/>
        </w:rPr>
        <w:t>krevního</w:t>
      </w:r>
      <w:r w:rsidRPr="000B16D5">
        <w:rPr>
          <w:rFonts w:asciiTheme="majorHAnsi" w:hAnsiTheme="majorHAnsi"/>
        </w:rPr>
        <w:t xml:space="preserve"> </w:t>
      </w:r>
      <w:r w:rsidRPr="000B16D5">
        <w:rPr>
          <w:rFonts w:asciiTheme="majorHAnsi" w:hAnsiTheme="majorHAnsi"/>
          <w:b/>
        </w:rPr>
        <w:t>tlaku</w:t>
      </w:r>
      <w:r w:rsidRPr="000B16D5">
        <w:rPr>
          <w:rFonts w:asciiTheme="majorHAnsi" w:hAnsiTheme="majorHAnsi"/>
        </w:rPr>
        <w:t xml:space="preserve"> (hypertenze), </w:t>
      </w:r>
      <w:r w:rsidRPr="000B16D5">
        <w:rPr>
          <w:rFonts w:asciiTheme="majorHAnsi" w:hAnsiTheme="majorHAnsi"/>
          <w:b/>
        </w:rPr>
        <w:t>obezity</w:t>
      </w:r>
      <w:r w:rsidRPr="000B16D5">
        <w:rPr>
          <w:rFonts w:asciiTheme="majorHAnsi" w:hAnsiTheme="majorHAnsi"/>
        </w:rPr>
        <w:t xml:space="preserve">, </w:t>
      </w:r>
      <w:r w:rsidRPr="000B16D5">
        <w:rPr>
          <w:rFonts w:asciiTheme="majorHAnsi" w:hAnsiTheme="majorHAnsi"/>
          <w:b/>
        </w:rPr>
        <w:t xml:space="preserve">dyslipidémie </w:t>
      </w:r>
      <w:r w:rsidRPr="000B16D5">
        <w:rPr>
          <w:rFonts w:asciiTheme="majorHAnsi" w:hAnsiTheme="majorHAnsi"/>
        </w:rPr>
        <w:t xml:space="preserve">a </w:t>
      </w:r>
      <w:r w:rsidRPr="000B16D5">
        <w:rPr>
          <w:rFonts w:asciiTheme="majorHAnsi" w:hAnsiTheme="majorHAnsi"/>
          <w:b/>
        </w:rPr>
        <w:t>diabetes</w:t>
      </w:r>
      <w:r w:rsidRPr="000B16D5">
        <w:rPr>
          <w:rFonts w:asciiTheme="majorHAnsi" w:hAnsiTheme="majorHAnsi"/>
        </w:rPr>
        <w:t xml:space="preserve"> </w:t>
      </w:r>
      <w:r w:rsidRPr="000B16D5">
        <w:rPr>
          <w:rFonts w:asciiTheme="majorHAnsi" w:hAnsiTheme="majorHAnsi"/>
          <w:b/>
        </w:rPr>
        <w:t>mellitus</w:t>
      </w:r>
      <w:r w:rsidRPr="000B16D5">
        <w:rPr>
          <w:rFonts w:asciiTheme="majorHAnsi" w:hAnsiTheme="majorHAnsi"/>
        </w:rPr>
        <w:t>, které jsou již onemocněními samy o sobě, avšak svou povahou jsou rovněž rizikovými faktory k rozvoji dalších nemocí jako je ischemická choroba srdeční, infarkt myokardu, cévní mozková příhoda či trombembolická nemoc. Již ze samotného výčtu jednotlivých rizikových faktorů je patrno, že vztah mezi metabolickými a kardiovaskulárními chorobami je velice těsný a někdy se hypertenze, diabetes mellitus a obezita označují v zahraniční literatuře jako „cardiometabolic diseases“</w:t>
      </w:r>
      <w:r w:rsidR="0043011F" w:rsidRPr="000B16D5">
        <w:rPr>
          <w:rFonts w:asciiTheme="majorHAnsi" w:hAnsiTheme="majorHAnsi"/>
        </w:rPr>
        <w:t xml:space="preserve"> </w:t>
      </w:r>
      <w:r w:rsidR="006631F1" w:rsidRPr="000B16D5">
        <w:rPr>
          <w:rFonts w:asciiTheme="majorHAnsi" w:hAnsiTheme="majorHAnsi"/>
        </w:rPr>
        <w:t>(2,4)</w:t>
      </w:r>
      <w:r w:rsidR="0043011F" w:rsidRPr="000B16D5">
        <w:rPr>
          <w:rFonts w:asciiTheme="majorHAnsi" w:hAnsiTheme="majorHAnsi"/>
        </w:rPr>
        <w:t>.</w:t>
      </w:r>
    </w:p>
    <w:p w:rsidR="00DA06C5" w:rsidRPr="000B16D5" w:rsidRDefault="00DA06C5" w:rsidP="00DA06C5">
      <w:pPr>
        <w:keepNext/>
        <w:jc w:val="center"/>
        <w:rPr>
          <w:rFonts w:asciiTheme="majorHAnsi" w:hAnsiTheme="majorHAnsi"/>
        </w:rPr>
      </w:pPr>
      <w:r w:rsidRPr="000B16D5">
        <w:rPr>
          <w:rFonts w:asciiTheme="majorHAnsi" w:hAnsiTheme="majorHAnsi"/>
          <w:noProof/>
        </w:rPr>
        <w:lastRenderedPageBreak/>
        <w:drawing>
          <wp:inline distT="0" distB="0" distL="0" distR="0" wp14:anchorId="69BABAB5" wp14:editId="3B9995C9">
            <wp:extent cx="3583172" cy="2286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2.TIF"/>
                    <pic:cNvPicPr/>
                  </pic:nvPicPr>
                  <pic:blipFill rotWithShape="1">
                    <a:blip r:embed="rId74" cstate="print">
                      <a:extLst>
                        <a:ext uri="{28A0092B-C50C-407E-A947-70E740481C1C}">
                          <a14:useLocalDpi xmlns:a14="http://schemas.microsoft.com/office/drawing/2010/main" val="0"/>
                        </a:ext>
                      </a:extLst>
                    </a:blip>
                    <a:srcRect t="4348" b="10593"/>
                    <a:stretch/>
                  </pic:blipFill>
                  <pic:spPr bwMode="auto">
                    <a:xfrm>
                      <a:off x="0" y="0"/>
                      <a:ext cx="3594108" cy="2292977"/>
                    </a:xfrm>
                    <a:prstGeom prst="rect">
                      <a:avLst/>
                    </a:prstGeom>
                    <a:ln>
                      <a:noFill/>
                    </a:ln>
                    <a:extLst>
                      <a:ext uri="{53640926-AAD7-44D8-BBD7-CCE9431645EC}">
                        <a14:shadowObscured xmlns:a14="http://schemas.microsoft.com/office/drawing/2010/main"/>
                      </a:ext>
                    </a:extLst>
                  </pic:spPr>
                </pic:pic>
              </a:graphicData>
            </a:graphic>
          </wp:inline>
        </w:drawing>
      </w:r>
    </w:p>
    <w:p w:rsidR="00DA06C5" w:rsidRPr="000B16D5" w:rsidRDefault="00DA06C5" w:rsidP="00DA06C5">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12</w:t>
      </w:r>
      <w:r w:rsidRPr="000B16D5">
        <w:rPr>
          <w:rFonts w:asciiTheme="majorHAnsi" w:hAnsiTheme="majorHAnsi"/>
          <w:i/>
          <w:color w:val="808080" w:themeColor="background1" w:themeShade="80"/>
        </w:rPr>
        <w:fldChar w:fldCharType="end"/>
      </w:r>
      <w:r w:rsidR="009F06BC" w:rsidRPr="000B16D5">
        <w:rPr>
          <w:rFonts w:asciiTheme="majorHAnsi" w:hAnsiTheme="majorHAnsi"/>
          <w:i/>
          <w:color w:val="808080" w:themeColor="background1" w:themeShade="80"/>
        </w:rPr>
        <w:t xml:space="preserve"> –</w:t>
      </w:r>
      <w:r w:rsidRPr="000B16D5">
        <w:rPr>
          <w:rFonts w:asciiTheme="majorHAnsi" w:hAnsiTheme="majorHAnsi"/>
          <w:i/>
          <w:color w:val="808080" w:themeColor="background1" w:themeShade="80"/>
        </w:rPr>
        <w:t xml:space="preserve"> Rozvoj kardiovaskulárních onemocnění (upravedo dle (6)</w:t>
      </w:r>
      <w:r w:rsidR="00E86A87" w:rsidRPr="000B16D5">
        <w:rPr>
          <w:rFonts w:asciiTheme="majorHAnsi" w:hAnsiTheme="majorHAnsi"/>
          <w:i/>
          <w:color w:val="808080" w:themeColor="background1" w:themeShade="80"/>
        </w:rPr>
        <w:t>)</w:t>
      </w:r>
    </w:p>
    <w:p w:rsidR="00960C7E" w:rsidRPr="000B16D5" w:rsidRDefault="00960C7E" w:rsidP="00236F03">
      <w:pPr>
        <w:jc w:val="both"/>
        <w:rPr>
          <w:rFonts w:asciiTheme="majorHAnsi" w:hAnsiTheme="majorHAnsi"/>
        </w:rPr>
      </w:pPr>
      <w:r w:rsidRPr="000B16D5">
        <w:rPr>
          <w:rFonts w:asciiTheme="majorHAnsi" w:hAnsiTheme="majorHAnsi"/>
        </w:rPr>
        <w:t>Z pohledu monogenních nemocí jsou pro vznik kardiovaskulárních chorob rizikové ty, které zasahují do metabolismu lipidů (např. familiární hypercholesterolémie), minerálů (např. hemosideróza, Wilsonova choroba), ale také iontů a vody (např. Connův syndrom). Mutace v daných genech způsobují, že je urychlen proces aterosklerózy, nebo že dochází k nadměrné kumulaci vody v organismu, která pak přetěžuje srdce a způsobí vznik hypertenze. V další podkapitole se budeme podrobněji věnovat pouze familiální hypercholesterolémii, u které jsme schopni fenotypické projevy nemoci poměrně dobře korigovat správným složením stravy</w:t>
      </w:r>
      <w:r w:rsidR="00DA06C5" w:rsidRPr="000B16D5">
        <w:rPr>
          <w:rFonts w:asciiTheme="majorHAnsi" w:hAnsiTheme="majorHAnsi"/>
        </w:rPr>
        <w:t xml:space="preserve"> (2,5)</w:t>
      </w:r>
      <w:r w:rsidR="0043011F" w:rsidRPr="000B16D5">
        <w:rPr>
          <w:rFonts w:asciiTheme="majorHAnsi" w:hAnsiTheme="majorHAnsi"/>
        </w:rPr>
        <w:t>.</w:t>
      </w:r>
    </w:p>
    <w:p w:rsidR="00DA06C5" w:rsidRPr="000B16D5" w:rsidRDefault="00960C7E" w:rsidP="00236F03">
      <w:pPr>
        <w:jc w:val="both"/>
        <w:rPr>
          <w:rFonts w:asciiTheme="majorHAnsi" w:hAnsiTheme="majorHAnsi"/>
        </w:rPr>
      </w:pPr>
      <w:r w:rsidRPr="000B16D5">
        <w:rPr>
          <w:rFonts w:asciiTheme="majorHAnsi" w:hAnsiTheme="majorHAnsi"/>
        </w:rPr>
        <w:t>U multifaktoriálních nemocí je kvůli jejich komplexní patogenezi mnohem složitější nalézt „rizikové geny“ a zkoumat vliv již nalezených genů na rozvoj nemoci. Hledání rizikových genů je komplikováno současn</w:t>
      </w:r>
      <w:r w:rsidR="00CC4B1C" w:rsidRPr="000B16D5">
        <w:rPr>
          <w:rFonts w:asciiTheme="majorHAnsi" w:hAnsiTheme="majorHAnsi"/>
        </w:rPr>
        <w:t>ým</w:t>
      </w:r>
      <w:r w:rsidRPr="000B16D5">
        <w:rPr>
          <w:rFonts w:asciiTheme="majorHAnsi" w:hAnsiTheme="majorHAnsi"/>
        </w:rPr>
        <w:t xml:space="preserve"> působení</w:t>
      </w:r>
      <w:r w:rsidR="00CC4B1C" w:rsidRPr="000B16D5">
        <w:rPr>
          <w:rFonts w:asciiTheme="majorHAnsi" w:hAnsiTheme="majorHAnsi"/>
        </w:rPr>
        <w:t>m</w:t>
      </w:r>
      <w:r w:rsidRPr="000B16D5">
        <w:rPr>
          <w:rFonts w:asciiTheme="majorHAnsi" w:hAnsiTheme="majorHAnsi"/>
        </w:rPr>
        <w:t xml:space="preserve"> vnějších faktorů, které mohou maskovat vlivy některých </w:t>
      </w:r>
      <w:r w:rsidR="00BC7B6B" w:rsidRPr="000B16D5">
        <w:rPr>
          <w:rFonts w:asciiTheme="majorHAnsi" w:hAnsiTheme="majorHAnsi"/>
        </w:rPr>
        <w:t xml:space="preserve">genů </w:t>
      </w:r>
      <w:r w:rsidRPr="000B16D5">
        <w:rPr>
          <w:rFonts w:asciiTheme="majorHAnsi" w:hAnsiTheme="majorHAnsi"/>
        </w:rPr>
        <w:t xml:space="preserve">a </w:t>
      </w:r>
      <w:r w:rsidR="00BC7B6B" w:rsidRPr="000B16D5">
        <w:rPr>
          <w:rFonts w:asciiTheme="majorHAnsi" w:hAnsiTheme="majorHAnsi"/>
        </w:rPr>
        <w:t xml:space="preserve">namísto toho sugerovat </w:t>
      </w:r>
      <w:r w:rsidR="00474E63" w:rsidRPr="000B16D5">
        <w:rPr>
          <w:rFonts w:asciiTheme="majorHAnsi" w:hAnsiTheme="majorHAnsi"/>
        </w:rPr>
        <w:t>účinky</w:t>
      </w:r>
      <w:r w:rsidR="00BC7B6B" w:rsidRPr="000B16D5">
        <w:rPr>
          <w:rFonts w:asciiTheme="majorHAnsi" w:hAnsiTheme="majorHAnsi"/>
        </w:rPr>
        <w:t xml:space="preserve"> genů jiných</w:t>
      </w:r>
      <w:r w:rsidRPr="000B16D5">
        <w:rPr>
          <w:rFonts w:asciiTheme="majorHAnsi" w:hAnsiTheme="majorHAnsi"/>
        </w:rPr>
        <w:t>. Díky celogenomovým studiím provedeným v posledních letech byly odhaleny různé oblasti našeho genetického kódu, které jsou úzce spojeny s kardiovaskulárními chorobami – byly naverbovány velké skupiny postižených i zdravých jedinců, jejich genom byl osekvenován („přečten“) a následně se hledaly určité varianty genetického kódu, které se častěji vyskytovaly u nemocných jedinců. V takto nalezených oblastech je často kódováno více různých genů, jejichž vliv na kardiovaskulární onemocnění je následně nutno dalšími studiemi ověřit, respektive prokázat, jakým způsobem se ta které varianta toho kterého genu přesně zapojuje do patogeneze nemoci a jak je možné, že jiná varianta toho stejného genu se do patogeneze nezapojuje. O těchto variantách bude pojedná</w:t>
      </w:r>
      <w:r w:rsidR="00DA06C5" w:rsidRPr="000B16D5">
        <w:rPr>
          <w:rFonts w:asciiTheme="majorHAnsi" w:hAnsiTheme="majorHAnsi"/>
        </w:rPr>
        <w:t>vat další z podkapitol (6)</w:t>
      </w:r>
      <w:r w:rsidR="0043011F" w:rsidRPr="000B16D5">
        <w:rPr>
          <w:rFonts w:asciiTheme="majorHAnsi" w:hAnsiTheme="majorHAnsi"/>
        </w:rPr>
        <w:t>.</w:t>
      </w:r>
    </w:p>
    <w:p w:rsidR="00DA06C5" w:rsidRPr="000B16D5" w:rsidRDefault="00DA06C5" w:rsidP="00DA06C5">
      <w:pPr>
        <w:keepNext/>
        <w:jc w:val="center"/>
        <w:rPr>
          <w:rFonts w:asciiTheme="majorHAnsi" w:hAnsiTheme="majorHAnsi"/>
        </w:rPr>
      </w:pPr>
      <w:r w:rsidRPr="000B16D5">
        <w:rPr>
          <w:rFonts w:asciiTheme="majorHAnsi" w:hAnsiTheme="majorHAnsi"/>
          <w:noProof/>
        </w:rPr>
        <w:drawing>
          <wp:inline distT="0" distB="0" distL="0" distR="0" wp14:anchorId="0E14064E" wp14:editId="3142A059">
            <wp:extent cx="2392326" cy="1073888"/>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TIF"/>
                    <pic:cNvPicPr/>
                  </pic:nvPicPr>
                  <pic:blipFill rotWithShape="1">
                    <a:blip r:embed="rId75" cstate="print">
                      <a:extLst>
                        <a:ext uri="{28A0092B-C50C-407E-A947-70E740481C1C}">
                          <a14:useLocalDpi xmlns:a14="http://schemas.microsoft.com/office/drawing/2010/main" val="0"/>
                        </a:ext>
                      </a:extLst>
                    </a:blip>
                    <a:srcRect r="30240" b="58250"/>
                    <a:stretch/>
                  </pic:blipFill>
                  <pic:spPr bwMode="auto">
                    <a:xfrm>
                      <a:off x="0" y="0"/>
                      <a:ext cx="2393355" cy="1074350"/>
                    </a:xfrm>
                    <a:prstGeom prst="rect">
                      <a:avLst/>
                    </a:prstGeom>
                    <a:ln>
                      <a:noFill/>
                    </a:ln>
                    <a:extLst>
                      <a:ext uri="{53640926-AAD7-44D8-BBD7-CCE9431645EC}">
                        <a14:shadowObscured xmlns:a14="http://schemas.microsoft.com/office/drawing/2010/main"/>
                      </a:ext>
                    </a:extLst>
                  </pic:spPr>
                </pic:pic>
              </a:graphicData>
            </a:graphic>
          </wp:inline>
        </w:drawing>
      </w:r>
      <w:r w:rsidRPr="000B16D5">
        <w:rPr>
          <w:rFonts w:asciiTheme="majorHAnsi" w:hAnsiTheme="majorHAnsi"/>
        </w:rPr>
        <w:tab/>
      </w:r>
      <w:r w:rsidRPr="000B16D5">
        <w:rPr>
          <w:rFonts w:asciiTheme="majorHAnsi" w:hAnsiTheme="majorHAnsi"/>
        </w:rPr>
        <w:tab/>
      </w:r>
      <w:r w:rsidRPr="000B16D5">
        <w:rPr>
          <w:rFonts w:asciiTheme="majorHAnsi" w:hAnsiTheme="majorHAnsi"/>
          <w:noProof/>
        </w:rPr>
        <w:drawing>
          <wp:inline distT="0" distB="0" distL="0" distR="0" wp14:anchorId="640E5125" wp14:editId="144BD7FA">
            <wp:extent cx="2392325" cy="146640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TIF"/>
                    <pic:cNvPicPr/>
                  </pic:nvPicPr>
                  <pic:blipFill rotWithShape="1">
                    <a:blip r:embed="rId76" cstate="print">
                      <a:extLst>
                        <a:ext uri="{28A0092B-C50C-407E-A947-70E740481C1C}">
                          <a14:useLocalDpi xmlns:a14="http://schemas.microsoft.com/office/drawing/2010/main" val="0"/>
                        </a:ext>
                      </a:extLst>
                    </a:blip>
                    <a:srcRect t="42990" r="30240"/>
                    <a:stretch/>
                  </pic:blipFill>
                  <pic:spPr bwMode="auto">
                    <a:xfrm>
                      <a:off x="0" y="0"/>
                      <a:ext cx="2393355" cy="1467034"/>
                    </a:xfrm>
                    <a:prstGeom prst="rect">
                      <a:avLst/>
                    </a:prstGeom>
                    <a:ln>
                      <a:noFill/>
                    </a:ln>
                    <a:extLst>
                      <a:ext uri="{53640926-AAD7-44D8-BBD7-CCE9431645EC}">
                        <a14:shadowObscured xmlns:a14="http://schemas.microsoft.com/office/drawing/2010/main"/>
                      </a:ext>
                    </a:extLst>
                  </pic:spPr>
                </pic:pic>
              </a:graphicData>
            </a:graphic>
          </wp:inline>
        </w:drawing>
      </w:r>
    </w:p>
    <w:p w:rsidR="00960C7E" w:rsidRPr="000B16D5" w:rsidRDefault="00DA06C5" w:rsidP="00DA06C5">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13</w:t>
      </w:r>
      <w:r w:rsidRPr="000B16D5">
        <w:rPr>
          <w:rFonts w:asciiTheme="majorHAnsi" w:hAnsiTheme="majorHAnsi"/>
          <w:i/>
          <w:color w:val="808080" w:themeColor="background1" w:themeShade="80"/>
        </w:rPr>
        <w:fldChar w:fldCharType="end"/>
      </w:r>
      <w:r w:rsidRPr="000B16D5">
        <w:rPr>
          <w:rFonts w:asciiTheme="majorHAnsi" w:hAnsiTheme="majorHAnsi"/>
          <w:i/>
          <w:color w:val="808080" w:themeColor="background1" w:themeShade="80"/>
        </w:rPr>
        <w:t xml:space="preserve"> </w:t>
      </w:r>
      <w:r w:rsidR="009F06BC" w:rsidRPr="000B16D5">
        <w:rPr>
          <w:rFonts w:asciiTheme="majorHAnsi" w:hAnsiTheme="majorHAnsi"/>
          <w:i/>
          <w:color w:val="808080" w:themeColor="background1" w:themeShade="80"/>
        </w:rPr>
        <w:t>–</w:t>
      </w:r>
      <w:r w:rsidRPr="000B16D5">
        <w:rPr>
          <w:rFonts w:asciiTheme="majorHAnsi" w:hAnsiTheme="majorHAnsi"/>
          <w:i/>
          <w:color w:val="808080" w:themeColor="background1" w:themeShade="80"/>
        </w:rPr>
        <w:t xml:space="preserve"> Rozdíl mezi monogenními a polygenními chorobami</w:t>
      </w:r>
    </w:p>
    <w:p w:rsidR="00960C7E" w:rsidRPr="000B16D5" w:rsidRDefault="00960C7E" w:rsidP="00236F03">
      <w:pPr>
        <w:jc w:val="both"/>
        <w:rPr>
          <w:rFonts w:asciiTheme="majorHAnsi" w:hAnsiTheme="majorHAnsi"/>
        </w:rPr>
      </w:pPr>
      <w:r w:rsidRPr="000B16D5">
        <w:rPr>
          <w:rFonts w:asciiTheme="majorHAnsi" w:hAnsiTheme="majorHAnsi"/>
        </w:rPr>
        <w:t>Nutno však zdůraznit, že ani v dnešní době nemůže</w:t>
      </w:r>
      <w:r w:rsidR="007C5373" w:rsidRPr="000B16D5">
        <w:rPr>
          <w:rFonts w:asciiTheme="majorHAnsi" w:hAnsiTheme="majorHAnsi"/>
        </w:rPr>
        <w:t>me</w:t>
      </w:r>
      <w:r w:rsidRPr="000B16D5">
        <w:rPr>
          <w:rFonts w:asciiTheme="majorHAnsi" w:hAnsiTheme="majorHAnsi"/>
        </w:rPr>
        <w:t xml:space="preserve"> pacientovi se stoprocentní jistotou říct: „Máte tuto rizikovou variantu určitého genu, za několik let budete trpět hypertenzí“. Aby se mohla „zlá“ varianta genu projevit, je nutné, aby se pacient dostal do vhodného vnějšího prostředí – pokud my zabráníme, aby se pacient do tohoto prostředí dostal, např. tím, že měníme jeho jídelníček nebo jej motivujeme k vyšší fyzické aktivitě, můžeme zabránit tomu, aby se „zlá“ varianta projevila. To bylo prokázáno recentní studií, která se zaměřila na oblast na krátkém raménku 9 chromo</w:t>
      </w:r>
      <w:r w:rsidR="000E274D" w:rsidRPr="000B16D5">
        <w:rPr>
          <w:rFonts w:asciiTheme="majorHAnsi" w:hAnsiTheme="majorHAnsi"/>
        </w:rPr>
        <w:t>z</w:t>
      </w:r>
      <w:r w:rsidRPr="000B16D5">
        <w:rPr>
          <w:rFonts w:asciiTheme="majorHAnsi" w:hAnsiTheme="majorHAnsi"/>
        </w:rPr>
        <w:t xml:space="preserve">omu (9p21), která byla již dříve asociována s rizikem ischemické choroby srdeční a infarktu myokardu – jedinci, kteří nesli rizikové varianty určitých polymorfismů (a těchto jedinců je až </w:t>
      </w:r>
      <w:r w:rsidRPr="000B16D5">
        <w:rPr>
          <w:rFonts w:asciiTheme="majorHAnsi" w:hAnsiTheme="majorHAnsi"/>
        </w:rPr>
        <w:lastRenderedPageBreak/>
        <w:t>50</w:t>
      </w:r>
      <w:r w:rsidR="00DF545D" w:rsidRPr="000B16D5">
        <w:rPr>
          <w:rFonts w:asciiTheme="majorHAnsi" w:hAnsiTheme="majorHAnsi"/>
        </w:rPr>
        <w:t xml:space="preserve"> </w:t>
      </w:r>
      <w:r w:rsidRPr="000B16D5">
        <w:rPr>
          <w:rFonts w:asciiTheme="majorHAnsi" w:hAnsiTheme="majorHAnsi"/>
        </w:rPr>
        <w:t>% populace), avšak jedli dostatek syrovené zeleniny a ovoce, dosáhli toho, že se u nich riziko onemocnění uvedenými chorobami rovnalo riziku, jaké měli jedinci s běžnými/nerizikovými variantami</w:t>
      </w:r>
      <w:r w:rsidR="00DA06C5" w:rsidRPr="000B16D5">
        <w:rPr>
          <w:rFonts w:asciiTheme="majorHAnsi" w:hAnsiTheme="majorHAnsi"/>
        </w:rPr>
        <w:t xml:space="preserve"> (7)</w:t>
      </w:r>
      <w:r w:rsidR="0043011F" w:rsidRPr="000B16D5">
        <w:rPr>
          <w:rFonts w:asciiTheme="majorHAnsi" w:hAnsiTheme="majorHAnsi"/>
        </w:rPr>
        <w:t>.</w:t>
      </w:r>
      <w:r w:rsidRPr="000B16D5">
        <w:rPr>
          <w:rFonts w:asciiTheme="majorHAnsi" w:hAnsiTheme="majorHAnsi"/>
        </w:rPr>
        <w:t xml:space="preserve"> </w:t>
      </w:r>
    </w:p>
    <w:p w:rsidR="00960C7E" w:rsidRPr="000B16D5" w:rsidRDefault="00960C7E" w:rsidP="00236F03">
      <w:pPr>
        <w:jc w:val="both"/>
        <w:rPr>
          <w:rFonts w:asciiTheme="majorHAnsi" w:hAnsiTheme="majorHAnsi"/>
        </w:rPr>
      </w:pPr>
      <w:r w:rsidRPr="000B16D5">
        <w:rPr>
          <w:rFonts w:asciiTheme="majorHAnsi" w:hAnsiTheme="majorHAnsi"/>
        </w:rPr>
        <w:t>To, jakým způsobem působí výživa na vývoj kardiovaskulárního rizika, nebylo doposud přesně ustanoveno. Pravděpodobně se bude jednat o vlivy tzv. epigenetiky. Zjednodušeně si tyto vlivy můžeme představit jako methylaci/demethylaci DNA, či acetylaci/deacetylaci histonů. Genetická informace jako taková se vlivem epigenetických mechanismů nemění, uvedené mechanismy však způsobují, že určité geny jsou více či méně aktivní</w:t>
      </w:r>
      <w:r w:rsidR="00DF545D" w:rsidRPr="000B16D5">
        <w:rPr>
          <w:rFonts w:asciiTheme="majorHAnsi" w:hAnsiTheme="majorHAnsi"/>
        </w:rPr>
        <w:t>,</w:t>
      </w:r>
      <w:r w:rsidRPr="000B16D5">
        <w:rPr>
          <w:rFonts w:asciiTheme="majorHAnsi" w:hAnsiTheme="majorHAnsi"/>
        </w:rPr>
        <w:t xml:space="preserve"> a tak se mohou na výsledném fenotypu, kterým může být právě kardiovaskulární riziko, podílet větší či menší měrou. Některé složky potravy ovlivňují aktivitu methyltransferas (enzymů methylujících DNA), či histondeacetylas (enzymů zajišťujících deacetylaci histonů) a mohou tak ovlivnit genovou expresi, a to dokonce již u plodu</w:t>
      </w:r>
      <w:r w:rsidR="00DA06C5" w:rsidRPr="000B16D5">
        <w:rPr>
          <w:rFonts w:asciiTheme="majorHAnsi" w:hAnsiTheme="majorHAnsi"/>
        </w:rPr>
        <w:t xml:space="preserve"> (8,9)</w:t>
      </w:r>
      <w:r w:rsidR="0043011F" w:rsidRPr="000B16D5">
        <w:rPr>
          <w:rFonts w:asciiTheme="majorHAnsi" w:hAnsiTheme="majorHAnsi"/>
        </w:rPr>
        <w:t>.</w:t>
      </w:r>
    </w:p>
    <w:p w:rsidR="00960C7E" w:rsidRPr="000B16D5" w:rsidRDefault="00960C7E" w:rsidP="00236F03">
      <w:pPr>
        <w:pStyle w:val="Nadpispodkapitoly"/>
        <w:jc w:val="both"/>
        <w:rPr>
          <w:rFonts w:asciiTheme="majorHAnsi" w:hAnsiTheme="majorHAnsi"/>
        </w:rPr>
      </w:pPr>
      <w:bookmarkStart w:id="74" w:name="_Toc351088837"/>
      <w:bookmarkStart w:id="75" w:name="_Toc380240637"/>
      <w:r w:rsidRPr="000B16D5">
        <w:rPr>
          <w:rFonts w:asciiTheme="majorHAnsi" w:hAnsiTheme="majorHAnsi"/>
        </w:rPr>
        <w:t>Ovlivnění kardiovaskulárního rizika v časném vývoji jedince</w:t>
      </w:r>
      <w:bookmarkEnd w:id="74"/>
      <w:bookmarkEnd w:id="75"/>
    </w:p>
    <w:p w:rsidR="00960C7E" w:rsidRPr="000B16D5" w:rsidRDefault="00960C7E" w:rsidP="00236F03">
      <w:pPr>
        <w:jc w:val="both"/>
        <w:rPr>
          <w:rFonts w:asciiTheme="majorHAnsi" w:hAnsiTheme="majorHAnsi"/>
        </w:rPr>
      </w:pPr>
      <w:r w:rsidRPr="000B16D5">
        <w:rPr>
          <w:rFonts w:asciiTheme="majorHAnsi" w:hAnsiTheme="majorHAnsi"/>
        </w:rPr>
        <w:t xml:space="preserve">Studie, které se věnovaly výživě v různých věkových kategoriích, prokázaly, že již výživa v prenatálním období může ovlivnit riziko kardiovaskulárního onemocnění v pozdějším věku. Pokud je vyvíjející se plod nedostatečně zásoben živinami (ať už z důvodu nevhodných stravovacích návyků matky či špatného cévního zásobení dělohy), rodí se s nízkou porodní váhou a jakoby „přednastaven“ na podmínky, ve kterých se mu živin nebude dostávat. To ovšem není případ dnešního světa, kde je levná vysokoenergetická strava snadno dostupná a v budoucnu se u takovýchto jedinců častěji setkáváme s obezitou a hypertenzí. Někdy se v tomto kontextu hovoří o hypotéze „šetřivého fenotypu“ (angl. </w:t>
      </w:r>
      <w:r w:rsidRPr="000B16D5">
        <w:rPr>
          <w:rFonts w:asciiTheme="majorHAnsi" w:hAnsiTheme="majorHAnsi"/>
          <w:i/>
        </w:rPr>
        <w:t>thrifty phenotype</w:t>
      </w:r>
      <w:r w:rsidRPr="000B16D5">
        <w:rPr>
          <w:rFonts w:asciiTheme="majorHAnsi" w:hAnsiTheme="majorHAnsi"/>
        </w:rPr>
        <w:t>).</w:t>
      </w:r>
      <w:r w:rsidR="00DA06C5" w:rsidRPr="000B16D5">
        <w:rPr>
          <w:rFonts w:asciiTheme="majorHAnsi" w:hAnsiTheme="majorHAnsi"/>
        </w:rPr>
        <w:t xml:space="preserve"> (10)</w:t>
      </w:r>
      <w:r w:rsidRPr="000B16D5">
        <w:rPr>
          <w:rFonts w:asciiTheme="majorHAnsi" w:hAnsiTheme="majorHAnsi"/>
        </w:rPr>
        <w:t xml:space="preserve"> Zajímavé jsou i studie, které poukazují na to, že již v prenatálním období se rozvíjí naše budoucí chutě – vše, co matka sní, se promítá do složení amniové tekutiny (a později do složení mateřského mléka), a chutě, na které si v tomto období zvykneme, pak v dalším životě preferujeme při výběru pokrmu – to může ovlivnit nás budoucí růst, vývoj a případně i vznik obezity</w:t>
      </w:r>
      <w:r w:rsidR="00DA06C5" w:rsidRPr="000B16D5">
        <w:rPr>
          <w:rFonts w:asciiTheme="majorHAnsi" w:hAnsiTheme="majorHAnsi"/>
        </w:rPr>
        <w:t xml:space="preserve"> (11)</w:t>
      </w:r>
      <w:r w:rsidR="0043011F" w:rsidRPr="000B16D5">
        <w:rPr>
          <w:rFonts w:asciiTheme="majorHAnsi" w:hAnsiTheme="majorHAnsi"/>
        </w:rPr>
        <w:t>.</w:t>
      </w:r>
    </w:p>
    <w:p w:rsidR="00960C7E" w:rsidRPr="000B16D5" w:rsidRDefault="00960C7E" w:rsidP="00236F03">
      <w:pPr>
        <w:jc w:val="both"/>
        <w:rPr>
          <w:rFonts w:asciiTheme="majorHAnsi" w:hAnsiTheme="majorHAnsi"/>
        </w:rPr>
      </w:pPr>
      <w:r w:rsidRPr="000B16D5">
        <w:rPr>
          <w:rFonts w:asciiTheme="majorHAnsi" w:hAnsiTheme="majorHAnsi"/>
        </w:rPr>
        <w:t>Složení stravy novorozenců a kojenců je rovněž velice důležitým faktorem ovlivňujícím vznik kardiovaskulárních chorob v dospělosti. Dnes se matkám doporučuje kojit alespoň do 6 měsíce věku dítěte, neboť mateřské mléko je živina s optimálním složením pro vyvíjející se dětský organismus – obsahuje vyrovnaný poměr základních živin, iontů a dalších látek a kojení jako takové podporuje správný růst a vývoj jedince, brání jej před infekčními onemocněními, a co je rovněž důležité – snižuje riziko kardiovaskulárního onemocnění v budoucnosti, především pak riziko obezity, dyslipidémie a hypertenze</w:t>
      </w:r>
      <w:r w:rsidR="00DA06C5" w:rsidRPr="000B16D5">
        <w:rPr>
          <w:rFonts w:asciiTheme="majorHAnsi" w:hAnsiTheme="majorHAnsi"/>
        </w:rPr>
        <w:t xml:space="preserve"> (10)</w:t>
      </w:r>
      <w:r w:rsidR="0043011F" w:rsidRPr="000B16D5">
        <w:rPr>
          <w:rFonts w:asciiTheme="majorHAnsi" w:hAnsiTheme="majorHAnsi"/>
        </w:rPr>
        <w:t>.</w:t>
      </w:r>
    </w:p>
    <w:p w:rsidR="00960C7E" w:rsidRPr="000B16D5" w:rsidRDefault="00960C7E" w:rsidP="00236F03">
      <w:pPr>
        <w:jc w:val="both"/>
        <w:rPr>
          <w:rFonts w:asciiTheme="majorHAnsi" w:hAnsiTheme="majorHAnsi"/>
        </w:rPr>
      </w:pPr>
      <w:r w:rsidRPr="000B16D5">
        <w:rPr>
          <w:rFonts w:asciiTheme="majorHAnsi" w:hAnsiTheme="majorHAnsi"/>
        </w:rPr>
        <w:t>Období, kdy je nutno zavést výživové doplňky (smíšenou kojeckou stravu), je dalším rozhodujícím bodem – nadměrný přísun proteinů v časném dětství může vést v dospělosti k obezitě, nadměrný přísun solí zase zvyšuje krevní tlak, neboť děti jsou na sůl mnohem citlivější než dospělí, avšak na druhou stranu zvýšený příjem polynenasycených mastných kyselin v podobě rybího tuku prokazatelně krevní tlak snižuje. Co se týče vlivu tuků na rozvoj budoucí obezity, ukazují některé studie na to, že do druhého roku věku dítěte není potřeba tuky zásadní měrou omezovat (mohou tvořit až 25</w:t>
      </w:r>
      <w:r w:rsidR="00ED7225" w:rsidRPr="000B16D5">
        <w:rPr>
          <w:rFonts w:asciiTheme="majorHAnsi" w:hAnsiTheme="majorHAnsi"/>
        </w:rPr>
        <w:t xml:space="preserve"> </w:t>
      </w:r>
      <w:r w:rsidRPr="000B16D5">
        <w:rPr>
          <w:rFonts w:asciiTheme="majorHAnsi" w:hAnsiTheme="majorHAnsi"/>
        </w:rPr>
        <w:t>% denního přísunu energie), avšak po druhém roce věku je již zvýšený příjem spojen s rizikem rozvoje nadváhy</w:t>
      </w:r>
      <w:r w:rsidR="00DA06C5" w:rsidRPr="000B16D5">
        <w:rPr>
          <w:rFonts w:asciiTheme="majorHAnsi" w:hAnsiTheme="majorHAnsi"/>
        </w:rPr>
        <w:t xml:space="preserve"> (10)</w:t>
      </w:r>
      <w:r w:rsidR="0043011F" w:rsidRPr="000B16D5">
        <w:rPr>
          <w:rFonts w:asciiTheme="majorHAnsi" w:hAnsiTheme="majorHAnsi"/>
        </w:rPr>
        <w:t>.</w:t>
      </w:r>
    </w:p>
    <w:p w:rsidR="00960C7E" w:rsidRPr="000B16D5" w:rsidRDefault="00960C7E" w:rsidP="00236F03">
      <w:pPr>
        <w:jc w:val="both"/>
        <w:rPr>
          <w:rFonts w:asciiTheme="majorHAnsi" w:hAnsiTheme="majorHAnsi"/>
        </w:rPr>
      </w:pPr>
      <w:r w:rsidRPr="000B16D5">
        <w:rPr>
          <w:rFonts w:asciiTheme="majorHAnsi" w:hAnsiTheme="majorHAnsi"/>
        </w:rPr>
        <w:t xml:space="preserve">Výše uvedené příklady demonstrují, že </w:t>
      </w:r>
      <w:r w:rsidR="00C3131A" w:rsidRPr="000B16D5">
        <w:rPr>
          <w:rFonts w:asciiTheme="majorHAnsi" w:hAnsiTheme="majorHAnsi"/>
        </w:rPr>
        <w:t xml:space="preserve">rčení </w:t>
      </w:r>
      <w:r w:rsidRPr="000B16D5">
        <w:rPr>
          <w:rFonts w:asciiTheme="majorHAnsi" w:hAnsiTheme="majorHAnsi"/>
        </w:rPr>
        <w:t>„</w:t>
      </w:r>
      <w:r w:rsidRPr="000B16D5">
        <w:rPr>
          <w:rFonts w:asciiTheme="majorHAnsi" w:hAnsiTheme="majorHAnsi"/>
          <w:i/>
        </w:rPr>
        <w:t>jsme to, co jíme</w:t>
      </w:r>
      <w:r w:rsidRPr="000B16D5">
        <w:rPr>
          <w:rFonts w:asciiTheme="majorHAnsi" w:hAnsiTheme="majorHAnsi"/>
        </w:rPr>
        <w:t>“, má v sobě mnoho pravdy a složení stravy přijímané v útlém věku má výrazný vliv na to, jak budeme vypadat v budoucnosti.</w:t>
      </w:r>
    </w:p>
    <w:p w:rsidR="00960C7E" w:rsidRPr="000B16D5" w:rsidRDefault="00960C7E" w:rsidP="00236F03">
      <w:pPr>
        <w:pStyle w:val="Nadpispodkapitoly"/>
        <w:jc w:val="both"/>
        <w:rPr>
          <w:rFonts w:asciiTheme="majorHAnsi" w:hAnsiTheme="majorHAnsi"/>
        </w:rPr>
      </w:pPr>
      <w:bookmarkStart w:id="76" w:name="_Toc351088838"/>
      <w:bookmarkStart w:id="77" w:name="_Toc380240638"/>
      <w:r w:rsidRPr="000B16D5">
        <w:rPr>
          <w:rFonts w:asciiTheme="majorHAnsi" w:hAnsiTheme="majorHAnsi"/>
        </w:rPr>
        <w:t>Monogenní nemoci</w:t>
      </w:r>
      <w:bookmarkEnd w:id="76"/>
      <w:bookmarkEnd w:id="77"/>
    </w:p>
    <w:p w:rsidR="00960C7E" w:rsidRPr="000B16D5" w:rsidRDefault="00960C7E" w:rsidP="00236F03">
      <w:pPr>
        <w:jc w:val="both"/>
        <w:rPr>
          <w:rFonts w:asciiTheme="majorHAnsi" w:hAnsiTheme="majorHAnsi"/>
        </w:rPr>
      </w:pPr>
      <w:r w:rsidRPr="000B16D5">
        <w:rPr>
          <w:rFonts w:asciiTheme="majorHAnsi" w:hAnsiTheme="majorHAnsi"/>
        </w:rPr>
        <w:t>Dle genetické databáze Online Mendelian Inheritance in Man (OMIM) existuje v dnešní době více než 200 monogenních dědičných chorob postihujících primárně srdce nebo cévy, přičemž další asi 1800 postihuje kardiovaskulární systém nepřímo. Společným znakem všech těchto chorob je jejich časný začátek (v dětství), progrese a vývoj v průběhu života s následným rozvojem specifických komplikací.</w:t>
      </w:r>
      <w:r w:rsidR="00DA06C5" w:rsidRPr="000B16D5">
        <w:rPr>
          <w:rFonts w:asciiTheme="majorHAnsi" w:hAnsiTheme="majorHAnsi"/>
        </w:rPr>
        <w:t xml:space="preserve"> (3)</w:t>
      </w:r>
    </w:p>
    <w:p w:rsidR="00960C7E" w:rsidRPr="000B16D5" w:rsidRDefault="00960C7E" w:rsidP="00236F03">
      <w:pPr>
        <w:jc w:val="both"/>
        <w:rPr>
          <w:rFonts w:asciiTheme="majorHAnsi" w:hAnsiTheme="majorHAnsi"/>
        </w:rPr>
      </w:pPr>
      <w:r w:rsidRPr="000B16D5">
        <w:rPr>
          <w:rFonts w:asciiTheme="majorHAnsi" w:hAnsiTheme="majorHAnsi"/>
        </w:rPr>
        <w:t xml:space="preserve">Některé choroby vykazují další specifickou vlastnost, kterou je </w:t>
      </w:r>
      <w:r w:rsidRPr="000B16D5">
        <w:rPr>
          <w:rFonts w:asciiTheme="majorHAnsi" w:hAnsiTheme="majorHAnsi"/>
          <w:b/>
        </w:rPr>
        <w:t>neúplná</w:t>
      </w:r>
      <w:r w:rsidRPr="000B16D5">
        <w:rPr>
          <w:rFonts w:asciiTheme="majorHAnsi" w:hAnsiTheme="majorHAnsi"/>
        </w:rPr>
        <w:t xml:space="preserve"> </w:t>
      </w:r>
      <w:r w:rsidRPr="000B16D5">
        <w:rPr>
          <w:rFonts w:asciiTheme="majorHAnsi" w:hAnsiTheme="majorHAnsi"/>
          <w:b/>
        </w:rPr>
        <w:t>penetrance</w:t>
      </w:r>
      <w:r w:rsidRPr="000B16D5">
        <w:rPr>
          <w:rFonts w:asciiTheme="majorHAnsi" w:hAnsiTheme="majorHAnsi"/>
        </w:rPr>
        <w:t xml:space="preserve">. Byť je daná choroba v jedné rodině způsobena stále tou stejnou mutací, je možné, že u některých jedinců se projeví ve své těžké podobě a u jiných se projeví v lehké podobě. Jako příklad z klinické praxe můžeme použít syndrom dlouhého QT intervalu – </w:t>
      </w:r>
      <w:r w:rsidRPr="000B16D5">
        <w:rPr>
          <w:rFonts w:asciiTheme="majorHAnsi" w:hAnsiTheme="majorHAnsi"/>
        </w:rPr>
        <w:lastRenderedPageBreak/>
        <w:t xml:space="preserve">někteří z pacientů trpících tímto syndromem mají QT srdeční interval jen mírně prodloužený a nečiní jim to žádné zvláštní potíže, u jiných se prodloužení QT intervalu projeví jako náhlá srdeční smrt, která může být prvním a také i posledním projevem této choroby. Podkladem rozdílné penetrance jsou již zmíněné epigenetické změny, které mohou být vyvolány léky, cvičením, ale jednou z možných příčin může být i výživa </w:t>
      </w:r>
      <w:r w:rsidR="00DA06C5" w:rsidRPr="000B16D5">
        <w:rPr>
          <w:rFonts w:asciiTheme="majorHAnsi" w:hAnsiTheme="majorHAnsi"/>
        </w:rPr>
        <w:t>(3,12)</w:t>
      </w:r>
      <w:r w:rsidR="0043011F" w:rsidRPr="000B16D5">
        <w:rPr>
          <w:rFonts w:asciiTheme="majorHAnsi" w:hAnsiTheme="majorHAnsi"/>
        </w:rPr>
        <w:t>.</w:t>
      </w:r>
    </w:p>
    <w:p w:rsidR="00960C7E" w:rsidRPr="000B16D5" w:rsidRDefault="00960C7E" w:rsidP="00AC32F9">
      <w:pPr>
        <w:pStyle w:val="Podpodnadpis"/>
        <w:rPr>
          <w:rFonts w:asciiTheme="majorHAnsi" w:hAnsiTheme="majorHAnsi"/>
        </w:rPr>
      </w:pPr>
      <w:bookmarkStart w:id="78" w:name="_Toc351088839"/>
      <w:r w:rsidRPr="000B16D5">
        <w:rPr>
          <w:rFonts w:asciiTheme="majorHAnsi" w:hAnsiTheme="majorHAnsi"/>
        </w:rPr>
        <w:t>Familiární hypercholesterolémie</w:t>
      </w:r>
      <w:bookmarkEnd w:id="78"/>
    </w:p>
    <w:p w:rsidR="00960C7E" w:rsidRPr="000B16D5" w:rsidRDefault="00960C7E" w:rsidP="00236F03">
      <w:pPr>
        <w:jc w:val="both"/>
        <w:rPr>
          <w:rFonts w:asciiTheme="majorHAnsi" w:hAnsiTheme="majorHAnsi"/>
        </w:rPr>
      </w:pPr>
      <w:r w:rsidRPr="000B16D5">
        <w:rPr>
          <w:rFonts w:asciiTheme="majorHAnsi" w:hAnsiTheme="majorHAnsi"/>
        </w:rPr>
        <w:t>Familiární hypercholesterolémie je dědičné onemocnění, které se ve své heterozygotní formě (postižení jedinci mají jednu alelu genu nemutovanou a druhou alelu mutovanou)</w:t>
      </w:r>
      <w:r w:rsidR="00ED7225" w:rsidRPr="000B16D5">
        <w:rPr>
          <w:rFonts w:asciiTheme="majorHAnsi" w:hAnsiTheme="majorHAnsi"/>
        </w:rPr>
        <w:t>,</w:t>
      </w:r>
      <w:r w:rsidRPr="000B16D5">
        <w:rPr>
          <w:rFonts w:asciiTheme="majorHAnsi" w:hAnsiTheme="majorHAnsi"/>
        </w:rPr>
        <w:t xml:space="preserve"> vyskytuje v populaci u jednoho z pěti set jedinců (1:500). Je charakterizované několika různými mutacemi, přičemž nejčastější je mutace v </w:t>
      </w:r>
      <w:r w:rsidRPr="000B16D5">
        <w:rPr>
          <w:rFonts w:asciiTheme="majorHAnsi" w:hAnsiTheme="majorHAnsi"/>
          <w:i/>
        </w:rPr>
        <w:t>LDLR genu</w:t>
      </w:r>
      <w:r w:rsidRPr="000B16D5">
        <w:rPr>
          <w:rFonts w:asciiTheme="majorHAnsi" w:hAnsiTheme="majorHAnsi"/>
        </w:rPr>
        <w:t>, který kóduje receptor pro vychytávání lipoproteinových částic typu LDL (</w:t>
      </w:r>
      <w:r w:rsidRPr="000B16D5">
        <w:rPr>
          <w:rFonts w:asciiTheme="majorHAnsi" w:hAnsiTheme="majorHAnsi"/>
          <w:i/>
        </w:rPr>
        <w:t>low density lipoprotein</w:t>
      </w:r>
      <w:r w:rsidRPr="000B16D5">
        <w:rPr>
          <w:rFonts w:asciiTheme="majorHAnsi" w:hAnsiTheme="majorHAnsi"/>
        </w:rPr>
        <w:t>). Defekt v receptoru pro LDL způsobuje snížené vychytávání těchto částic z krve, to vede k akumulaci LDL (a tak cholesterolu, který je v LDL přenášen), což se projeví jako hypercholesterolémie, kterou můžeme u postižených jedinců detekovat již při narození. Zvýšené hladiny cholesterolu pak urychlují proces aterosklerózy („kornatění tepen“), jehož projevy můžeme detekovat u pacientů již v deseti letech a riziko úmrtí z kardiovaskulárních příčin, např. na infarkt myokardu nebo cévní mozkovou příhodu, je u nich mnohem vyšší</w:t>
      </w:r>
      <w:r w:rsidR="00DA06C5" w:rsidRPr="000B16D5">
        <w:rPr>
          <w:rFonts w:asciiTheme="majorHAnsi" w:hAnsiTheme="majorHAnsi"/>
        </w:rPr>
        <w:t xml:space="preserve"> (5)</w:t>
      </w:r>
      <w:r w:rsidR="0043011F" w:rsidRPr="000B16D5">
        <w:rPr>
          <w:rFonts w:asciiTheme="majorHAnsi" w:hAnsiTheme="majorHAnsi"/>
        </w:rPr>
        <w:t>.</w:t>
      </w:r>
    </w:p>
    <w:p w:rsidR="00960C7E" w:rsidRPr="000B16D5" w:rsidRDefault="00960C7E" w:rsidP="00236F03">
      <w:pPr>
        <w:jc w:val="both"/>
        <w:rPr>
          <w:rFonts w:asciiTheme="majorHAnsi" w:hAnsiTheme="majorHAnsi"/>
        </w:rPr>
      </w:pPr>
      <w:r w:rsidRPr="000B16D5">
        <w:rPr>
          <w:rFonts w:asciiTheme="majorHAnsi" w:hAnsiTheme="majorHAnsi"/>
        </w:rPr>
        <w:t xml:space="preserve">Vhodným způsobem, jak zmírnit dopady této genetické poruchy, je správná výživa již od útlého dětství. Pacienti musí ze stravy vyřadit tuky a cholesterol, v případě, že trpí nadváhou, je rovněž vhodné zahájit nízkokalorickou dietu pod kontrolou nutričního specialisty. Aby pacientům tuky zcela </w:t>
      </w:r>
      <w:r w:rsidR="00E03ACD" w:rsidRPr="000B16D5">
        <w:rPr>
          <w:rFonts w:asciiTheme="majorHAnsi" w:hAnsiTheme="majorHAnsi"/>
        </w:rPr>
        <w:t>nechyběly</w:t>
      </w:r>
      <w:r w:rsidRPr="000B16D5">
        <w:rPr>
          <w:rFonts w:asciiTheme="majorHAnsi" w:hAnsiTheme="majorHAnsi"/>
        </w:rPr>
        <w:t>, je nutno je alespoň částečně přijímat v podobě rybího tuku zvýšenou konzumací ryb, které obsahují n-3 polynenasycené mastné kyseliny</w:t>
      </w:r>
      <w:r w:rsidR="00ED7225" w:rsidRPr="000B16D5">
        <w:rPr>
          <w:rFonts w:asciiTheme="majorHAnsi" w:hAnsiTheme="majorHAnsi"/>
        </w:rPr>
        <w:t xml:space="preserve"> zlepšující</w:t>
      </w:r>
      <w:r w:rsidRPr="000B16D5">
        <w:rPr>
          <w:rFonts w:asciiTheme="majorHAnsi" w:hAnsiTheme="majorHAnsi"/>
        </w:rPr>
        <w:t xml:space="preserve"> lipidové spektrum. Dle některých studií je možné využívat sojový protein, fytosteroly a stanoly, avšak jedná se o studie provedené na malém počtu jedinců, a proto nelze jejich závěry zobecňovat.</w:t>
      </w:r>
    </w:p>
    <w:p w:rsidR="00960C7E" w:rsidRPr="000B16D5" w:rsidRDefault="00960C7E" w:rsidP="00236F03">
      <w:pPr>
        <w:jc w:val="both"/>
        <w:rPr>
          <w:rFonts w:asciiTheme="majorHAnsi" w:hAnsiTheme="majorHAnsi"/>
        </w:rPr>
      </w:pPr>
      <w:r w:rsidRPr="000B16D5">
        <w:rPr>
          <w:rFonts w:asciiTheme="majorHAnsi" w:hAnsiTheme="majorHAnsi"/>
        </w:rPr>
        <w:t xml:space="preserve">Familiární hypercholesterolémie </w:t>
      </w:r>
      <w:r w:rsidR="00E03ACD" w:rsidRPr="000B16D5">
        <w:rPr>
          <w:rFonts w:asciiTheme="majorHAnsi" w:hAnsiTheme="majorHAnsi"/>
        </w:rPr>
        <w:t xml:space="preserve">nám </w:t>
      </w:r>
      <w:r w:rsidRPr="000B16D5">
        <w:rPr>
          <w:rFonts w:asciiTheme="majorHAnsi" w:hAnsiTheme="majorHAnsi"/>
        </w:rPr>
        <w:t xml:space="preserve">tak ukazuje, jak správná výživa dokáže snížit kardiovaskulární riziko u monogenně dědičné choroby. </w:t>
      </w:r>
    </w:p>
    <w:p w:rsidR="00960C7E" w:rsidRPr="000B16D5" w:rsidRDefault="00960C7E" w:rsidP="00236F03">
      <w:pPr>
        <w:pStyle w:val="Nadpispodkapitoly"/>
        <w:jc w:val="both"/>
        <w:rPr>
          <w:rFonts w:asciiTheme="majorHAnsi" w:hAnsiTheme="majorHAnsi"/>
        </w:rPr>
      </w:pPr>
      <w:bookmarkStart w:id="79" w:name="_Toc351088840"/>
      <w:bookmarkStart w:id="80" w:name="_Toc380240639"/>
      <w:r w:rsidRPr="000B16D5">
        <w:rPr>
          <w:rFonts w:asciiTheme="majorHAnsi" w:hAnsiTheme="majorHAnsi"/>
        </w:rPr>
        <w:t>Polygenní nemoci</w:t>
      </w:r>
      <w:bookmarkEnd w:id="79"/>
      <w:bookmarkEnd w:id="80"/>
    </w:p>
    <w:p w:rsidR="00960C7E" w:rsidRPr="000B16D5" w:rsidRDefault="00960C7E" w:rsidP="00236F03">
      <w:pPr>
        <w:jc w:val="both"/>
        <w:rPr>
          <w:rFonts w:asciiTheme="majorHAnsi" w:hAnsiTheme="majorHAnsi"/>
        </w:rPr>
      </w:pPr>
      <w:r w:rsidRPr="000B16D5">
        <w:rPr>
          <w:rFonts w:asciiTheme="majorHAnsi" w:hAnsiTheme="majorHAnsi"/>
        </w:rPr>
        <w:t xml:space="preserve">Mezi polygenní nemoci patří většina kardiovaskulárních/kardiometabolických chorob. V jednotlivých podkapitolách se nyní zaměříme jen na ty, u kterých je vliv genetického pozadí a vnějšího prostředí, zejména pak výživy, dostatečně prokázán. </w:t>
      </w:r>
    </w:p>
    <w:p w:rsidR="00960C7E" w:rsidRPr="000B16D5" w:rsidRDefault="002B3117" w:rsidP="00AC32F9">
      <w:pPr>
        <w:pStyle w:val="Podpodnadpis"/>
        <w:rPr>
          <w:rFonts w:asciiTheme="majorHAnsi" w:hAnsiTheme="majorHAnsi"/>
        </w:rPr>
      </w:pPr>
      <w:r w:rsidRPr="000B16D5">
        <w:rPr>
          <w:rFonts w:asciiTheme="majorHAnsi" w:hAnsiTheme="majorHAnsi"/>
        </w:rPr>
        <w:t>Ateroskleróza</w:t>
      </w:r>
    </w:p>
    <w:p w:rsidR="00960C7E" w:rsidRPr="000B16D5" w:rsidRDefault="00960C7E" w:rsidP="00236F03">
      <w:pPr>
        <w:jc w:val="both"/>
        <w:rPr>
          <w:rFonts w:asciiTheme="majorHAnsi" w:hAnsiTheme="majorHAnsi"/>
        </w:rPr>
      </w:pPr>
      <w:r w:rsidRPr="000B16D5">
        <w:rPr>
          <w:rFonts w:asciiTheme="majorHAnsi" w:hAnsiTheme="majorHAnsi"/>
          <w:b/>
        </w:rPr>
        <w:t>Ateroskleróza</w:t>
      </w:r>
      <w:r w:rsidRPr="000B16D5">
        <w:rPr>
          <w:rFonts w:asciiTheme="majorHAnsi" w:hAnsiTheme="majorHAnsi"/>
        </w:rPr>
        <w:t xml:space="preserve">, známá často též jako „kornatění tepen“, je v dnešní době považována za společného jmenovatele velkého množství kardiovaskulárních chorob. Jejím prvním projevem je tzv. </w:t>
      </w:r>
      <w:r w:rsidRPr="000B16D5">
        <w:rPr>
          <w:rFonts w:asciiTheme="majorHAnsi" w:hAnsiTheme="majorHAnsi"/>
          <w:b/>
        </w:rPr>
        <w:t>endotelová dysfunkce</w:t>
      </w:r>
      <w:r w:rsidRPr="000B16D5">
        <w:rPr>
          <w:rFonts w:asciiTheme="majorHAnsi" w:hAnsiTheme="majorHAnsi"/>
        </w:rPr>
        <w:t>, která se projeví neschopností endotelu adekvátně reagovat na vnější podněty. Prokázaným vyvolávajícím faktorem pro vznik endotelové dysfunkce jsou vysoké hladiny oxidovaného (tedy poškozeného) LDL cholesterolu, které způsobují mimo jiné to, že endotelové buňky začínají na svůj povrch vystavovat adhezivní molekuly a tím k sobě „lákat“ buňky imunitního systému, jako jsou monocyty a makrofágy. Imunitní buňky poté infiltrují endotel a dochází ke vzniku lokálního zánětu. Aktivované makrofágy se snaží odstranit škodlivé modifikované LDL-částice, začínají být cholesterolem, který se v LDL ve zvýšené míře nachází, přeplněné a hovoříme o „pěnitých buňkách“ či „lipofázích“. Je-li LDL částic příliš mnoho, vzniká v takto postiženém místě cévní stěny viditelná léze, která je podkladem budoucího aterosklerotického plátu. Stejné procesy, které se podílely na jeho vzniku, se pak podílejí i na jeho růstu a možné destabilizaci, při které dochází k prasknutí plátu, aktivaci trombogeneze (vzniku krevních sraženin), a vzniklé tromby pak mohou ucpávat cévy (čímž dávají podklad např. ischemické chorobě srdeční, infarktu myokardu nebo ischemické chorobě dolních končetin), či se mohou utrhnout a být krevním tokem zaneseny do jiných částí těla, kde mohou proniknout do tenkých cév, ucpat je a způsobit např. cévní mozkovou příhodu (mozkovou mrtvici)</w:t>
      </w:r>
      <w:r w:rsidR="00DA06C5" w:rsidRPr="000B16D5">
        <w:rPr>
          <w:rFonts w:asciiTheme="majorHAnsi" w:hAnsiTheme="majorHAnsi"/>
        </w:rPr>
        <w:t xml:space="preserve"> (13)</w:t>
      </w:r>
      <w:r w:rsidR="0043011F" w:rsidRPr="000B16D5">
        <w:rPr>
          <w:rFonts w:asciiTheme="majorHAnsi" w:hAnsiTheme="majorHAnsi"/>
        </w:rPr>
        <w:t>.</w:t>
      </w:r>
    </w:p>
    <w:p w:rsidR="00960C7E" w:rsidRPr="000B16D5" w:rsidRDefault="00960C7E" w:rsidP="00236F03">
      <w:pPr>
        <w:jc w:val="both"/>
        <w:rPr>
          <w:rFonts w:asciiTheme="majorHAnsi" w:hAnsiTheme="majorHAnsi"/>
        </w:rPr>
      </w:pPr>
      <w:r w:rsidRPr="000B16D5">
        <w:rPr>
          <w:rFonts w:asciiTheme="majorHAnsi" w:hAnsiTheme="majorHAnsi"/>
        </w:rPr>
        <w:t xml:space="preserve">Proces popsaný výše probíhá především v tepenném (arteriálním) řečišti. Podobný proces, avšak s poněkud odlišnými rizikovými faktory, může probíhat i v žilách (především dolních končetin) a my hovoříme o </w:t>
      </w:r>
      <w:r w:rsidRPr="000B16D5">
        <w:rPr>
          <w:rFonts w:asciiTheme="majorHAnsi" w:hAnsiTheme="majorHAnsi"/>
        </w:rPr>
        <w:lastRenderedPageBreak/>
        <w:t>trombembolické chorobě, kdy se tromby, vznikající typicky v dolních končetinách, mohou utrhnout a být vmeteny do plicního řečiště za vzniku plicní embolie.</w:t>
      </w:r>
    </w:p>
    <w:p w:rsidR="00960C7E" w:rsidRPr="000B16D5" w:rsidRDefault="00960C7E" w:rsidP="00236F03">
      <w:pPr>
        <w:jc w:val="both"/>
        <w:rPr>
          <w:rFonts w:asciiTheme="majorHAnsi" w:hAnsiTheme="majorHAnsi"/>
        </w:rPr>
      </w:pPr>
      <w:r w:rsidRPr="000B16D5">
        <w:rPr>
          <w:rFonts w:asciiTheme="majorHAnsi" w:hAnsiTheme="majorHAnsi"/>
        </w:rPr>
        <w:t xml:space="preserve">S rozvojem aterosklerózy souvisí většina rizikových faktorů kardiovaskulárních chorob (dyslipidémie kvůli zvýšenému množství LDL cholesterolu; hypertenze, neboť zvýšení krevního tlaku poškozuje endotelové buňky; diabetes melltisu, neboť zvýšené hladiny </w:t>
      </w:r>
      <w:r w:rsidR="003D7B3D" w:rsidRPr="000B16D5">
        <w:rPr>
          <w:rFonts w:asciiTheme="majorHAnsi" w:hAnsiTheme="majorHAnsi"/>
        </w:rPr>
        <w:t xml:space="preserve">glukózy </w:t>
      </w:r>
      <w:r w:rsidRPr="000B16D5">
        <w:rPr>
          <w:rFonts w:asciiTheme="majorHAnsi" w:hAnsiTheme="majorHAnsi"/>
        </w:rPr>
        <w:t>v krvi negativně modifikují proteiny v krvi se nacházející apod.)</w:t>
      </w:r>
      <w:r w:rsidR="00E03ACD" w:rsidRPr="000B16D5">
        <w:rPr>
          <w:rFonts w:asciiTheme="majorHAnsi" w:hAnsiTheme="majorHAnsi"/>
        </w:rPr>
        <w:t>. N</w:t>
      </w:r>
      <w:r w:rsidRPr="000B16D5">
        <w:rPr>
          <w:rFonts w:asciiTheme="majorHAnsi" w:hAnsiTheme="majorHAnsi"/>
        </w:rPr>
        <w:t>a bližší vztahy mezi jednotlivými rizikovými faktory, genetikou a výživou se zaměříme v příslušných podkapitolách.</w:t>
      </w:r>
    </w:p>
    <w:p w:rsidR="00960C7E" w:rsidRPr="000B16D5" w:rsidRDefault="00960C7E" w:rsidP="00AC32F9">
      <w:pPr>
        <w:pStyle w:val="Podpodnadpis"/>
        <w:rPr>
          <w:rFonts w:asciiTheme="majorHAnsi" w:hAnsiTheme="majorHAnsi"/>
        </w:rPr>
      </w:pPr>
      <w:bookmarkStart w:id="81" w:name="_Toc351088842"/>
      <w:r w:rsidRPr="000B16D5">
        <w:rPr>
          <w:rFonts w:asciiTheme="majorHAnsi" w:hAnsiTheme="majorHAnsi"/>
        </w:rPr>
        <w:t>Ischemická choroba srdeční (ICHS) a infarkt myokardu (IM)</w:t>
      </w:r>
      <w:bookmarkEnd w:id="81"/>
    </w:p>
    <w:p w:rsidR="00960C7E" w:rsidRPr="000B16D5" w:rsidRDefault="00960C7E" w:rsidP="00236F03">
      <w:pPr>
        <w:jc w:val="both"/>
        <w:rPr>
          <w:rFonts w:asciiTheme="majorHAnsi" w:hAnsiTheme="majorHAnsi"/>
        </w:rPr>
      </w:pPr>
      <w:r w:rsidRPr="000B16D5">
        <w:rPr>
          <w:rFonts w:asciiTheme="majorHAnsi" w:hAnsiTheme="majorHAnsi"/>
        </w:rPr>
        <w:t>Genetické pozadí se na rozvoji ICHS v dnešní době podílí jen asi 10</w:t>
      </w:r>
      <w:r w:rsidR="00E03ACD" w:rsidRPr="000B16D5">
        <w:rPr>
          <w:rFonts w:asciiTheme="majorHAnsi" w:hAnsiTheme="majorHAnsi"/>
        </w:rPr>
        <w:t xml:space="preserve"> </w:t>
      </w:r>
      <w:r w:rsidRPr="000B16D5">
        <w:rPr>
          <w:rFonts w:asciiTheme="majorHAnsi" w:hAnsiTheme="majorHAnsi"/>
        </w:rPr>
        <w:t>%, zbývajících 90</w:t>
      </w:r>
      <w:r w:rsidR="00E03ACD" w:rsidRPr="000B16D5">
        <w:rPr>
          <w:rFonts w:asciiTheme="majorHAnsi" w:hAnsiTheme="majorHAnsi"/>
        </w:rPr>
        <w:t xml:space="preserve"> </w:t>
      </w:r>
      <w:r w:rsidRPr="000B16D5">
        <w:rPr>
          <w:rFonts w:asciiTheme="majorHAnsi" w:hAnsiTheme="majorHAnsi"/>
        </w:rPr>
        <w:t xml:space="preserve">% je připisováno vnějším faktorům. Nejznámějším regionem zapojeným do rozvoje ICHS je již v úvodu zmiňovaný region </w:t>
      </w:r>
      <w:r w:rsidRPr="000B16D5">
        <w:rPr>
          <w:rFonts w:asciiTheme="majorHAnsi" w:hAnsiTheme="majorHAnsi"/>
          <w:b/>
        </w:rPr>
        <w:t>9p21</w:t>
      </w:r>
      <w:r w:rsidRPr="000B16D5">
        <w:rPr>
          <w:rFonts w:asciiTheme="majorHAnsi" w:hAnsiTheme="majorHAnsi"/>
        </w:rPr>
        <w:t xml:space="preserve">. Určité polymorfismy v této oblasti zvyšují riziko onemocnění ICHS s následným infarktem myokardu asi 1,3x. V daném genovém lokusu se nenacházejí žádné geny, které by kódovaly přímo proteiny, avšak tyto polymorfismy ovlivňují vazbu transkripčních faktorů (proteinů, které jsou potřebné pro přepis DNA do mRNA a následnou syntézu proteinů) a tak ovlivňují expresi určitých genů (např. CDKN2B), které mohou být zapojeny do patogeneze ICHS. Pokud jedinci s rizikovou alelou dodržovali tzv. „rozumnou dietu“ (angl. </w:t>
      </w:r>
      <w:r w:rsidRPr="000B16D5">
        <w:rPr>
          <w:rFonts w:asciiTheme="majorHAnsi" w:hAnsiTheme="majorHAnsi"/>
          <w:i/>
        </w:rPr>
        <w:t>prudent</w:t>
      </w:r>
      <w:r w:rsidRPr="000B16D5">
        <w:rPr>
          <w:rFonts w:asciiTheme="majorHAnsi" w:hAnsiTheme="majorHAnsi"/>
        </w:rPr>
        <w:t xml:space="preserve"> </w:t>
      </w:r>
      <w:r w:rsidRPr="000B16D5">
        <w:rPr>
          <w:rFonts w:asciiTheme="majorHAnsi" w:hAnsiTheme="majorHAnsi"/>
          <w:i/>
        </w:rPr>
        <w:t>diet</w:t>
      </w:r>
      <w:r w:rsidRPr="000B16D5">
        <w:rPr>
          <w:rFonts w:asciiTheme="majorHAnsi" w:hAnsiTheme="majorHAnsi"/>
        </w:rPr>
        <w:t>) s vysokým podílem ovoce a zeleniny, jejich riziko onemocnění ICHS se snížilo na 1,02x, tedy srovnatelné s běžnou populací.</w:t>
      </w:r>
    </w:p>
    <w:p w:rsidR="00960C7E" w:rsidRPr="000B16D5" w:rsidRDefault="00960C7E" w:rsidP="00236F03">
      <w:pPr>
        <w:jc w:val="both"/>
        <w:rPr>
          <w:rFonts w:asciiTheme="majorHAnsi" w:hAnsiTheme="majorHAnsi"/>
        </w:rPr>
      </w:pPr>
      <w:r w:rsidRPr="000B16D5">
        <w:rPr>
          <w:rFonts w:asciiTheme="majorHAnsi" w:hAnsiTheme="majorHAnsi"/>
        </w:rPr>
        <w:t>U jedinců, kteří kouří, je riziko rozvoje ICHS také ovlivněno genetickými variantami v proteinech kódujících apolipoprotein ApoE. Jednotlivé polymorfismy dávají vznik strukturálně odlišným podjednotkám ApoE proteinu označovaným jako ε2, ε3 a ε4. Kouření samo o sobě je považováno za nejvýznamnější ovlivnitelný rizikový faktor rozvoje ICHS bez ohledu na genetické pozadí pacienta. Avšak pokud jedinec s variantou ε4, která je považována za nejvíce rizikovou, navíc kouří, je jeho riziko onemocnění ICHS vyšší než u ostatních variant (kouřící jedinci s variantou ε3 mají riziko nižší a jedinci s ε2 variantou ještě nižší) a než u nekuřáků</w:t>
      </w:r>
      <w:r w:rsidR="0043011F" w:rsidRPr="000B16D5">
        <w:rPr>
          <w:rFonts w:asciiTheme="majorHAnsi" w:hAnsiTheme="majorHAnsi"/>
        </w:rPr>
        <w:t xml:space="preserve"> </w:t>
      </w:r>
      <w:r w:rsidR="00DA06C5" w:rsidRPr="000B16D5">
        <w:rPr>
          <w:rFonts w:asciiTheme="majorHAnsi" w:hAnsiTheme="majorHAnsi"/>
        </w:rPr>
        <w:t>(2,6)</w:t>
      </w:r>
      <w:r w:rsidR="0043011F" w:rsidRPr="000B16D5">
        <w:rPr>
          <w:rFonts w:asciiTheme="majorHAnsi" w:hAnsiTheme="majorHAnsi"/>
        </w:rPr>
        <w:t>.</w:t>
      </w:r>
    </w:p>
    <w:p w:rsidR="00DA06C5" w:rsidRPr="000B16D5" w:rsidRDefault="00DA06C5" w:rsidP="00DA06C5">
      <w:pPr>
        <w:keepNext/>
        <w:jc w:val="center"/>
        <w:rPr>
          <w:rFonts w:asciiTheme="majorHAnsi" w:hAnsiTheme="majorHAnsi"/>
        </w:rPr>
      </w:pPr>
      <w:r w:rsidRPr="000B16D5">
        <w:rPr>
          <w:rFonts w:asciiTheme="majorHAnsi" w:hAnsiTheme="majorHAnsi"/>
          <w:noProof/>
        </w:rPr>
        <w:drawing>
          <wp:inline distT="0" distB="0" distL="0" distR="0" wp14:anchorId="3CA95C00" wp14:editId="483B3F18">
            <wp:extent cx="3306726" cy="2087102"/>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3.TIF"/>
                    <pic:cNvPicPr/>
                  </pic:nvPicPr>
                  <pic:blipFill rotWithShape="1">
                    <a:blip r:embed="rId77" cstate="print">
                      <a:extLst>
                        <a:ext uri="{28A0092B-C50C-407E-A947-70E740481C1C}">
                          <a14:useLocalDpi xmlns:a14="http://schemas.microsoft.com/office/drawing/2010/main" val="0"/>
                        </a:ext>
                      </a:extLst>
                    </a:blip>
                    <a:srcRect t="10452" r="38400" b="37710"/>
                    <a:stretch/>
                  </pic:blipFill>
                  <pic:spPr bwMode="auto">
                    <a:xfrm>
                      <a:off x="0" y="0"/>
                      <a:ext cx="3307006" cy="2087279"/>
                    </a:xfrm>
                    <a:prstGeom prst="rect">
                      <a:avLst/>
                    </a:prstGeom>
                    <a:ln>
                      <a:noFill/>
                    </a:ln>
                    <a:extLst>
                      <a:ext uri="{53640926-AAD7-44D8-BBD7-CCE9431645EC}">
                        <a14:shadowObscured xmlns:a14="http://schemas.microsoft.com/office/drawing/2010/main"/>
                      </a:ext>
                    </a:extLst>
                  </pic:spPr>
                </pic:pic>
              </a:graphicData>
            </a:graphic>
          </wp:inline>
        </w:drawing>
      </w:r>
    </w:p>
    <w:p w:rsidR="00DA06C5" w:rsidRPr="000B16D5" w:rsidRDefault="00DA06C5" w:rsidP="00DA06C5">
      <w:pPr>
        <w:pStyle w:val="Titulek"/>
        <w:jc w:val="center"/>
        <w:rPr>
          <w:rFonts w:asciiTheme="majorHAnsi" w:hAnsiTheme="majorHAnsi"/>
          <w:i/>
          <w:color w:val="808080" w:themeColor="background1" w:themeShade="80"/>
        </w:rPr>
      </w:pPr>
      <w:r w:rsidRPr="000B16D5">
        <w:rPr>
          <w:rFonts w:asciiTheme="majorHAnsi" w:hAnsiTheme="majorHAnsi"/>
          <w:i/>
          <w:color w:val="808080" w:themeColor="background1" w:themeShade="80"/>
        </w:rPr>
        <w:t xml:space="preserve">Obrázek </w:t>
      </w:r>
      <w:r w:rsidRPr="000B16D5">
        <w:rPr>
          <w:rFonts w:asciiTheme="majorHAnsi" w:hAnsiTheme="majorHAnsi"/>
          <w:i/>
          <w:color w:val="808080" w:themeColor="background1" w:themeShade="80"/>
        </w:rPr>
        <w:fldChar w:fldCharType="begin"/>
      </w:r>
      <w:r w:rsidRPr="000B16D5">
        <w:rPr>
          <w:rFonts w:asciiTheme="majorHAnsi" w:hAnsiTheme="majorHAnsi"/>
          <w:i/>
          <w:color w:val="808080" w:themeColor="background1" w:themeShade="80"/>
        </w:rPr>
        <w:instrText xml:space="preserve"> SEQ Obrázek \* ARABIC </w:instrText>
      </w:r>
      <w:r w:rsidRPr="000B16D5">
        <w:rPr>
          <w:rFonts w:asciiTheme="majorHAnsi" w:hAnsiTheme="majorHAnsi"/>
          <w:i/>
          <w:color w:val="808080" w:themeColor="background1" w:themeShade="80"/>
        </w:rPr>
        <w:fldChar w:fldCharType="separate"/>
      </w:r>
      <w:r w:rsidR="008378F9" w:rsidRPr="000B16D5">
        <w:rPr>
          <w:rFonts w:asciiTheme="majorHAnsi" w:hAnsiTheme="majorHAnsi"/>
          <w:i/>
          <w:noProof/>
          <w:color w:val="808080" w:themeColor="background1" w:themeShade="80"/>
        </w:rPr>
        <w:t>14</w:t>
      </w:r>
      <w:r w:rsidRPr="000B16D5">
        <w:rPr>
          <w:rFonts w:asciiTheme="majorHAnsi" w:hAnsiTheme="majorHAnsi"/>
          <w:i/>
          <w:color w:val="808080" w:themeColor="background1" w:themeShade="80"/>
        </w:rPr>
        <w:fldChar w:fldCharType="end"/>
      </w:r>
      <w:r w:rsidR="009F06BC" w:rsidRPr="000B16D5">
        <w:rPr>
          <w:rFonts w:asciiTheme="majorHAnsi" w:hAnsiTheme="majorHAnsi"/>
          <w:i/>
          <w:color w:val="808080" w:themeColor="background1" w:themeShade="80"/>
        </w:rPr>
        <w:t xml:space="preserve"> –</w:t>
      </w:r>
      <w:r w:rsidRPr="000B16D5">
        <w:rPr>
          <w:rFonts w:asciiTheme="majorHAnsi" w:hAnsiTheme="majorHAnsi"/>
          <w:i/>
          <w:color w:val="808080" w:themeColor="background1" w:themeShade="80"/>
        </w:rPr>
        <w:t xml:space="preserve"> Kouření, ICHS a ApoE</w:t>
      </w:r>
    </w:p>
    <w:p w:rsidR="00960C7E" w:rsidRPr="000B16D5" w:rsidRDefault="00960C7E" w:rsidP="00AC32F9">
      <w:pPr>
        <w:pStyle w:val="Podpodnadpis"/>
        <w:rPr>
          <w:rFonts w:asciiTheme="majorHAnsi" w:hAnsiTheme="majorHAnsi"/>
        </w:rPr>
      </w:pPr>
      <w:bookmarkStart w:id="82" w:name="_Toc351088843"/>
      <w:r w:rsidRPr="000B16D5">
        <w:rPr>
          <w:rFonts w:asciiTheme="majorHAnsi" w:hAnsiTheme="majorHAnsi"/>
        </w:rPr>
        <w:t>Dyslipidémie</w:t>
      </w:r>
      <w:bookmarkEnd w:id="82"/>
    </w:p>
    <w:p w:rsidR="00960C7E" w:rsidRPr="000B16D5" w:rsidRDefault="00960C7E" w:rsidP="00236F03">
      <w:pPr>
        <w:jc w:val="both"/>
        <w:rPr>
          <w:rFonts w:asciiTheme="majorHAnsi" w:hAnsiTheme="majorHAnsi"/>
        </w:rPr>
      </w:pPr>
      <w:r w:rsidRPr="000B16D5">
        <w:rPr>
          <w:rFonts w:asciiTheme="majorHAnsi" w:hAnsiTheme="majorHAnsi"/>
        </w:rPr>
        <w:t xml:space="preserve">Dyslipidémie je další z kardiometabolických chorob a zahrnuje narušení lipidového spektra, tedy změny poměrů hladin jednotlivých krevních lipidů. Zvýšené hodnoty LDL, snížené hodnoty HDL, spolu se zvýšenými hodnotami triacylglycerolů (TAG) jsou zodpovědné především za urychlením procesu aterosklerózy. V současné době bylo popsáno asi 95 různých genových lokusů, které souvisejí s metabolismem HDL, LDL a TAG a mohou tak ovlivňovat jejich metabolismus. Z vnějších faktorů je ve výzkumu kladem důraz především na vliv </w:t>
      </w:r>
      <w:r w:rsidRPr="000B16D5">
        <w:rPr>
          <w:rFonts w:asciiTheme="majorHAnsi" w:hAnsiTheme="majorHAnsi"/>
          <w:b/>
        </w:rPr>
        <w:t>polynenasycených</w:t>
      </w:r>
      <w:r w:rsidRPr="000B16D5">
        <w:rPr>
          <w:rFonts w:asciiTheme="majorHAnsi" w:hAnsiTheme="majorHAnsi"/>
        </w:rPr>
        <w:t xml:space="preserve"> </w:t>
      </w:r>
      <w:r w:rsidRPr="000B16D5">
        <w:rPr>
          <w:rFonts w:asciiTheme="majorHAnsi" w:hAnsiTheme="majorHAnsi"/>
          <w:b/>
        </w:rPr>
        <w:t>mastných</w:t>
      </w:r>
      <w:r w:rsidRPr="000B16D5">
        <w:rPr>
          <w:rFonts w:asciiTheme="majorHAnsi" w:hAnsiTheme="majorHAnsi"/>
        </w:rPr>
        <w:t xml:space="preserve"> </w:t>
      </w:r>
      <w:r w:rsidRPr="000B16D5">
        <w:rPr>
          <w:rFonts w:asciiTheme="majorHAnsi" w:hAnsiTheme="majorHAnsi"/>
          <w:b/>
        </w:rPr>
        <w:t>kyselin</w:t>
      </w:r>
      <w:r w:rsidRPr="000B16D5">
        <w:rPr>
          <w:rFonts w:asciiTheme="majorHAnsi" w:hAnsiTheme="majorHAnsi"/>
        </w:rPr>
        <w:t xml:space="preserve"> (PUFA), které patří mezi lipidy a ovlivňují hodnoty lipidového spektra, avšak zároveň s</w:t>
      </w:r>
      <w:r w:rsidR="00E03ACD" w:rsidRPr="000B16D5">
        <w:rPr>
          <w:rFonts w:asciiTheme="majorHAnsi" w:hAnsiTheme="majorHAnsi"/>
        </w:rPr>
        <w:t>e</w:t>
      </w:r>
      <w:r w:rsidRPr="000B16D5">
        <w:rPr>
          <w:rFonts w:asciiTheme="majorHAnsi" w:hAnsiTheme="majorHAnsi"/>
        </w:rPr>
        <w:t xml:space="preserve"> jedná o prekurzorové molekuly pro syntézu různých </w:t>
      </w:r>
      <w:r w:rsidRPr="000B16D5">
        <w:rPr>
          <w:rFonts w:asciiTheme="majorHAnsi" w:hAnsiTheme="majorHAnsi"/>
          <w:b/>
        </w:rPr>
        <w:t>mediátorů</w:t>
      </w:r>
      <w:r w:rsidRPr="000B16D5">
        <w:rPr>
          <w:rFonts w:asciiTheme="majorHAnsi" w:hAnsiTheme="majorHAnsi"/>
        </w:rPr>
        <w:t xml:space="preserve"> </w:t>
      </w:r>
      <w:r w:rsidRPr="000B16D5">
        <w:rPr>
          <w:rFonts w:asciiTheme="majorHAnsi" w:hAnsiTheme="majorHAnsi"/>
          <w:b/>
        </w:rPr>
        <w:t>zánětu</w:t>
      </w:r>
      <w:r w:rsidRPr="000B16D5">
        <w:rPr>
          <w:rFonts w:asciiTheme="majorHAnsi" w:hAnsiTheme="majorHAnsi"/>
        </w:rPr>
        <w:t xml:space="preserve"> a jejich příjem potravou tak může ovlivňovat kardiovaskulární riziko i tímto způsobem </w:t>
      </w:r>
      <w:r w:rsidR="00DA06C5" w:rsidRPr="000B16D5">
        <w:rPr>
          <w:rFonts w:asciiTheme="majorHAnsi" w:hAnsiTheme="majorHAnsi"/>
        </w:rPr>
        <w:t>(2,6)</w:t>
      </w:r>
      <w:r w:rsidR="0043011F" w:rsidRPr="000B16D5">
        <w:rPr>
          <w:rFonts w:asciiTheme="majorHAnsi" w:hAnsiTheme="majorHAnsi"/>
        </w:rPr>
        <w:t>.</w:t>
      </w:r>
    </w:p>
    <w:p w:rsidR="00960C7E" w:rsidRPr="000B16D5" w:rsidRDefault="00960C7E" w:rsidP="00236F03">
      <w:pPr>
        <w:jc w:val="both"/>
        <w:rPr>
          <w:rFonts w:asciiTheme="majorHAnsi" w:hAnsiTheme="majorHAnsi"/>
        </w:rPr>
      </w:pPr>
      <w:r w:rsidRPr="000B16D5">
        <w:rPr>
          <w:rFonts w:asciiTheme="majorHAnsi" w:hAnsiTheme="majorHAnsi"/>
        </w:rPr>
        <w:lastRenderedPageBreak/>
        <w:t xml:space="preserve">Genetický polymorfismus </w:t>
      </w:r>
      <w:r w:rsidRPr="000B16D5">
        <w:rPr>
          <w:rFonts w:asciiTheme="majorHAnsi" w:hAnsiTheme="majorHAnsi"/>
          <w:i/>
        </w:rPr>
        <w:t>rs174546-C</w:t>
      </w:r>
      <w:r w:rsidRPr="000B16D5">
        <w:rPr>
          <w:rStyle w:val="Znakapoznpodarou"/>
          <w:rFonts w:asciiTheme="majorHAnsi" w:hAnsiTheme="majorHAnsi"/>
          <w:i/>
        </w:rPr>
        <w:footnoteReference w:id="2"/>
      </w:r>
      <w:r w:rsidRPr="000B16D5">
        <w:rPr>
          <w:rFonts w:asciiTheme="majorHAnsi" w:hAnsiTheme="majorHAnsi"/>
        </w:rPr>
        <w:t xml:space="preserve"> v enzymu FADS (desaturáza mastných kyselin; angl. </w:t>
      </w:r>
      <w:r w:rsidRPr="000B16D5">
        <w:rPr>
          <w:rFonts w:asciiTheme="majorHAnsi" w:hAnsiTheme="majorHAnsi"/>
          <w:b/>
        </w:rPr>
        <w:t>f</w:t>
      </w:r>
      <w:r w:rsidRPr="000B16D5">
        <w:rPr>
          <w:rFonts w:asciiTheme="majorHAnsi" w:hAnsiTheme="majorHAnsi"/>
        </w:rPr>
        <w:t xml:space="preserve">atty </w:t>
      </w:r>
      <w:r w:rsidRPr="000B16D5">
        <w:rPr>
          <w:rFonts w:asciiTheme="majorHAnsi" w:hAnsiTheme="majorHAnsi"/>
          <w:b/>
        </w:rPr>
        <w:t>a</w:t>
      </w:r>
      <w:r w:rsidRPr="000B16D5">
        <w:rPr>
          <w:rFonts w:asciiTheme="majorHAnsi" w:hAnsiTheme="majorHAnsi"/>
        </w:rPr>
        <w:t xml:space="preserve">cid </w:t>
      </w:r>
      <w:r w:rsidRPr="000B16D5">
        <w:rPr>
          <w:rFonts w:asciiTheme="majorHAnsi" w:hAnsiTheme="majorHAnsi"/>
          <w:b/>
        </w:rPr>
        <w:t>d</w:t>
      </w:r>
      <w:r w:rsidRPr="000B16D5">
        <w:rPr>
          <w:rFonts w:asciiTheme="majorHAnsi" w:hAnsiTheme="majorHAnsi"/>
        </w:rPr>
        <w:t>e</w:t>
      </w:r>
      <w:r w:rsidRPr="000B16D5">
        <w:rPr>
          <w:rFonts w:asciiTheme="majorHAnsi" w:hAnsiTheme="majorHAnsi"/>
          <w:b/>
        </w:rPr>
        <w:t>s</w:t>
      </w:r>
      <w:r w:rsidRPr="000B16D5">
        <w:rPr>
          <w:rFonts w:asciiTheme="majorHAnsi" w:hAnsiTheme="majorHAnsi"/>
        </w:rPr>
        <w:t xml:space="preserve">aturase), byl asociován s vyššími hodnotami HDL cholesterolu v krvi u jedinců, kteří konzumovali více ω-6 PUFA, a tak se tento polymorfismus jeví jako protektivní. Naopak rizikovým je polymorfismus </w:t>
      </w:r>
      <w:r w:rsidRPr="000B16D5">
        <w:rPr>
          <w:rFonts w:asciiTheme="majorHAnsi" w:hAnsiTheme="majorHAnsi"/>
          <w:i/>
        </w:rPr>
        <w:t>rs4148102-A</w:t>
      </w:r>
      <w:r w:rsidRPr="000B16D5">
        <w:rPr>
          <w:rFonts w:asciiTheme="majorHAnsi" w:hAnsiTheme="majorHAnsi"/>
        </w:rPr>
        <w:t xml:space="preserve"> v genu ABCG1 (</w:t>
      </w:r>
      <w:r w:rsidRPr="000B16D5">
        <w:rPr>
          <w:rFonts w:asciiTheme="majorHAnsi" w:hAnsiTheme="majorHAnsi"/>
          <w:b/>
          <w:i/>
        </w:rPr>
        <w:t>A</w:t>
      </w:r>
      <w:r w:rsidRPr="000B16D5">
        <w:rPr>
          <w:rFonts w:asciiTheme="majorHAnsi" w:hAnsiTheme="majorHAnsi"/>
          <w:i/>
        </w:rPr>
        <w:t>TP-</w:t>
      </w:r>
      <w:r w:rsidRPr="000B16D5">
        <w:rPr>
          <w:rFonts w:asciiTheme="majorHAnsi" w:hAnsiTheme="majorHAnsi"/>
          <w:b/>
          <w:i/>
        </w:rPr>
        <w:t>b</w:t>
      </w:r>
      <w:r w:rsidRPr="000B16D5">
        <w:rPr>
          <w:rFonts w:asciiTheme="majorHAnsi" w:hAnsiTheme="majorHAnsi"/>
          <w:i/>
        </w:rPr>
        <w:t xml:space="preserve">inding </w:t>
      </w:r>
      <w:r w:rsidRPr="000B16D5">
        <w:rPr>
          <w:rFonts w:asciiTheme="majorHAnsi" w:hAnsiTheme="majorHAnsi"/>
          <w:b/>
          <w:i/>
        </w:rPr>
        <w:t>c</w:t>
      </w:r>
      <w:r w:rsidRPr="000B16D5">
        <w:rPr>
          <w:rFonts w:asciiTheme="majorHAnsi" w:hAnsiTheme="majorHAnsi"/>
          <w:i/>
        </w:rPr>
        <w:t>assette G1</w:t>
      </w:r>
      <w:r w:rsidRPr="000B16D5">
        <w:rPr>
          <w:rFonts w:asciiTheme="majorHAnsi" w:hAnsiTheme="majorHAnsi"/>
        </w:rPr>
        <w:t xml:space="preserve">; což </w:t>
      </w:r>
      <w:r w:rsidR="00E03ACD" w:rsidRPr="000B16D5">
        <w:rPr>
          <w:rFonts w:asciiTheme="majorHAnsi" w:hAnsiTheme="majorHAnsi"/>
        </w:rPr>
        <w:t xml:space="preserve">je </w:t>
      </w:r>
      <w:r w:rsidRPr="000B16D5">
        <w:rPr>
          <w:rFonts w:asciiTheme="majorHAnsi" w:hAnsiTheme="majorHAnsi"/>
        </w:rPr>
        <w:t xml:space="preserve">enzym, který zajišťuje transport mastných kyselin ze somatických buněk do HDL), kdy při zvýšeném příjmu PUFA dochází k zvýšení hodnot celkového cholesterolu, především pak frakce LDL </w:t>
      </w:r>
      <w:r w:rsidR="00DA06C5" w:rsidRPr="000B16D5">
        <w:rPr>
          <w:rFonts w:asciiTheme="majorHAnsi" w:hAnsiTheme="majorHAnsi"/>
        </w:rPr>
        <w:t>(2,6)</w:t>
      </w:r>
      <w:r w:rsidR="0043011F" w:rsidRPr="000B16D5">
        <w:rPr>
          <w:rFonts w:asciiTheme="majorHAnsi" w:hAnsiTheme="majorHAnsi"/>
        </w:rPr>
        <w:t>.</w:t>
      </w:r>
    </w:p>
    <w:p w:rsidR="00960C7E" w:rsidRPr="000B16D5" w:rsidRDefault="00960C7E" w:rsidP="00236F03">
      <w:pPr>
        <w:autoSpaceDE w:val="0"/>
        <w:autoSpaceDN w:val="0"/>
        <w:adjustRightInd w:val="0"/>
        <w:jc w:val="both"/>
        <w:rPr>
          <w:rFonts w:asciiTheme="majorHAnsi" w:hAnsiTheme="majorHAnsi"/>
        </w:rPr>
      </w:pPr>
      <w:r w:rsidRPr="000B16D5">
        <w:rPr>
          <w:rFonts w:asciiTheme="majorHAnsi" w:hAnsiTheme="majorHAnsi"/>
        </w:rPr>
        <w:t xml:space="preserve">Dalším významným enzymem zasahujícím do metabolismu lipidů je PPARα (z angl. </w:t>
      </w:r>
      <w:r w:rsidRPr="000B16D5">
        <w:rPr>
          <w:rFonts w:asciiTheme="majorHAnsi" w:hAnsiTheme="majorHAnsi" w:cs="Times-Roman"/>
          <w:i/>
        </w:rPr>
        <w:t>peroxisome proliferator activated receptor α</w:t>
      </w:r>
      <w:r w:rsidRPr="000B16D5">
        <w:rPr>
          <w:rFonts w:asciiTheme="majorHAnsi" w:hAnsiTheme="majorHAnsi" w:cs="Times-Roman"/>
        </w:rPr>
        <w:t>)</w:t>
      </w:r>
      <w:r w:rsidRPr="000B16D5">
        <w:rPr>
          <w:rFonts w:asciiTheme="majorHAnsi" w:hAnsiTheme="majorHAnsi"/>
        </w:rPr>
        <w:t xml:space="preserve">. PPARα je receptor, na který se váže řada endogenních (např. PUFA) i exogenních (např. léky zvané fibráty) faktorů, aktivuje jej, načež se celý komplex přesouvá do jádra, kde aktivuje genovou expresi určitých genů. Polymorfismus L162V, při kterém dochází k výměně aminokyseliny leucinu v 162. pozici za aminokyselinu valin, byl asociován s rozdílnými hodnotami plazmatických TAG u jednotlivých variant v závislosti na příjmu PUFA. Pacienti s variantou 162V mohli přijímat více PUFA a vedlo to k menším změnám hladiny TAG – byli tedy více chráněni před přílišným vzestupem hodnot triacelglycerolů. Jiný polymorfismus stejného genu, V227A, zase způsoboval u asijské populace, že u jedinců s alelou 227A a vyšším </w:t>
      </w:r>
      <w:r w:rsidR="00E03ACD" w:rsidRPr="000B16D5">
        <w:rPr>
          <w:rFonts w:asciiTheme="majorHAnsi" w:hAnsiTheme="majorHAnsi"/>
        </w:rPr>
        <w:t xml:space="preserve">příjmem </w:t>
      </w:r>
      <w:r w:rsidRPr="000B16D5">
        <w:rPr>
          <w:rFonts w:asciiTheme="majorHAnsi" w:hAnsiTheme="majorHAnsi"/>
        </w:rPr>
        <w:t>PUFA docházelo k snižování hladin HDL.</w:t>
      </w:r>
      <w:r w:rsidR="00DA06C5" w:rsidRPr="000B16D5">
        <w:rPr>
          <w:rFonts w:asciiTheme="majorHAnsi" w:hAnsiTheme="majorHAnsi"/>
        </w:rPr>
        <w:t xml:space="preserve"> (6, 14)</w:t>
      </w:r>
    </w:p>
    <w:p w:rsidR="00DA06C5" w:rsidRPr="000B16D5" w:rsidRDefault="00960C7E" w:rsidP="00DA06C5">
      <w:pPr>
        <w:jc w:val="both"/>
        <w:rPr>
          <w:rFonts w:asciiTheme="majorHAnsi" w:hAnsiTheme="majorHAnsi"/>
        </w:rPr>
      </w:pPr>
      <w:r w:rsidRPr="000B16D5">
        <w:rPr>
          <w:rFonts w:asciiTheme="majorHAnsi" w:hAnsiTheme="majorHAnsi"/>
        </w:rPr>
        <w:t xml:space="preserve">Kromě diety, ovlivňuje hodnoty lipidového spektra též </w:t>
      </w:r>
      <w:r w:rsidRPr="000B16D5">
        <w:rPr>
          <w:rFonts w:asciiTheme="majorHAnsi" w:hAnsiTheme="majorHAnsi"/>
          <w:b/>
        </w:rPr>
        <w:t>sedavý</w:t>
      </w:r>
      <w:r w:rsidRPr="000B16D5">
        <w:rPr>
          <w:rFonts w:asciiTheme="majorHAnsi" w:hAnsiTheme="majorHAnsi"/>
        </w:rPr>
        <w:t xml:space="preserve"> </w:t>
      </w:r>
      <w:r w:rsidRPr="000B16D5">
        <w:rPr>
          <w:rFonts w:asciiTheme="majorHAnsi" w:hAnsiTheme="majorHAnsi"/>
          <w:b/>
        </w:rPr>
        <w:t>způsob</w:t>
      </w:r>
      <w:r w:rsidRPr="000B16D5">
        <w:rPr>
          <w:rFonts w:asciiTheme="majorHAnsi" w:hAnsiTheme="majorHAnsi"/>
        </w:rPr>
        <w:t xml:space="preserve"> </w:t>
      </w:r>
      <w:r w:rsidRPr="000B16D5">
        <w:rPr>
          <w:rFonts w:asciiTheme="majorHAnsi" w:hAnsiTheme="majorHAnsi"/>
          <w:b/>
        </w:rPr>
        <w:t>života</w:t>
      </w:r>
      <w:r w:rsidRPr="000B16D5">
        <w:rPr>
          <w:rFonts w:asciiTheme="majorHAnsi" w:hAnsiTheme="majorHAnsi"/>
        </w:rPr>
        <w:t xml:space="preserve"> (snad pro zajímavost jen uvádíme, že kvantifikace sedavého způsobu života se stanovují pomocí času, který jedinci stráví před obrazovkou, tzv. „</w:t>
      </w:r>
      <w:r w:rsidRPr="000B16D5">
        <w:rPr>
          <w:rFonts w:asciiTheme="majorHAnsi" w:hAnsiTheme="majorHAnsi"/>
          <w:i/>
        </w:rPr>
        <w:t>screen viewing time</w:t>
      </w:r>
      <w:r w:rsidRPr="000B16D5">
        <w:rPr>
          <w:rFonts w:asciiTheme="majorHAnsi" w:hAnsiTheme="majorHAnsi"/>
        </w:rPr>
        <w:t xml:space="preserve">“), který snižuje hodnoty HDL cholesterolu a pak také </w:t>
      </w:r>
      <w:r w:rsidRPr="000B16D5">
        <w:rPr>
          <w:rFonts w:asciiTheme="majorHAnsi" w:hAnsiTheme="majorHAnsi"/>
          <w:b/>
        </w:rPr>
        <w:t>kouření</w:t>
      </w:r>
      <w:r w:rsidRPr="000B16D5">
        <w:rPr>
          <w:rFonts w:asciiTheme="majorHAnsi" w:hAnsiTheme="majorHAnsi"/>
        </w:rPr>
        <w:t>, které rovněž negativně ovlivňuje lipidové spektrum u pacientů s různými polymorfismy v genech ABCG5 a ABCG8 (tyto proteiny zajišťují transport cholesterolu z hepatocytů do intersticia)</w:t>
      </w:r>
      <w:r w:rsidR="00DA06C5" w:rsidRPr="000B16D5">
        <w:rPr>
          <w:rFonts w:asciiTheme="majorHAnsi" w:hAnsiTheme="majorHAnsi"/>
        </w:rPr>
        <w:t xml:space="preserve"> (2,6)</w:t>
      </w:r>
      <w:bookmarkStart w:id="83" w:name="_Toc351088844"/>
      <w:r w:rsidR="0043011F" w:rsidRPr="000B16D5">
        <w:rPr>
          <w:rFonts w:asciiTheme="majorHAnsi" w:hAnsiTheme="majorHAnsi"/>
        </w:rPr>
        <w:t>.</w:t>
      </w:r>
    </w:p>
    <w:p w:rsidR="00960C7E" w:rsidRPr="000B16D5" w:rsidRDefault="00DA06C5" w:rsidP="00DA06C5">
      <w:pPr>
        <w:pStyle w:val="Podpodnadpis"/>
        <w:rPr>
          <w:rFonts w:asciiTheme="majorHAnsi" w:hAnsiTheme="majorHAnsi"/>
        </w:rPr>
      </w:pPr>
      <w:r w:rsidRPr="000B16D5">
        <w:rPr>
          <w:rFonts w:asciiTheme="majorHAnsi" w:hAnsiTheme="majorHAnsi"/>
        </w:rPr>
        <w:t xml:space="preserve"> </w:t>
      </w:r>
      <w:r w:rsidR="00960C7E" w:rsidRPr="000B16D5">
        <w:rPr>
          <w:rFonts w:asciiTheme="majorHAnsi" w:hAnsiTheme="majorHAnsi"/>
        </w:rPr>
        <w:t>Obezita</w:t>
      </w:r>
      <w:bookmarkEnd w:id="83"/>
    </w:p>
    <w:p w:rsidR="00960C7E" w:rsidRPr="000B16D5" w:rsidRDefault="00960C7E" w:rsidP="00236F03">
      <w:pPr>
        <w:jc w:val="both"/>
        <w:rPr>
          <w:rFonts w:asciiTheme="majorHAnsi" w:hAnsiTheme="majorHAnsi"/>
        </w:rPr>
      </w:pPr>
      <w:r w:rsidRPr="000B16D5">
        <w:rPr>
          <w:rFonts w:asciiTheme="majorHAnsi" w:hAnsiTheme="majorHAnsi"/>
        </w:rPr>
        <w:t xml:space="preserve">Obezita, definovaná obecně jako zmnožení viscerálního tuku v těle, nebo též pomocí hodnot BMI jako BMI vyšší </w:t>
      </w:r>
      <w:r w:rsidR="00E03ACD" w:rsidRPr="000B16D5">
        <w:rPr>
          <w:rFonts w:asciiTheme="majorHAnsi" w:hAnsiTheme="majorHAnsi"/>
        </w:rPr>
        <w:t xml:space="preserve">než </w:t>
      </w:r>
      <w:r w:rsidRPr="000B16D5">
        <w:rPr>
          <w:rFonts w:asciiTheme="majorHAnsi" w:hAnsiTheme="majorHAnsi"/>
        </w:rPr>
        <w:t>30 kg/m</w:t>
      </w:r>
      <w:r w:rsidRPr="000B16D5">
        <w:rPr>
          <w:rFonts w:asciiTheme="majorHAnsi" w:hAnsiTheme="majorHAnsi"/>
          <w:vertAlign w:val="superscript"/>
        </w:rPr>
        <w:t>2</w:t>
      </w:r>
      <w:r w:rsidRPr="000B16D5">
        <w:rPr>
          <w:rFonts w:asciiTheme="majorHAnsi" w:hAnsiTheme="majorHAnsi"/>
        </w:rPr>
        <w:t>, zažívá jako většina kardiometabolických onemocnění svou světovou pandemii – odhady říkají, že je v dnešní době postiženo více jak 10</w:t>
      </w:r>
      <w:r w:rsidR="00054C20" w:rsidRPr="000B16D5">
        <w:rPr>
          <w:rFonts w:asciiTheme="majorHAnsi" w:hAnsiTheme="majorHAnsi"/>
        </w:rPr>
        <w:t xml:space="preserve"> </w:t>
      </w:r>
      <w:r w:rsidRPr="000B16D5">
        <w:rPr>
          <w:rFonts w:asciiTheme="majorHAnsi" w:hAnsiTheme="majorHAnsi"/>
        </w:rPr>
        <w:t>% světové populace. Alarmující je i nárůst počtu případů dětské obezity. Základními etiologickými faktory pro vznik obezity je zvýšený příjem hyperkalorické stravy a nedostatek aerobní tělesné aktivity. Obezita je pak sama významným ukazatelem kardiovaskulárního rizika, kdy obézní jedinci velice často trpí komplikacemi některé kardiovaskulární choroby.</w:t>
      </w:r>
    </w:p>
    <w:p w:rsidR="00960C7E" w:rsidRPr="000B16D5" w:rsidRDefault="00960C7E" w:rsidP="00236F03">
      <w:pPr>
        <w:jc w:val="both"/>
        <w:rPr>
          <w:rFonts w:asciiTheme="majorHAnsi" w:hAnsiTheme="majorHAnsi"/>
        </w:rPr>
      </w:pPr>
      <w:r w:rsidRPr="000B16D5">
        <w:rPr>
          <w:rFonts w:asciiTheme="majorHAnsi" w:hAnsiTheme="majorHAnsi"/>
        </w:rPr>
        <w:t xml:space="preserve">Co se týče genů zkoumaných </w:t>
      </w:r>
      <w:r w:rsidR="00054C20" w:rsidRPr="000B16D5">
        <w:rPr>
          <w:rFonts w:asciiTheme="majorHAnsi" w:hAnsiTheme="majorHAnsi"/>
        </w:rPr>
        <w:t>v souvislosti s obezitou</w:t>
      </w:r>
      <w:r w:rsidRPr="000B16D5">
        <w:rPr>
          <w:rFonts w:asciiTheme="majorHAnsi" w:hAnsiTheme="majorHAnsi"/>
        </w:rPr>
        <w:t xml:space="preserve">, jedním z prvních byl gen </w:t>
      </w:r>
      <w:r w:rsidRPr="000B16D5">
        <w:rPr>
          <w:rFonts w:asciiTheme="majorHAnsi" w:hAnsiTheme="majorHAnsi"/>
          <w:i/>
        </w:rPr>
        <w:t>FTO (</w:t>
      </w:r>
      <w:r w:rsidRPr="000B16D5">
        <w:rPr>
          <w:rFonts w:asciiTheme="majorHAnsi" w:hAnsiTheme="majorHAnsi"/>
        </w:rPr>
        <w:t xml:space="preserve">z angl. </w:t>
      </w:r>
      <w:r w:rsidRPr="000B16D5">
        <w:rPr>
          <w:rFonts w:asciiTheme="majorHAnsi" w:hAnsiTheme="majorHAnsi"/>
          <w:b/>
          <w:i/>
        </w:rPr>
        <w:t>f</w:t>
      </w:r>
      <w:r w:rsidRPr="000B16D5">
        <w:rPr>
          <w:rFonts w:asciiTheme="majorHAnsi" w:hAnsiTheme="majorHAnsi"/>
          <w:i/>
        </w:rPr>
        <w:t>a</w:t>
      </w:r>
      <w:r w:rsidRPr="000B16D5">
        <w:rPr>
          <w:rFonts w:asciiTheme="majorHAnsi" w:hAnsiTheme="majorHAnsi"/>
          <w:b/>
          <w:i/>
        </w:rPr>
        <w:t>t</w:t>
      </w:r>
      <w:r w:rsidRPr="000B16D5">
        <w:rPr>
          <w:rFonts w:asciiTheme="majorHAnsi" w:hAnsiTheme="majorHAnsi"/>
          <w:i/>
        </w:rPr>
        <w:t xml:space="preserve">ty-mass and </w:t>
      </w:r>
      <w:r w:rsidRPr="000B16D5">
        <w:rPr>
          <w:rFonts w:asciiTheme="majorHAnsi" w:hAnsiTheme="majorHAnsi"/>
          <w:b/>
          <w:i/>
        </w:rPr>
        <w:t>o</w:t>
      </w:r>
      <w:r w:rsidRPr="000B16D5">
        <w:rPr>
          <w:rFonts w:asciiTheme="majorHAnsi" w:hAnsiTheme="majorHAnsi"/>
          <w:i/>
        </w:rPr>
        <w:t>besity associated protein)</w:t>
      </w:r>
      <w:r w:rsidR="005669BB" w:rsidRPr="000B16D5">
        <w:rPr>
          <w:rFonts w:asciiTheme="majorHAnsi" w:hAnsiTheme="majorHAnsi"/>
          <w:i/>
        </w:rPr>
        <w:t xml:space="preserve">, </w:t>
      </w:r>
      <w:r w:rsidR="005669BB" w:rsidRPr="000B16D5">
        <w:rPr>
          <w:rFonts w:asciiTheme="majorHAnsi" w:hAnsiTheme="majorHAnsi"/>
        </w:rPr>
        <w:t xml:space="preserve">který má vztah jak </w:t>
      </w:r>
      <w:r w:rsidRPr="000B16D5">
        <w:rPr>
          <w:rFonts w:asciiTheme="majorHAnsi" w:hAnsiTheme="majorHAnsi"/>
        </w:rPr>
        <w:t>k fyzické aktivitě</w:t>
      </w:r>
      <w:r w:rsidR="005669BB" w:rsidRPr="000B16D5">
        <w:rPr>
          <w:rFonts w:asciiTheme="majorHAnsi" w:hAnsiTheme="majorHAnsi"/>
        </w:rPr>
        <w:t>, tak k</w:t>
      </w:r>
      <w:r w:rsidRPr="000B16D5">
        <w:rPr>
          <w:rFonts w:asciiTheme="majorHAnsi" w:hAnsiTheme="majorHAnsi"/>
        </w:rPr>
        <w:t xml:space="preserve"> příjmu saturovaných mastných kyselin. Jedinci se sníženou pohybovou aktivitou a variantou </w:t>
      </w:r>
      <w:r w:rsidRPr="000B16D5">
        <w:rPr>
          <w:rFonts w:asciiTheme="majorHAnsi" w:hAnsiTheme="majorHAnsi"/>
          <w:i/>
        </w:rPr>
        <w:t>rs9939609-A</w:t>
      </w:r>
      <w:r w:rsidRPr="000B16D5">
        <w:rPr>
          <w:rFonts w:asciiTheme="majorHAnsi" w:hAnsiTheme="majorHAnsi"/>
        </w:rPr>
        <w:t xml:space="preserve"> měli zvýšené riziko rozvoje obezity 1,4x</w:t>
      </w:r>
      <w:r w:rsidR="0061066D" w:rsidRPr="000B16D5">
        <w:rPr>
          <w:rFonts w:asciiTheme="majorHAnsi" w:hAnsiTheme="majorHAnsi"/>
        </w:rPr>
        <w:t>,</w:t>
      </w:r>
      <w:r w:rsidRPr="000B16D5">
        <w:rPr>
          <w:rFonts w:asciiTheme="majorHAnsi" w:hAnsiTheme="majorHAnsi"/>
        </w:rPr>
        <w:t xml:space="preserve"> </w:t>
      </w:r>
      <w:r w:rsidR="0061066D" w:rsidRPr="000B16D5">
        <w:rPr>
          <w:rFonts w:asciiTheme="majorHAnsi" w:hAnsiTheme="majorHAnsi"/>
        </w:rPr>
        <w:t xml:space="preserve">pičemž </w:t>
      </w:r>
      <w:r w:rsidRPr="000B16D5">
        <w:rPr>
          <w:rFonts w:asciiTheme="majorHAnsi" w:hAnsiTheme="majorHAnsi"/>
        </w:rPr>
        <w:t xml:space="preserve">jedinci se stejnou variantou, avšak s dostatečnou fyzickou aktivitou, dokázali vliv FTO na rozvoj obezity zcela potlačit. Podobně </w:t>
      </w:r>
      <w:r w:rsidR="0061066D" w:rsidRPr="000B16D5">
        <w:rPr>
          <w:rFonts w:asciiTheme="majorHAnsi" w:hAnsiTheme="majorHAnsi"/>
        </w:rPr>
        <w:t>se vyznačovala</w:t>
      </w:r>
      <w:r w:rsidR="00F446F9" w:rsidRPr="000B16D5">
        <w:rPr>
          <w:rFonts w:asciiTheme="majorHAnsi" w:hAnsiTheme="majorHAnsi"/>
        </w:rPr>
        <w:t xml:space="preserve"> </w:t>
      </w:r>
      <w:r w:rsidRPr="000B16D5">
        <w:rPr>
          <w:rFonts w:asciiTheme="majorHAnsi" w:hAnsiTheme="majorHAnsi"/>
        </w:rPr>
        <w:t xml:space="preserve">varianta spojená s vyšším rizikem obezity u jedinců s nadměrným příjmem nasycených tuků. </w:t>
      </w:r>
      <w:r w:rsidR="00CF76C4" w:rsidRPr="000B16D5">
        <w:rPr>
          <w:rFonts w:asciiTheme="majorHAnsi" w:hAnsiTheme="majorHAnsi"/>
        </w:rPr>
        <w:t xml:space="preserve">A podobný </w:t>
      </w:r>
      <w:r w:rsidRPr="000B16D5">
        <w:rPr>
          <w:rFonts w:asciiTheme="majorHAnsi" w:hAnsiTheme="majorHAnsi"/>
        </w:rPr>
        <w:t>vztah, kdy nadměrný příjem tuků zvyšoval riziko obezity, byl prokázán i u polymorfismu v promotorové oblasti genu APOA2 (polymorfismus -256T&gt;C) u jedinců s alelou C.</w:t>
      </w:r>
    </w:p>
    <w:p w:rsidR="00960C7E" w:rsidRPr="000B16D5" w:rsidRDefault="00960C7E" w:rsidP="00236F03">
      <w:pPr>
        <w:jc w:val="both"/>
        <w:rPr>
          <w:rFonts w:asciiTheme="majorHAnsi" w:hAnsiTheme="majorHAnsi"/>
        </w:rPr>
      </w:pPr>
      <w:r w:rsidRPr="000B16D5">
        <w:rPr>
          <w:rFonts w:asciiTheme="majorHAnsi" w:hAnsiTheme="majorHAnsi"/>
        </w:rPr>
        <w:t>Kromě lipidového metabolismu bylo prokázáno, že se na rozvoji obezity podílí i řada zánětlivých signalizačních drah a dokonce že akumulovaný viscerální tuk se stává endokrinním orgánem, který sám produkuje některé prozánětlivé signální molekuly (cytokiny). Jednou z těchto molekul je např. interleukin-6 (IL-6). V promotorové oblasti tohoto genu se nachází polymorfismus (</w:t>
      </w:r>
      <w:r w:rsidRPr="000B16D5">
        <w:rPr>
          <w:rFonts w:asciiTheme="majorHAnsi" w:hAnsiTheme="majorHAnsi"/>
        </w:rPr>
        <w:noBreakHyphen/>
        <w:t xml:space="preserve">174G&gt;C), který souvisí s tzv. </w:t>
      </w:r>
      <w:r w:rsidR="00DC2BEB" w:rsidRPr="000B16D5">
        <w:rPr>
          <w:rFonts w:asciiTheme="majorHAnsi" w:hAnsiTheme="majorHAnsi"/>
        </w:rPr>
        <w:t xml:space="preserve">středomořskou </w:t>
      </w:r>
      <w:r w:rsidRPr="000B16D5">
        <w:rPr>
          <w:rFonts w:asciiTheme="majorHAnsi" w:hAnsiTheme="majorHAnsi"/>
        </w:rPr>
        <w:t xml:space="preserve">dietou. U jedinců s alelou CC na středomořské dietě docházelo k nižšímu nárůstu váhy ve srovnání s kontrolní skupinou bez středomořské diety. Navíc tvorba IL-6 a dalšího interleukinu (IL-2) souvisí i s hladinami PUFA v buněčné membráně endokrinních buněk – buněčná membrána slouží jako zásobárna prekurzorů pro syntézu různých </w:t>
      </w:r>
      <w:r w:rsidRPr="000B16D5">
        <w:rPr>
          <w:rFonts w:asciiTheme="majorHAnsi" w:hAnsiTheme="majorHAnsi"/>
        </w:rPr>
        <w:lastRenderedPageBreak/>
        <w:t xml:space="preserve">cytokinů a pokud je PUFA, které jsou prekurzorovými molekulami pro tyto cytokiny, v membráně nedostatek, může to ovlivnit syntézu jednotlivých cytokinů a průběh zánětlivé reakce </w:t>
      </w:r>
      <w:r w:rsidR="00DA06C5" w:rsidRPr="000B16D5">
        <w:rPr>
          <w:rFonts w:asciiTheme="majorHAnsi" w:hAnsiTheme="majorHAnsi"/>
          <w:noProof/>
        </w:rPr>
        <w:t>(2, 6)</w:t>
      </w:r>
      <w:r w:rsidR="0043011F" w:rsidRPr="000B16D5">
        <w:rPr>
          <w:rFonts w:asciiTheme="majorHAnsi" w:hAnsiTheme="majorHAnsi"/>
          <w:noProof/>
        </w:rPr>
        <w:t>.</w:t>
      </w:r>
    </w:p>
    <w:p w:rsidR="00960C7E" w:rsidRPr="000B16D5" w:rsidRDefault="00960C7E" w:rsidP="00AC32F9">
      <w:pPr>
        <w:pStyle w:val="Podpodnadpis"/>
        <w:rPr>
          <w:rFonts w:asciiTheme="majorHAnsi" w:hAnsiTheme="majorHAnsi"/>
        </w:rPr>
      </w:pPr>
      <w:bookmarkStart w:id="84" w:name="_Toc351088845"/>
      <w:r w:rsidRPr="000B16D5">
        <w:rPr>
          <w:rFonts w:asciiTheme="majorHAnsi" w:hAnsiTheme="majorHAnsi"/>
        </w:rPr>
        <w:t>Hypertenze</w:t>
      </w:r>
      <w:bookmarkEnd w:id="84"/>
    </w:p>
    <w:p w:rsidR="00960C7E" w:rsidRPr="000B16D5" w:rsidRDefault="00960C7E" w:rsidP="00236F03">
      <w:pPr>
        <w:jc w:val="both"/>
        <w:rPr>
          <w:rFonts w:asciiTheme="majorHAnsi" w:hAnsiTheme="majorHAnsi"/>
        </w:rPr>
      </w:pPr>
      <w:r w:rsidRPr="000B16D5">
        <w:rPr>
          <w:rFonts w:asciiTheme="majorHAnsi" w:hAnsiTheme="majorHAnsi"/>
        </w:rPr>
        <w:t>Hypertenze je v dnešní době definována jako systolický krevní tlak roven nebo vyšší 140 mmHg a diastolický krevní tlak roven nebo vyšší 90 mmHg. Rozlišujeme několik různých stupňů hypertenze (I., II., III.), které se od sebe odlišují hodnotami krevního tlaku, avšak především odlišným rizikem orgánových komplikací (tedy různým rizikem poškození jednotlivých orgánů vlivem vysokého tlaku) pro pacienta. Se stárnutím populace se stává obecným problémem i tzv. izolovaná pružníková hypertenze dána především aterosklerotickými pochody, kdy postižení jedinci mají vysoký systolický krevní tlak (STK &gt;= 140) v důsledku snížení pružnosti cévní stěny, avšak diastolický krevní tlak mají nízký (DTK &lt;= 90 mmHg).</w:t>
      </w:r>
    </w:p>
    <w:p w:rsidR="00960C7E" w:rsidRPr="000B16D5" w:rsidRDefault="00960C7E" w:rsidP="00236F03">
      <w:pPr>
        <w:jc w:val="both"/>
        <w:rPr>
          <w:rFonts w:asciiTheme="majorHAnsi" w:hAnsiTheme="majorHAnsi"/>
        </w:rPr>
      </w:pPr>
      <w:r w:rsidRPr="000B16D5">
        <w:rPr>
          <w:rFonts w:asciiTheme="majorHAnsi" w:hAnsiTheme="majorHAnsi"/>
        </w:rPr>
        <w:t>Etiologicky lze dělit hypertenzi na sekundární, která vzniká sekundárně až po nějakém primární poškození určitého orgánu (např. ledvin), a dále pak na hypertenzi esenciální, která vzniká primárně za působení výše uvedených rizikových faktorů. U pacientů se většinou nesetkáváme s tím, že by trpěli jen hypertenzí, častěji se setkáváme s tím, že je u pacienta hypertenze sdružena s dalšími v této kapitole popisovanými chorobami, jejichž rozvoj sama dále podporuje, neboť je jejich etiologickým rizikovým faktorem.</w:t>
      </w:r>
    </w:p>
    <w:p w:rsidR="00960C7E" w:rsidRPr="000B16D5" w:rsidRDefault="00960C7E" w:rsidP="00236F03">
      <w:pPr>
        <w:jc w:val="both"/>
        <w:rPr>
          <w:rFonts w:asciiTheme="majorHAnsi" w:hAnsiTheme="majorHAnsi"/>
        </w:rPr>
      </w:pPr>
      <w:r w:rsidRPr="000B16D5">
        <w:rPr>
          <w:rFonts w:asciiTheme="majorHAnsi" w:hAnsiTheme="majorHAnsi"/>
        </w:rPr>
        <w:t>S hypertenzí je úzce spojen tzv. renin-angiotensin-aldosteronový systém (RAAS). Tento systém reguluje krevní tlak především změnami napětí cévní stěny a celkového tělesného objemu. Při aktivaci tohoto systému, např. zúžením ledvinné arterie, dochází k zvyšování krevního tlaku a vzniku jednoho z podtypů sekundární hypertenze označovaného jako hypertenze renovaskulární (primárním inzultem je zúžení ledvinné arterie, k hypertenzi dochází až sekundárně na podkladě tohoto zúžení). S ohledem na důležitost RAAS v regulaci krevního tlaku a na existenci některých monogenních forem hypertenze (např. primární hyperladosteronismus) není divu, že geny, které kódují jeho jednotlivé složky, byly jedněmi z prvních prozkoumaných genů ve vztahu rozvoje hypertenze a vlivu vnějších faktorů.</w:t>
      </w:r>
    </w:p>
    <w:p w:rsidR="00960C7E" w:rsidRPr="000B16D5" w:rsidRDefault="00960C7E" w:rsidP="00236F03">
      <w:pPr>
        <w:jc w:val="both"/>
        <w:rPr>
          <w:rFonts w:asciiTheme="majorHAnsi" w:hAnsiTheme="majorHAnsi"/>
        </w:rPr>
      </w:pPr>
      <w:r w:rsidRPr="000B16D5">
        <w:rPr>
          <w:rFonts w:asciiTheme="majorHAnsi" w:hAnsiTheme="majorHAnsi"/>
        </w:rPr>
        <w:t>Polymorfismus v prvním proteinu angiotensinové kaskády, angiotensinogenu (AGT M235T) je spojován s hypertenzí u jedinců MT a TT s vysokým příjmem soli, u kterých je riziko rozvoje hypertenze asi 2x vyšší, než u jedinců s variantou MM.</w:t>
      </w:r>
    </w:p>
    <w:p w:rsidR="00960C7E" w:rsidRPr="000B16D5" w:rsidRDefault="00960C7E" w:rsidP="00236F03">
      <w:pPr>
        <w:jc w:val="both"/>
        <w:rPr>
          <w:rFonts w:asciiTheme="majorHAnsi" w:hAnsiTheme="majorHAnsi"/>
        </w:rPr>
      </w:pPr>
      <w:r w:rsidRPr="000B16D5">
        <w:rPr>
          <w:rFonts w:asciiTheme="majorHAnsi" w:hAnsiTheme="majorHAnsi"/>
        </w:rPr>
        <w:t>Angiotenzin konvertující enzym (ACE) se v populaci vyskytuje ve dvou svých variantách – inzerční (I) a deleční (D). Vnějšími faktory, které způsobují, že se tento polymorfismus ve vztahu k hypertenzi může projevit, jsou hlučné prostředí a stejně jako u AGT příjem soli. Jedinci, kteří jsou vystavení hluku a jsou nositeli varianty DD, jsou ohroženi vznikem hypertenze (4,5x) oproti těm, kteří v hlučném prostředí nepracují. Naopak jedinci s variantou ID a II, kteří přijímají nadbytečné množství soli, jsou ohroženi hypertenzí oproti jedincům s variantou DD.</w:t>
      </w:r>
    </w:p>
    <w:p w:rsidR="00960C7E" w:rsidRPr="000B16D5" w:rsidRDefault="00960C7E" w:rsidP="00236F03">
      <w:pPr>
        <w:jc w:val="both"/>
        <w:rPr>
          <w:rFonts w:asciiTheme="majorHAnsi" w:hAnsiTheme="majorHAnsi"/>
        </w:rPr>
      </w:pPr>
      <w:r w:rsidRPr="000B16D5">
        <w:rPr>
          <w:rFonts w:asciiTheme="majorHAnsi" w:hAnsiTheme="majorHAnsi"/>
        </w:rPr>
        <w:t>Enzym aldosteronsyntáza (CYP11B2), který je zodpovědný za syntézu aldosteronu, má své promotorové oblasti polymorfismus -344C&gt;T, což vede k rozdílné vazbě transkripčních faktorů a zvýšeným hladinám aldosteronu u homozygotů TT</w:t>
      </w:r>
      <w:r w:rsidR="00DA06C5" w:rsidRPr="000B16D5">
        <w:rPr>
          <w:rFonts w:asciiTheme="majorHAnsi" w:hAnsiTheme="majorHAnsi"/>
        </w:rPr>
        <w:t xml:space="preserve"> (</w:t>
      </w:r>
      <w:r w:rsidRPr="000B16D5">
        <w:rPr>
          <w:rFonts w:asciiTheme="majorHAnsi" w:hAnsiTheme="majorHAnsi"/>
          <w:noProof/>
        </w:rPr>
        <w:t>15</w:t>
      </w:r>
      <w:r w:rsidR="00DA06C5" w:rsidRPr="000B16D5">
        <w:rPr>
          <w:rFonts w:asciiTheme="majorHAnsi" w:hAnsiTheme="majorHAnsi"/>
          <w:noProof/>
        </w:rPr>
        <w:t>)</w:t>
      </w:r>
      <w:r w:rsidRPr="000B16D5">
        <w:rPr>
          <w:rFonts w:asciiTheme="majorHAnsi" w:hAnsiTheme="majorHAnsi"/>
        </w:rPr>
        <w:t>. Nadměrná konzumpce alkoholu navíc zvýšila u jedinců s variantou TT a TC riziko hypertenze asi 3x oproti nositelům varianty CC</w:t>
      </w:r>
      <w:r w:rsidR="00E94D7C" w:rsidRPr="000B16D5">
        <w:rPr>
          <w:rFonts w:asciiTheme="majorHAnsi" w:hAnsiTheme="majorHAnsi"/>
        </w:rPr>
        <w:t>.</w:t>
      </w:r>
      <w:r w:rsidRPr="000B16D5">
        <w:rPr>
          <w:rFonts w:asciiTheme="majorHAnsi" w:hAnsiTheme="majorHAnsi"/>
        </w:rPr>
        <w:t xml:space="preserve"> </w:t>
      </w:r>
      <w:r w:rsidR="00DA06C5" w:rsidRPr="000B16D5">
        <w:rPr>
          <w:rFonts w:asciiTheme="majorHAnsi" w:hAnsiTheme="majorHAnsi"/>
          <w:noProof/>
        </w:rPr>
        <w:t>(</w:t>
      </w:r>
      <w:r w:rsidRPr="000B16D5">
        <w:rPr>
          <w:rFonts w:asciiTheme="majorHAnsi" w:hAnsiTheme="majorHAnsi"/>
          <w:noProof/>
        </w:rPr>
        <w:t>2</w:t>
      </w:r>
      <w:r w:rsidR="00DA06C5" w:rsidRPr="000B16D5">
        <w:rPr>
          <w:rFonts w:asciiTheme="majorHAnsi" w:hAnsiTheme="majorHAnsi"/>
          <w:noProof/>
        </w:rPr>
        <w:t>)</w:t>
      </w:r>
    </w:p>
    <w:p w:rsidR="00960C7E" w:rsidRPr="000B16D5" w:rsidRDefault="00960C7E" w:rsidP="00AC32F9">
      <w:pPr>
        <w:pStyle w:val="Podpodnadpis"/>
        <w:rPr>
          <w:rFonts w:asciiTheme="majorHAnsi" w:hAnsiTheme="majorHAnsi"/>
        </w:rPr>
      </w:pPr>
      <w:bookmarkStart w:id="85" w:name="_Toc351088846"/>
      <w:r w:rsidRPr="000B16D5">
        <w:rPr>
          <w:rFonts w:asciiTheme="majorHAnsi" w:hAnsiTheme="majorHAnsi"/>
        </w:rPr>
        <w:t>Problematika senzitivity k soli</w:t>
      </w:r>
      <w:bookmarkEnd w:id="85"/>
    </w:p>
    <w:p w:rsidR="00960C7E" w:rsidRPr="000B16D5" w:rsidRDefault="00960C7E" w:rsidP="00236F03">
      <w:pPr>
        <w:jc w:val="both"/>
        <w:rPr>
          <w:rFonts w:asciiTheme="majorHAnsi" w:hAnsiTheme="majorHAnsi"/>
        </w:rPr>
      </w:pPr>
      <w:r w:rsidRPr="000B16D5">
        <w:rPr>
          <w:rFonts w:asciiTheme="majorHAnsi" w:hAnsiTheme="majorHAnsi"/>
        </w:rPr>
        <w:t>Citlivost k soli u pacientů s esenciální hypertenzí je v klinické praxi dlouhodobě sledovaným fenoménem. Pacienty je možné dle jejich odpovídavosti na odnětí soli z diety rozdělit na tzv. „salt respondéry“ a „salt non-respondéry“. U jedinců, kteří jsou k odnětí soli citliví, je možné správnou úpravou diety (omezení soli) snížit významným způsobem jejich krevní tlak a minimálně tak oddálit zahájení farmakologické terapie</w:t>
      </w:r>
      <w:r w:rsidR="0043011F" w:rsidRPr="000B16D5">
        <w:rPr>
          <w:rFonts w:asciiTheme="majorHAnsi" w:hAnsiTheme="majorHAnsi"/>
        </w:rPr>
        <w:t xml:space="preserve"> </w:t>
      </w:r>
      <w:r w:rsidR="00DA06C5" w:rsidRPr="000B16D5">
        <w:rPr>
          <w:rFonts w:asciiTheme="majorHAnsi" w:hAnsiTheme="majorHAnsi"/>
        </w:rPr>
        <w:t>(</w:t>
      </w:r>
      <w:r w:rsidR="00DA06C5" w:rsidRPr="000B16D5">
        <w:rPr>
          <w:rFonts w:asciiTheme="majorHAnsi" w:hAnsiTheme="majorHAnsi"/>
          <w:noProof/>
        </w:rPr>
        <w:t>16)</w:t>
      </w:r>
      <w:r w:rsidR="0043011F" w:rsidRPr="000B16D5">
        <w:rPr>
          <w:rFonts w:asciiTheme="majorHAnsi" w:hAnsiTheme="majorHAnsi"/>
          <w:noProof/>
        </w:rPr>
        <w:t>.</w:t>
      </w:r>
    </w:p>
    <w:p w:rsidR="00960C7E" w:rsidRPr="000B16D5" w:rsidRDefault="00960C7E" w:rsidP="00236F03">
      <w:pPr>
        <w:jc w:val="both"/>
        <w:rPr>
          <w:rFonts w:asciiTheme="majorHAnsi" w:hAnsiTheme="majorHAnsi"/>
        </w:rPr>
      </w:pPr>
      <w:r w:rsidRPr="000B16D5">
        <w:rPr>
          <w:rFonts w:asciiTheme="majorHAnsi" w:hAnsiTheme="majorHAnsi"/>
        </w:rPr>
        <w:t xml:space="preserve">Genů, které by mohly být za senzitivitu k soli zodpovědné, byla popsána celá řada – patří mezi ně složky RAAS systému (již zmiňované polymorfismy v AGT a ACE, ale dále pak i v receptoru pro AGT (AGTR) a renin vázajícím proteinu (RNBP)), dále pak různé varianty iontových kanálů (akvaporin 5, chloridový kanál Ka, podjednotky </w:t>
      </w:r>
      <w:r w:rsidRPr="000B16D5">
        <w:rPr>
          <w:rFonts w:asciiTheme="majorHAnsi" w:hAnsiTheme="majorHAnsi"/>
        </w:rPr>
        <w:lastRenderedPageBreak/>
        <w:t>epiteliálního sodíkového kanálu</w:t>
      </w:r>
      <w:r w:rsidR="00E94D7C" w:rsidRPr="000B16D5">
        <w:rPr>
          <w:rFonts w:asciiTheme="majorHAnsi" w:hAnsiTheme="majorHAnsi"/>
        </w:rPr>
        <w:t xml:space="preserve"> aj.), </w:t>
      </w:r>
      <w:r w:rsidRPr="000B16D5">
        <w:rPr>
          <w:rFonts w:asciiTheme="majorHAnsi" w:hAnsiTheme="majorHAnsi"/>
        </w:rPr>
        <w:t>endoteliálních proteinů (endotelin, endotelinový receptor</w:t>
      </w:r>
      <w:r w:rsidR="00E94D7C" w:rsidRPr="000B16D5">
        <w:rPr>
          <w:rFonts w:asciiTheme="majorHAnsi" w:hAnsiTheme="majorHAnsi"/>
        </w:rPr>
        <w:t xml:space="preserve"> aj.), </w:t>
      </w:r>
      <w:r w:rsidRPr="000B16D5">
        <w:rPr>
          <w:rFonts w:asciiTheme="majorHAnsi" w:hAnsiTheme="majorHAnsi"/>
        </w:rPr>
        <w:t>proteinů kalikrein</w:t>
      </w:r>
      <w:r w:rsidRPr="000B16D5">
        <w:rPr>
          <w:rFonts w:asciiTheme="majorHAnsi" w:hAnsiTheme="majorHAnsi"/>
        </w:rPr>
        <w:noBreakHyphen/>
        <w:t xml:space="preserve">kininového systému a mnoho dalších </w:t>
      </w:r>
      <w:r w:rsidR="00DA06C5" w:rsidRPr="000B16D5">
        <w:rPr>
          <w:rFonts w:asciiTheme="majorHAnsi" w:hAnsiTheme="majorHAnsi"/>
          <w:noProof/>
        </w:rPr>
        <w:t>(</w:t>
      </w:r>
      <w:r w:rsidRPr="000B16D5">
        <w:rPr>
          <w:rFonts w:asciiTheme="majorHAnsi" w:hAnsiTheme="majorHAnsi"/>
          <w:noProof/>
        </w:rPr>
        <w:t>16</w:t>
      </w:r>
      <w:r w:rsidR="00DA06C5" w:rsidRPr="000B16D5">
        <w:rPr>
          <w:rFonts w:asciiTheme="majorHAnsi" w:hAnsiTheme="majorHAnsi"/>
          <w:noProof/>
        </w:rPr>
        <w:t>)</w:t>
      </w:r>
      <w:r w:rsidR="0043011F" w:rsidRPr="000B16D5">
        <w:rPr>
          <w:rFonts w:asciiTheme="majorHAnsi" w:hAnsiTheme="majorHAnsi"/>
          <w:noProof/>
        </w:rPr>
        <w:t>.</w:t>
      </w:r>
    </w:p>
    <w:p w:rsidR="00960C7E" w:rsidRPr="000B16D5" w:rsidRDefault="00960C7E" w:rsidP="00236F03">
      <w:pPr>
        <w:pStyle w:val="Nadpispodkapitoly"/>
        <w:jc w:val="both"/>
        <w:rPr>
          <w:rFonts w:asciiTheme="majorHAnsi" w:hAnsiTheme="majorHAnsi"/>
        </w:rPr>
      </w:pPr>
      <w:bookmarkStart w:id="86" w:name="_Toc351088847"/>
      <w:bookmarkStart w:id="87" w:name="_Toc380240640"/>
      <w:r w:rsidRPr="000B16D5">
        <w:rPr>
          <w:rFonts w:asciiTheme="majorHAnsi" w:hAnsiTheme="majorHAnsi"/>
        </w:rPr>
        <w:t>Trombembolická nemoc (žilní trombóza; TEN)</w:t>
      </w:r>
      <w:bookmarkEnd w:id="86"/>
      <w:bookmarkEnd w:id="87"/>
    </w:p>
    <w:p w:rsidR="00960C7E" w:rsidRPr="000B16D5" w:rsidRDefault="00960C7E" w:rsidP="00236F03">
      <w:pPr>
        <w:jc w:val="both"/>
        <w:rPr>
          <w:rFonts w:asciiTheme="majorHAnsi" w:hAnsiTheme="majorHAnsi"/>
        </w:rPr>
      </w:pPr>
      <w:r w:rsidRPr="000B16D5">
        <w:rPr>
          <w:rFonts w:asciiTheme="majorHAnsi" w:hAnsiTheme="majorHAnsi"/>
        </w:rPr>
        <w:t>Trombembolická nemoc se etiologicky odlišuje od typické aterosklerózy, tak jak byla popsána výše. Rizikovými faktory pro její vznik jsou většinou jiná onemocnění/stavy, které narušují přímo hemokoagulační kaskádu. Setkáme se s ní častěji u pacientů s rakovinou, po těžkých traumatech, ale také u pacientek těhotných nebo užívající hormonální antikoncepci. Všechny tyto stavy narušují přirozený průběh hemokoagulace směrem ke vzniku sraženin (trombů). V rámci terapie jsme schopni do hemokoagulační kaskády rovněž zasáhnout (všeobecně známými léky jsou např. warfarin a heparin), avšak protože tato terapie je spojena s vyšším rizikem krvácení a je povětšinou doživotní (v rámci sekundární prevence rozvoje komplikací), je nutné vzít v potaz i vliv výživy a potravinových doplňků, které do hemokoagulační kaskády rovněž zasahují.</w:t>
      </w:r>
    </w:p>
    <w:p w:rsidR="00960C7E" w:rsidRPr="000B16D5" w:rsidRDefault="00960C7E" w:rsidP="00236F03">
      <w:pPr>
        <w:jc w:val="both"/>
        <w:rPr>
          <w:rFonts w:asciiTheme="majorHAnsi" w:hAnsiTheme="majorHAnsi"/>
        </w:rPr>
      </w:pPr>
      <w:r w:rsidRPr="000B16D5">
        <w:rPr>
          <w:rFonts w:asciiTheme="majorHAnsi" w:hAnsiTheme="majorHAnsi"/>
        </w:rPr>
        <w:t xml:space="preserve">Prokázaný protrombotický efekt v naší stravě mají proteiny, které obsahují aminokyselinu </w:t>
      </w:r>
      <w:r w:rsidRPr="000B16D5">
        <w:rPr>
          <w:rFonts w:asciiTheme="majorHAnsi" w:hAnsiTheme="majorHAnsi"/>
          <w:b/>
        </w:rPr>
        <w:t>methionin</w:t>
      </w:r>
      <w:r w:rsidRPr="000B16D5">
        <w:rPr>
          <w:rFonts w:asciiTheme="majorHAnsi" w:hAnsiTheme="majorHAnsi"/>
        </w:rPr>
        <w:t>. Ztrátou methylové skupiny se z methioninu stává homocystein, který je možné přeměnit zpět na methionin pomocí methionin-syntetázy. Zdrojem methylové skupiny je přitom molekula methyl</w:t>
      </w:r>
      <w:r w:rsidRPr="000B16D5">
        <w:rPr>
          <w:rFonts w:asciiTheme="majorHAnsi" w:hAnsiTheme="majorHAnsi"/>
        </w:rPr>
        <w:noBreakHyphen/>
        <w:t xml:space="preserve">tetrahydrofolátu, který vzniká působením enzymu MTHFR (methyltetrahydrofolátreduktasy) z tetrahydrofolátu. Zásadním kofaktorem, který hraje roli ve správném průběhu popsaných reakcí je </w:t>
      </w:r>
      <w:r w:rsidR="00E94D7C" w:rsidRPr="000B16D5">
        <w:rPr>
          <w:rFonts w:asciiTheme="majorHAnsi" w:hAnsiTheme="majorHAnsi"/>
        </w:rPr>
        <w:t xml:space="preserve">vitamín </w:t>
      </w:r>
      <w:r w:rsidRPr="000B16D5">
        <w:rPr>
          <w:rFonts w:asciiTheme="majorHAnsi" w:hAnsiTheme="majorHAnsi"/>
        </w:rPr>
        <w:t xml:space="preserve">B12. </w:t>
      </w:r>
    </w:p>
    <w:p w:rsidR="00960C7E" w:rsidRPr="000B16D5" w:rsidRDefault="00960C7E" w:rsidP="00236F03">
      <w:pPr>
        <w:jc w:val="both"/>
        <w:rPr>
          <w:rFonts w:asciiTheme="majorHAnsi" w:hAnsiTheme="majorHAnsi"/>
        </w:rPr>
      </w:pPr>
      <w:r w:rsidRPr="000B16D5">
        <w:rPr>
          <w:rFonts w:asciiTheme="majorHAnsi" w:hAnsiTheme="majorHAnsi"/>
        </w:rPr>
        <w:t xml:space="preserve">Pokud máme </w:t>
      </w:r>
      <w:r w:rsidR="00F55D4E" w:rsidRPr="000B16D5">
        <w:rPr>
          <w:rFonts w:asciiTheme="majorHAnsi" w:hAnsiTheme="majorHAnsi"/>
        </w:rPr>
        <w:t xml:space="preserve">vitamínu </w:t>
      </w:r>
      <w:r w:rsidRPr="000B16D5">
        <w:rPr>
          <w:rFonts w:asciiTheme="majorHAnsi" w:hAnsiTheme="majorHAnsi"/>
        </w:rPr>
        <w:t>B12 nedostatek, vede to k </w:t>
      </w:r>
      <w:r w:rsidRPr="000B16D5">
        <w:rPr>
          <w:rFonts w:asciiTheme="majorHAnsi" w:hAnsiTheme="majorHAnsi"/>
          <w:b/>
        </w:rPr>
        <w:t>hyperhomocysteinémii</w:t>
      </w:r>
      <w:r w:rsidRPr="000B16D5">
        <w:rPr>
          <w:rFonts w:asciiTheme="majorHAnsi" w:hAnsiTheme="majorHAnsi"/>
        </w:rPr>
        <w:t xml:space="preserve">, která je prokázaným rizikovým faktorem pro TEN. V MTHFR byly navíc nalezeny určité polymorfismy, které mají jak protektivní tak rizikový charakter. Polymorfismus C677T souvisí např. se středomořskou dietou – pacienti, kteří jsou nositeli alely T (TT nebo TC) mohou z poctivého dodržování této diety profitovat a hladiny homocyteinu v krvi se jim snižují, avšak u homozygotů CC tento efekt pozorován není. Zároveň si však musí homozygoti TT dávat pozor na hladiny sérového folátu (kyseliny listové), neboť jeho snížení u nich zvyšuje riziko trombembolie a stejně tak riziko cévní mozkové příhody a ICHS </w:t>
      </w:r>
      <w:r w:rsidR="00DA06C5" w:rsidRPr="000B16D5">
        <w:rPr>
          <w:rFonts w:asciiTheme="majorHAnsi" w:hAnsiTheme="majorHAnsi"/>
          <w:noProof/>
        </w:rPr>
        <w:t>(</w:t>
      </w:r>
      <w:r w:rsidRPr="000B16D5">
        <w:rPr>
          <w:rFonts w:asciiTheme="majorHAnsi" w:hAnsiTheme="majorHAnsi"/>
          <w:noProof/>
        </w:rPr>
        <w:t>2, 17</w:t>
      </w:r>
      <w:r w:rsidR="00DA06C5" w:rsidRPr="000B16D5">
        <w:rPr>
          <w:rFonts w:asciiTheme="majorHAnsi" w:hAnsiTheme="majorHAnsi"/>
          <w:noProof/>
        </w:rPr>
        <w:t>)</w:t>
      </w:r>
      <w:r w:rsidR="0043011F" w:rsidRPr="000B16D5">
        <w:rPr>
          <w:rFonts w:asciiTheme="majorHAnsi" w:hAnsiTheme="majorHAnsi"/>
          <w:noProof/>
        </w:rPr>
        <w:t>.</w:t>
      </w:r>
    </w:p>
    <w:p w:rsidR="00960C7E" w:rsidRPr="000B16D5" w:rsidRDefault="00960C7E" w:rsidP="00236F03">
      <w:pPr>
        <w:pStyle w:val="Nadpispodkapitoly"/>
        <w:jc w:val="both"/>
        <w:rPr>
          <w:rFonts w:asciiTheme="majorHAnsi" w:hAnsiTheme="majorHAnsi"/>
        </w:rPr>
      </w:pPr>
      <w:bookmarkStart w:id="88" w:name="_Toc351088848"/>
      <w:bookmarkStart w:id="89" w:name="_Toc380240641"/>
      <w:r w:rsidRPr="000B16D5">
        <w:rPr>
          <w:rFonts w:asciiTheme="majorHAnsi" w:hAnsiTheme="majorHAnsi"/>
        </w:rPr>
        <w:t>Závěr – výživa v prevenci a terapii monogenních a polygenních kardiovaskulárních nemocí</w:t>
      </w:r>
      <w:bookmarkEnd w:id="88"/>
      <w:bookmarkEnd w:id="89"/>
    </w:p>
    <w:p w:rsidR="00960C7E" w:rsidRPr="000B16D5" w:rsidRDefault="00960C7E" w:rsidP="00236F03">
      <w:pPr>
        <w:jc w:val="both"/>
        <w:rPr>
          <w:rFonts w:asciiTheme="majorHAnsi" w:hAnsiTheme="majorHAnsi"/>
        </w:rPr>
      </w:pPr>
      <w:r w:rsidRPr="000B16D5">
        <w:rPr>
          <w:rFonts w:asciiTheme="majorHAnsi" w:hAnsiTheme="majorHAnsi"/>
        </w:rPr>
        <w:t xml:space="preserve">V rámci této kapitoly o kardiovaskulárních či kardiometabolických chorobách jsme se snažili ukázat, že genetické pozadí určité nemoci, je možné do jisté míry ovlivnit pomocí správné výživy, na kterou je potřeba dbát již od útlého dětského věku, </w:t>
      </w:r>
      <w:r w:rsidR="00E94D7C" w:rsidRPr="000B16D5">
        <w:rPr>
          <w:rFonts w:asciiTheme="majorHAnsi" w:hAnsiTheme="majorHAnsi"/>
        </w:rPr>
        <w:t>resp. na kterou je nutno myslet</w:t>
      </w:r>
      <w:r w:rsidRPr="000B16D5">
        <w:rPr>
          <w:rFonts w:asciiTheme="majorHAnsi" w:hAnsiTheme="majorHAnsi"/>
        </w:rPr>
        <w:t xml:space="preserve"> již před početím dítěte. </w:t>
      </w:r>
    </w:p>
    <w:p w:rsidR="00960C7E" w:rsidRPr="000B16D5" w:rsidRDefault="00960C7E" w:rsidP="00236F03">
      <w:pPr>
        <w:jc w:val="both"/>
        <w:rPr>
          <w:rFonts w:asciiTheme="majorHAnsi" w:hAnsiTheme="majorHAnsi"/>
        </w:rPr>
      </w:pPr>
      <w:r w:rsidRPr="000B16D5">
        <w:rPr>
          <w:rFonts w:asciiTheme="majorHAnsi" w:hAnsiTheme="majorHAnsi"/>
        </w:rPr>
        <w:t xml:space="preserve">Na příkladu monogenně dědičné familiární hypercholesterolémie jsme si ukázali, jak dokáže správná dieta oddálit počátky kardiovaskulárních komplikací a významně tak zvýšit kvalitu života pacienta. Podobný efekt </w:t>
      </w:r>
      <w:r w:rsidR="005B4B2E" w:rsidRPr="000B16D5">
        <w:rPr>
          <w:rFonts w:asciiTheme="majorHAnsi" w:hAnsiTheme="majorHAnsi"/>
        </w:rPr>
        <w:t xml:space="preserve">na rozvoj multifaktoriálních kardiovaskulárních onemocnění </w:t>
      </w:r>
      <w:r w:rsidRPr="000B16D5">
        <w:rPr>
          <w:rFonts w:asciiTheme="majorHAnsi" w:hAnsiTheme="majorHAnsi"/>
        </w:rPr>
        <w:t xml:space="preserve">pak může mít </w:t>
      </w:r>
      <w:r w:rsidR="005B4B2E" w:rsidRPr="000B16D5">
        <w:rPr>
          <w:rFonts w:asciiTheme="majorHAnsi" w:hAnsiTheme="majorHAnsi"/>
        </w:rPr>
        <w:t xml:space="preserve">důraz na </w:t>
      </w:r>
      <w:r w:rsidRPr="000B16D5">
        <w:rPr>
          <w:rFonts w:asciiTheme="majorHAnsi" w:hAnsiTheme="majorHAnsi"/>
        </w:rPr>
        <w:t>správné složení stravy, tělesn</w:t>
      </w:r>
      <w:r w:rsidR="005B4B2E" w:rsidRPr="000B16D5">
        <w:rPr>
          <w:rFonts w:asciiTheme="majorHAnsi" w:hAnsiTheme="majorHAnsi"/>
        </w:rPr>
        <w:t xml:space="preserve">ý </w:t>
      </w:r>
      <w:r w:rsidRPr="000B16D5">
        <w:rPr>
          <w:rFonts w:asciiTheme="majorHAnsi" w:hAnsiTheme="majorHAnsi"/>
        </w:rPr>
        <w:t xml:space="preserve">pohyb a </w:t>
      </w:r>
      <w:r w:rsidR="005B4B2E" w:rsidRPr="000B16D5">
        <w:rPr>
          <w:rFonts w:asciiTheme="majorHAnsi" w:hAnsiTheme="majorHAnsi"/>
        </w:rPr>
        <w:t xml:space="preserve">vyhýbání se </w:t>
      </w:r>
      <w:r w:rsidRPr="000B16D5">
        <w:rPr>
          <w:rFonts w:asciiTheme="majorHAnsi" w:hAnsiTheme="majorHAnsi"/>
        </w:rPr>
        <w:t xml:space="preserve">kouření. U aterosklerózy je zásadním dietním krokem snížení hladiny LDL, který poškozuje endotel, a zvýšení hladiny HDL, který umožňuje transport nadbytečného cholesterolu do jater, kde je možné jej efektivně vyloučit. Rovněž bylo prokázáno, že zvýšený příjem </w:t>
      </w:r>
      <w:r w:rsidR="00F55D4E" w:rsidRPr="000B16D5">
        <w:rPr>
          <w:rFonts w:asciiTheme="majorHAnsi" w:hAnsiTheme="majorHAnsi"/>
        </w:rPr>
        <w:t xml:space="preserve">vitamínu </w:t>
      </w:r>
      <w:r w:rsidRPr="000B16D5">
        <w:rPr>
          <w:rFonts w:asciiTheme="majorHAnsi" w:hAnsiTheme="majorHAnsi"/>
        </w:rPr>
        <w:t xml:space="preserve">E může mít na rozvoj aterosklerózy protektivní vliv, pravděpodobně díky svému antioxidačnímu působení a zastavení procesů modifikace LDL. Přes metabolismus homocysteinu pak do aterosklerózy a hluboké žilní trombózy zasahuje </w:t>
      </w:r>
      <w:r w:rsidR="00F55D4E" w:rsidRPr="000B16D5">
        <w:rPr>
          <w:rFonts w:asciiTheme="majorHAnsi" w:hAnsiTheme="majorHAnsi"/>
        </w:rPr>
        <w:t xml:space="preserve">vitamín </w:t>
      </w:r>
      <w:r w:rsidRPr="000B16D5">
        <w:rPr>
          <w:rFonts w:asciiTheme="majorHAnsi" w:hAnsiTheme="majorHAnsi"/>
        </w:rPr>
        <w:t>B12 a kyselina listová. U obezity jako takové jsou režimová opatření jasně patrná z podstaty nemoci, váhu je potřeba shazovat postupně a hlavně se pořádně hýbat. Podobná opatření lze zavést i u hypertenze, kde</w:t>
      </w:r>
      <w:r w:rsidR="003352A9" w:rsidRPr="000B16D5">
        <w:rPr>
          <w:rFonts w:asciiTheme="majorHAnsi" w:hAnsiTheme="majorHAnsi"/>
        </w:rPr>
        <w:t xml:space="preserve"> –</w:t>
      </w:r>
      <w:r w:rsidRPr="000B16D5">
        <w:rPr>
          <w:rFonts w:asciiTheme="majorHAnsi" w:hAnsiTheme="majorHAnsi"/>
        </w:rPr>
        <w:t xml:space="preserve"> dle individuální citlivosti pacienta</w:t>
      </w:r>
      <w:r w:rsidR="003352A9" w:rsidRPr="000B16D5">
        <w:rPr>
          <w:rFonts w:asciiTheme="majorHAnsi" w:hAnsiTheme="majorHAnsi"/>
        </w:rPr>
        <w:t xml:space="preserve"> – může mít</w:t>
      </w:r>
      <w:r w:rsidRPr="000B16D5">
        <w:rPr>
          <w:rFonts w:asciiTheme="majorHAnsi" w:hAnsiTheme="majorHAnsi"/>
        </w:rPr>
        <w:t xml:space="preserve"> značný dietní význam i omezení soli v jeho jídelníčku.</w:t>
      </w:r>
    </w:p>
    <w:p w:rsidR="00960C7E" w:rsidRPr="000B16D5" w:rsidRDefault="00960C7E" w:rsidP="00236F03">
      <w:pPr>
        <w:jc w:val="both"/>
        <w:rPr>
          <w:rFonts w:asciiTheme="majorHAnsi" w:hAnsiTheme="majorHAnsi"/>
        </w:rPr>
      </w:pPr>
      <w:r w:rsidRPr="000B16D5">
        <w:rPr>
          <w:rFonts w:asciiTheme="majorHAnsi" w:hAnsiTheme="majorHAnsi"/>
        </w:rPr>
        <w:t xml:space="preserve">Problematika nutrigenetiky a nutrigenomiky ve vztahu ke kardiovaskulárním chorobám je v současné době </w:t>
      </w:r>
      <w:r w:rsidR="00CC7F15" w:rsidRPr="000B16D5">
        <w:rPr>
          <w:rFonts w:asciiTheme="majorHAnsi" w:hAnsiTheme="majorHAnsi"/>
        </w:rPr>
        <w:t>na </w:t>
      </w:r>
      <w:r w:rsidRPr="000B16D5">
        <w:rPr>
          <w:rFonts w:asciiTheme="majorHAnsi" w:hAnsiTheme="majorHAnsi"/>
        </w:rPr>
        <w:t>počátku, avšak jedná se o odvětví výzkumu, které se rychle rozvíjí a nepochybně nám v budoucnosti přinese další zajímavé poznatky, které pomohou k lepší prevenci a léčbě kardiovaskulárních chorob.</w:t>
      </w:r>
    </w:p>
    <w:p w:rsidR="00DA06C5" w:rsidRDefault="00DA06C5" w:rsidP="00DA06C5">
      <w:pPr>
        <w:jc w:val="both"/>
        <w:rPr>
          <w:rFonts w:asciiTheme="majorHAnsi" w:hAnsiTheme="majorHAnsi"/>
        </w:rPr>
      </w:pPr>
      <w:bookmarkStart w:id="90" w:name="_ENREF_1"/>
    </w:p>
    <w:p w:rsidR="00DC0816" w:rsidRPr="000B16D5" w:rsidRDefault="00DC0816" w:rsidP="00DA06C5">
      <w:pPr>
        <w:jc w:val="both"/>
        <w:rPr>
          <w:rFonts w:asciiTheme="majorHAnsi" w:hAnsiTheme="majorHAnsi"/>
        </w:rPr>
      </w:pPr>
    </w:p>
    <w:p w:rsidR="00DA06C5" w:rsidRPr="000B16D5" w:rsidRDefault="00DA06C5" w:rsidP="00DA06C5">
      <w:pPr>
        <w:jc w:val="both"/>
        <w:rPr>
          <w:rFonts w:asciiTheme="majorHAnsi" w:hAnsiTheme="majorHAnsi"/>
        </w:rPr>
      </w:pPr>
      <w:r w:rsidRPr="000B16D5">
        <w:rPr>
          <w:rFonts w:asciiTheme="majorHAnsi" w:hAnsiTheme="majorHAnsi"/>
        </w:rPr>
        <w:lastRenderedPageBreak/>
        <w:t>____________________________________________</w:t>
      </w:r>
    </w:p>
    <w:p w:rsidR="00DA06C5" w:rsidRPr="000B16D5" w:rsidRDefault="00DA06C5" w:rsidP="00DA06C5">
      <w:pPr>
        <w:spacing w:after="0"/>
        <w:jc w:val="both"/>
        <w:rPr>
          <w:rFonts w:asciiTheme="majorHAnsi" w:hAnsiTheme="majorHAnsi"/>
          <w:b/>
          <w:sz w:val="20"/>
        </w:rPr>
      </w:pPr>
      <w:r w:rsidRPr="000B16D5">
        <w:rPr>
          <w:rFonts w:asciiTheme="majorHAnsi" w:hAnsiTheme="majorHAnsi"/>
          <w:b/>
          <w:sz w:val="20"/>
        </w:rPr>
        <w:t>Zdroje:</w:t>
      </w:r>
    </w:p>
    <w:p w:rsidR="00DA06C5" w:rsidRPr="000B16D5" w:rsidRDefault="00DA06C5" w:rsidP="00DA06C5">
      <w:pPr>
        <w:pStyle w:val="Odstavecseseznamem"/>
        <w:numPr>
          <w:ilvl w:val="0"/>
          <w:numId w:val="28"/>
        </w:numPr>
        <w:spacing w:after="0"/>
        <w:jc w:val="both"/>
        <w:rPr>
          <w:rFonts w:asciiTheme="majorHAnsi" w:hAnsiTheme="majorHAnsi"/>
          <w:sz w:val="16"/>
          <w:szCs w:val="16"/>
        </w:rPr>
        <w:sectPr w:rsidR="00DA06C5" w:rsidRPr="000B16D5" w:rsidSect="00A2684E">
          <w:footerReference w:type="default" r:id="rId78"/>
          <w:type w:val="continuous"/>
          <w:pgSz w:w="11906" w:h="16838"/>
          <w:pgMar w:top="720" w:right="720" w:bottom="720" w:left="720" w:header="708" w:footer="708" w:gutter="0"/>
          <w:pgNumType w:start="64"/>
          <w:cols w:space="708"/>
          <w:titlePg/>
          <w:docGrid w:linePitch="360"/>
        </w:sectPr>
      </w:pPr>
    </w:p>
    <w:p w:rsidR="00DA06C5" w:rsidRPr="000B16D5" w:rsidRDefault="008468D9" w:rsidP="00DA06C5">
      <w:pPr>
        <w:pStyle w:val="Odstavecseseznamem"/>
        <w:numPr>
          <w:ilvl w:val="0"/>
          <w:numId w:val="31"/>
        </w:numPr>
        <w:spacing w:after="0"/>
        <w:jc w:val="both"/>
        <w:rPr>
          <w:rFonts w:asciiTheme="majorHAnsi" w:hAnsiTheme="majorHAnsi"/>
          <w:noProof/>
          <w:sz w:val="16"/>
        </w:rPr>
      </w:pPr>
      <w:hyperlink r:id="rId79" w:history="1">
        <w:r w:rsidR="00DA06C5" w:rsidRPr="000B16D5">
          <w:rPr>
            <w:rStyle w:val="Hypertextovodkaz"/>
            <w:rFonts w:asciiTheme="majorHAnsi" w:hAnsiTheme="majorHAnsi"/>
            <w:noProof/>
            <w:sz w:val="16"/>
          </w:rPr>
          <w:t>www.uzis.cz</w:t>
        </w:r>
      </w:hyperlink>
      <w:bookmarkStart w:id="91" w:name="_ENREF_2"/>
      <w:bookmarkEnd w:id="90"/>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Joseph, P.G., G. Pare, and S.S. Anand, </w:t>
      </w:r>
      <w:r w:rsidRPr="000B16D5">
        <w:rPr>
          <w:rFonts w:asciiTheme="majorHAnsi" w:hAnsiTheme="majorHAnsi"/>
          <w:i/>
          <w:noProof/>
          <w:sz w:val="16"/>
        </w:rPr>
        <w:t>Exploring gene-environment relationships in cardiovascular disease.</w:t>
      </w:r>
      <w:r w:rsidRPr="000B16D5">
        <w:rPr>
          <w:rFonts w:asciiTheme="majorHAnsi" w:hAnsiTheme="majorHAnsi"/>
          <w:noProof/>
          <w:sz w:val="16"/>
        </w:rPr>
        <w:t xml:space="preserve"> Can J Cardiol, 2013. </w:t>
      </w:r>
      <w:r w:rsidRPr="000B16D5">
        <w:rPr>
          <w:rFonts w:asciiTheme="majorHAnsi" w:hAnsiTheme="majorHAnsi"/>
          <w:b/>
          <w:noProof/>
          <w:sz w:val="16"/>
        </w:rPr>
        <w:t>29</w:t>
      </w:r>
      <w:r w:rsidRPr="000B16D5">
        <w:rPr>
          <w:rFonts w:asciiTheme="majorHAnsi" w:hAnsiTheme="majorHAnsi"/>
          <w:noProof/>
          <w:sz w:val="16"/>
        </w:rPr>
        <w:t>(1): p. 37-45.</w:t>
      </w:r>
      <w:bookmarkStart w:id="92" w:name="_ENREF_3"/>
      <w:bookmarkEnd w:id="91"/>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Farhan, S.M. and R.A. Hegele, </w:t>
      </w:r>
      <w:r w:rsidRPr="000B16D5">
        <w:rPr>
          <w:rFonts w:asciiTheme="majorHAnsi" w:hAnsiTheme="majorHAnsi"/>
          <w:i/>
          <w:noProof/>
          <w:sz w:val="16"/>
        </w:rPr>
        <w:t>Genetics 101 for cardiologists: rare genetic variants and monogenic cardiovascular disease.</w:t>
      </w:r>
      <w:r w:rsidRPr="000B16D5">
        <w:rPr>
          <w:rFonts w:asciiTheme="majorHAnsi" w:hAnsiTheme="majorHAnsi"/>
          <w:noProof/>
          <w:sz w:val="16"/>
        </w:rPr>
        <w:t xml:space="preserve"> Can J Cardiol, 2013. </w:t>
      </w:r>
      <w:r w:rsidRPr="000B16D5">
        <w:rPr>
          <w:rFonts w:asciiTheme="majorHAnsi" w:hAnsiTheme="majorHAnsi"/>
          <w:b/>
          <w:noProof/>
          <w:sz w:val="16"/>
        </w:rPr>
        <w:t>29</w:t>
      </w:r>
      <w:r w:rsidRPr="000B16D5">
        <w:rPr>
          <w:rFonts w:asciiTheme="majorHAnsi" w:hAnsiTheme="majorHAnsi"/>
          <w:noProof/>
          <w:sz w:val="16"/>
        </w:rPr>
        <w:t>(1): p. 18-22.</w:t>
      </w:r>
      <w:bookmarkStart w:id="93" w:name="_ENREF_4"/>
      <w:bookmarkEnd w:id="92"/>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Ordovas, J.M., </w:t>
      </w:r>
      <w:r w:rsidRPr="000B16D5">
        <w:rPr>
          <w:rFonts w:asciiTheme="majorHAnsi" w:hAnsiTheme="majorHAnsi"/>
          <w:i/>
          <w:noProof/>
          <w:sz w:val="16"/>
        </w:rPr>
        <w:t>Genetic interactions with diet influence the risk of cardiovascular disease.</w:t>
      </w:r>
      <w:r w:rsidRPr="000B16D5">
        <w:rPr>
          <w:rFonts w:asciiTheme="majorHAnsi" w:hAnsiTheme="majorHAnsi"/>
          <w:noProof/>
          <w:sz w:val="16"/>
        </w:rPr>
        <w:t xml:space="preserve"> Am J Clin Nutr, 2006. </w:t>
      </w:r>
      <w:r w:rsidRPr="000B16D5">
        <w:rPr>
          <w:rFonts w:asciiTheme="majorHAnsi" w:hAnsiTheme="majorHAnsi"/>
          <w:b/>
          <w:noProof/>
          <w:sz w:val="16"/>
        </w:rPr>
        <w:t>83</w:t>
      </w:r>
      <w:r w:rsidRPr="000B16D5">
        <w:rPr>
          <w:rFonts w:asciiTheme="majorHAnsi" w:hAnsiTheme="majorHAnsi"/>
          <w:noProof/>
          <w:sz w:val="16"/>
        </w:rPr>
        <w:t>(2): p. 443S-446S.</w:t>
      </w:r>
      <w:bookmarkStart w:id="94" w:name="_ENREF_5"/>
      <w:bookmarkEnd w:id="93"/>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Descamps, O.S., et al., </w:t>
      </w:r>
      <w:r w:rsidRPr="000B16D5">
        <w:rPr>
          <w:rFonts w:asciiTheme="majorHAnsi" w:hAnsiTheme="majorHAnsi"/>
          <w:i/>
          <w:noProof/>
          <w:sz w:val="16"/>
        </w:rPr>
        <w:t>Management of familial hypercholesterolemia in children and young adults: consensus paper developed by a panel of lipidologists, cardiologists, paediatricians, nutritionists, gastroenterologists, general practitioners and a patient organization.</w:t>
      </w:r>
      <w:r w:rsidRPr="000B16D5">
        <w:rPr>
          <w:rFonts w:asciiTheme="majorHAnsi" w:hAnsiTheme="majorHAnsi"/>
          <w:noProof/>
          <w:sz w:val="16"/>
        </w:rPr>
        <w:t xml:space="preserve"> Atherosclerosis, 2011. </w:t>
      </w:r>
      <w:r w:rsidRPr="000B16D5">
        <w:rPr>
          <w:rFonts w:asciiTheme="majorHAnsi" w:hAnsiTheme="majorHAnsi"/>
          <w:b/>
          <w:noProof/>
          <w:sz w:val="16"/>
        </w:rPr>
        <w:t>218</w:t>
      </w:r>
      <w:r w:rsidRPr="000B16D5">
        <w:rPr>
          <w:rFonts w:asciiTheme="majorHAnsi" w:hAnsiTheme="majorHAnsi"/>
          <w:noProof/>
          <w:sz w:val="16"/>
        </w:rPr>
        <w:t>(2): p. 272-80.</w:t>
      </w:r>
      <w:bookmarkStart w:id="95" w:name="_ENREF_6"/>
      <w:bookmarkEnd w:id="94"/>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Corella, D. and J.M. Ordovas, </w:t>
      </w:r>
      <w:r w:rsidRPr="000B16D5">
        <w:rPr>
          <w:rFonts w:asciiTheme="majorHAnsi" w:hAnsiTheme="majorHAnsi"/>
          <w:i/>
          <w:noProof/>
          <w:sz w:val="16"/>
        </w:rPr>
        <w:t>Nutrigenomics in cardiovascular medicine.</w:t>
      </w:r>
      <w:r w:rsidRPr="000B16D5">
        <w:rPr>
          <w:rFonts w:asciiTheme="majorHAnsi" w:hAnsiTheme="majorHAnsi"/>
          <w:noProof/>
          <w:sz w:val="16"/>
        </w:rPr>
        <w:t xml:space="preserve"> Circ Cardiovasc Genet, 2009. </w:t>
      </w:r>
      <w:r w:rsidRPr="000B16D5">
        <w:rPr>
          <w:rFonts w:asciiTheme="majorHAnsi" w:hAnsiTheme="majorHAnsi"/>
          <w:b/>
          <w:noProof/>
          <w:sz w:val="16"/>
        </w:rPr>
        <w:t>2</w:t>
      </w:r>
      <w:r w:rsidRPr="000B16D5">
        <w:rPr>
          <w:rFonts w:asciiTheme="majorHAnsi" w:hAnsiTheme="majorHAnsi"/>
          <w:noProof/>
          <w:sz w:val="16"/>
        </w:rPr>
        <w:t>(6): p. 637-51.</w:t>
      </w:r>
      <w:bookmarkStart w:id="96" w:name="_ENREF_7"/>
      <w:bookmarkEnd w:id="95"/>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Do, R., et al., </w:t>
      </w:r>
      <w:r w:rsidRPr="000B16D5">
        <w:rPr>
          <w:rFonts w:asciiTheme="majorHAnsi" w:hAnsiTheme="majorHAnsi"/>
          <w:i/>
          <w:noProof/>
          <w:sz w:val="16"/>
        </w:rPr>
        <w:t>The effect of chromosome 9p21 variants on cardiovascular disease may be modified by dietary intake: evidence from a case/control and a prospective study.</w:t>
      </w:r>
      <w:r w:rsidRPr="000B16D5">
        <w:rPr>
          <w:rFonts w:asciiTheme="majorHAnsi" w:hAnsiTheme="majorHAnsi"/>
          <w:noProof/>
          <w:sz w:val="16"/>
        </w:rPr>
        <w:t xml:space="preserve"> PLoS Med, 2011. </w:t>
      </w:r>
      <w:r w:rsidRPr="000B16D5">
        <w:rPr>
          <w:rFonts w:asciiTheme="majorHAnsi" w:hAnsiTheme="majorHAnsi"/>
          <w:b/>
          <w:noProof/>
          <w:sz w:val="16"/>
        </w:rPr>
        <w:t>8</w:t>
      </w:r>
      <w:r w:rsidRPr="000B16D5">
        <w:rPr>
          <w:rFonts w:asciiTheme="majorHAnsi" w:hAnsiTheme="majorHAnsi"/>
          <w:noProof/>
          <w:sz w:val="16"/>
        </w:rPr>
        <w:t>(10): p. e1001106.</w:t>
      </w:r>
      <w:bookmarkStart w:id="97" w:name="_ENREF_8"/>
      <w:bookmarkEnd w:id="96"/>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Ordovas, J.M., R. Robertson, and E.N. Cleirigh, </w:t>
      </w:r>
      <w:r w:rsidRPr="000B16D5">
        <w:rPr>
          <w:rFonts w:asciiTheme="majorHAnsi" w:hAnsiTheme="majorHAnsi"/>
          <w:i/>
          <w:noProof/>
          <w:sz w:val="16"/>
        </w:rPr>
        <w:t>Gene-gene and gene-environment interactions defining lipid-related traits.</w:t>
      </w:r>
      <w:r w:rsidRPr="000B16D5">
        <w:rPr>
          <w:rFonts w:asciiTheme="majorHAnsi" w:hAnsiTheme="majorHAnsi"/>
          <w:noProof/>
          <w:sz w:val="16"/>
        </w:rPr>
        <w:t xml:space="preserve"> Curr Opin Lipidol, 2011. </w:t>
      </w:r>
      <w:r w:rsidRPr="000B16D5">
        <w:rPr>
          <w:rFonts w:asciiTheme="majorHAnsi" w:hAnsiTheme="majorHAnsi"/>
          <w:b/>
          <w:noProof/>
          <w:sz w:val="16"/>
        </w:rPr>
        <w:t>22</w:t>
      </w:r>
      <w:r w:rsidRPr="000B16D5">
        <w:rPr>
          <w:rFonts w:asciiTheme="majorHAnsi" w:hAnsiTheme="majorHAnsi"/>
          <w:noProof/>
          <w:sz w:val="16"/>
        </w:rPr>
        <w:t>(2): p. 129-36.</w:t>
      </w:r>
      <w:bookmarkStart w:id="98" w:name="_ENREF_9"/>
      <w:bookmarkEnd w:id="97"/>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lastRenderedPageBreak/>
        <w:t xml:space="preserve">Lillycrop, K.A. and G.C. Burdge, </w:t>
      </w:r>
      <w:r w:rsidRPr="000B16D5">
        <w:rPr>
          <w:rFonts w:asciiTheme="majorHAnsi" w:hAnsiTheme="majorHAnsi"/>
          <w:i/>
          <w:noProof/>
          <w:sz w:val="16"/>
        </w:rPr>
        <w:t>Epigenetic mechanisms linking early nutrition to long term health.</w:t>
      </w:r>
      <w:r w:rsidRPr="000B16D5">
        <w:rPr>
          <w:rFonts w:asciiTheme="majorHAnsi" w:hAnsiTheme="majorHAnsi"/>
          <w:noProof/>
          <w:sz w:val="16"/>
        </w:rPr>
        <w:t xml:space="preserve"> Best Pract Res Clin Endocrinol Metab, 2012. </w:t>
      </w:r>
      <w:r w:rsidRPr="000B16D5">
        <w:rPr>
          <w:rFonts w:asciiTheme="majorHAnsi" w:hAnsiTheme="majorHAnsi"/>
          <w:b/>
          <w:noProof/>
          <w:sz w:val="16"/>
        </w:rPr>
        <w:t>26</w:t>
      </w:r>
      <w:r w:rsidRPr="000B16D5">
        <w:rPr>
          <w:rFonts w:asciiTheme="majorHAnsi" w:hAnsiTheme="majorHAnsi"/>
          <w:noProof/>
          <w:sz w:val="16"/>
        </w:rPr>
        <w:t>(5): p. 667-76.</w:t>
      </w:r>
      <w:bookmarkStart w:id="99" w:name="_ENREF_10"/>
      <w:bookmarkEnd w:id="98"/>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Guardamagna, O., et al., </w:t>
      </w:r>
      <w:r w:rsidRPr="000B16D5">
        <w:rPr>
          <w:rFonts w:asciiTheme="majorHAnsi" w:hAnsiTheme="majorHAnsi"/>
          <w:i/>
          <w:noProof/>
          <w:sz w:val="16"/>
        </w:rPr>
        <w:t>Impact of nutrition since early life on cardiovascular prevention.</w:t>
      </w:r>
      <w:r w:rsidRPr="000B16D5">
        <w:rPr>
          <w:rFonts w:asciiTheme="majorHAnsi" w:hAnsiTheme="majorHAnsi"/>
          <w:noProof/>
          <w:sz w:val="16"/>
        </w:rPr>
        <w:t xml:space="preserve"> Ital J Pediatr, 2012. </w:t>
      </w:r>
      <w:r w:rsidRPr="000B16D5">
        <w:rPr>
          <w:rFonts w:asciiTheme="majorHAnsi" w:hAnsiTheme="majorHAnsi"/>
          <w:b/>
          <w:noProof/>
          <w:sz w:val="16"/>
        </w:rPr>
        <w:t>38</w:t>
      </w:r>
      <w:r w:rsidRPr="000B16D5">
        <w:rPr>
          <w:rFonts w:asciiTheme="majorHAnsi" w:hAnsiTheme="majorHAnsi"/>
          <w:noProof/>
          <w:sz w:val="16"/>
        </w:rPr>
        <w:t>: p. 73.</w:t>
      </w:r>
      <w:bookmarkStart w:id="100" w:name="_ENREF_11"/>
      <w:bookmarkEnd w:id="99"/>
    </w:p>
    <w:p w:rsidR="00DA06C5" w:rsidRPr="000B16D5" w:rsidRDefault="00DA06C5"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T</w:t>
      </w:r>
      <w:r w:rsidR="00960C7E" w:rsidRPr="000B16D5">
        <w:rPr>
          <w:rFonts w:asciiTheme="majorHAnsi" w:hAnsiTheme="majorHAnsi"/>
          <w:noProof/>
          <w:sz w:val="16"/>
        </w:rPr>
        <w:t xml:space="preserve">rabulsi, J.C. and J.A. Mennella, </w:t>
      </w:r>
      <w:r w:rsidR="00960C7E" w:rsidRPr="000B16D5">
        <w:rPr>
          <w:rFonts w:asciiTheme="majorHAnsi" w:hAnsiTheme="majorHAnsi"/>
          <w:i/>
          <w:noProof/>
          <w:sz w:val="16"/>
        </w:rPr>
        <w:t>Diet, sensitive periods in flavour learning, and growth.</w:t>
      </w:r>
      <w:r w:rsidR="00960C7E" w:rsidRPr="000B16D5">
        <w:rPr>
          <w:rFonts w:asciiTheme="majorHAnsi" w:hAnsiTheme="majorHAnsi"/>
          <w:noProof/>
          <w:sz w:val="16"/>
        </w:rPr>
        <w:t xml:space="preserve"> Int Rev Psychiatry, 2012. </w:t>
      </w:r>
      <w:r w:rsidR="00960C7E" w:rsidRPr="000B16D5">
        <w:rPr>
          <w:rFonts w:asciiTheme="majorHAnsi" w:hAnsiTheme="majorHAnsi"/>
          <w:b/>
          <w:noProof/>
          <w:sz w:val="16"/>
        </w:rPr>
        <w:t>24</w:t>
      </w:r>
      <w:r w:rsidR="00960C7E" w:rsidRPr="000B16D5">
        <w:rPr>
          <w:rFonts w:asciiTheme="majorHAnsi" w:hAnsiTheme="majorHAnsi"/>
          <w:noProof/>
          <w:sz w:val="16"/>
        </w:rPr>
        <w:t>(3): p. 219-30.</w:t>
      </w:r>
      <w:bookmarkStart w:id="101" w:name="_ENREF_12"/>
      <w:bookmarkEnd w:id="100"/>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Giudicessi, J.R. and M.J. Ackerman, </w:t>
      </w:r>
      <w:r w:rsidRPr="000B16D5">
        <w:rPr>
          <w:rFonts w:asciiTheme="majorHAnsi" w:hAnsiTheme="majorHAnsi"/>
          <w:i/>
          <w:noProof/>
          <w:sz w:val="16"/>
        </w:rPr>
        <w:t>Determinants of incomplete penetrance and variable expressivity in heritable cardiac arrhythmia syndromes.</w:t>
      </w:r>
      <w:r w:rsidRPr="000B16D5">
        <w:rPr>
          <w:rFonts w:asciiTheme="majorHAnsi" w:hAnsiTheme="majorHAnsi"/>
          <w:noProof/>
          <w:sz w:val="16"/>
        </w:rPr>
        <w:t xml:space="preserve"> Transl Res, 2013. </w:t>
      </w:r>
      <w:r w:rsidRPr="000B16D5">
        <w:rPr>
          <w:rFonts w:asciiTheme="majorHAnsi" w:hAnsiTheme="majorHAnsi"/>
          <w:b/>
          <w:noProof/>
          <w:sz w:val="16"/>
        </w:rPr>
        <w:t>161</w:t>
      </w:r>
      <w:r w:rsidRPr="000B16D5">
        <w:rPr>
          <w:rFonts w:asciiTheme="majorHAnsi" w:hAnsiTheme="majorHAnsi"/>
          <w:noProof/>
          <w:sz w:val="16"/>
        </w:rPr>
        <w:t>(1): p. 1-14.</w:t>
      </w:r>
      <w:bookmarkStart w:id="102" w:name="_ENREF_13"/>
      <w:bookmarkEnd w:id="101"/>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De Caterina, R., et al., </w:t>
      </w:r>
      <w:r w:rsidRPr="000B16D5">
        <w:rPr>
          <w:rFonts w:asciiTheme="majorHAnsi" w:hAnsiTheme="majorHAnsi"/>
          <w:i/>
          <w:noProof/>
          <w:sz w:val="16"/>
        </w:rPr>
        <w:t>Nutritional mechanisms that influence cardiovascular disease.</w:t>
      </w:r>
      <w:r w:rsidRPr="000B16D5">
        <w:rPr>
          <w:rFonts w:asciiTheme="majorHAnsi" w:hAnsiTheme="majorHAnsi"/>
          <w:noProof/>
          <w:sz w:val="16"/>
        </w:rPr>
        <w:t xml:space="preserve"> Am J Clin Nutr, 2006. </w:t>
      </w:r>
      <w:r w:rsidRPr="000B16D5">
        <w:rPr>
          <w:rFonts w:asciiTheme="majorHAnsi" w:hAnsiTheme="majorHAnsi"/>
          <w:b/>
          <w:noProof/>
          <w:sz w:val="16"/>
        </w:rPr>
        <w:t>83</w:t>
      </w:r>
      <w:r w:rsidRPr="000B16D5">
        <w:rPr>
          <w:rFonts w:asciiTheme="majorHAnsi" w:hAnsiTheme="majorHAnsi"/>
          <w:noProof/>
          <w:sz w:val="16"/>
        </w:rPr>
        <w:t>(2): p. 421S-426S.</w:t>
      </w:r>
      <w:bookmarkStart w:id="103" w:name="_ENREF_14"/>
      <w:bookmarkEnd w:id="102"/>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Low, Y.L. and E.S. Tai, </w:t>
      </w:r>
      <w:r w:rsidRPr="000B16D5">
        <w:rPr>
          <w:rFonts w:asciiTheme="majorHAnsi" w:hAnsiTheme="majorHAnsi"/>
          <w:i/>
          <w:noProof/>
          <w:sz w:val="16"/>
        </w:rPr>
        <w:t>Understanding diet-gene interactions: lessons from studying nutrigenomics and cardiovascular disease.</w:t>
      </w:r>
      <w:r w:rsidRPr="000B16D5">
        <w:rPr>
          <w:rFonts w:asciiTheme="majorHAnsi" w:hAnsiTheme="majorHAnsi"/>
          <w:noProof/>
          <w:sz w:val="16"/>
        </w:rPr>
        <w:t xml:space="preserve"> Mutat Res, 2007. </w:t>
      </w:r>
      <w:r w:rsidRPr="000B16D5">
        <w:rPr>
          <w:rFonts w:asciiTheme="majorHAnsi" w:hAnsiTheme="majorHAnsi"/>
          <w:b/>
          <w:noProof/>
          <w:sz w:val="16"/>
        </w:rPr>
        <w:t>622</w:t>
      </w:r>
      <w:r w:rsidRPr="000B16D5">
        <w:rPr>
          <w:rFonts w:asciiTheme="majorHAnsi" w:hAnsiTheme="majorHAnsi"/>
          <w:noProof/>
          <w:sz w:val="16"/>
        </w:rPr>
        <w:t>(1-2): p. 7-13.</w:t>
      </w:r>
      <w:bookmarkStart w:id="104" w:name="_ENREF_15"/>
      <w:bookmarkEnd w:id="103"/>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Paillard, F., et al., </w:t>
      </w:r>
      <w:r w:rsidRPr="000B16D5">
        <w:rPr>
          <w:rFonts w:asciiTheme="majorHAnsi" w:hAnsiTheme="majorHAnsi"/>
          <w:i/>
          <w:noProof/>
          <w:sz w:val="16"/>
        </w:rPr>
        <w:t>Genotype-phenotype relationships for the renin-angiotensin-aldosterone system in a normal population.</w:t>
      </w:r>
      <w:r w:rsidRPr="000B16D5">
        <w:rPr>
          <w:rFonts w:asciiTheme="majorHAnsi" w:hAnsiTheme="majorHAnsi"/>
          <w:noProof/>
          <w:sz w:val="16"/>
        </w:rPr>
        <w:t xml:space="preserve"> Hypertension, 1999. </w:t>
      </w:r>
      <w:r w:rsidRPr="000B16D5">
        <w:rPr>
          <w:rFonts w:asciiTheme="majorHAnsi" w:hAnsiTheme="majorHAnsi"/>
          <w:b/>
          <w:noProof/>
          <w:sz w:val="16"/>
        </w:rPr>
        <w:t>34</w:t>
      </w:r>
      <w:r w:rsidRPr="000B16D5">
        <w:rPr>
          <w:rFonts w:asciiTheme="majorHAnsi" w:hAnsiTheme="majorHAnsi"/>
          <w:noProof/>
          <w:sz w:val="16"/>
        </w:rPr>
        <w:t>(3): p. 423-9.</w:t>
      </w:r>
      <w:bookmarkStart w:id="105" w:name="_ENREF_16"/>
      <w:bookmarkEnd w:id="104"/>
    </w:p>
    <w:p w:rsidR="00DA06C5"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Kelly, T.N. and J. He, </w:t>
      </w:r>
      <w:r w:rsidRPr="000B16D5">
        <w:rPr>
          <w:rFonts w:asciiTheme="majorHAnsi" w:hAnsiTheme="majorHAnsi"/>
          <w:i/>
          <w:noProof/>
          <w:sz w:val="16"/>
        </w:rPr>
        <w:t>Genomic epidemiology of blood pressure salt sensitivity.</w:t>
      </w:r>
      <w:r w:rsidRPr="000B16D5">
        <w:rPr>
          <w:rFonts w:asciiTheme="majorHAnsi" w:hAnsiTheme="majorHAnsi"/>
          <w:noProof/>
          <w:sz w:val="16"/>
        </w:rPr>
        <w:t xml:space="preserve"> J Hypertens, 2012. </w:t>
      </w:r>
      <w:r w:rsidRPr="000B16D5">
        <w:rPr>
          <w:rFonts w:asciiTheme="majorHAnsi" w:hAnsiTheme="majorHAnsi"/>
          <w:b/>
          <w:noProof/>
          <w:sz w:val="16"/>
        </w:rPr>
        <w:t>30</w:t>
      </w:r>
      <w:r w:rsidRPr="000B16D5">
        <w:rPr>
          <w:rFonts w:asciiTheme="majorHAnsi" w:hAnsiTheme="majorHAnsi"/>
          <w:noProof/>
          <w:sz w:val="16"/>
        </w:rPr>
        <w:t>(5): p. 861-73.</w:t>
      </w:r>
      <w:bookmarkStart w:id="106" w:name="_ENREF_17"/>
      <w:bookmarkEnd w:id="105"/>
    </w:p>
    <w:p w:rsidR="00960C7E" w:rsidRPr="000B16D5" w:rsidRDefault="00960C7E" w:rsidP="00DA06C5">
      <w:pPr>
        <w:pStyle w:val="Odstavecseseznamem"/>
        <w:numPr>
          <w:ilvl w:val="0"/>
          <w:numId w:val="31"/>
        </w:numPr>
        <w:spacing w:after="0"/>
        <w:jc w:val="both"/>
        <w:rPr>
          <w:rFonts w:asciiTheme="majorHAnsi" w:hAnsiTheme="majorHAnsi"/>
          <w:noProof/>
          <w:sz w:val="16"/>
        </w:rPr>
      </w:pPr>
      <w:r w:rsidRPr="000B16D5">
        <w:rPr>
          <w:rFonts w:asciiTheme="majorHAnsi" w:hAnsiTheme="majorHAnsi"/>
          <w:noProof/>
          <w:sz w:val="16"/>
        </w:rPr>
        <w:t xml:space="preserve">Phang, M., et al., </w:t>
      </w:r>
      <w:r w:rsidRPr="000B16D5">
        <w:rPr>
          <w:rFonts w:asciiTheme="majorHAnsi" w:hAnsiTheme="majorHAnsi"/>
          <w:i/>
          <w:noProof/>
          <w:sz w:val="16"/>
        </w:rPr>
        <w:t>Diet and thrombosis risk: nutrients for prevention of thrombotic disease.</w:t>
      </w:r>
      <w:r w:rsidRPr="000B16D5">
        <w:rPr>
          <w:rFonts w:asciiTheme="majorHAnsi" w:hAnsiTheme="majorHAnsi"/>
          <w:noProof/>
          <w:sz w:val="16"/>
        </w:rPr>
        <w:t xml:space="preserve"> Semin Thromb Hemost, 2011. </w:t>
      </w:r>
      <w:r w:rsidRPr="000B16D5">
        <w:rPr>
          <w:rFonts w:asciiTheme="majorHAnsi" w:hAnsiTheme="majorHAnsi"/>
          <w:b/>
          <w:noProof/>
          <w:sz w:val="16"/>
        </w:rPr>
        <w:t>37</w:t>
      </w:r>
      <w:r w:rsidRPr="000B16D5">
        <w:rPr>
          <w:rFonts w:asciiTheme="majorHAnsi" w:hAnsiTheme="majorHAnsi"/>
          <w:noProof/>
          <w:sz w:val="16"/>
        </w:rPr>
        <w:t>(3): p. 199-208.</w:t>
      </w:r>
      <w:bookmarkEnd w:id="106"/>
    </w:p>
    <w:p w:rsidR="00DA06C5" w:rsidRPr="000B16D5" w:rsidRDefault="00DA06C5" w:rsidP="00236F03">
      <w:pPr>
        <w:jc w:val="both"/>
        <w:rPr>
          <w:rFonts w:asciiTheme="majorHAnsi" w:hAnsiTheme="majorHAnsi"/>
          <w:b/>
          <w:smallCaps/>
          <w:sz w:val="24"/>
        </w:rPr>
        <w:sectPr w:rsidR="00DA06C5" w:rsidRPr="000B16D5" w:rsidSect="00DA06C5">
          <w:type w:val="continuous"/>
          <w:pgSz w:w="11906" w:h="16838"/>
          <w:pgMar w:top="720" w:right="720" w:bottom="720" w:left="720" w:header="708" w:footer="708" w:gutter="0"/>
          <w:pgNumType w:start="0"/>
          <w:cols w:num="2" w:space="708"/>
          <w:titlePg/>
          <w:docGrid w:linePitch="360"/>
        </w:sectPr>
      </w:pPr>
    </w:p>
    <w:p w:rsidR="00312118" w:rsidRPr="000B16D5" w:rsidRDefault="00312118" w:rsidP="00236F03">
      <w:pPr>
        <w:jc w:val="both"/>
        <w:rPr>
          <w:rFonts w:asciiTheme="majorHAnsi" w:hAnsiTheme="majorHAnsi"/>
          <w:b/>
          <w:smallCaps/>
          <w:sz w:val="24"/>
        </w:rPr>
      </w:pPr>
    </w:p>
    <w:p w:rsidR="00DA06C5" w:rsidRPr="000B16D5" w:rsidRDefault="00DA06C5">
      <w:pPr>
        <w:rPr>
          <w:rFonts w:asciiTheme="majorHAnsi" w:hAnsiTheme="majorHAnsi"/>
          <w:b/>
          <w:smallCaps/>
          <w:sz w:val="28"/>
        </w:rPr>
      </w:pPr>
      <w:r w:rsidRPr="000B16D5">
        <w:rPr>
          <w:rFonts w:asciiTheme="majorHAnsi" w:hAnsiTheme="majorHAnsi"/>
        </w:rPr>
        <w:br w:type="page"/>
      </w:r>
    </w:p>
    <w:bookmarkStart w:id="107" w:name="_Toc380240642"/>
    <w:p w:rsidR="00312118" w:rsidRPr="000B16D5" w:rsidRDefault="00100C72" w:rsidP="00236F03">
      <w:pPr>
        <w:pStyle w:val="Nadpiskapitoly"/>
        <w:rPr>
          <w:rFonts w:asciiTheme="majorHAnsi" w:hAnsiTheme="majorHAnsi"/>
        </w:rPr>
      </w:pPr>
      <w:r w:rsidRPr="000B16D5">
        <w:rPr>
          <w:rFonts w:asciiTheme="majorHAnsi" w:hAnsiTheme="majorHAnsi"/>
          <w:noProof/>
        </w:rPr>
        <w:lastRenderedPageBreak/>
        <mc:AlternateContent>
          <mc:Choice Requires="wps">
            <w:drawing>
              <wp:anchor distT="0" distB="0" distL="114300" distR="114300" simplePos="0" relativeHeight="251674624" behindDoc="0" locked="0" layoutInCell="1" allowOverlap="1" wp14:anchorId="23F0666B" wp14:editId="5895E386">
                <wp:simplePos x="0" y="0"/>
                <wp:positionH relativeFrom="column">
                  <wp:posOffset>5224780</wp:posOffset>
                </wp:positionH>
                <wp:positionV relativeFrom="paragraph">
                  <wp:posOffset>-154940</wp:posOffset>
                </wp:positionV>
                <wp:extent cx="1303655" cy="1416685"/>
                <wp:effectExtent l="0" t="73660" r="7239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0666B" id="Text Box 17" o:spid="_x0000_s1039" type="#_x0000_t202" style="position:absolute;left:0;text-align:left;margin-left:411.4pt;margin-top:-12.2pt;width:102.65pt;height:1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" stroked="f">
                <v:shadow on="t" opacity=".5" offset="6pt,-6pt"/>
                <v:textbo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14</w:t>
                      </w:r>
                    </w:p>
                  </w:txbxContent>
                </v:textbox>
              </v:shape>
            </w:pict>
          </mc:Fallback>
        </mc:AlternateContent>
      </w:r>
      <w:r w:rsidR="00312118" w:rsidRPr="000B16D5">
        <w:rPr>
          <w:rFonts w:asciiTheme="majorHAnsi" w:hAnsiTheme="majorHAnsi"/>
        </w:rPr>
        <w:t>Genetika, výživa a diabetes</w:t>
      </w:r>
      <w:bookmarkEnd w:id="107"/>
    </w:p>
    <w:p w:rsidR="00DA06C5" w:rsidRPr="000B16D5" w:rsidRDefault="00DA06C5" w:rsidP="00DA06C5">
      <w:pPr>
        <w:spacing w:after="0"/>
        <w:jc w:val="both"/>
        <w:rPr>
          <w:rFonts w:asciiTheme="majorHAnsi" w:hAnsiTheme="majorHAnsi"/>
          <w:bCs/>
          <w:i/>
          <w:sz w:val="24"/>
          <w:szCs w:val="24"/>
        </w:rPr>
      </w:pPr>
    </w:p>
    <w:p w:rsidR="00DA06C5" w:rsidRPr="000B16D5" w:rsidRDefault="00DA06C5" w:rsidP="00DA06C5">
      <w:pPr>
        <w:spacing w:after="0"/>
        <w:jc w:val="both"/>
        <w:rPr>
          <w:rFonts w:asciiTheme="majorHAnsi" w:hAnsiTheme="majorHAnsi"/>
          <w:bCs/>
          <w:i/>
          <w:sz w:val="24"/>
          <w:szCs w:val="24"/>
        </w:rPr>
      </w:pPr>
    </w:p>
    <w:p w:rsidR="00960C7E" w:rsidRPr="000B16D5" w:rsidRDefault="00960C7E" w:rsidP="00DA06C5">
      <w:pPr>
        <w:spacing w:after="0"/>
        <w:jc w:val="both"/>
        <w:rPr>
          <w:rFonts w:asciiTheme="majorHAnsi" w:hAnsiTheme="majorHAnsi"/>
          <w:bCs/>
          <w:i/>
          <w:sz w:val="24"/>
          <w:szCs w:val="24"/>
        </w:rPr>
      </w:pPr>
      <w:r w:rsidRPr="000B16D5">
        <w:rPr>
          <w:rFonts w:asciiTheme="majorHAnsi" w:hAnsiTheme="majorHAnsi"/>
          <w:bCs/>
          <w:i/>
          <w:sz w:val="24"/>
          <w:szCs w:val="24"/>
        </w:rPr>
        <w:t>Jan Vinklárek</w:t>
      </w:r>
    </w:p>
    <w:p w:rsidR="00DA06C5" w:rsidRPr="000B16D5" w:rsidRDefault="00DA06C5" w:rsidP="00DA06C5">
      <w:pPr>
        <w:spacing w:after="0"/>
        <w:jc w:val="both"/>
        <w:rPr>
          <w:rFonts w:asciiTheme="majorHAnsi" w:hAnsiTheme="majorHAnsi"/>
          <w:bCs/>
          <w:i/>
          <w:sz w:val="24"/>
          <w:szCs w:val="24"/>
        </w:rPr>
      </w:pPr>
    </w:p>
    <w:p w:rsidR="00960C7E" w:rsidRPr="000B16D5" w:rsidRDefault="00960C7E" w:rsidP="00236F03">
      <w:pPr>
        <w:jc w:val="both"/>
        <w:rPr>
          <w:rFonts w:asciiTheme="majorHAnsi" w:hAnsiTheme="majorHAnsi"/>
        </w:rPr>
      </w:pPr>
      <w:r w:rsidRPr="000B16D5">
        <w:rPr>
          <w:rFonts w:asciiTheme="majorHAnsi" w:hAnsiTheme="majorHAnsi"/>
        </w:rPr>
        <w:t>Diabetes mellitus je komplexní metabolické onemocnění s vysokou mortalitou a morbiditou. V současné době se počet pacientů s diabetem celosvětově zvyšuje, někdy se proto hovoří o pandemii. Pro onemocnění je charakteristickým projevem hyperglykémie vznikající na podkladě relativního nebo absolutního nedostatku hormonu inzulínu. Dnes je diabetes klasifikován do několika typů, diabetes mellitus 1. typu (DM1T), diabetes mellitus 2. typu (DM2T), gestační diabetes mellitus a další speciální formy. Onemocnění se v počátečních fázích může jevit zcela nevině a velmi pomalu postupovat, zvláště pak DM2T. Avšak včasné odhalení, odborná pomoc a dodržování správných návyků má výrazný vliv na zvýšení kvality života pacienta. Mezi varovné signály poukazující na propuknutí nemoci patří polydipsie, polyurie, úbytek hmotnosti, únava, poruchy zraku. Špatně kompenzovaný diabetes může být příčinou mnohých komplikací např. hypoglykemické, hyperglykemické, laktacidotické kóma, diabetická noha, diabetická nefropatie, diabetická neuropatie, komplikace gastrointestinálního systému, hypertenze, recidivující infekce a mykózy etc.</w:t>
      </w:r>
    </w:p>
    <w:p w:rsidR="00960C7E" w:rsidRPr="000B16D5" w:rsidRDefault="00960C7E" w:rsidP="00236F03">
      <w:pPr>
        <w:pStyle w:val="Nadpispodkapitoly"/>
        <w:jc w:val="both"/>
        <w:rPr>
          <w:rFonts w:asciiTheme="majorHAnsi" w:hAnsiTheme="majorHAnsi"/>
        </w:rPr>
      </w:pPr>
      <w:bookmarkStart w:id="108" w:name="_Toc380240643"/>
      <w:r w:rsidRPr="000B16D5">
        <w:rPr>
          <w:rFonts w:asciiTheme="majorHAnsi" w:hAnsiTheme="majorHAnsi"/>
        </w:rPr>
        <w:t>Monogenní formy diabetu</w:t>
      </w:r>
      <w:bookmarkEnd w:id="108"/>
    </w:p>
    <w:p w:rsidR="00960C7E" w:rsidRPr="000B16D5" w:rsidRDefault="00960C7E" w:rsidP="00236F03">
      <w:pPr>
        <w:jc w:val="both"/>
        <w:rPr>
          <w:rFonts w:asciiTheme="majorHAnsi" w:hAnsiTheme="majorHAnsi"/>
        </w:rPr>
      </w:pPr>
      <w:r w:rsidRPr="000B16D5">
        <w:rPr>
          <w:rFonts w:asciiTheme="majorHAnsi" w:hAnsiTheme="majorHAnsi"/>
        </w:rPr>
        <w:t>Homo sapiens sapiens čítá na cca 22 000 genů, z toho více než 20 genů je spojeno s monogenními formami diabetu. Pokud dojde k vadné expresi genů či jejich mutací</w:t>
      </w:r>
      <w:r w:rsidR="003D7B26" w:rsidRPr="000B16D5">
        <w:rPr>
          <w:rFonts w:asciiTheme="majorHAnsi" w:hAnsiTheme="majorHAnsi"/>
        </w:rPr>
        <w:t>m</w:t>
      </w:r>
      <w:r w:rsidRPr="000B16D5">
        <w:rPr>
          <w:rFonts w:asciiTheme="majorHAnsi" w:hAnsiTheme="majorHAnsi"/>
        </w:rPr>
        <w:t>, je vysoká pravděpodobnost rozvinutí monogenního diabetu v dětství či dospělosti s možností přenosu onemocnění i na další generace. Monogenní formy diabetu patří mezi méně časté formy, svým zastoupením se podílejí v 1</w:t>
      </w:r>
      <w:r w:rsidR="003D7B26" w:rsidRPr="000B16D5">
        <w:rPr>
          <w:rFonts w:asciiTheme="majorHAnsi" w:hAnsiTheme="majorHAnsi"/>
        </w:rPr>
        <w:t>–</w:t>
      </w:r>
      <w:r w:rsidRPr="000B16D5">
        <w:rPr>
          <w:rFonts w:asciiTheme="majorHAnsi" w:hAnsiTheme="majorHAnsi"/>
        </w:rPr>
        <w:t xml:space="preserve">3 %. Často mohou být </w:t>
      </w:r>
      <w:r w:rsidR="003D7B26" w:rsidRPr="000B16D5">
        <w:rPr>
          <w:rFonts w:asciiTheme="majorHAnsi" w:hAnsiTheme="majorHAnsi"/>
        </w:rPr>
        <w:t xml:space="preserve">mylně </w:t>
      </w:r>
      <w:r w:rsidRPr="000B16D5">
        <w:rPr>
          <w:rFonts w:asciiTheme="majorHAnsi" w:hAnsiTheme="majorHAnsi"/>
        </w:rPr>
        <w:t>poddiagnostikovány z důvodů nízké výraznosti nebo absence některých typických projevů pro diabetes (mírné změny glykémie etc</w:t>
      </w:r>
      <w:r w:rsidR="003D7B26" w:rsidRPr="000B16D5">
        <w:rPr>
          <w:rFonts w:asciiTheme="majorHAnsi" w:hAnsiTheme="majorHAnsi"/>
        </w:rPr>
        <w:t>.</w:t>
      </w:r>
      <w:r w:rsidRPr="000B16D5">
        <w:rPr>
          <w:rFonts w:asciiTheme="majorHAnsi" w:hAnsiTheme="majorHAnsi"/>
        </w:rPr>
        <w:t xml:space="preserve">). Řadíme zde MODY (Maturity-onset of diabetes of the young) a NDM (Neonatal diabetes, diabetes novorozeneckého věku). MODY je často diagnostikován u dětských pacientů, adolescentů nebo v rané dospělosti, avšak byly popsány i případy u starších. Dnes je známo několik mírně se navzájem lišících MODY dle mutace v příslušném genu (viz tabulka). Nejčastěji jsou mutovány geny HNF1α a GCK. Mnozí pacienti s MODY bývají nepřesně označeni diagnózou DM1T nebo DM2T, správná diagnóza MODY však může výrazně ovlivnit léčbu a odhalit potencionální skryté případy v rodině postiženého. Rozdíly mohou být patrné v tělesné konstituci, kdy pacienti trpící MODY nemívají oproti DM1T a 2 nadváhu a další rizikové faktory, jako je vysoký tlak krve či abnormální hladiny krevních lipidů. NDM je onemocnění projevující se před 6 měsícem života, občasně i mezi 6. a 12. měsícem. Jedná se o vzácné onemocnění s cca 1 případem na 100 000 – 500 000 živě narozených. Novorozenecký diabetes je rozdělován na PNDM (permanent neonatal diabetes mellitus) vyžadující celoživotní léčbu reagující lépe na deriváty sulfonylurey než </w:t>
      </w:r>
      <w:r w:rsidR="003D7B26" w:rsidRPr="000B16D5">
        <w:rPr>
          <w:rFonts w:asciiTheme="majorHAnsi" w:hAnsiTheme="majorHAnsi"/>
        </w:rPr>
        <w:t xml:space="preserve">na </w:t>
      </w:r>
      <w:r w:rsidR="003D7B3D" w:rsidRPr="000B16D5">
        <w:rPr>
          <w:rFonts w:asciiTheme="majorHAnsi" w:hAnsiTheme="majorHAnsi"/>
        </w:rPr>
        <w:t xml:space="preserve">inzulín </w:t>
      </w:r>
      <w:r w:rsidRPr="000B16D5">
        <w:rPr>
          <w:rFonts w:asciiTheme="majorHAnsi" w:hAnsiTheme="majorHAnsi"/>
        </w:rPr>
        <w:t xml:space="preserve">a </w:t>
      </w:r>
      <w:r w:rsidR="003D7B26" w:rsidRPr="000B16D5">
        <w:rPr>
          <w:rFonts w:asciiTheme="majorHAnsi" w:hAnsiTheme="majorHAnsi"/>
        </w:rPr>
        <w:t xml:space="preserve">na </w:t>
      </w:r>
      <w:r w:rsidRPr="000B16D5">
        <w:rPr>
          <w:rFonts w:asciiTheme="majorHAnsi" w:hAnsiTheme="majorHAnsi"/>
        </w:rPr>
        <w:t>TNDM (transient neonatal diabetes mellitus)</w:t>
      </w:r>
      <w:r w:rsidR="003D7B26" w:rsidRPr="000B16D5">
        <w:rPr>
          <w:rFonts w:asciiTheme="majorHAnsi" w:hAnsiTheme="majorHAnsi"/>
        </w:rPr>
        <w:t>, kde se k léčbě</w:t>
      </w:r>
      <w:r w:rsidRPr="000B16D5">
        <w:rPr>
          <w:rFonts w:asciiTheme="majorHAnsi" w:hAnsiTheme="majorHAnsi"/>
        </w:rPr>
        <w:t xml:space="preserve"> </w:t>
      </w:r>
      <w:r w:rsidR="003D7B3D" w:rsidRPr="000B16D5">
        <w:rPr>
          <w:rFonts w:asciiTheme="majorHAnsi" w:hAnsiTheme="majorHAnsi"/>
        </w:rPr>
        <w:t xml:space="preserve">inzulínem </w:t>
      </w:r>
      <w:r w:rsidR="003D7B26" w:rsidRPr="000B16D5">
        <w:rPr>
          <w:rFonts w:asciiTheme="majorHAnsi" w:hAnsiTheme="majorHAnsi"/>
        </w:rPr>
        <w:t xml:space="preserve">přistupuje </w:t>
      </w:r>
      <w:r w:rsidRPr="000B16D5">
        <w:rPr>
          <w:rFonts w:asciiTheme="majorHAnsi" w:hAnsiTheme="majorHAnsi"/>
        </w:rPr>
        <w:t xml:space="preserve">pouze </w:t>
      </w:r>
      <w:r w:rsidR="003D7B26" w:rsidRPr="000B16D5">
        <w:rPr>
          <w:rFonts w:asciiTheme="majorHAnsi" w:hAnsiTheme="majorHAnsi"/>
        </w:rPr>
        <w:t>v několika prvních měsících</w:t>
      </w:r>
      <w:r w:rsidRPr="000B16D5">
        <w:rPr>
          <w:rFonts w:asciiTheme="majorHAnsi" w:hAnsiTheme="majorHAnsi"/>
        </w:rPr>
        <w:t xml:space="preserve"> života. </w:t>
      </w:r>
      <w:r w:rsidR="000D3449" w:rsidRPr="000B16D5">
        <w:rPr>
          <w:rFonts w:asciiTheme="majorHAnsi" w:hAnsiTheme="majorHAnsi"/>
        </w:rPr>
        <w:t>P</w:t>
      </w:r>
      <w:r w:rsidRPr="000B16D5">
        <w:rPr>
          <w:rFonts w:asciiTheme="majorHAnsi" w:hAnsiTheme="majorHAnsi"/>
        </w:rPr>
        <w:t xml:space="preserve">ozdější relaps </w:t>
      </w:r>
      <w:r w:rsidR="000D3449" w:rsidRPr="000B16D5">
        <w:rPr>
          <w:rFonts w:asciiTheme="majorHAnsi" w:hAnsiTheme="majorHAnsi"/>
        </w:rPr>
        <w:t xml:space="preserve">však </w:t>
      </w:r>
      <w:r w:rsidRPr="000B16D5">
        <w:rPr>
          <w:rFonts w:asciiTheme="majorHAnsi" w:hAnsiTheme="majorHAnsi"/>
        </w:rPr>
        <w:t>není vyloučen</w:t>
      </w:r>
      <w:r w:rsidR="000D3449" w:rsidRPr="000B16D5">
        <w:rPr>
          <w:rFonts w:asciiTheme="majorHAnsi" w:hAnsiTheme="majorHAnsi"/>
        </w:rPr>
        <w:t xml:space="preserve">. </w:t>
      </w:r>
      <w:r w:rsidRPr="000B16D5">
        <w:rPr>
          <w:rFonts w:asciiTheme="majorHAnsi" w:hAnsiTheme="majorHAnsi"/>
        </w:rPr>
        <w:t>Tyto typy NDM se neliší pouze svou délkou terapie. U dětí PNDM bývá popisován DEND syndrom charakterizovaný epileptickými záchvaty, opožděným vývojem a diabetem. U zbylých pacientů bývá popisována porucha vývoje pankreatu a s ním spojená neschopnost vstřebávání v tucích rozpustných vitamínů a patologická stolice. Mutace bývá přítomna v</w:t>
      </w:r>
      <w:r w:rsidR="000D3449" w:rsidRPr="000B16D5">
        <w:rPr>
          <w:rFonts w:asciiTheme="majorHAnsi" w:hAnsiTheme="majorHAnsi"/>
        </w:rPr>
        <w:t> </w:t>
      </w:r>
      <w:r w:rsidRPr="000B16D5">
        <w:rPr>
          <w:rFonts w:asciiTheme="majorHAnsi" w:hAnsiTheme="majorHAnsi"/>
        </w:rPr>
        <w:t>30</w:t>
      </w:r>
      <w:r w:rsidR="000D3449" w:rsidRPr="000B16D5">
        <w:rPr>
          <w:rFonts w:asciiTheme="majorHAnsi" w:hAnsiTheme="majorHAnsi"/>
        </w:rPr>
        <w:t xml:space="preserve"> </w:t>
      </w:r>
      <w:r w:rsidRPr="000B16D5">
        <w:rPr>
          <w:rFonts w:asciiTheme="majorHAnsi" w:hAnsiTheme="majorHAnsi"/>
        </w:rPr>
        <w:t>% v genu KCNJ11 pro K+ kanál a v</w:t>
      </w:r>
      <w:r w:rsidR="000D3449" w:rsidRPr="000B16D5">
        <w:rPr>
          <w:rFonts w:asciiTheme="majorHAnsi" w:hAnsiTheme="majorHAnsi"/>
        </w:rPr>
        <w:t> </w:t>
      </w:r>
      <w:r w:rsidRPr="000B16D5">
        <w:rPr>
          <w:rFonts w:asciiTheme="majorHAnsi" w:hAnsiTheme="majorHAnsi"/>
        </w:rPr>
        <w:t>20</w:t>
      </w:r>
      <w:r w:rsidR="000D3449" w:rsidRPr="000B16D5">
        <w:rPr>
          <w:rFonts w:asciiTheme="majorHAnsi" w:hAnsiTheme="majorHAnsi"/>
        </w:rPr>
        <w:t xml:space="preserve"> </w:t>
      </w:r>
      <w:r w:rsidRPr="000B16D5">
        <w:rPr>
          <w:rFonts w:asciiTheme="majorHAnsi" w:hAnsiTheme="majorHAnsi"/>
        </w:rPr>
        <w:t>% v genu ABCC8, formě sulfonylurea receprotu ovlivňujícího K+ kanál. NDM je často chybně diagnostikován jako DM1T</w:t>
      </w:r>
      <w:r w:rsidR="000D3449" w:rsidRPr="000B16D5">
        <w:rPr>
          <w:rFonts w:asciiTheme="majorHAnsi" w:hAnsiTheme="majorHAnsi"/>
        </w:rPr>
        <w:t>.</w:t>
      </w:r>
    </w:p>
    <w:tbl>
      <w:tblPr>
        <w:tblStyle w:val="Mkatabulky"/>
        <w:tblW w:w="0" w:type="auto"/>
        <w:jc w:val="center"/>
        <w:tblLook w:val="04A0" w:firstRow="1" w:lastRow="0" w:firstColumn="1" w:lastColumn="0" w:noHBand="0" w:noVBand="1"/>
      </w:tblPr>
      <w:tblGrid>
        <w:gridCol w:w="4606"/>
        <w:gridCol w:w="4606"/>
      </w:tblGrid>
      <w:tr w:rsidR="00960C7E" w:rsidRPr="000B16D5" w:rsidTr="00EE4AF3">
        <w:trPr>
          <w:jc w:val="center"/>
        </w:trPr>
        <w:tc>
          <w:tcPr>
            <w:tcW w:w="4606" w:type="dxa"/>
            <w:tcBorders>
              <w:bottom w:val="single" w:sz="4" w:space="0" w:color="auto"/>
            </w:tcBorders>
            <w:vAlign w:val="center"/>
          </w:tcPr>
          <w:p w:rsidR="00960C7E" w:rsidRPr="000B16D5" w:rsidRDefault="00960C7E" w:rsidP="00236F03">
            <w:pPr>
              <w:spacing w:line="276" w:lineRule="auto"/>
              <w:jc w:val="both"/>
              <w:rPr>
                <w:rFonts w:asciiTheme="majorHAnsi" w:hAnsiTheme="majorHAnsi"/>
                <w:b/>
                <w:bCs/>
                <w:sz w:val="24"/>
                <w:szCs w:val="24"/>
              </w:rPr>
            </w:pPr>
            <w:r w:rsidRPr="000B16D5">
              <w:rPr>
                <w:rFonts w:asciiTheme="majorHAnsi" w:hAnsiTheme="majorHAnsi"/>
                <w:b/>
                <w:bCs/>
                <w:sz w:val="24"/>
                <w:szCs w:val="24"/>
              </w:rPr>
              <w:t>Forma monogenního diabetu</w:t>
            </w:r>
          </w:p>
        </w:tc>
        <w:tc>
          <w:tcPr>
            <w:tcW w:w="4606" w:type="dxa"/>
            <w:tcBorders>
              <w:bottom w:val="single" w:sz="4" w:space="0" w:color="auto"/>
            </w:tcBorders>
            <w:vAlign w:val="center"/>
          </w:tcPr>
          <w:p w:rsidR="00960C7E" w:rsidRPr="000B16D5" w:rsidRDefault="00960C7E" w:rsidP="00236F03">
            <w:pPr>
              <w:spacing w:line="276" w:lineRule="auto"/>
              <w:jc w:val="both"/>
              <w:rPr>
                <w:rFonts w:asciiTheme="majorHAnsi" w:hAnsiTheme="majorHAnsi"/>
                <w:b/>
                <w:bCs/>
                <w:sz w:val="24"/>
                <w:szCs w:val="24"/>
              </w:rPr>
            </w:pPr>
            <w:r w:rsidRPr="000B16D5">
              <w:rPr>
                <w:rFonts w:asciiTheme="majorHAnsi" w:hAnsiTheme="majorHAnsi"/>
                <w:b/>
                <w:bCs/>
                <w:sz w:val="24"/>
                <w:szCs w:val="24"/>
              </w:rPr>
              <w:t>Mutovaný gen</w:t>
            </w:r>
          </w:p>
        </w:tc>
      </w:tr>
      <w:tr w:rsidR="00960C7E" w:rsidRPr="000B16D5" w:rsidTr="00EE4AF3">
        <w:trPr>
          <w:jc w:val="center"/>
        </w:trPr>
        <w:tc>
          <w:tcPr>
            <w:tcW w:w="4606" w:type="dxa"/>
            <w:tcBorders>
              <w:top w:val="single" w:sz="4" w:space="0" w:color="auto"/>
            </w:tcBorders>
            <w:vAlign w:val="center"/>
          </w:tcPr>
          <w:p w:rsidR="00960C7E" w:rsidRPr="000B16D5" w:rsidRDefault="00960C7E" w:rsidP="00236F03">
            <w:pPr>
              <w:spacing w:line="276" w:lineRule="auto"/>
              <w:jc w:val="both"/>
              <w:rPr>
                <w:rFonts w:asciiTheme="majorHAnsi" w:hAnsiTheme="majorHAnsi"/>
                <w:sz w:val="24"/>
                <w:szCs w:val="24"/>
              </w:rPr>
            </w:pPr>
            <w:r w:rsidRPr="000B16D5">
              <w:rPr>
                <w:rFonts w:asciiTheme="majorHAnsi" w:hAnsiTheme="majorHAnsi"/>
                <w:sz w:val="24"/>
                <w:szCs w:val="24"/>
              </w:rPr>
              <w:t>MODY</w:t>
            </w:r>
          </w:p>
        </w:tc>
        <w:tc>
          <w:tcPr>
            <w:tcW w:w="4606" w:type="dxa"/>
            <w:tcBorders>
              <w:top w:val="single" w:sz="4" w:space="0" w:color="auto"/>
            </w:tcBorders>
            <w:vAlign w:val="center"/>
          </w:tcPr>
          <w:p w:rsidR="00960C7E" w:rsidRPr="000B16D5" w:rsidRDefault="00960C7E" w:rsidP="00236F03">
            <w:pPr>
              <w:spacing w:line="276" w:lineRule="auto"/>
              <w:jc w:val="both"/>
              <w:rPr>
                <w:rFonts w:asciiTheme="majorHAnsi" w:hAnsiTheme="majorHAnsi"/>
                <w:sz w:val="24"/>
                <w:szCs w:val="24"/>
              </w:rPr>
            </w:pPr>
            <w:r w:rsidRPr="000B16D5">
              <w:rPr>
                <w:rFonts w:asciiTheme="majorHAnsi" w:hAnsiTheme="majorHAnsi"/>
                <w:sz w:val="24"/>
                <w:szCs w:val="24"/>
              </w:rPr>
              <w:t>ABCC8, GCK, INS, HNF1A, HNF1B, HNF4A, CEL, PAX4, KLF11, PF1, NEUROD1</w:t>
            </w:r>
          </w:p>
        </w:tc>
      </w:tr>
      <w:tr w:rsidR="00960C7E" w:rsidRPr="000B16D5" w:rsidTr="00EE4AF3">
        <w:trPr>
          <w:jc w:val="center"/>
        </w:trPr>
        <w:tc>
          <w:tcPr>
            <w:tcW w:w="4606" w:type="dxa"/>
            <w:vAlign w:val="center"/>
          </w:tcPr>
          <w:p w:rsidR="00960C7E" w:rsidRPr="000B16D5" w:rsidRDefault="00960C7E" w:rsidP="00236F03">
            <w:pPr>
              <w:spacing w:line="276" w:lineRule="auto"/>
              <w:jc w:val="both"/>
              <w:rPr>
                <w:rFonts w:asciiTheme="majorHAnsi" w:hAnsiTheme="majorHAnsi"/>
                <w:sz w:val="24"/>
                <w:szCs w:val="24"/>
              </w:rPr>
            </w:pPr>
            <w:r w:rsidRPr="000B16D5">
              <w:rPr>
                <w:rFonts w:asciiTheme="majorHAnsi" w:hAnsiTheme="majorHAnsi"/>
                <w:sz w:val="24"/>
                <w:szCs w:val="24"/>
              </w:rPr>
              <w:t>PNDM</w:t>
            </w:r>
          </w:p>
        </w:tc>
        <w:tc>
          <w:tcPr>
            <w:tcW w:w="4606" w:type="dxa"/>
            <w:vAlign w:val="center"/>
          </w:tcPr>
          <w:p w:rsidR="00960C7E" w:rsidRPr="000B16D5" w:rsidRDefault="00960C7E" w:rsidP="00236F03">
            <w:pPr>
              <w:spacing w:line="276" w:lineRule="auto"/>
              <w:jc w:val="both"/>
              <w:rPr>
                <w:rFonts w:asciiTheme="majorHAnsi" w:hAnsiTheme="majorHAnsi"/>
                <w:sz w:val="24"/>
                <w:szCs w:val="24"/>
              </w:rPr>
            </w:pPr>
            <w:r w:rsidRPr="000B16D5">
              <w:rPr>
                <w:rFonts w:asciiTheme="majorHAnsi" w:hAnsiTheme="majorHAnsi"/>
                <w:sz w:val="24"/>
                <w:szCs w:val="24"/>
              </w:rPr>
              <w:t>INS, ABCC8, KCNJ11, FOXP3, PAX6, GATA6, NEUROD1, NEUROG3, HNF1B, IER3IP1</w:t>
            </w:r>
          </w:p>
        </w:tc>
      </w:tr>
      <w:tr w:rsidR="00960C7E" w:rsidRPr="000B16D5" w:rsidTr="00EE4AF3">
        <w:trPr>
          <w:trHeight w:val="637"/>
          <w:jc w:val="center"/>
        </w:trPr>
        <w:tc>
          <w:tcPr>
            <w:tcW w:w="4606" w:type="dxa"/>
            <w:vAlign w:val="center"/>
          </w:tcPr>
          <w:p w:rsidR="00960C7E" w:rsidRPr="000B16D5" w:rsidRDefault="00960C7E" w:rsidP="00236F03">
            <w:pPr>
              <w:spacing w:line="276" w:lineRule="auto"/>
              <w:jc w:val="both"/>
              <w:rPr>
                <w:rFonts w:asciiTheme="majorHAnsi" w:hAnsiTheme="majorHAnsi"/>
                <w:sz w:val="24"/>
                <w:szCs w:val="24"/>
              </w:rPr>
            </w:pPr>
            <w:r w:rsidRPr="000B16D5">
              <w:rPr>
                <w:rFonts w:asciiTheme="majorHAnsi" w:hAnsiTheme="majorHAnsi"/>
                <w:sz w:val="24"/>
                <w:szCs w:val="24"/>
              </w:rPr>
              <w:t>TNDM</w:t>
            </w:r>
          </w:p>
        </w:tc>
        <w:tc>
          <w:tcPr>
            <w:tcW w:w="4606" w:type="dxa"/>
            <w:vAlign w:val="center"/>
          </w:tcPr>
          <w:p w:rsidR="00960C7E" w:rsidRPr="000B16D5" w:rsidRDefault="00960C7E" w:rsidP="00236F03">
            <w:pPr>
              <w:spacing w:line="276" w:lineRule="auto"/>
              <w:jc w:val="both"/>
              <w:rPr>
                <w:rFonts w:asciiTheme="majorHAnsi" w:hAnsiTheme="majorHAnsi"/>
                <w:sz w:val="24"/>
                <w:szCs w:val="24"/>
              </w:rPr>
            </w:pPr>
            <w:r w:rsidRPr="000B16D5">
              <w:rPr>
                <w:rFonts w:asciiTheme="majorHAnsi" w:hAnsiTheme="majorHAnsi"/>
                <w:sz w:val="24"/>
                <w:szCs w:val="24"/>
              </w:rPr>
              <w:t>PLAGL1, HYMAI, ZFP57, HNF1B</w:t>
            </w:r>
          </w:p>
        </w:tc>
      </w:tr>
    </w:tbl>
    <w:p w:rsidR="00960C7E" w:rsidRPr="000B16D5" w:rsidRDefault="00960C7E" w:rsidP="00236F03">
      <w:pPr>
        <w:jc w:val="both"/>
        <w:rPr>
          <w:rFonts w:asciiTheme="majorHAnsi" w:hAnsiTheme="majorHAnsi"/>
          <w:sz w:val="24"/>
          <w:szCs w:val="24"/>
        </w:rPr>
      </w:pPr>
    </w:p>
    <w:p w:rsidR="00960C7E" w:rsidRPr="000B16D5" w:rsidRDefault="00960C7E" w:rsidP="00236F03">
      <w:pPr>
        <w:pStyle w:val="Nadpispodkapitoly"/>
        <w:jc w:val="both"/>
        <w:rPr>
          <w:rFonts w:asciiTheme="majorHAnsi" w:hAnsiTheme="majorHAnsi"/>
        </w:rPr>
      </w:pPr>
      <w:bookmarkStart w:id="109" w:name="_Toc380240644"/>
      <w:r w:rsidRPr="000B16D5">
        <w:rPr>
          <w:rFonts w:asciiTheme="majorHAnsi" w:hAnsiTheme="majorHAnsi"/>
        </w:rPr>
        <w:t>Polygenní formy diabetu</w:t>
      </w:r>
      <w:bookmarkEnd w:id="109"/>
    </w:p>
    <w:p w:rsidR="00960C7E" w:rsidRPr="000B16D5" w:rsidRDefault="00960C7E" w:rsidP="00236F03">
      <w:pPr>
        <w:jc w:val="both"/>
        <w:rPr>
          <w:rFonts w:asciiTheme="majorHAnsi" w:hAnsiTheme="majorHAnsi"/>
        </w:rPr>
      </w:pPr>
      <w:r w:rsidRPr="000B16D5">
        <w:rPr>
          <w:rFonts w:asciiTheme="majorHAnsi" w:hAnsiTheme="majorHAnsi"/>
        </w:rPr>
        <w:t>DM1T a DM2T jsou nejčastěj</w:t>
      </w:r>
      <w:r w:rsidR="00081E99" w:rsidRPr="000B16D5">
        <w:rPr>
          <w:rFonts w:asciiTheme="majorHAnsi" w:hAnsiTheme="majorHAnsi"/>
        </w:rPr>
        <w:t>i</w:t>
      </w:r>
      <w:r w:rsidRPr="000B16D5">
        <w:rPr>
          <w:rFonts w:asciiTheme="majorHAnsi" w:hAnsiTheme="majorHAnsi"/>
        </w:rPr>
        <w:t xml:space="preserve"> zastoupenými formami diabetu. Onemocnění mají původ multifaktoriální, tj. kombinací genetických a negenetických faktorů. Z pohledu genetiky se jedná o polygenní onemocnění, protože jejich vznik je přičítán většímu počtu genů na rozdíl od monogenních forem diabetu. DM1 nazýván též juvenilním diabetem pro svůj typický výskyt u mladých pacientů má zastoupení v cca 5–10 %. Jako příčina vzniku onemocnění se zdá autoimunitou způsobená destrukce β-buněk pankreatu produkujících inzulín. V současnosti je známo cca 20 oblastí v genomu, které mohou přispět k rozvoji DM1. Nejsilnější pozici mají geny ležící v HLA regionu 6. chromozomu, které plní převážně imunitní funkci. Hlavně potom gen IDDM1 v regionu HLA II, který přispívá ze 40</w:t>
      </w:r>
      <w:r w:rsidR="00081E99" w:rsidRPr="000B16D5">
        <w:rPr>
          <w:rFonts w:asciiTheme="majorHAnsi" w:hAnsiTheme="majorHAnsi"/>
        </w:rPr>
        <w:t>–</w:t>
      </w:r>
      <w:r w:rsidRPr="000B16D5">
        <w:rPr>
          <w:rFonts w:asciiTheme="majorHAnsi" w:hAnsiTheme="majorHAnsi"/>
        </w:rPr>
        <w:t>50</w:t>
      </w:r>
      <w:r w:rsidR="00081E99" w:rsidRPr="000B16D5">
        <w:rPr>
          <w:rFonts w:asciiTheme="majorHAnsi" w:hAnsiTheme="majorHAnsi"/>
        </w:rPr>
        <w:t xml:space="preserve"> </w:t>
      </w:r>
      <w:r w:rsidRPr="000B16D5">
        <w:rPr>
          <w:rFonts w:asciiTheme="majorHAnsi" w:hAnsiTheme="majorHAnsi"/>
        </w:rPr>
        <w:t>% na propuknutí onemocnění z genetické příčiny. Další geny spojené s rozvojem DM1T jsou gen INS (insulin) a CTLA-4 podílející se opět na imunitě. DM2T je onemocnění podílející se na diabetu z 90–95</w:t>
      </w:r>
      <w:r w:rsidR="00081E99" w:rsidRPr="000B16D5">
        <w:rPr>
          <w:rFonts w:asciiTheme="majorHAnsi" w:hAnsiTheme="majorHAnsi"/>
        </w:rPr>
        <w:t xml:space="preserve"> </w:t>
      </w:r>
      <w:r w:rsidRPr="000B16D5">
        <w:rPr>
          <w:rFonts w:asciiTheme="majorHAnsi" w:hAnsiTheme="majorHAnsi"/>
        </w:rPr>
        <w:t xml:space="preserve">%. Jeho nástup bývá na rozdíl od DM1T více pozvolný a manifestace je pozorována u starších pacientů. </w:t>
      </w:r>
      <w:r w:rsidR="00081E99" w:rsidRPr="000B16D5">
        <w:rPr>
          <w:rFonts w:asciiTheme="majorHAnsi" w:hAnsiTheme="majorHAnsi"/>
        </w:rPr>
        <w:t xml:space="preserve">Za příčinu </w:t>
      </w:r>
      <w:r w:rsidRPr="000B16D5">
        <w:rPr>
          <w:rFonts w:asciiTheme="majorHAnsi" w:hAnsiTheme="majorHAnsi"/>
        </w:rPr>
        <w:t xml:space="preserve">vzniku se </w:t>
      </w:r>
      <w:r w:rsidR="00081E99" w:rsidRPr="000B16D5">
        <w:rPr>
          <w:rFonts w:asciiTheme="majorHAnsi" w:hAnsiTheme="majorHAnsi"/>
        </w:rPr>
        <w:t xml:space="preserve">považuje </w:t>
      </w:r>
      <w:r w:rsidRPr="000B16D5">
        <w:rPr>
          <w:rFonts w:asciiTheme="majorHAnsi" w:hAnsiTheme="majorHAnsi"/>
        </w:rPr>
        <w:t xml:space="preserve">vznik </w:t>
      </w:r>
      <w:r w:rsidR="003D7B3D" w:rsidRPr="000B16D5">
        <w:rPr>
          <w:rFonts w:asciiTheme="majorHAnsi" w:hAnsiTheme="majorHAnsi"/>
        </w:rPr>
        <w:t xml:space="preserve">inzulínové </w:t>
      </w:r>
      <w:r w:rsidRPr="000B16D5">
        <w:rPr>
          <w:rFonts w:asciiTheme="majorHAnsi" w:hAnsiTheme="majorHAnsi"/>
        </w:rPr>
        <w:t>rezistence hlavně ve svalové a tukové tkáni, v pozdějších stádiích i samotná nedostatečná produkce inzulínu. Genetické pozadí DM2 je podobně jako u DM1T polygenní, je uváděno okolo 50 genů souvisejících s tímto typem. Časté jsou TCF7L2, PPARγ, CAPN10, KCNJ11, NOTCH2, WFS1, IGF2BP2, SLC30A8, JAZF1, HHEX etc. PPARγ (peroxisome proliferator-activated receptor-γ) je gen ovlivňující lipidový metabolismus a jedna z jeho forem PPARγ (Pro) působí snížení citlivosti na inzulín. Jedná se o hojně rozšířenou formu genu, zvláště pak u Evropanů. ABCC8 (ATP binding cassette) gen kóduje formu sulfonylurea receptoru, který má vliv na K+ kanál (gen KCNJ11). Oba tyto geny mají tedy vliv na uvolňování inzulínu z β-buněk pankreatu. Mutace v těchto genech má tedy přímo vliv na rozvoj DM2T. Zajímavostí je, že tyto dva geny leží velmi blízko sebe 4,5 kb a i nedaleko INS (insulin) genu. Varianty těchto genů nejsou důležité pouze z hlediska patogeneze DM2T, mohou posloužit i jako prognostické markery úspěšnosti farmakoterapie cílící na tyto geny. CAPN10 (kalpain 10) je gen kódující intracelulární kalcium dependentní cystein proteázu ovlivňující sekreci inzulínu a tímto v různé míře přispívající k rozvoji onemocnění. Zvláštním typem diabetu je tzv. gestační neboli těhotenský diabetes mellitus (GDM). Je diagnostikován asi ze 4</w:t>
      </w:r>
      <w:r w:rsidR="00081E99" w:rsidRPr="000B16D5">
        <w:rPr>
          <w:rFonts w:asciiTheme="majorHAnsi" w:hAnsiTheme="majorHAnsi"/>
        </w:rPr>
        <w:t xml:space="preserve"> </w:t>
      </w:r>
      <w:r w:rsidRPr="000B16D5">
        <w:rPr>
          <w:rFonts w:asciiTheme="majorHAnsi" w:hAnsiTheme="majorHAnsi"/>
        </w:rPr>
        <w:t>% v těhotenství. Někdy je pokládán za DM2T charakteristický pro těhotenství. Pro GDM byly nalezeny geny CDKAL1 a CDKN2A/2B, které jsou spojeny s vyšším rizikem vzniku onemocnění u těhotných žen.</w:t>
      </w:r>
    </w:p>
    <w:p w:rsidR="00EE4AF3" w:rsidRPr="000B16D5" w:rsidRDefault="00960C7E" w:rsidP="00EE4AF3">
      <w:pPr>
        <w:keepNext/>
        <w:jc w:val="center"/>
        <w:rPr>
          <w:rFonts w:asciiTheme="majorHAnsi" w:hAnsiTheme="majorHAnsi"/>
        </w:rPr>
      </w:pPr>
      <w:r w:rsidRPr="000B16D5">
        <w:rPr>
          <w:rFonts w:asciiTheme="majorHAnsi" w:hAnsiTheme="majorHAnsi"/>
          <w:noProof/>
        </w:rPr>
        <w:drawing>
          <wp:inline distT="0" distB="0" distL="0" distR="0" wp14:anchorId="09465E8E" wp14:editId="6BA61D03">
            <wp:extent cx="3251891" cy="2569264"/>
            <wp:effectExtent l="0" t="0" r="5715"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66102" cy="2580492"/>
                    </a:xfrm>
                    <a:prstGeom prst="rect">
                      <a:avLst/>
                    </a:prstGeom>
                    <a:noFill/>
                    <a:ln>
                      <a:noFill/>
                    </a:ln>
                  </pic:spPr>
                </pic:pic>
              </a:graphicData>
            </a:graphic>
          </wp:inline>
        </w:drawing>
      </w:r>
    </w:p>
    <w:p w:rsidR="00960C7E" w:rsidRPr="000B16D5" w:rsidRDefault="00EE4AF3" w:rsidP="00EE4AF3">
      <w:pPr>
        <w:pStyle w:val="Titulek"/>
        <w:jc w:val="center"/>
        <w:rPr>
          <w:rFonts w:asciiTheme="majorHAnsi" w:hAnsiTheme="majorHAnsi"/>
          <w:color w:val="808080" w:themeColor="background1" w:themeShade="80"/>
        </w:rPr>
      </w:pPr>
      <w:r w:rsidRPr="000B16D5">
        <w:rPr>
          <w:rFonts w:asciiTheme="majorHAnsi" w:hAnsiTheme="majorHAnsi"/>
          <w:color w:val="808080" w:themeColor="background1" w:themeShade="80"/>
        </w:rPr>
        <w:t xml:space="preserve">Obrázek </w:t>
      </w:r>
      <w:r w:rsidRPr="000B16D5">
        <w:rPr>
          <w:rFonts w:asciiTheme="majorHAnsi" w:hAnsiTheme="majorHAnsi"/>
          <w:color w:val="808080" w:themeColor="background1" w:themeShade="80"/>
        </w:rPr>
        <w:fldChar w:fldCharType="begin"/>
      </w:r>
      <w:r w:rsidRPr="000B16D5">
        <w:rPr>
          <w:rFonts w:asciiTheme="majorHAnsi" w:hAnsiTheme="majorHAnsi"/>
          <w:color w:val="808080" w:themeColor="background1" w:themeShade="80"/>
        </w:rPr>
        <w:instrText xml:space="preserve"> SEQ Obrázek \* ARABIC </w:instrText>
      </w:r>
      <w:r w:rsidRPr="000B16D5">
        <w:rPr>
          <w:rFonts w:asciiTheme="majorHAnsi" w:hAnsiTheme="majorHAnsi"/>
          <w:color w:val="808080" w:themeColor="background1" w:themeShade="80"/>
        </w:rPr>
        <w:fldChar w:fldCharType="separate"/>
      </w:r>
      <w:r w:rsidR="008378F9" w:rsidRPr="000B16D5">
        <w:rPr>
          <w:rFonts w:asciiTheme="majorHAnsi" w:hAnsiTheme="majorHAnsi"/>
          <w:noProof/>
          <w:color w:val="808080" w:themeColor="background1" w:themeShade="80"/>
        </w:rPr>
        <w:t>15</w:t>
      </w:r>
      <w:r w:rsidRPr="000B16D5">
        <w:rPr>
          <w:rFonts w:asciiTheme="majorHAnsi" w:hAnsiTheme="majorHAnsi"/>
          <w:color w:val="808080" w:themeColor="background1" w:themeShade="80"/>
        </w:rPr>
        <w:fldChar w:fldCharType="end"/>
      </w:r>
      <w:r w:rsidRPr="000B16D5">
        <w:rPr>
          <w:rFonts w:asciiTheme="majorHAnsi" w:hAnsiTheme="majorHAnsi"/>
          <w:color w:val="808080" w:themeColor="background1" w:themeShade="80"/>
        </w:rPr>
        <w:t xml:space="preserve"> </w:t>
      </w:r>
      <w:r w:rsidR="009F06BC" w:rsidRPr="000B16D5">
        <w:rPr>
          <w:rFonts w:asciiTheme="majorHAnsi" w:hAnsiTheme="majorHAnsi"/>
          <w:color w:val="808080" w:themeColor="background1" w:themeShade="80"/>
        </w:rPr>
        <w:t>–</w:t>
      </w:r>
      <w:r w:rsidRPr="000B16D5">
        <w:rPr>
          <w:rFonts w:asciiTheme="majorHAnsi" w:hAnsiTheme="majorHAnsi"/>
          <w:color w:val="808080" w:themeColor="background1" w:themeShade="80"/>
        </w:rPr>
        <w:t xml:space="preserve"> Mechani</w:t>
      </w:r>
      <w:r w:rsidR="00DB6ED5" w:rsidRPr="000B16D5">
        <w:rPr>
          <w:rFonts w:asciiTheme="majorHAnsi" w:hAnsiTheme="majorHAnsi"/>
          <w:color w:val="808080" w:themeColor="background1" w:themeShade="80"/>
        </w:rPr>
        <w:t>s</w:t>
      </w:r>
      <w:r w:rsidRPr="000B16D5">
        <w:rPr>
          <w:rFonts w:asciiTheme="majorHAnsi" w:hAnsiTheme="majorHAnsi"/>
          <w:color w:val="808080" w:themeColor="background1" w:themeShade="80"/>
        </w:rPr>
        <w:t>mus sekrece inzulínu β-buňkou pankreatu</w:t>
      </w:r>
    </w:p>
    <w:p w:rsidR="00960C7E" w:rsidRPr="000B16D5" w:rsidRDefault="00960C7E" w:rsidP="00236F03">
      <w:pPr>
        <w:pStyle w:val="Nadpispodkapitoly"/>
        <w:jc w:val="both"/>
        <w:rPr>
          <w:rFonts w:asciiTheme="majorHAnsi" w:hAnsiTheme="majorHAnsi"/>
        </w:rPr>
      </w:pPr>
      <w:bookmarkStart w:id="110" w:name="_Toc380240645"/>
      <w:r w:rsidRPr="000B16D5">
        <w:rPr>
          <w:rFonts w:asciiTheme="majorHAnsi" w:hAnsiTheme="majorHAnsi"/>
        </w:rPr>
        <w:t>Diabetes a složení stravy</w:t>
      </w:r>
      <w:bookmarkEnd w:id="110"/>
    </w:p>
    <w:p w:rsidR="00960C7E" w:rsidRPr="000B16D5" w:rsidRDefault="00960C7E" w:rsidP="00236F03">
      <w:pPr>
        <w:jc w:val="both"/>
        <w:rPr>
          <w:rFonts w:asciiTheme="majorHAnsi" w:hAnsiTheme="majorHAnsi"/>
        </w:rPr>
      </w:pPr>
      <w:r w:rsidRPr="000B16D5">
        <w:rPr>
          <w:rFonts w:asciiTheme="majorHAnsi" w:hAnsiTheme="majorHAnsi"/>
        </w:rPr>
        <w:t xml:space="preserve">Z hlediska léčby diabetických onemocnění je základem dodržování správné diety. V současnosti je uváděn jako optimální </w:t>
      </w:r>
      <w:r w:rsidR="00DB6ED5" w:rsidRPr="000B16D5">
        <w:rPr>
          <w:rFonts w:asciiTheme="majorHAnsi" w:hAnsiTheme="majorHAnsi"/>
        </w:rPr>
        <w:t xml:space="preserve">tento </w:t>
      </w:r>
      <w:r w:rsidRPr="000B16D5">
        <w:rPr>
          <w:rFonts w:asciiTheme="majorHAnsi" w:hAnsiTheme="majorHAnsi"/>
        </w:rPr>
        <w:t>energetický poměr živin</w:t>
      </w:r>
      <w:r w:rsidR="00DB6ED5" w:rsidRPr="000B16D5">
        <w:rPr>
          <w:rFonts w:asciiTheme="majorHAnsi" w:hAnsiTheme="majorHAnsi"/>
        </w:rPr>
        <w:t>:</w:t>
      </w:r>
      <w:r w:rsidRPr="000B16D5">
        <w:rPr>
          <w:rFonts w:asciiTheme="majorHAnsi" w:hAnsiTheme="majorHAnsi"/>
        </w:rPr>
        <w:t xml:space="preserve"> 45</w:t>
      </w:r>
      <w:r w:rsidR="00DB6ED5" w:rsidRPr="000B16D5">
        <w:rPr>
          <w:rFonts w:asciiTheme="majorHAnsi" w:hAnsiTheme="majorHAnsi"/>
        </w:rPr>
        <w:t>–</w:t>
      </w:r>
      <w:r w:rsidRPr="000B16D5">
        <w:rPr>
          <w:rFonts w:asciiTheme="majorHAnsi" w:hAnsiTheme="majorHAnsi"/>
        </w:rPr>
        <w:t>60</w:t>
      </w:r>
      <w:r w:rsidR="00DB6ED5" w:rsidRPr="000B16D5">
        <w:rPr>
          <w:rFonts w:asciiTheme="majorHAnsi" w:hAnsiTheme="majorHAnsi"/>
        </w:rPr>
        <w:t xml:space="preserve"> </w:t>
      </w:r>
      <w:r w:rsidRPr="000B16D5">
        <w:rPr>
          <w:rFonts w:asciiTheme="majorHAnsi" w:hAnsiTheme="majorHAnsi"/>
        </w:rPr>
        <w:t>% sacharidy, 35</w:t>
      </w:r>
      <w:r w:rsidR="00DB6ED5" w:rsidRPr="000B16D5">
        <w:rPr>
          <w:rFonts w:asciiTheme="majorHAnsi" w:hAnsiTheme="majorHAnsi"/>
        </w:rPr>
        <w:t xml:space="preserve"> </w:t>
      </w:r>
      <w:r w:rsidRPr="000B16D5">
        <w:rPr>
          <w:rFonts w:asciiTheme="majorHAnsi" w:hAnsiTheme="majorHAnsi"/>
        </w:rPr>
        <w:t>% lipidy a 10</w:t>
      </w:r>
      <w:r w:rsidR="00DB6ED5" w:rsidRPr="000B16D5">
        <w:rPr>
          <w:rFonts w:asciiTheme="majorHAnsi" w:hAnsiTheme="majorHAnsi"/>
        </w:rPr>
        <w:t>–</w:t>
      </w:r>
      <w:r w:rsidRPr="000B16D5">
        <w:rPr>
          <w:rFonts w:asciiTheme="majorHAnsi" w:hAnsiTheme="majorHAnsi"/>
        </w:rPr>
        <w:t>20</w:t>
      </w:r>
      <w:r w:rsidR="00DB6ED5" w:rsidRPr="000B16D5">
        <w:rPr>
          <w:rFonts w:asciiTheme="majorHAnsi" w:hAnsiTheme="majorHAnsi"/>
        </w:rPr>
        <w:t xml:space="preserve"> </w:t>
      </w:r>
      <w:r w:rsidRPr="000B16D5">
        <w:rPr>
          <w:rFonts w:asciiTheme="majorHAnsi" w:hAnsiTheme="majorHAnsi"/>
        </w:rPr>
        <w:t xml:space="preserve">% proteiny. Nicméně s novými poznatky se neustále dochází k různým typům modifikací tohoto zažitého modelu, které vedou ke kvalitnějším terapeutickým výsledkům. V diabetologii jsou nejčastějšími variantami tzv. vysokosacharidové, vegetariánské, </w:t>
      </w:r>
      <w:r w:rsidRPr="000B16D5">
        <w:rPr>
          <w:rFonts w:asciiTheme="majorHAnsi" w:hAnsiTheme="majorHAnsi"/>
        </w:rPr>
        <w:lastRenderedPageBreak/>
        <w:t xml:space="preserve">nízkosacharidové, vysokolipidové diety. Mimo tyto speciální typy diet musí být brán samozřejmě zřetel i na formu diabetu, kdy například u DM1T má dietní opatření spíše funkci doplňkovou v porovnání s DM2T. Zde je pak racionálně dodržovaná dieta velmi efektivním léčebným prostředkem. U nemocných s DM1T je zapotřebí pečlivě regulovat příjmy sacharidu a zabránit tak kolísání glykémie. Pacient by měl být erudován v oblasti tzv. výměnných jednotek, tedy množství potraviny obsahující právě 10 g sacharidů, a vlastní úpravě glykémie např. pomocí </w:t>
      </w:r>
      <w:r w:rsidR="003D7B3D" w:rsidRPr="000B16D5">
        <w:rPr>
          <w:rFonts w:asciiTheme="majorHAnsi" w:hAnsiTheme="majorHAnsi"/>
        </w:rPr>
        <w:t xml:space="preserve">inzulínových </w:t>
      </w:r>
      <w:r w:rsidRPr="000B16D5">
        <w:rPr>
          <w:rFonts w:asciiTheme="majorHAnsi" w:hAnsiTheme="majorHAnsi"/>
        </w:rPr>
        <w:t xml:space="preserve">per. U DM2T je žádoucí snížit hmotnost pacienta, mimo toto základní pravidlo se využívají výše zmíněné typy diet. Vysokosacharidová dieta je asi nejvíce využívána v terapii DM2T. Jedná se o variantu s vysokým zastoupením sacharidů v přijímané potravě, dále s vysokým obsahem vlákniny a nízkým procentem lipidů. Zvýšená hladina glykémie z důvodu vyššího příjmu sacharidů v potravě stimuluje uvolňování inzulínu. Vegetariánská dieta je charakteristická celozrnnými potravinami, zeleninou a vlákninou, které mají pozitivní vliv na metabolismus sacharidů a zvyšují </w:t>
      </w:r>
      <w:r w:rsidR="003D7B3D" w:rsidRPr="000B16D5">
        <w:rPr>
          <w:rFonts w:asciiTheme="majorHAnsi" w:hAnsiTheme="majorHAnsi"/>
        </w:rPr>
        <w:t xml:space="preserve">inzulínovou </w:t>
      </w:r>
      <w:r w:rsidRPr="000B16D5">
        <w:rPr>
          <w:rFonts w:asciiTheme="majorHAnsi" w:hAnsiTheme="majorHAnsi"/>
        </w:rPr>
        <w:t xml:space="preserve">senzitivitu. Nízkosacharidová dieta, Atkinsova, je založena na snížení procenta </w:t>
      </w:r>
      <w:r w:rsidR="00EE4AF3" w:rsidRPr="000B16D5">
        <w:rPr>
          <w:rFonts w:asciiTheme="majorHAnsi" w:hAnsiTheme="majorHAnsi"/>
        </w:rPr>
        <w:t>přijímaných</w:t>
      </w:r>
      <w:r w:rsidRPr="000B16D5">
        <w:rPr>
          <w:rFonts w:asciiTheme="majorHAnsi" w:hAnsiTheme="majorHAnsi"/>
        </w:rPr>
        <w:t xml:space="preserve"> sacharidů. Ty jsou pak suplementovány proteiny a lipidy. To má za následek zvýšení sytosti</w:t>
      </w:r>
      <w:r w:rsidR="008E2A21" w:rsidRPr="000B16D5">
        <w:rPr>
          <w:rFonts w:asciiTheme="majorHAnsi" w:hAnsiTheme="majorHAnsi"/>
        </w:rPr>
        <w:t xml:space="preserve"> a</w:t>
      </w:r>
      <w:r w:rsidRPr="000B16D5">
        <w:rPr>
          <w:rFonts w:asciiTheme="majorHAnsi" w:hAnsiTheme="majorHAnsi"/>
        </w:rPr>
        <w:t xml:space="preserve"> postprandiální stimulaci sekrece inzulínu. Avšak vzestup AMK v plazmě indukuje produkci glukózy a zvyšuje </w:t>
      </w:r>
      <w:r w:rsidR="003D7B3D" w:rsidRPr="000B16D5">
        <w:rPr>
          <w:rFonts w:asciiTheme="majorHAnsi" w:hAnsiTheme="majorHAnsi"/>
        </w:rPr>
        <w:t xml:space="preserve">inzulínovou </w:t>
      </w:r>
      <w:r w:rsidRPr="000B16D5">
        <w:rPr>
          <w:rFonts w:asciiTheme="majorHAnsi" w:hAnsiTheme="majorHAnsi"/>
        </w:rPr>
        <w:t>rezistenci kosterního svalu. Soudí se však, že z dlouhodobého hlediska může být příčinou ledvinného zatížení nebo paradoxně nárůstem vzniku DM2T. Vysokotuková dieta obsahuje převážně 40 % lipidů s vysokým podílem monoenových mastných kyselin, kterým se přisuzují pozitivní účinky na metabolismus jako je snížení TAG, postprandiální glykémie a vzestup HDL. Uplatňuje se také zvýšená oxidace MK, nejspíše ovlivněná jejich vlivem na PPARγ, s následnou redukcí hmotnosti. Při špatném nastavení složení lipidů je třeba ovšem myslet na nebezpečí vzniku obezity</w:t>
      </w:r>
      <w:r w:rsidR="008E2A21" w:rsidRPr="000B16D5">
        <w:rPr>
          <w:rFonts w:asciiTheme="majorHAnsi" w:hAnsiTheme="majorHAnsi"/>
        </w:rPr>
        <w:t>.</w:t>
      </w:r>
      <w:r w:rsidRPr="000B16D5">
        <w:rPr>
          <w:rFonts w:asciiTheme="majorHAnsi" w:hAnsiTheme="majorHAnsi"/>
        </w:rPr>
        <w:t xml:space="preserve"> V poslední době začíná být stále více zdůrazňován koncept vzájemné interakce mezi genetickými a dietnímy faktory (gen-diet interaction). Jedná se o na první pohled jednoduchou myšlenku, která však zásadním způsobem pomáhá utvářet pohled na metabolické poruchy (např. diabetes, obezitu etc.) jako na interindividuální onemocnění. V zásadě popisuje dietní modulaci účinku genotypu na konkrétní fenotyp jedince. Jako příklad může posloužit polymorfismus v genu TCF7L2. Ten výrazně zvyšuje pravděpodobnost poruchy sekrece inzulínu, ovšem za předpokladu správných stravovacích návyků může být riziko sníženo.</w:t>
      </w:r>
    </w:p>
    <w:p w:rsidR="003B4230" w:rsidRPr="000B16D5" w:rsidRDefault="003B4230" w:rsidP="00236F03">
      <w:pPr>
        <w:jc w:val="both"/>
        <w:rPr>
          <w:rFonts w:asciiTheme="majorHAnsi" w:hAnsiTheme="majorHAnsi"/>
        </w:rPr>
      </w:pPr>
    </w:p>
    <w:p w:rsidR="003B4230" w:rsidRPr="000B16D5" w:rsidRDefault="003B4230" w:rsidP="00236F03">
      <w:pPr>
        <w:jc w:val="both"/>
        <w:rPr>
          <w:rFonts w:asciiTheme="majorHAnsi" w:hAnsiTheme="majorHAnsi"/>
        </w:rPr>
      </w:pPr>
    </w:p>
    <w:p w:rsidR="003B4230" w:rsidRPr="000B16D5" w:rsidRDefault="003B4230" w:rsidP="003B4230">
      <w:pPr>
        <w:jc w:val="both"/>
        <w:rPr>
          <w:rFonts w:asciiTheme="majorHAnsi" w:hAnsiTheme="majorHAnsi"/>
        </w:rPr>
      </w:pPr>
      <w:r w:rsidRPr="000B16D5">
        <w:rPr>
          <w:rFonts w:asciiTheme="majorHAnsi" w:hAnsiTheme="majorHAnsi"/>
        </w:rPr>
        <w:t>____________________________________________</w:t>
      </w:r>
    </w:p>
    <w:p w:rsidR="003B4230" w:rsidRPr="000B16D5" w:rsidRDefault="003B4230" w:rsidP="003B4230">
      <w:pPr>
        <w:spacing w:after="0"/>
        <w:jc w:val="both"/>
        <w:rPr>
          <w:rFonts w:asciiTheme="majorHAnsi" w:hAnsiTheme="majorHAnsi"/>
          <w:b/>
          <w:sz w:val="20"/>
        </w:rPr>
      </w:pPr>
      <w:r w:rsidRPr="000B16D5">
        <w:rPr>
          <w:rFonts w:asciiTheme="majorHAnsi" w:hAnsiTheme="majorHAnsi"/>
          <w:b/>
          <w:sz w:val="20"/>
        </w:rPr>
        <w:t>Zdroje:</w:t>
      </w:r>
    </w:p>
    <w:p w:rsidR="003B4230" w:rsidRPr="000B16D5" w:rsidRDefault="003B4230" w:rsidP="003B4230">
      <w:pPr>
        <w:pStyle w:val="Odstavecseseznamem"/>
        <w:numPr>
          <w:ilvl w:val="0"/>
          <w:numId w:val="32"/>
        </w:numPr>
        <w:jc w:val="both"/>
        <w:rPr>
          <w:rFonts w:asciiTheme="majorHAnsi" w:hAnsiTheme="majorHAnsi"/>
          <w:sz w:val="16"/>
        </w:rPr>
        <w:sectPr w:rsidR="003B4230" w:rsidRPr="000B16D5" w:rsidSect="00A2684E">
          <w:type w:val="continuous"/>
          <w:pgSz w:w="11906" w:h="16838"/>
          <w:pgMar w:top="720" w:right="720" w:bottom="720" w:left="720" w:header="708" w:footer="708" w:gutter="0"/>
          <w:pgNumType w:start="74"/>
          <w:cols w:space="708"/>
          <w:titlePg/>
          <w:docGrid w:linePitch="360"/>
        </w:sectPr>
      </w:pPr>
    </w:p>
    <w:p w:rsidR="00960C7E" w:rsidRPr="000B16D5" w:rsidRDefault="008468D9" w:rsidP="003B4230">
      <w:pPr>
        <w:pStyle w:val="Odstavecseseznamem"/>
        <w:numPr>
          <w:ilvl w:val="0"/>
          <w:numId w:val="32"/>
        </w:numPr>
        <w:jc w:val="both"/>
        <w:rPr>
          <w:rFonts w:asciiTheme="majorHAnsi" w:hAnsiTheme="majorHAnsi"/>
          <w:sz w:val="16"/>
        </w:rPr>
      </w:pPr>
      <w:hyperlink r:id="rId81" w:history="1">
        <w:r w:rsidR="00960C7E" w:rsidRPr="000B16D5">
          <w:rPr>
            <w:rStyle w:val="Hypertextovodkaz"/>
            <w:rFonts w:asciiTheme="majorHAnsi" w:hAnsiTheme="majorHAnsi"/>
            <w:color w:val="auto"/>
            <w:sz w:val="16"/>
          </w:rPr>
          <w:t>http://www.szu.cz/tema/prevence/narodni-akcni-plan-pro-diabetes</w:t>
        </w:r>
      </w:hyperlink>
    </w:p>
    <w:p w:rsidR="00960C7E" w:rsidRPr="000B16D5" w:rsidRDefault="008468D9" w:rsidP="003B4230">
      <w:pPr>
        <w:pStyle w:val="Odstavecseseznamem"/>
        <w:numPr>
          <w:ilvl w:val="0"/>
          <w:numId w:val="32"/>
        </w:numPr>
        <w:jc w:val="both"/>
        <w:rPr>
          <w:rStyle w:val="Hypertextovodkaz"/>
          <w:rFonts w:asciiTheme="majorHAnsi" w:hAnsiTheme="majorHAnsi"/>
          <w:color w:val="auto"/>
          <w:sz w:val="16"/>
        </w:rPr>
      </w:pPr>
      <w:hyperlink r:id="rId82" w:history="1">
        <w:r w:rsidR="00960C7E" w:rsidRPr="000B16D5">
          <w:rPr>
            <w:rStyle w:val="Hypertextovodkaz"/>
            <w:rFonts w:asciiTheme="majorHAnsi" w:hAnsiTheme="majorHAnsi"/>
            <w:color w:val="auto"/>
            <w:sz w:val="16"/>
          </w:rPr>
          <w:t>http://www.nlm.nih.gov/medlineplus/ency/article/001214.htm</w:t>
        </w:r>
      </w:hyperlink>
    </w:p>
    <w:p w:rsidR="00960C7E" w:rsidRPr="000B16D5" w:rsidRDefault="008468D9" w:rsidP="003B4230">
      <w:pPr>
        <w:pStyle w:val="Odstavecseseznamem"/>
        <w:numPr>
          <w:ilvl w:val="0"/>
          <w:numId w:val="32"/>
        </w:numPr>
        <w:jc w:val="both"/>
        <w:rPr>
          <w:rFonts w:asciiTheme="majorHAnsi" w:hAnsiTheme="majorHAnsi"/>
          <w:sz w:val="16"/>
        </w:rPr>
      </w:pPr>
      <w:hyperlink r:id="rId83" w:anchor="3" w:history="1">
        <w:r w:rsidR="00960C7E" w:rsidRPr="000B16D5">
          <w:rPr>
            <w:rStyle w:val="Hypertextovodkaz"/>
            <w:rFonts w:asciiTheme="majorHAnsi" w:hAnsiTheme="majorHAnsi"/>
            <w:color w:val="auto"/>
            <w:sz w:val="16"/>
          </w:rPr>
          <w:t>http://www.diabetes.niddk.nih.gov/dm/pubs/mody/#3</w:t>
        </w:r>
      </w:hyperlink>
    </w:p>
    <w:p w:rsidR="00960C7E" w:rsidRPr="000B16D5" w:rsidRDefault="008468D9" w:rsidP="003B4230">
      <w:pPr>
        <w:pStyle w:val="Odstavecseseznamem"/>
        <w:numPr>
          <w:ilvl w:val="0"/>
          <w:numId w:val="32"/>
        </w:numPr>
        <w:jc w:val="both"/>
        <w:rPr>
          <w:rFonts w:asciiTheme="majorHAnsi" w:hAnsiTheme="majorHAnsi"/>
          <w:sz w:val="16"/>
        </w:rPr>
      </w:pPr>
      <w:hyperlink r:id="rId84" w:history="1">
        <w:r w:rsidR="00960C7E" w:rsidRPr="000B16D5">
          <w:rPr>
            <w:rStyle w:val="Hypertextovodkaz"/>
            <w:rFonts w:asciiTheme="majorHAnsi" w:hAnsiTheme="majorHAnsi"/>
            <w:color w:val="auto"/>
            <w:sz w:val="16"/>
          </w:rPr>
          <w:t>http://www.ensembl.org/index.html</w:t>
        </w:r>
      </w:hyperlink>
    </w:p>
    <w:p w:rsidR="00960C7E" w:rsidRPr="000B16D5" w:rsidRDefault="008468D9" w:rsidP="003B4230">
      <w:pPr>
        <w:pStyle w:val="Odstavecseseznamem"/>
        <w:numPr>
          <w:ilvl w:val="0"/>
          <w:numId w:val="32"/>
        </w:numPr>
        <w:jc w:val="both"/>
        <w:rPr>
          <w:rFonts w:asciiTheme="majorHAnsi" w:hAnsiTheme="majorHAnsi"/>
          <w:sz w:val="16"/>
        </w:rPr>
      </w:pPr>
      <w:hyperlink r:id="rId85" w:history="1">
        <w:r w:rsidR="00960C7E" w:rsidRPr="000B16D5">
          <w:rPr>
            <w:rStyle w:val="Hypertextovodkaz"/>
            <w:rFonts w:asciiTheme="majorHAnsi" w:hAnsiTheme="majorHAnsi"/>
            <w:color w:val="auto"/>
            <w:sz w:val="16"/>
          </w:rPr>
          <w:t>http://www.remedia.cz/Okruhy-temat/Diabetologie/Dietni-lecba-pacientu-s-diabetem/8-V-11T.magarticle.aspx</w:t>
        </w:r>
      </w:hyperlink>
    </w:p>
    <w:p w:rsidR="003B4230" w:rsidRPr="000B16D5" w:rsidRDefault="003B4230" w:rsidP="003B4230">
      <w:pPr>
        <w:pStyle w:val="Odstavecseseznamem"/>
        <w:numPr>
          <w:ilvl w:val="0"/>
          <w:numId w:val="32"/>
        </w:numPr>
        <w:jc w:val="both"/>
        <w:rPr>
          <w:rFonts w:asciiTheme="majorHAnsi" w:hAnsiTheme="majorHAnsi"/>
          <w:sz w:val="16"/>
        </w:rPr>
      </w:pPr>
      <w:r w:rsidRPr="000B16D5">
        <w:rPr>
          <w:rFonts w:asciiTheme="majorHAnsi" w:hAnsiTheme="majorHAnsi"/>
          <w:sz w:val="16"/>
        </w:rPr>
        <w:t>Catherine M. Phillips, Nutrigenetics and Metabolic Disease: Current Status and Implications for Personalised Nutrition, Nutrients. 2013 January; 5(1): 32–57.</w:t>
      </w:r>
    </w:p>
    <w:p w:rsidR="003B4230" w:rsidRPr="000B16D5" w:rsidRDefault="003B4230" w:rsidP="003B4230">
      <w:pPr>
        <w:pStyle w:val="Odstavecseseznamem"/>
        <w:numPr>
          <w:ilvl w:val="0"/>
          <w:numId w:val="32"/>
        </w:numPr>
        <w:jc w:val="both"/>
        <w:rPr>
          <w:rFonts w:asciiTheme="majorHAnsi" w:hAnsiTheme="majorHAnsi"/>
          <w:sz w:val="16"/>
        </w:rPr>
      </w:pPr>
      <w:r w:rsidRPr="000B16D5">
        <w:rPr>
          <w:rFonts w:asciiTheme="majorHAnsi" w:hAnsiTheme="majorHAnsi"/>
          <w:sz w:val="16"/>
        </w:rPr>
        <w:t>Soo Heon Kwak, Hak C. Jang, and Kyong Soo Park, Finding Genetic Risk Factors of Gestational Diabetes, Genomics Inform. 2012 December; 10(4): 239–243.</w:t>
      </w:r>
    </w:p>
    <w:p w:rsidR="003B4230" w:rsidRPr="000B16D5" w:rsidRDefault="003B4230" w:rsidP="003B4230">
      <w:pPr>
        <w:pStyle w:val="Odstavecseseznamem"/>
        <w:numPr>
          <w:ilvl w:val="0"/>
          <w:numId w:val="32"/>
        </w:numPr>
        <w:jc w:val="both"/>
        <w:rPr>
          <w:rFonts w:asciiTheme="majorHAnsi" w:hAnsiTheme="majorHAnsi"/>
          <w:sz w:val="16"/>
        </w:rPr>
      </w:pPr>
      <w:r w:rsidRPr="000B16D5">
        <w:rPr>
          <w:rFonts w:asciiTheme="majorHAnsi" w:hAnsiTheme="majorHAnsi"/>
          <w:sz w:val="16"/>
        </w:rPr>
        <w:lastRenderedPageBreak/>
        <w:t>Bray GA, Lovejoy JC, Smith SR, DeLany JP, Lefevre M, Hwang D, Ryan DH, York DA. The influence of different fats and fatty acids on obesity, insulin resistance and inflammation. J Nutr. 2002 Sep;132(9):2488-91.</w:t>
      </w:r>
    </w:p>
    <w:p w:rsidR="003B4230" w:rsidRPr="000B16D5" w:rsidRDefault="003B4230" w:rsidP="003B4230">
      <w:pPr>
        <w:pStyle w:val="Odstavecseseznamem"/>
        <w:numPr>
          <w:ilvl w:val="0"/>
          <w:numId w:val="32"/>
        </w:numPr>
        <w:jc w:val="both"/>
        <w:rPr>
          <w:rFonts w:asciiTheme="majorHAnsi" w:hAnsiTheme="majorHAnsi"/>
          <w:sz w:val="16"/>
        </w:rPr>
      </w:pPr>
      <w:r w:rsidRPr="000B16D5">
        <w:rPr>
          <w:rFonts w:asciiTheme="majorHAnsi" w:hAnsiTheme="majorHAnsi"/>
          <w:sz w:val="16"/>
        </w:rPr>
        <w:t>Anderson JW, Zeigler JA, Deakins DA, Floore TL, Dillon DW, Wood CL, Oeltgen PR, Whitley RJ. Metabolic effects of high-carbohydrate, high-fiber diets for insulin-dependent diabetic individuals. Am J Clin Nutr. 1991 Nov;54(5):936-43.</w:t>
      </w:r>
    </w:p>
    <w:p w:rsidR="003B4230" w:rsidRPr="000B16D5" w:rsidRDefault="003B4230" w:rsidP="003B4230">
      <w:pPr>
        <w:pStyle w:val="Odstavecseseznamem"/>
        <w:numPr>
          <w:ilvl w:val="0"/>
          <w:numId w:val="32"/>
        </w:numPr>
        <w:jc w:val="both"/>
        <w:rPr>
          <w:rFonts w:asciiTheme="majorHAnsi" w:hAnsiTheme="majorHAnsi"/>
          <w:sz w:val="16"/>
        </w:rPr>
      </w:pPr>
      <w:r w:rsidRPr="000B16D5">
        <w:rPr>
          <w:rFonts w:asciiTheme="majorHAnsi" w:hAnsiTheme="majorHAnsi"/>
          <w:sz w:val="16"/>
        </w:rPr>
        <w:t>Bisschop PH, de Metz J, Ackermans MT, Endert E, Pijl H, Kuipers F, Meijer AJ, Sauerwein HP, Romijn JA. Dietary fat content alters insulin-mediated glucose metabolism in healthy men. Am J Clin Nutr. 2001 Mar;73(3):554-9.</w:t>
      </w:r>
    </w:p>
    <w:p w:rsidR="003B4230" w:rsidRPr="000B16D5" w:rsidRDefault="003B4230" w:rsidP="003B4230">
      <w:pPr>
        <w:pStyle w:val="Odstavecseseznamem"/>
        <w:numPr>
          <w:ilvl w:val="0"/>
          <w:numId w:val="32"/>
        </w:numPr>
        <w:jc w:val="both"/>
        <w:rPr>
          <w:rFonts w:asciiTheme="majorHAnsi" w:hAnsiTheme="majorHAnsi"/>
          <w:sz w:val="16"/>
        </w:rPr>
        <w:sectPr w:rsidR="003B4230" w:rsidRPr="000B16D5" w:rsidSect="003B4230">
          <w:type w:val="continuous"/>
          <w:pgSz w:w="11906" w:h="16838"/>
          <w:pgMar w:top="720" w:right="720" w:bottom="720" w:left="720" w:header="708" w:footer="708" w:gutter="0"/>
          <w:pgNumType w:start="0"/>
          <w:cols w:num="2" w:space="708"/>
          <w:titlePg/>
          <w:docGrid w:linePitch="360"/>
        </w:sectPr>
      </w:pPr>
    </w:p>
    <w:p w:rsidR="00960C7E" w:rsidRPr="000B16D5" w:rsidRDefault="00960C7E" w:rsidP="003B4230">
      <w:pPr>
        <w:pStyle w:val="Odstavecseseznamem"/>
        <w:numPr>
          <w:ilvl w:val="0"/>
          <w:numId w:val="32"/>
        </w:numPr>
        <w:jc w:val="both"/>
        <w:rPr>
          <w:rFonts w:asciiTheme="majorHAnsi" w:hAnsiTheme="majorHAnsi"/>
        </w:rPr>
      </w:pPr>
      <w:r w:rsidRPr="000B16D5">
        <w:rPr>
          <w:rFonts w:asciiTheme="majorHAnsi" w:hAnsiTheme="majorHAnsi"/>
        </w:rPr>
        <w:lastRenderedPageBreak/>
        <w:br w:type="page"/>
      </w:r>
    </w:p>
    <w:bookmarkStart w:id="111" w:name="_Toc380240646"/>
    <w:p w:rsidR="00EE4AF3" w:rsidRPr="000B16D5" w:rsidRDefault="00100C72" w:rsidP="00236F03">
      <w:pPr>
        <w:pStyle w:val="Nadpiskapitoly"/>
        <w:rPr>
          <w:rFonts w:asciiTheme="majorHAnsi" w:hAnsiTheme="majorHAnsi"/>
        </w:rPr>
      </w:pPr>
      <w:r w:rsidRPr="000B16D5">
        <w:rPr>
          <w:rFonts w:asciiTheme="majorHAnsi" w:hAnsiTheme="majorHAnsi"/>
          <w:b w:val="0"/>
          <w:noProof/>
        </w:rPr>
        <w:lastRenderedPageBreak/>
        <mc:AlternateContent>
          <mc:Choice Requires="wps">
            <w:drawing>
              <wp:anchor distT="0" distB="0" distL="114300" distR="114300" simplePos="0" relativeHeight="251675648" behindDoc="0" locked="0" layoutInCell="1" allowOverlap="1" wp14:anchorId="5360FCD1" wp14:editId="4ACFCC25">
                <wp:simplePos x="0" y="0"/>
                <wp:positionH relativeFrom="column">
                  <wp:posOffset>5251450</wp:posOffset>
                </wp:positionH>
                <wp:positionV relativeFrom="paragraph">
                  <wp:posOffset>-61595</wp:posOffset>
                </wp:positionV>
                <wp:extent cx="1303655" cy="1416685"/>
                <wp:effectExtent l="3175" t="71755" r="74295"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16685"/>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0FCD1" id="Text Box 18" o:spid="_x0000_s1040" type="#_x0000_t202" style="position:absolute;left:0;text-align:left;margin-left:413.5pt;margin-top:-4.85pt;width:102.65pt;height:1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" stroked="f">
                <v:shadow on="t" opacity=".5" offset="6pt,-6pt"/>
                <v:textbox>
                  <w:txbxContent>
                    <w:p w:rsidR="00440FD1" w:rsidRPr="008202AD" w:rsidRDefault="00440FD1" w:rsidP="00815DA3">
                      <w:pPr>
                        <w:spacing w:after="0"/>
                        <w:jc w:val="center"/>
                        <w:rPr>
                          <w:rFonts w:ascii="Palatino Linotype" w:hAnsi="Palatino Linotype"/>
                          <w:b/>
                          <w:sz w:val="160"/>
                        </w:rPr>
                      </w:pPr>
                      <w:r>
                        <w:rPr>
                          <w:rFonts w:ascii="Palatino Linotype" w:hAnsi="Palatino Linotype"/>
                          <w:b/>
                          <w:sz w:val="160"/>
                        </w:rPr>
                        <w:t>15</w:t>
                      </w:r>
                    </w:p>
                  </w:txbxContent>
                </v:textbox>
              </v:shape>
            </w:pict>
          </mc:Fallback>
        </mc:AlternateContent>
      </w:r>
      <w:r w:rsidR="00312118" w:rsidRPr="000B16D5">
        <w:rPr>
          <w:rFonts w:asciiTheme="majorHAnsi" w:hAnsiTheme="majorHAnsi"/>
        </w:rPr>
        <w:t>Genetika, výživa a nádorová onemocnění</w:t>
      </w:r>
      <w:bookmarkEnd w:id="111"/>
    </w:p>
    <w:p w:rsidR="00EE4AF3" w:rsidRPr="000B16D5" w:rsidRDefault="00EE4AF3" w:rsidP="00EE4AF3">
      <w:pPr>
        <w:pStyle w:val="Palatino"/>
        <w:rPr>
          <w:rFonts w:asciiTheme="majorHAnsi" w:hAnsiTheme="majorHAnsi"/>
        </w:rPr>
      </w:pPr>
    </w:p>
    <w:p w:rsidR="00EE4AF3" w:rsidRPr="000B16D5" w:rsidRDefault="00EE4AF3" w:rsidP="00EE4AF3">
      <w:pPr>
        <w:pStyle w:val="Palatino"/>
        <w:rPr>
          <w:rFonts w:asciiTheme="majorHAnsi" w:hAnsiTheme="majorHAnsi"/>
        </w:rPr>
      </w:pPr>
    </w:p>
    <w:p w:rsidR="00312118" w:rsidRPr="000B16D5" w:rsidRDefault="00312118" w:rsidP="00EE4AF3">
      <w:pPr>
        <w:pStyle w:val="Palatino"/>
        <w:rPr>
          <w:rFonts w:asciiTheme="majorHAnsi" w:hAnsiTheme="majorHAnsi"/>
          <w:i/>
        </w:rPr>
      </w:pPr>
      <w:r w:rsidRPr="000B16D5">
        <w:rPr>
          <w:rFonts w:asciiTheme="majorHAnsi" w:hAnsiTheme="majorHAnsi"/>
          <w:i/>
        </w:rPr>
        <w:t>Ivo Nečesánek</w:t>
      </w:r>
    </w:p>
    <w:p w:rsidR="00820B2A" w:rsidRPr="000B16D5" w:rsidRDefault="00820B2A" w:rsidP="00236F03">
      <w:pPr>
        <w:jc w:val="both"/>
        <w:rPr>
          <w:rFonts w:asciiTheme="majorHAnsi" w:hAnsiTheme="majorHAnsi"/>
          <w:b/>
        </w:rPr>
      </w:pPr>
    </w:p>
    <w:p w:rsidR="00C03BEF" w:rsidRDefault="00C03BEF" w:rsidP="00DC0816">
      <w:pPr>
        <w:pStyle w:val="Zkladntext"/>
        <w:spacing w:after="0" w:line="276" w:lineRule="auto"/>
        <w:ind w:right="627"/>
        <w:jc w:val="both"/>
        <w:rPr>
          <w:rFonts w:asciiTheme="majorHAnsi" w:hAnsiTheme="majorHAnsi"/>
          <w:sz w:val="22"/>
          <w:szCs w:val="22"/>
        </w:rPr>
      </w:pPr>
      <w:r w:rsidRPr="000B16D5">
        <w:rPr>
          <w:rFonts w:asciiTheme="majorHAnsi" w:hAnsiTheme="majorHAnsi"/>
          <w:sz w:val="22"/>
          <w:szCs w:val="22"/>
        </w:rPr>
        <w:t>V kapitole o nádorových onemocněních se pokusíme vyložit podstatu jejich vzniku, vztah k</w:t>
      </w:r>
      <w:r w:rsidR="00DA3FEC" w:rsidRPr="000B16D5">
        <w:rPr>
          <w:rFonts w:asciiTheme="majorHAnsi" w:hAnsiTheme="majorHAnsi"/>
          <w:sz w:val="22"/>
          <w:szCs w:val="22"/>
        </w:rPr>
        <w:t> </w:t>
      </w:r>
      <w:r w:rsidRPr="000B16D5">
        <w:rPr>
          <w:rFonts w:asciiTheme="majorHAnsi" w:hAnsiTheme="majorHAnsi"/>
          <w:sz w:val="22"/>
          <w:szCs w:val="22"/>
        </w:rPr>
        <w:t>výživě</w:t>
      </w:r>
      <w:r w:rsidR="00DA3FEC" w:rsidRPr="000B16D5">
        <w:rPr>
          <w:rFonts w:asciiTheme="majorHAnsi" w:hAnsiTheme="majorHAnsi"/>
          <w:sz w:val="22"/>
          <w:szCs w:val="22"/>
        </w:rPr>
        <w:t xml:space="preserve"> (</w:t>
      </w:r>
      <w:r w:rsidRPr="000B16D5">
        <w:rPr>
          <w:rFonts w:asciiTheme="majorHAnsi" w:hAnsiTheme="majorHAnsi"/>
          <w:sz w:val="22"/>
          <w:szCs w:val="22"/>
        </w:rPr>
        <w:t xml:space="preserve">tedy možnost ovlivnění </w:t>
      </w:r>
      <w:r w:rsidR="00572CDA" w:rsidRPr="000B16D5">
        <w:rPr>
          <w:rFonts w:asciiTheme="majorHAnsi" w:hAnsiTheme="majorHAnsi"/>
          <w:sz w:val="22"/>
          <w:szCs w:val="22"/>
        </w:rPr>
        <w:t>z hlediska</w:t>
      </w:r>
      <w:r w:rsidRPr="000B16D5">
        <w:rPr>
          <w:rFonts w:asciiTheme="majorHAnsi" w:hAnsiTheme="majorHAnsi"/>
          <w:sz w:val="22"/>
          <w:szCs w:val="22"/>
        </w:rPr>
        <w:t xml:space="preserve"> výživové terapie</w:t>
      </w:r>
      <w:r w:rsidR="00DA3FEC" w:rsidRPr="000B16D5">
        <w:rPr>
          <w:rFonts w:asciiTheme="majorHAnsi" w:hAnsiTheme="majorHAnsi"/>
          <w:sz w:val="22"/>
          <w:szCs w:val="22"/>
        </w:rPr>
        <w:t>)</w:t>
      </w:r>
      <w:r w:rsidRPr="000B16D5">
        <w:rPr>
          <w:rFonts w:asciiTheme="majorHAnsi" w:hAnsiTheme="majorHAnsi"/>
          <w:sz w:val="22"/>
          <w:szCs w:val="22"/>
        </w:rPr>
        <w:t xml:space="preserve">, </w:t>
      </w:r>
      <w:r w:rsidR="00AC0A06" w:rsidRPr="000B16D5">
        <w:rPr>
          <w:rFonts w:asciiTheme="majorHAnsi" w:hAnsiTheme="majorHAnsi"/>
          <w:sz w:val="22"/>
          <w:szCs w:val="22"/>
        </w:rPr>
        <w:t xml:space="preserve">budeme se zabývat </w:t>
      </w:r>
      <w:r w:rsidRPr="000B16D5">
        <w:rPr>
          <w:rFonts w:asciiTheme="majorHAnsi" w:hAnsiTheme="majorHAnsi"/>
          <w:sz w:val="22"/>
          <w:szCs w:val="22"/>
        </w:rPr>
        <w:t>klinicky nejčastější</w:t>
      </w:r>
      <w:r w:rsidR="00AC0A06" w:rsidRPr="000B16D5">
        <w:rPr>
          <w:rFonts w:asciiTheme="majorHAnsi" w:hAnsiTheme="majorHAnsi"/>
          <w:sz w:val="22"/>
          <w:szCs w:val="22"/>
        </w:rPr>
        <w:t xml:space="preserve">mi </w:t>
      </w:r>
      <w:r w:rsidRPr="000B16D5">
        <w:rPr>
          <w:rFonts w:asciiTheme="majorHAnsi" w:hAnsiTheme="majorHAnsi"/>
          <w:sz w:val="22"/>
          <w:szCs w:val="22"/>
        </w:rPr>
        <w:t xml:space="preserve">případy novotvarů a </w:t>
      </w:r>
      <w:r w:rsidR="00DA3FEC" w:rsidRPr="000B16D5">
        <w:rPr>
          <w:rFonts w:asciiTheme="majorHAnsi" w:hAnsiTheme="majorHAnsi"/>
          <w:sz w:val="22"/>
          <w:szCs w:val="22"/>
        </w:rPr>
        <w:t>nakonec</w:t>
      </w:r>
      <w:r w:rsidR="00ED0AC7" w:rsidRPr="000B16D5">
        <w:rPr>
          <w:rFonts w:asciiTheme="majorHAnsi" w:hAnsiTheme="majorHAnsi"/>
          <w:sz w:val="22"/>
          <w:szCs w:val="22"/>
        </w:rPr>
        <w:t xml:space="preserve"> předložíme</w:t>
      </w:r>
      <w:r w:rsidRPr="000B16D5">
        <w:rPr>
          <w:rFonts w:asciiTheme="majorHAnsi" w:hAnsiTheme="majorHAnsi"/>
          <w:sz w:val="22"/>
          <w:szCs w:val="22"/>
        </w:rPr>
        <w:t xml:space="preserve"> výčet látek, které přispívají k prevenci, nebo naopak ke vzniku nádorového onemocnění (NO)</w:t>
      </w:r>
      <w:r w:rsidR="00AC0A06" w:rsidRPr="000B16D5">
        <w:rPr>
          <w:rFonts w:asciiTheme="majorHAnsi" w:hAnsiTheme="majorHAnsi"/>
          <w:sz w:val="22"/>
          <w:szCs w:val="22"/>
        </w:rPr>
        <w:t xml:space="preserve">; </w:t>
      </w:r>
      <w:r w:rsidR="00174BF2" w:rsidRPr="000B16D5">
        <w:rPr>
          <w:rFonts w:asciiTheme="majorHAnsi" w:hAnsiTheme="majorHAnsi"/>
          <w:sz w:val="22"/>
          <w:szCs w:val="22"/>
        </w:rPr>
        <w:t>u těchto látek také doplníme informaci</w:t>
      </w:r>
      <w:r w:rsidRPr="000B16D5">
        <w:rPr>
          <w:rFonts w:asciiTheme="majorHAnsi" w:hAnsiTheme="majorHAnsi"/>
          <w:sz w:val="22"/>
          <w:szCs w:val="22"/>
        </w:rPr>
        <w:t xml:space="preserve"> v jakých potravinách a za jakých podmínek je můžeme najít.</w:t>
      </w:r>
    </w:p>
    <w:p w:rsidR="000D4B3D" w:rsidRPr="000B16D5" w:rsidRDefault="000D4B3D" w:rsidP="00DC0816">
      <w:pPr>
        <w:pStyle w:val="Zkladntext"/>
        <w:spacing w:after="0" w:line="276" w:lineRule="auto"/>
        <w:ind w:right="627"/>
        <w:jc w:val="both"/>
        <w:rPr>
          <w:rFonts w:asciiTheme="majorHAnsi" w:hAnsiTheme="majorHAnsi"/>
          <w:sz w:val="22"/>
          <w:szCs w:val="22"/>
        </w:rPr>
      </w:pPr>
    </w:p>
    <w:p w:rsidR="004B7B5F" w:rsidRPr="000B16D5" w:rsidRDefault="004B7B5F" w:rsidP="00DC0816">
      <w:pPr>
        <w:pStyle w:val="Zkladntext"/>
        <w:spacing w:after="0" w:line="276" w:lineRule="auto"/>
        <w:jc w:val="both"/>
        <w:rPr>
          <w:rFonts w:asciiTheme="majorHAnsi" w:hAnsiTheme="majorHAnsi"/>
          <w:iCs/>
          <w:sz w:val="22"/>
          <w:szCs w:val="22"/>
        </w:rPr>
      </w:pPr>
      <w:r w:rsidRPr="000B16D5">
        <w:rPr>
          <w:rFonts w:asciiTheme="majorHAnsi" w:hAnsiTheme="majorHAnsi"/>
          <w:iCs/>
          <w:sz w:val="22"/>
          <w:szCs w:val="22"/>
        </w:rPr>
        <w:t>Dle statistických údajů postihne nádorové onemocnění každého třetího občana ČR, každý čtvrtý na něj umírá.</w:t>
      </w:r>
    </w:p>
    <w:p w:rsidR="004B7B5F" w:rsidRPr="000B16D5" w:rsidRDefault="004B7B5F" w:rsidP="004B7B5F">
      <w:pPr>
        <w:pStyle w:val="Zkladntext"/>
        <w:spacing w:line="276" w:lineRule="auto"/>
        <w:jc w:val="both"/>
        <w:rPr>
          <w:rFonts w:asciiTheme="majorHAnsi" w:hAnsiTheme="majorHAnsi"/>
          <w:b/>
          <w:bCs/>
          <w:sz w:val="22"/>
          <w:szCs w:val="22"/>
        </w:rPr>
      </w:pPr>
    </w:p>
    <w:p w:rsidR="004B7B5F" w:rsidRPr="000B16D5" w:rsidRDefault="004B7B5F" w:rsidP="004B7B5F">
      <w:pPr>
        <w:pStyle w:val="Nadpispodkapitoly"/>
        <w:jc w:val="both"/>
        <w:rPr>
          <w:rFonts w:asciiTheme="majorHAnsi" w:hAnsiTheme="majorHAnsi"/>
        </w:rPr>
      </w:pPr>
      <w:bookmarkStart w:id="112" w:name="_Toc380240647"/>
      <w:r w:rsidRPr="000B16D5">
        <w:rPr>
          <w:rFonts w:asciiTheme="majorHAnsi" w:hAnsiTheme="majorHAnsi"/>
        </w:rPr>
        <w:t>Co je nádorové onemocnění?</w:t>
      </w:r>
      <w:bookmarkEnd w:id="112"/>
    </w:p>
    <w:p w:rsidR="00C03BEF" w:rsidRPr="000B16D5" w:rsidRDefault="00C03BEF" w:rsidP="00C03BEF">
      <w:pPr>
        <w:pStyle w:val="Zkladntext"/>
        <w:spacing w:line="276" w:lineRule="auto"/>
        <w:ind w:right="627"/>
        <w:jc w:val="both"/>
        <w:rPr>
          <w:rFonts w:asciiTheme="majorHAnsi" w:hAnsiTheme="majorHAnsi"/>
          <w:sz w:val="22"/>
          <w:szCs w:val="22"/>
        </w:rPr>
      </w:pPr>
      <w:r w:rsidRPr="000B16D5">
        <w:rPr>
          <w:rFonts w:asciiTheme="majorHAnsi" w:hAnsiTheme="majorHAnsi"/>
          <w:sz w:val="22"/>
          <w:szCs w:val="22"/>
        </w:rPr>
        <w:t xml:space="preserve">Nádorová onemocnění jsou způsobena </w:t>
      </w:r>
      <w:r w:rsidR="005E1D17" w:rsidRPr="000B16D5">
        <w:rPr>
          <w:rFonts w:asciiTheme="majorHAnsi" w:hAnsiTheme="majorHAnsi"/>
          <w:sz w:val="22"/>
          <w:szCs w:val="22"/>
        </w:rPr>
        <w:t xml:space="preserve">nadměrným </w:t>
      </w:r>
      <w:r w:rsidRPr="000B16D5">
        <w:rPr>
          <w:rFonts w:asciiTheme="majorHAnsi" w:hAnsiTheme="majorHAnsi"/>
          <w:sz w:val="22"/>
          <w:szCs w:val="22"/>
        </w:rPr>
        <w:t xml:space="preserve">dělením </w:t>
      </w:r>
      <w:r w:rsidR="005E1D17" w:rsidRPr="000B16D5">
        <w:rPr>
          <w:rFonts w:asciiTheme="majorHAnsi" w:hAnsiTheme="majorHAnsi"/>
          <w:sz w:val="22"/>
          <w:szCs w:val="22"/>
        </w:rPr>
        <w:t>buněk</w:t>
      </w:r>
      <w:r w:rsidRPr="000B16D5">
        <w:rPr>
          <w:rFonts w:asciiTheme="majorHAnsi" w:hAnsiTheme="majorHAnsi"/>
          <w:sz w:val="22"/>
          <w:szCs w:val="22"/>
        </w:rPr>
        <w:t xml:space="preserve">, které se vymyká vší </w:t>
      </w:r>
      <w:r w:rsidR="003C4C41" w:rsidRPr="000B16D5">
        <w:rPr>
          <w:rFonts w:asciiTheme="majorHAnsi" w:hAnsiTheme="majorHAnsi"/>
          <w:sz w:val="22"/>
          <w:szCs w:val="22"/>
        </w:rPr>
        <w:t>kontrole, a dává</w:t>
      </w:r>
      <w:r w:rsidRPr="000B16D5">
        <w:rPr>
          <w:rFonts w:asciiTheme="majorHAnsi" w:hAnsiTheme="majorHAnsi"/>
          <w:sz w:val="22"/>
          <w:szCs w:val="22"/>
        </w:rPr>
        <w:t xml:space="preserve"> tak vznik hmotě novotvořené tkáně (odtud nádor</w:t>
      </w:r>
      <w:r w:rsidR="003235AB" w:rsidRPr="000B16D5">
        <w:rPr>
          <w:rFonts w:asciiTheme="majorHAnsi" w:hAnsiTheme="majorHAnsi"/>
          <w:sz w:val="22"/>
          <w:szCs w:val="22"/>
        </w:rPr>
        <w:t xml:space="preserve"> </w:t>
      </w:r>
      <w:r w:rsidRPr="000B16D5">
        <w:rPr>
          <w:rFonts w:asciiTheme="majorHAnsi" w:hAnsiTheme="majorHAnsi"/>
          <w:sz w:val="22"/>
          <w:szCs w:val="22"/>
        </w:rPr>
        <w:t xml:space="preserve">= novotvar, neoplasma). Většinou vzniká na podkladě změn (tzv. mutací) genetické informace, která je uložená v jádře každé buňky našeho těla v molekulách DNA, </w:t>
      </w:r>
      <w:r w:rsidRPr="000B16D5">
        <w:rPr>
          <w:rFonts w:asciiTheme="majorHAnsi" w:hAnsiTheme="majorHAnsi"/>
          <w:color w:val="000000"/>
          <w:sz w:val="22"/>
          <w:szCs w:val="22"/>
        </w:rPr>
        <w:t>anebo chybou jejího vyjádření</w:t>
      </w:r>
      <w:r w:rsidRPr="000B16D5">
        <w:rPr>
          <w:rFonts w:asciiTheme="majorHAnsi" w:hAnsiTheme="majorHAnsi"/>
          <w:sz w:val="22"/>
          <w:szCs w:val="22"/>
        </w:rPr>
        <w:t xml:space="preserve">. Obecně můžeme tvrdit, že největším úskalím rakovinného bujení je neřízený nárůst počtu buňěk, nikoli jejich mutovaná, geneticky </w:t>
      </w:r>
      <w:r w:rsidR="003C4C41" w:rsidRPr="000B16D5">
        <w:rPr>
          <w:rFonts w:asciiTheme="majorHAnsi" w:hAnsiTheme="majorHAnsi"/>
          <w:sz w:val="22"/>
          <w:szCs w:val="22"/>
        </w:rPr>
        <w:t>„</w:t>
      </w:r>
      <w:r w:rsidRPr="000B16D5">
        <w:rPr>
          <w:rFonts w:asciiTheme="majorHAnsi" w:hAnsiTheme="majorHAnsi"/>
          <w:sz w:val="22"/>
          <w:szCs w:val="22"/>
        </w:rPr>
        <w:t>odlišná</w:t>
      </w:r>
      <w:r w:rsidR="003C4C41" w:rsidRPr="000B16D5">
        <w:rPr>
          <w:rFonts w:asciiTheme="majorHAnsi" w:hAnsiTheme="majorHAnsi"/>
          <w:sz w:val="22"/>
          <w:szCs w:val="22"/>
        </w:rPr>
        <w:t xml:space="preserve">“ </w:t>
      </w:r>
      <w:r w:rsidRPr="000B16D5">
        <w:rPr>
          <w:rFonts w:asciiTheme="majorHAnsi" w:hAnsiTheme="majorHAnsi"/>
          <w:sz w:val="22"/>
          <w:szCs w:val="22"/>
        </w:rPr>
        <w:t>podoba. (Mutace bývají podkladem nádorového zvrhnutí, nejsou k němu ovšem nezbytné.) V určitých lokalitách stačí již jen vlastnost neřízeného zmnožování tkáně k tomu, aby nádorový novotvar měl nedobrou</w:t>
      </w:r>
      <w:r w:rsidR="0079682D" w:rsidRPr="000B16D5">
        <w:rPr>
          <w:rFonts w:asciiTheme="majorHAnsi" w:hAnsiTheme="majorHAnsi"/>
          <w:sz w:val="22"/>
          <w:szCs w:val="22"/>
        </w:rPr>
        <w:t xml:space="preserve"> – </w:t>
      </w:r>
      <w:r w:rsidRPr="000B16D5">
        <w:rPr>
          <w:rFonts w:asciiTheme="majorHAnsi" w:hAnsiTheme="majorHAnsi"/>
          <w:sz w:val="22"/>
          <w:szCs w:val="22"/>
        </w:rPr>
        <w:t>maligní prognózu; jmenujme např. utlačování mozkových struktur v CNS.</w:t>
      </w:r>
    </w:p>
    <w:p w:rsidR="00C03BEF" w:rsidRPr="000B16D5" w:rsidRDefault="00C03BEF" w:rsidP="00C03BEF">
      <w:pPr>
        <w:pStyle w:val="Zkladntext"/>
        <w:spacing w:line="276" w:lineRule="auto"/>
        <w:ind w:right="627"/>
        <w:jc w:val="both"/>
        <w:rPr>
          <w:rFonts w:asciiTheme="majorHAnsi" w:hAnsiTheme="majorHAnsi"/>
          <w:sz w:val="22"/>
          <w:szCs w:val="22"/>
        </w:rPr>
      </w:pPr>
      <w:r w:rsidRPr="000B16D5">
        <w:rPr>
          <w:rFonts w:asciiTheme="majorHAnsi" w:hAnsiTheme="majorHAnsi"/>
          <w:sz w:val="22"/>
          <w:szCs w:val="22"/>
        </w:rPr>
        <w:t xml:space="preserve">Neřízený cyklus dělení buňky je takřka neomezený a nekonečný. Dříve nebo později nastoluje situaci, kdy masa novotvořené tkáně začne </w:t>
      </w:r>
      <w:r w:rsidR="0079682D" w:rsidRPr="000B16D5">
        <w:rPr>
          <w:rFonts w:asciiTheme="majorHAnsi" w:hAnsiTheme="majorHAnsi"/>
          <w:sz w:val="22"/>
          <w:szCs w:val="22"/>
        </w:rPr>
        <w:t>„</w:t>
      </w:r>
      <w:r w:rsidRPr="000B16D5">
        <w:rPr>
          <w:rFonts w:asciiTheme="majorHAnsi" w:hAnsiTheme="majorHAnsi"/>
          <w:sz w:val="22"/>
          <w:szCs w:val="22"/>
        </w:rPr>
        <w:t>hostiteli</w:t>
      </w:r>
      <w:r w:rsidR="0079682D" w:rsidRPr="000B16D5">
        <w:rPr>
          <w:rFonts w:asciiTheme="majorHAnsi" w:hAnsiTheme="majorHAnsi"/>
          <w:sz w:val="22"/>
          <w:szCs w:val="22"/>
        </w:rPr>
        <w:t>“</w:t>
      </w:r>
      <w:r w:rsidRPr="000B16D5">
        <w:rPr>
          <w:rFonts w:asciiTheme="majorHAnsi" w:hAnsiTheme="majorHAnsi"/>
          <w:sz w:val="22"/>
          <w:szCs w:val="22"/>
        </w:rPr>
        <w:t xml:space="preserve"> působit obtíže. Ty se mohou projevovat různě</w:t>
      </w:r>
      <w:r w:rsidR="0079682D" w:rsidRPr="000B16D5">
        <w:rPr>
          <w:rFonts w:asciiTheme="majorHAnsi" w:hAnsiTheme="majorHAnsi"/>
          <w:sz w:val="22"/>
          <w:szCs w:val="22"/>
        </w:rPr>
        <w:t xml:space="preserve"> – </w:t>
      </w:r>
      <w:r w:rsidRPr="000B16D5">
        <w:rPr>
          <w:rFonts w:asciiTheme="majorHAnsi" w:hAnsiTheme="majorHAnsi"/>
          <w:sz w:val="22"/>
          <w:szCs w:val="22"/>
        </w:rPr>
        <w:t>krom zvýšeného ba</w:t>
      </w:r>
      <w:r w:rsidR="006948E4" w:rsidRPr="000B16D5">
        <w:rPr>
          <w:rFonts w:asciiTheme="majorHAnsi" w:hAnsiTheme="majorHAnsi"/>
          <w:sz w:val="22"/>
          <w:szCs w:val="22"/>
        </w:rPr>
        <w:t>z</w:t>
      </w:r>
      <w:r w:rsidRPr="000B16D5">
        <w:rPr>
          <w:rFonts w:asciiTheme="majorHAnsi" w:hAnsiTheme="majorHAnsi"/>
          <w:sz w:val="22"/>
          <w:szCs w:val="22"/>
        </w:rPr>
        <w:t xml:space="preserve">álního metabolismu přispívají buňky nádoru a imunitního systému tvorbou cytokinů také k nechutenství, k využívání zásobních živin, čímž způsobují </w:t>
      </w:r>
      <w:r w:rsidRPr="000B16D5">
        <w:rPr>
          <w:rFonts w:asciiTheme="majorHAnsi" w:hAnsiTheme="majorHAnsi"/>
          <w:b/>
          <w:bCs/>
          <w:sz w:val="22"/>
          <w:szCs w:val="22"/>
        </w:rPr>
        <w:t xml:space="preserve">kachexii </w:t>
      </w:r>
      <w:r w:rsidRPr="000B16D5">
        <w:rPr>
          <w:rFonts w:asciiTheme="majorHAnsi" w:hAnsiTheme="majorHAnsi"/>
          <w:sz w:val="22"/>
          <w:szCs w:val="22"/>
        </w:rPr>
        <w:t xml:space="preserve">(hubnutí, ztráta hmotnosti). Solidní masa nádoru </w:t>
      </w:r>
      <w:r w:rsidRPr="000B16D5">
        <w:rPr>
          <w:rFonts w:asciiTheme="majorHAnsi" w:hAnsiTheme="majorHAnsi"/>
          <w:b/>
          <w:bCs/>
          <w:sz w:val="22"/>
          <w:szCs w:val="22"/>
        </w:rPr>
        <w:t>utlačuje</w:t>
      </w:r>
      <w:r w:rsidRPr="000B16D5">
        <w:rPr>
          <w:rFonts w:asciiTheme="majorHAnsi" w:hAnsiTheme="majorHAnsi"/>
          <w:sz w:val="22"/>
          <w:szCs w:val="22"/>
        </w:rPr>
        <w:t xml:space="preserve"> životně důležité struktury a orgány (cévy, </w:t>
      </w:r>
      <w:r w:rsidR="008D7F16" w:rsidRPr="000B16D5">
        <w:rPr>
          <w:rFonts w:asciiTheme="majorHAnsi" w:hAnsiTheme="majorHAnsi"/>
          <w:sz w:val="22"/>
          <w:szCs w:val="22"/>
        </w:rPr>
        <w:t>mozek…), nebo</w:t>
      </w:r>
      <w:r w:rsidRPr="000B16D5">
        <w:rPr>
          <w:rFonts w:asciiTheme="majorHAnsi" w:hAnsiTheme="majorHAnsi"/>
          <w:sz w:val="22"/>
          <w:szCs w:val="22"/>
        </w:rPr>
        <w:t xml:space="preserve"> do nich </w:t>
      </w:r>
      <w:r w:rsidRPr="000B16D5">
        <w:rPr>
          <w:rFonts w:asciiTheme="majorHAnsi" w:hAnsiTheme="majorHAnsi"/>
          <w:b/>
          <w:bCs/>
          <w:color w:val="000000"/>
          <w:sz w:val="22"/>
          <w:szCs w:val="22"/>
        </w:rPr>
        <w:t>prorůstá</w:t>
      </w:r>
      <w:r w:rsidRPr="000B16D5">
        <w:rPr>
          <w:rFonts w:asciiTheme="majorHAnsi" w:hAnsiTheme="majorHAnsi"/>
          <w:color w:val="000000"/>
          <w:sz w:val="22"/>
          <w:szCs w:val="22"/>
        </w:rPr>
        <w:t xml:space="preserve"> </w:t>
      </w:r>
      <w:r w:rsidRPr="000B16D5">
        <w:rPr>
          <w:rFonts w:asciiTheme="majorHAnsi" w:hAnsiTheme="majorHAnsi"/>
          <w:i/>
          <w:iCs/>
          <w:sz w:val="22"/>
          <w:szCs w:val="22"/>
        </w:rPr>
        <w:t>(</w:t>
      </w:r>
      <w:r w:rsidR="00D6778E" w:rsidRPr="000B16D5">
        <w:rPr>
          <w:rFonts w:asciiTheme="majorHAnsi" w:hAnsiTheme="majorHAnsi"/>
          <w:i/>
          <w:iCs/>
          <w:sz w:val="22"/>
          <w:szCs w:val="22"/>
        </w:rPr>
        <w:t xml:space="preserve">odtud </w:t>
      </w:r>
      <w:r w:rsidRPr="000B16D5">
        <w:rPr>
          <w:rFonts w:asciiTheme="majorHAnsi" w:hAnsiTheme="majorHAnsi"/>
          <w:i/>
          <w:iCs/>
          <w:sz w:val="22"/>
          <w:szCs w:val="22"/>
        </w:rPr>
        <w:t>lidový název rakovina: z nádoru paprskovitě</w:t>
      </w:r>
      <w:r w:rsidR="00D6778E" w:rsidRPr="000B16D5">
        <w:rPr>
          <w:rFonts w:asciiTheme="majorHAnsi" w:hAnsiTheme="majorHAnsi"/>
          <w:i/>
          <w:iCs/>
          <w:sz w:val="22"/>
          <w:szCs w:val="22"/>
        </w:rPr>
        <w:t xml:space="preserve"> </w:t>
      </w:r>
      <w:r w:rsidRPr="000B16D5">
        <w:rPr>
          <w:rFonts w:asciiTheme="majorHAnsi" w:hAnsiTheme="majorHAnsi"/>
          <w:i/>
          <w:iCs/>
          <w:sz w:val="22"/>
          <w:szCs w:val="22"/>
        </w:rPr>
        <w:t xml:space="preserve">prorůstající buňky do okolní tkáně připomínají na řezu tkání tělo a nohy kraba nebo raka). </w:t>
      </w:r>
      <w:r w:rsidRPr="000B16D5">
        <w:rPr>
          <w:rFonts w:asciiTheme="majorHAnsi" w:hAnsiTheme="majorHAnsi"/>
          <w:sz w:val="22"/>
          <w:szCs w:val="22"/>
        </w:rPr>
        <w:t>Neorganizovaná neoplastická struktura přirozeně není funkční tkání orgánu</w:t>
      </w:r>
      <w:r w:rsidR="00197083" w:rsidRPr="000B16D5">
        <w:rPr>
          <w:rFonts w:asciiTheme="majorHAnsi" w:hAnsiTheme="majorHAnsi"/>
          <w:sz w:val="22"/>
          <w:szCs w:val="22"/>
        </w:rPr>
        <w:t>, r</w:t>
      </w:r>
      <w:r w:rsidRPr="000B16D5">
        <w:rPr>
          <w:rFonts w:asciiTheme="majorHAnsi" w:hAnsiTheme="majorHAnsi"/>
          <w:sz w:val="22"/>
          <w:szCs w:val="22"/>
        </w:rPr>
        <w:t>esp. není funkčně napojena na centrální řízení. Takto např. nádory vnitřně-sekretorických žláz produkují obrovské množství (</w:t>
      </w:r>
      <w:r w:rsidR="00D81246" w:rsidRPr="000B16D5">
        <w:rPr>
          <w:rFonts w:asciiTheme="majorHAnsi" w:hAnsiTheme="majorHAnsi"/>
          <w:sz w:val="22"/>
          <w:szCs w:val="22"/>
        </w:rPr>
        <w:t xml:space="preserve">tzn., že </w:t>
      </w:r>
      <w:r w:rsidRPr="000B16D5">
        <w:rPr>
          <w:rFonts w:asciiTheme="majorHAnsi" w:hAnsiTheme="majorHAnsi"/>
          <w:sz w:val="22"/>
          <w:szCs w:val="22"/>
        </w:rPr>
        <w:t xml:space="preserve">buňky žlázy jsou zmnožené) </w:t>
      </w:r>
      <w:r w:rsidRPr="000B16D5">
        <w:rPr>
          <w:rFonts w:asciiTheme="majorHAnsi" w:hAnsiTheme="majorHAnsi"/>
          <w:i/>
          <w:iCs/>
          <w:sz w:val="22"/>
          <w:szCs w:val="22"/>
        </w:rPr>
        <w:t>funkčního</w:t>
      </w:r>
      <w:r w:rsidRPr="000B16D5">
        <w:rPr>
          <w:rFonts w:asciiTheme="majorHAnsi" w:hAnsiTheme="majorHAnsi"/>
          <w:sz w:val="22"/>
          <w:szCs w:val="22"/>
        </w:rPr>
        <w:t xml:space="preserve"> hormonu, který působí na tkáně a buňky těla, bohužel však nepřiměřeně a v nevhodnou chvíli. Nádor tak může </w:t>
      </w:r>
      <w:r w:rsidRPr="000B16D5">
        <w:rPr>
          <w:rFonts w:asciiTheme="majorHAnsi" w:hAnsiTheme="majorHAnsi"/>
          <w:b/>
          <w:bCs/>
          <w:sz w:val="22"/>
          <w:szCs w:val="22"/>
        </w:rPr>
        <w:t>narušovat i funkční integritu</w:t>
      </w:r>
      <w:r w:rsidRPr="000B16D5">
        <w:rPr>
          <w:rFonts w:asciiTheme="majorHAnsi" w:hAnsiTheme="majorHAnsi"/>
          <w:sz w:val="22"/>
          <w:szCs w:val="22"/>
        </w:rPr>
        <w:t xml:space="preserve"> organismu.</w:t>
      </w:r>
    </w:p>
    <w:p w:rsidR="00C03BEF" w:rsidRPr="000B16D5" w:rsidRDefault="00C03BEF" w:rsidP="00C03BEF">
      <w:pPr>
        <w:pStyle w:val="Zkladntext"/>
        <w:spacing w:line="276" w:lineRule="auto"/>
        <w:ind w:right="627"/>
        <w:jc w:val="both"/>
        <w:rPr>
          <w:rFonts w:asciiTheme="majorHAnsi" w:hAnsiTheme="majorHAnsi"/>
          <w:sz w:val="22"/>
          <w:szCs w:val="22"/>
        </w:rPr>
      </w:pPr>
      <w:r w:rsidRPr="000B16D5">
        <w:rPr>
          <w:rFonts w:asciiTheme="majorHAnsi" w:hAnsiTheme="majorHAnsi"/>
          <w:sz w:val="22"/>
          <w:szCs w:val="22"/>
        </w:rPr>
        <w:t>Chirurgické řešení problému</w:t>
      </w:r>
      <w:r w:rsidR="00EC25CF" w:rsidRPr="000B16D5">
        <w:rPr>
          <w:rFonts w:asciiTheme="majorHAnsi" w:hAnsiTheme="majorHAnsi"/>
          <w:sz w:val="22"/>
          <w:szCs w:val="22"/>
        </w:rPr>
        <w:t xml:space="preserve"> – </w:t>
      </w:r>
      <w:r w:rsidRPr="000B16D5">
        <w:rPr>
          <w:rFonts w:asciiTheme="majorHAnsi" w:hAnsiTheme="majorHAnsi"/>
          <w:sz w:val="22"/>
          <w:szCs w:val="22"/>
        </w:rPr>
        <w:t>odebrání nádorové tkáně</w:t>
      </w:r>
      <w:r w:rsidR="00EC25CF" w:rsidRPr="000B16D5">
        <w:rPr>
          <w:rFonts w:asciiTheme="majorHAnsi" w:hAnsiTheme="majorHAnsi"/>
          <w:sz w:val="22"/>
          <w:szCs w:val="22"/>
        </w:rPr>
        <w:t xml:space="preserve"> –</w:t>
      </w:r>
      <w:r w:rsidRPr="000B16D5">
        <w:rPr>
          <w:rFonts w:asciiTheme="majorHAnsi" w:hAnsiTheme="majorHAnsi"/>
          <w:sz w:val="22"/>
          <w:szCs w:val="22"/>
        </w:rPr>
        <w:t xml:space="preserve"> často komplikuje rozsev druhotných ložisek, tzv. </w:t>
      </w:r>
      <w:r w:rsidRPr="000B16D5">
        <w:rPr>
          <w:rFonts w:asciiTheme="majorHAnsi" w:hAnsiTheme="majorHAnsi"/>
          <w:i/>
          <w:iCs/>
          <w:sz w:val="22"/>
          <w:szCs w:val="22"/>
        </w:rPr>
        <w:t>metastáz</w:t>
      </w:r>
      <w:r w:rsidRPr="000B16D5">
        <w:rPr>
          <w:rFonts w:asciiTheme="majorHAnsi" w:hAnsiTheme="majorHAnsi"/>
          <w:sz w:val="22"/>
          <w:szCs w:val="22"/>
        </w:rPr>
        <w:t>, v různých částech a orgánech těla. Sklon k metastazování je jedním z hledisek při posuzování závažnosti nádorového onemocnění.</w:t>
      </w:r>
    </w:p>
    <w:p w:rsidR="00C03BEF" w:rsidRPr="000B16D5" w:rsidRDefault="00C03BEF" w:rsidP="00C03BEF">
      <w:pPr>
        <w:pStyle w:val="Zkladntext"/>
        <w:spacing w:line="276" w:lineRule="auto"/>
        <w:ind w:right="627"/>
        <w:jc w:val="both"/>
        <w:rPr>
          <w:rFonts w:asciiTheme="majorHAnsi" w:hAnsiTheme="majorHAnsi"/>
          <w:sz w:val="22"/>
          <w:szCs w:val="22"/>
        </w:rPr>
      </w:pPr>
      <w:r w:rsidRPr="000B16D5">
        <w:rPr>
          <w:rFonts w:asciiTheme="majorHAnsi" w:hAnsiTheme="majorHAnsi"/>
          <w:sz w:val="22"/>
          <w:szCs w:val="22"/>
        </w:rPr>
        <w:t>Konečně nádor si nepředstavujme jen jako solidní, tuhou a ohraničenou tkáň</w:t>
      </w:r>
      <w:r w:rsidR="00D81246" w:rsidRPr="000B16D5">
        <w:rPr>
          <w:rFonts w:asciiTheme="majorHAnsi" w:hAnsiTheme="majorHAnsi"/>
          <w:sz w:val="22"/>
          <w:szCs w:val="22"/>
        </w:rPr>
        <w:t xml:space="preserve">; </w:t>
      </w:r>
      <w:r w:rsidRPr="000B16D5">
        <w:rPr>
          <w:rFonts w:asciiTheme="majorHAnsi" w:hAnsiTheme="majorHAnsi"/>
          <w:sz w:val="22"/>
          <w:szCs w:val="22"/>
        </w:rPr>
        <w:t>existují i nádorová onemocnění krve, např. akutní či chronická leukémie, kde krevní buňky vzniklé mnohonásobným dělením nacházíme volně v kostní dřeni i tělním oběhu.</w:t>
      </w:r>
    </w:p>
    <w:p w:rsidR="00C03BEF" w:rsidRPr="000B16D5" w:rsidRDefault="00C03BEF">
      <w:pPr>
        <w:rPr>
          <w:rFonts w:asciiTheme="majorHAnsi" w:hAnsiTheme="majorHAnsi"/>
          <w:b/>
          <w:smallCaps/>
          <w:sz w:val="24"/>
        </w:rPr>
      </w:pPr>
      <w:r w:rsidRPr="000B16D5">
        <w:rPr>
          <w:rFonts w:asciiTheme="majorHAnsi" w:hAnsiTheme="majorHAnsi"/>
        </w:rPr>
        <w:br w:type="page"/>
      </w:r>
    </w:p>
    <w:p w:rsidR="00112887" w:rsidRPr="000B16D5" w:rsidRDefault="004B7B5F" w:rsidP="00112887">
      <w:pPr>
        <w:pStyle w:val="Nadpispodkapitoly"/>
        <w:rPr>
          <w:rFonts w:asciiTheme="majorHAnsi" w:hAnsiTheme="majorHAnsi"/>
        </w:rPr>
      </w:pPr>
      <w:bookmarkStart w:id="113" w:name="_Toc380240648"/>
      <w:r w:rsidRPr="000B16D5">
        <w:rPr>
          <w:rFonts w:asciiTheme="majorHAnsi" w:hAnsiTheme="majorHAnsi"/>
        </w:rPr>
        <w:lastRenderedPageBreak/>
        <w:t>R</w:t>
      </w:r>
      <w:r w:rsidR="00112887" w:rsidRPr="000B16D5">
        <w:rPr>
          <w:rFonts w:asciiTheme="majorHAnsi" w:hAnsiTheme="majorHAnsi"/>
        </w:rPr>
        <w:t xml:space="preserve">ozdělení nádorových onemocnění </w:t>
      </w:r>
      <w:r w:rsidRPr="000B16D5">
        <w:rPr>
          <w:rFonts w:asciiTheme="majorHAnsi" w:hAnsiTheme="majorHAnsi"/>
        </w:rPr>
        <w:t>(dle genetického podkladu a dědičnosti)</w:t>
      </w:r>
      <w:r w:rsidR="00112887" w:rsidRPr="000B16D5">
        <w:rPr>
          <w:rFonts w:asciiTheme="majorHAnsi" w:hAnsiTheme="majorHAnsi"/>
        </w:rPr>
        <w:t xml:space="preserve"> a souvislost s výživou</w:t>
      </w:r>
      <w:bookmarkEnd w:id="113"/>
    </w:p>
    <w:p w:rsidR="004B7B5F" w:rsidRPr="000B16D5" w:rsidRDefault="004B7B5F" w:rsidP="00112887">
      <w:pPr>
        <w:pStyle w:val="Podpodnadpis"/>
        <w:rPr>
          <w:rFonts w:asciiTheme="majorHAnsi" w:hAnsiTheme="majorHAnsi"/>
        </w:rPr>
      </w:pPr>
      <w:r w:rsidRPr="000B16D5">
        <w:rPr>
          <w:rFonts w:asciiTheme="majorHAnsi" w:hAnsiTheme="majorHAnsi"/>
        </w:rPr>
        <w:t>Genetika</w:t>
      </w:r>
    </w:p>
    <w:p w:rsidR="00621875" w:rsidRPr="000B16D5" w:rsidRDefault="00621875" w:rsidP="00621875">
      <w:pPr>
        <w:pStyle w:val="Zkladntext"/>
        <w:spacing w:line="276" w:lineRule="auto"/>
        <w:jc w:val="both"/>
        <w:rPr>
          <w:rFonts w:asciiTheme="majorHAnsi" w:hAnsiTheme="majorHAnsi"/>
          <w:sz w:val="22"/>
          <w:szCs w:val="22"/>
        </w:rPr>
      </w:pPr>
      <w:r w:rsidRPr="000B16D5">
        <w:rPr>
          <w:rFonts w:asciiTheme="majorHAnsi" w:hAnsiTheme="majorHAnsi"/>
          <w:sz w:val="22"/>
          <w:szCs w:val="22"/>
        </w:rPr>
        <w:t xml:space="preserve">Počátek procesu nádorového bujení můžeme velmi často přiřknout změnám v </w:t>
      </w:r>
      <w:r w:rsidRPr="000B16D5">
        <w:rPr>
          <w:rFonts w:asciiTheme="majorHAnsi" w:hAnsiTheme="majorHAnsi"/>
          <w:color w:val="000000"/>
          <w:sz w:val="22"/>
          <w:szCs w:val="22"/>
        </w:rPr>
        <w:t xml:space="preserve">základní, </w:t>
      </w:r>
      <w:r w:rsidR="00015235" w:rsidRPr="000B16D5">
        <w:rPr>
          <w:rFonts w:asciiTheme="majorHAnsi" w:hAnsiTheme="majorHAnsi"/>
          <w:color w:val="000000"/>
          <w:sz w:val="22"/>
          <w:szCs w:val="22"/>
        </w:rPr>
        <w:t xml:space="preserve">kódující </w:t>
      </w:r>
      <w:r w:rsidRPr="000B16D5">
        <w:rPr>
          <w:rFonts w:asciiTheme="majorHAnsi" w:hAnsiTheme="majorHAnsi"/>
          <w:color w:val="000000"/>
          <w:sz w:val="22"/>
          <w:szCs w:val="22"/>
        </w:rPr>
        <w:t>matrici našeho těla, v molekule DNA, jejíž změny vedou k autonomnímu a ničím neřízenému dělení buňky. Mutace či chybná exprese, které</w:t>
      </w:r>
      <w:r w:rsidR="00682AE6" w:rsidRPr="000B16D5">
        <w:rPr>
          <w:rFonts w:asciiTheme="majorHAnsi" w:hAnsiTheme="majorHAnsi"/>
          <w:color w:val="000000"/>
          <w:sz w:val="22"/>
          <w:szCs w:val="22"/>
        </w:rPr>
        <w:t xml:space="preserve"> </w:t>
      </w:r>
      <w:r w:rsidRPr="000B16D5">
        <w:rPr>
          <w:rFonts w:asciiTheme="majorHAnsi" w:hAnsiTheme="majorHAnsi"/>
          <w:color w:val="000000"/>
          <w:sz w:val="22"/>
          <w:szCs w:val="22"/>
        </w:rPr>
        <w:t xml:space="preserve">maligní zvrat způsobují, probíhají v průběhu našeho života neustále. Opravné mechanismy v buňce je však stačí obvykle napravovat, nebo buňka programovaně zanikne. Dle genetického základu </w:t>
      </w:r>
      <w:r w:rsidRPr="000B16D5">
        <w:rPr>
          <w:rFonts w:asciiTheme="majorHAnsi" w:hAnsiTheme="majorHAnsi"/>
          <w:sz w:val="22"/>
          <w:szCs w:val="22"/>
        </w:rPr>
        <w:t>můžeme rozlišovat dvě skupiny nádorových onemocnění:</w:t>
      </w:r>
    </w:p>
    <w:p w:rsidR="008017BA" w:rsidRPr="000B16D5" w:rsidRDefault="008017BA" w:rsidP="00621875">
      <w:pPr>
        <w:pStyle w:val="Zkladntext"/>
        <w:numPr>
          <w:ilvl w:val="0"/>
          <w:numId w:val="45"/>
        </w:numPr>
        <w:spacing w:line="276" w:lineRule="auto"/>
        <w:jc w:val="both"/>
        <w:rPr>
          <w:rFonts w:asciiTheme="majorHAnsi" w:hAnsiTheme="majorHAnsi"/>
          <w:sz w:val="22"/>
          <w:szCs w:val="22"/>
        </w:rPr>
      </w:pPr>
      <w:r w:rsidRPr="000B16D5">
        <w:rPr>
          <w:rFonts w:asciiTheme="majorHAnsi" w:hAnsiTheme="majorHAnsi"/>
          <w:sz w:val="22"/>
          <w:szCs w:val="22"/>
        </w:rPr>
        <w:t xml:space="preserve">1. </w:t>
      </w:r>
      <w:r w:rsidR="00621875" w:rsidRPr="000B16D5">
        <w:rPr>
          <w:rFonts w:asciiTheme="majorHAnsi" w:hAnsiTheme="majorHAnsi"/>
          <w:sz w:val="22"/>
          <w:szCs w:val="22"/>
        </w:rPr>
        <w:t>typ</w:t>
      </w:r>
      <w:r w:rsidR="00682AE6" w:rsidRPr="000B16D5">
        <w:rPr>
          <w:rFonts w:asciiTheme="majorHAnsi" w:hAnsiTheme="majorHAnsi"/>
          <w:sz w:val="22"/>
          <w:szCs w:val="22"/>
        </w:rPr>
        <w:t xml:space="preserve"> – </w:t>
      </w:r>
      <w:r w:rsidR="00621875" w:rsidRPr="000B16D5">
        <w:rPr>
          <w:rFonts w:asciiTheme="majorHAnsi" w:hAnsiTheme="majorHAnsi"/>
          <w:b/>
          <w:bCs/>
          <w:sz w:val="22"/>
          <w:szCs w:val="22"/>
        </w:rPr>
        <w:t>monogenně podmíněná nádorová onemocnění</w:t>
      </w:r>
      <w:r w:rsidR="00621875" w:rsidRPr="000B16D5">
        <w:rPr>
          <w:rFonts w:asciiTheme="majorHAnsi" w:hAnsiTheme="majorHAnsi"/>
          <w:sz w:val="22"/>
          <w:szCs w:val="22"/>
        </w:rPr>
        <w:t xml:space="preserve"> (asi 5</w:t>
      </w:r>
      <w:r w:rsidR="00682AE6" w:rsidRPr="000B16D5">
        <w:rPr>
          <w:rFonts w:asciiTheme="majorHAnsi" w:hAnsiTheme="majorHAnsi"/>
          <w:sz w:val="22"/>
          <w:szCs w:val="22"/>
        </w:rPr>
        <w:t xml:space="preserve"> </w:t>
      </w:r>
      <w:r w:rsidR="00621875" w:rsidRPr="000B16D5">
        <w:rPr>
          <w:rFonts w:asciiTheme="majorHAnsi" w:hAnsiTheme="majorHAnsi"/>
          <w:sz w:val="22"/>
          <w:szCs w:val="22"/>
        </w:rPr>
        <w:t xml:space="preserve">% z celkového počtu novotvarů) jsou založena na nevhodném vyjádření </w:t>
      </w:r>
      <w:r w:rsidR="00621875" w:rsidRPr="000B16D5">
        <w:rPr>
          <w:rFonts w:asciiTheme="majorHAnsi" w:hAnsiTheme="majorHAnsi"/>
          <w:i/>
          <w:iCs/>
          <w:sz w:val="22"/>
          <w:szCs w:val="22"/>
        </w:rPr>
        <w:t>jednoho</w:t>
      </w:r>
      <w:r w:rsidR="00621875" w:rsidRPr="000B16D5">
        <w:rPr>
          <w:rFonts w:asciiTheme="majorHAnsi" w:hAnsiTheme="majorHAnsi"/>
          <w:sz w:val="22"/>
          <w:szCs w:val="22"/>
        </w:rPr>
        <w:t xml:space="preserve"> genu, příp. jeho mutaci, přičemž exprese vede s vysokou pravděpodobností </w:t>
      </w:r>
      <w:r w:rsidR="00621875" w:rsidRPr="000B16D5">
        <w:rPr>
          <w:rFonts w:asciiTheme="majorHAnsi" w:hAnsiTheme="majorHAnsi"/>
          <w:color w:val="000000"/>
          <w:sz w:val="22"/>
          <w:szCs w:val="22"/>
        </w:rPr>
        <w:t>(a malým podílem vlivu prostředí)</w:t>
      </w:r>
      <w:r w:rsidR="00621875" w:rsidRPr="000B16D5">
        <w:rPr>
          <w:rFonts w:asciiTheme="majorHAnsi" w:hAnsiTheme="majorHAnsi"/>
          <w:sz w:val="22"/>
          <w:szCs w:val="22"/>
        </w:rPr>
        <w:t xml:space="preserve"> jako rozbuška k nádorovému zvrhnutí buňky. Zpravidla se jedná o geny pro proteiny řídící buňečný cyklus, nebo opravy DNA</w:t>
      </w:r>
      <w:r w:rsidR="00682AE6" w:rsidRPr="000B16D5">
        <w:rPr>
          <w:rFonts w:asciiTheme="majorHAnsi" w:hAnsiTheme="majorHAnsi"/>
          <w:sz w:val="22"/>
          <w:szCs w:val="22"/>
        </w:rPr>
        <w:t>,</w:t>
      </w:r>
      <w:r w:rsidR="00621875" w:rsidRPr="000B16D5">
        <w:rPr>
          <w:rFonts w:asciiTheme="majorHAnsi" w:hAnsiTheme="majorHAnsi"/>
          <w:sz w:val="22"/>
          <w:szCs w:val="22"/>
        </w:rPr>
        <w:t xml:space="preserve"> </w:t>
      </w:r>
    </w:p>
    <w:p w:rsidR="004B7B5F" w:rsidRPr="000B16D5" w:rsidRDefault="00621875" w:rsidP="00621875">
      <w:pPr>
        <w:pStyle w:val="Zkladntext"/>
        <w:numPr>
          <w:ilvl w:val="0"/>
          <w:numId w:val="45"/>
        </w:numPr>
        <w:spacing w:line="276" w:lineRule="auto"/>
        <w:jc w:val="both"/>
        <w:rPr>
          <w:rFonts w:asciiTheme="majorHAnsi" w:hAnsiTheme="majorHAnsi"/>
          <w:sz w:val="22"/>
          <w:szCs w:val="22"/>
        </w:rPr>
      </w:pPr>
      <w:r w:rsidRPr="000B16D5">
        <w:rPr>
          <w:rFonts w:asciiTheme="majorHAnsi" w:hAnsiTheme="majorHAnsi"/>
          <w:sz w:val="22"/>
          <w:szCs w:val="22"/>
        </w:rPr>
        <w:t xml:space="preserve">2. typ </w:t>
      </w:r>
      <w:r w:rsidR="00682AE6" w:rsidRPr="000B16D5">
        <w:rPr>
          <w:rFonts w:asciiTheme="majorHAnsi" w:hAnsiTheme="majorHAnsi"/>
          <w:sz w:val="22"/>
          <w:szCs w:val="22"/>
        </w:rPr>
        <w:t xml:space="preserve">– </w:t>
      </w:r>
      <w:r w:rsidRPr="000B16D5">
        <w:rPr>
          <w:rFonts w:asciiTheme="majorHAnsi" w:hAnsiTheme="majorHAnsi"/>
          <w:b/>
          <w:bCs/>
          <w:sz w:val="22"/>
          <w:szCs w:val="22"/>
        </w:rPr>
        <w:t>polygenní nádorová onemocnění</w:t>
      </w:r>
      <w:r w:rsidRPr="000B16D5">
        <w:rPr>
          <w:rFonts w:asciiTheme="majorHAnsi" w:hAnsiTheme="majorHAnsi"/>
          <w:sz w:val="22"/>
          <w:szCs w:val="22"/>
        </w:rPr>
        <w:t xml:space="preserve"> (95</w:t>
      </w:r>
      <w:r w:rsidR="00682AE6" w:rsidRPr="000B16D5">
        <w:rPr>
          <w:rFonts w:asciiTheme="majorHAnsi" w:hAnsiTheme="majorHAnsi"/>
          <w:sz w:val="22"/>
          <w:szCs w:val="22"/>
        </w:rPr>
        <w:t xml:space="preserve"> </w:t>
      </w:r>
      <w:r w:rsidRPr="000B16D5">
        <w:rPr>
          <w:rFonts w:asciiTheme="majorHAnsi" w:hAnsiTheme="majorHAnsi"/>
          <w:sz w:val="22"/>
          <w:szCs w:val="22"/>
        </w:rPr>
        <w:t xml:space="preserve">% případů), u kterých k nádorovému zvrhnutí nestačí, aby nevhodné vyjádření nebo mutace proběhla jen v jediném genu, nýbrž je třeba, aby se </w:t>
      </w:r>
      <w:r w:rsidR="00682AE6" w:rsidRPr="000B16D5">
        <w:rPr>
          <w:rFonts w:asciiTheme="majorHAnsi" w:hAnsiTheme="majorHAnsi"/>
          <w:sz w:val="22"/>
          <w:szCs w:val="22"/>
        </w:rPr>
        <w:t>„</w:t>
      </w:r>
      <w:r w:rsidRPr="000B16D5">
        <w:rPr>
          <w:rFonts w:asciiTheme="majorHAnsi" w:hAnsiTheme="majorHAnsi"/>
          <w:sz w:val="22"/>
          <w:szCs w:val="22"/>
        </w:rPr>
        <w:t>shodou špatných náhod</w:t>
      </w:r>
      <w:r w:rsidR="00682AE6" w:rsidRPr="000B16D5">
        <w:rPr>
          <w:rFonts w:asciiTheme="majorHAnsi" w:hAnsiTheme="majorHAnsi"/>
          <w:sz w:val="22"/>
          <w:szCs w:val="22"/>
        </w:rPr>
        <w:t>“</w:t>
      </w:r>
      <w:r w:rsidRPr="000B16D5">
        <w:rPr>
          <w:rFonts w:asciiTheme="majorHAnsi" w:hAnsiTheme="majorHAnsi"/>
          <w:sz w:val="22"/>
          <w:szCs w:val="22"/>
        </w:rPr>
        <w:t xml:space="preserve"> sešla taková sada a forma genů, taková genová </w:t>
      </w:r>
      <w:r w:rsidR="00641967" w:rsidRPr="000B16D5">
        <w:rPr>
          <w:rFonts w:asciiTheme="majorHAnsi" w:hAnsiTheme="majorHAnsi"/>
          <w:sz w:val="22"/>
          <w:szCs w:val="22"/>
        </w:rPr>
        <w:t>„</w:t>
      </w:r>
      <w:r w:rsidRPr="000B16D5">
        <w:rPr>
          <w:rFonts w:asciiTheme="majorHAnsi" w:hAnsiTheme="majorHAnsi"/>
          <w:sz w:val="22"/>
          <w:szCs w:val="22"/>
        </w:rPr>
        <w:t>konstelace</w:t>
      </w:r>
      <w:r w:rsidR="00641967" w:rsidRPr="000B16D5">
        <w:rPr>
          <w:rFonts w:asciiTheme="majorHAnsi" w:hAnsiTheme="majorHAnsi"/>
          <w:sz w:val="22"/>
          <w:szCs w:val="22"/>
        </w:rPr>
        <w:t xml:space="preserve">“, </w:t>
      </w:r>
      <w:r w:rsidRPr="000B16D5">
        <w:rPr>
          <w:rFonts w:asciiTheme="majorHAnsi" w:hAnsiTheme="majorHAnsi"/>
          <w:sz w:val="22"/>
          <w:szCs w:val="22"/>
        </w:rPr>
        <w:t>která by v případě jednotlivých článků řetězce k nádorovému zvrhnutí nevedla, avšak ve výsledném součtu (odtud polygenní) obranné bariéry buňky prorazí. Pro kolorektální karcinom je například příznačná příčinná mutace kolem 10 genů, které jinak stojí nádorovému onemocnění v cestě.</w:t>
      </w:r>
    </w:p>
    <w:p w:rsidR="00621875" w:rsidRPr="000B16D5" w:rsidRDefault="00621875" w:rsidP="00621875">
      <w:pPr>
        <w:pStyle w:val="Zkladntext"/>
        <w:spacing w:line="276" w:lineRule="auto"/>
        <w:jc w:val="both"/>
        <w:rPr>
          <w:rFonts w:asciiTheme="majorHAnsi" w:hAnsiTheme="majorHAnsi"/>
          <w:sz w:val="22"/>
          <w:szCs w:val="22"/>
        </w:rPr>
      </w:pPr>
    </w:p>
    <w:p w:rsidR="004B7B5F" w:rsidRPr="000B16D5" w:rsidRDefault="00112887" w:rsidP="00112887">
      <w:pPr>
        <w:pStyle w:val="Podpodnadpis"/>
        <w:rPr>
          <w:rFonts w:asciiTheme="majorHAnsi" w:hAnsiTheme="majorHAnsi"/>
        </w:rPr>
      </w:pPr>
      <w:r w:rsidRPr="000B16D5">
        <w:rPr>
          <w:rFonts w:asciiTheme="majorHAnsi" w:hAnsiTheme="majorHAnsi"/>
        </w:rPr>
        <w:t>Dědičnost</w:t>
      </w:r>
    </w:p>
    <w:p w:rsidR="00621875" w:rsidRPr="000B16D5" w:rsidRDefault="00621875" w:rsidP="008017BA">
      <w:pPr>
        <w:pStyle w:val="Zkladntext"/>
        <w:spacing w:line="276" w:lineRule="auto"/>
        <w:ind w:right="-24"/>
        <w:jc w:val="both"/>
        <w:rPr>
          <w:rFonts w:asciiTheme="majorHAnsi" w:hAnsiTheme="majorHAnsi"/>
          <w:i/>
          <w:iCs/>
          <w:color w:val="000000"/>
          <w:sz w:val="22"/>
          <w:szCs w:val="22"/>
        </w:rPr>
      </w:pPr>
      <w:r w:rsidRPr="000B16D5">
        <w:rPr>
          <w:rFonts w:asciiTheme="majorHAnsi" w:hAnsiTheme="majorHAnsi"/>
          <w:color w:val="000000"/>
          <w:sz w:val="22"/>
          <w:szCs w:val="22"/>
        </w:rPr>
        <w:t>Změny vedoucí k nádorovému onemocnění mohou být dány dědičně po rodičích (</w:t>
      </w:r>
      <w:r w:rsidRPr="000B16D5">
        <w:rPr>
          <w:rFonts w:asciiTheme="majorHAnsi" w:hAnsiTheme="majorHAnsi"/>
          <w:b/>
          <w:bCs/>
          <w:color w:val="000000"/>
          <w:sz w:val="22"/>
          <w:szCs w:val="22"/>
        </w:rPr>
        <w:t>familiární výskyt</w:t>
      </w:r>
      <w:r w:rsidRPr="000B16D5">
        <w:rPr>
          <w:rFonts w:asciiTheme="majorHAnsi" w:hAnsiTheme="majorHAnsi"/>
          <w:color w:val="000000"/>
          <w:sz w:val="22"/>
          <w:szCs w:val="22"/>
        </w:rPr>
        <w:t xml:space="preserve">, v angl. literatuře též </w:t>
      </w:r>
      <w:r w:rsidRPr="000B16D5">
        <w:rPr>
          <w:rFonts w:asciiTheme="majorHAnsi" w:hAnsiTheme="majorHAnsi"/>
          <w:b/>
          <w:bCs/>
          <w:color w:val="000000"/>
          <w:sz w:val="22"/>
          <w:szCs w:val="22"/>
        </w:rPr>
        <w:t>hereditary tumors</w:t>
      </w:r>
      <w:r w:rsidRPr="000B16D5">
        <w:rPr>
          <w:rFonts w:asciiTheme="majorHAnsi" w:hAnsiTheme="majorHAnsi"/>
          <w:color w:val="000000"/>
          <w:sz w:val="22"/>
          <w:szCs w:val="22"/>
        </w:rPr>
        <w:t xml:space="preserve">), podobně jako třeba vlohy pro barvu očí. </w:t>
      </w:r>
      <w:r w:rsidR="00DC2D91" w:rsidRPr="000B16D5">
        <w:rPr>
          <w:rFonts w:asciiTheme="majorHAnsi" w:hAnsiTheme="majorHAnsi"/>
          <w:color w:val="000000"/>
          <w:sz w:val="22"/>
          <w:szCs w:val="22"/>
        </w:rPr>
        <w:t>V zavislosti na tom, zda je forma monogenní nebo polygenní</w:t>
      </w:r>
      <w:r w:rsidR="006139EF" w:rsidRPr="000B16D5">
        <w:rPr>
          <w:rFonts w:asciiTheme="majorHAnsi" w:hAnsiTheme="majorHAnsi"/>
          <w:color w:val="000000"/>
          <w:sz w:val="22"/>
          <w:szCs w:val="22"/>
        </w:rPr>
        <w:t>,</w:t>
      </w:r>
      <w:r w:rsidRPr="000B16D5">
        <w:rPr>
          <w:rFonts w:asciiTheme="majorHAnsi" w:hAnsiTheme="majorHAnsi"/>
          <w:color w:val="000000"/>
          <w:sz w:val="22"/>
          <w:szCs w:val="22"/>
        </w:rPr>
        <w:t xml:space="preserve"> je postižen jeden nebo více genů. Mutace, případně nevhodná forma genu (mono</w:t>
      </w:r>
      <w:r w:rsidR="00015235" w:rsidRPr="000B16D5">
        <w:rPr>
          <w:rFonts w:asciiTheme="majorHAnsi" w:hAnsiTheme="majorHAnsi"/>
          <w:color w:val="000000"/>
          <w:sz w:val="22"/>
          <w:szCs w:val="22"/>
        </w:rPr>
        <w:t>genní)</w:t>
      </w:r>
      <w:r w:rsidRPr="000B16D5">
        <w:rPr>
          <w:rFonts w:asciiTheme="majorHAnsi" w:hAnsiTheme="majorHAnsi"/>
          <w:color w:val="000000"/>
          <w:sz w:val="22"/>
          <w:szCs w:val="22"/>
        </w:rPr>
        <w:t>/genů (polygenní) prostupuje</w:t>
      </w:r>
      <w:r w:rsidRPr="000B16D5">
        <w:rPr>
          <w:rFonts w:asciiTheme="majorHAnsi" w:hAnsiTheme="majorHAnsi"/>
          <w:i/>
          <w:iCs/>
          <w:color w:val="000000"/>
          <w:sz w:val="22"/>
          <w:szCs w:val="22"/>
        </w:rPr>
        <w:t xml:space="preserve"> </w:t>
      </w:r>
      <w:r w:rsidRPr="000B16D5">
        <w:rPr>
          <w:rFonts w:asciiTheme="majorHAnsi" w:hAnsiTheme="majorHAnsi"/>
          <w:b/>
          <w:bCs/>
          <w:color w:val="000000"/>
          <w:sz w:val="22"/>
          <w:szCs w:val="22"/>
        </w:rPr>
        <w:t>všechny</w:t>
      </w:r>
      <w:r w:rsidRPr="000B16D5">
        <w:rPr>
          <w:rFonts w:asciiTheme="majorHAnsi" w:hAnsiTheme="majorHAnsi"/>
          <w:color w:val="000000"/>
          <w:sz w:val="22"/>
          <w:szCs w:val="22"/>
        </w:rPr>
        <w:t xml:space="preserve"> buňky organismu již od vzniku zygoty (tzv. </w:t>
      </w:r>
      <w:r w:rsidRPr="000B16D5">
        <w:rPr>
          <w:rFonts w:asciiTheme="majorHAnsi" w:hAnsiTheme="majorHAnsi"/>
          <w:i/>
          <w:iCs/>
          <w:color w:val="000000"/>
          <w:sz w:val="22"/>
          <w:szCs w:val="22"/>
        </w:rPr>
        <w:t>zárodečná mutace</w:t>
      </w:r>
      <w:r w:rsidRPr="000B16D5">
        <w:rPr>
          <w:rFonts w:asciiTheme="majorHAnsi" w:hAnsiTheme="majorHAnsi"/>
          <w:color w:val="000000"/>
          <w:sz w:val="22"/>
          <w:szCs w:val="22"/>
        </w:rPr>
        <w:t>). Zjednodušeně můžeme říci, že jedinec s hereditární predispozicí do života vstupuje se znevýhodněnou pozicí v každé buňce těla. Proces směřující k nádorovému bujení má náskok a pravděpodobnost</w:t>
      </w:r>
      <w:r w:rsidR="00AA0129" w:rsidRPr="000B16D5">
        <w:rPr>
          <w:rFonts w:asciiTheme="majorHAnsi" w:hAnsiTheme="majorHAnsi"/>
          <w:color w:val="000000"/>
          <w:sz w:val="22"/>
          <w:szCs w:val="22"/>
        </w:rPr>
        <w:t>,</w:t>
      </w:r>
      <w:r w:rsidRPr="000B16D5">
        <w:rPr>
          <w:rFonts w:asciiTheme="majorHAnsi" w:hAnsiTheme="majorHAnsi"/>
          <w:color w:val="000000"/>
          <w:sz w:val="22"/>
          <w:szCs w:val="22"/>
        </w:rPr>
        <w:t xml:space="preserve"> že nastane</w:t>
      </w:r>
      <w:r w:rsidR="00AA0129" w:rsidRPr="000B16D5">
        <w:rPr>
          <w:rFonts w:asciiTheme="majorHAnsi" w:hAnsiTheme="majorHAnsi"/>
          <w:color w:val="000000"/>
          <w:sz w:val="22"/>
          <w:szCs w:val="22"/>
        </w:rPr>
        <w:t>,</w:t>
      </w:r>
      <w:r w:rsidRPr="000B16D5">
        <w:rPr>
          <w:rFonts w:asciiTheme="majorHAnsi" w:hAnsiTheme="majorHAnsi"/>
          <w:color w:val="000000"/>
          <w:sz w:val="22"/>
          <w:szCs w:val="22"/>
        </w:rPr>
        <w:t xml:space="preserve"> je výrazně vyšší. Proto se nádorová onemocnění s familiárním výskytem často objevují již v mladším věku (20+, stačí málo dalších poškození) a prevence je obtížná. </w:t>
      </w:r>
      <w:r w:rsidRPr="000B16D5">
        <w:rPr>
          <w:rFonts w:asciiTheme="majorHAnsi" w:hAnsiTheme="majorHAnsi"/>
          <w:i/>
          <w:iCs/>
          <w:color w:val="000000"/>
          <w:sz w:val="22"/>
          <w:szCs w:val="22"/>
        </w:rPr>
        <w:t>Z celkového počtu nádorových onemocnění tento typ tvoří asi 15</w:t>
      </w:r>
      <w:r w:rsidR="00F937FE" w:rsidRPr="000B16D5">
        <w:rPr>
          <w:rFonts w:asciiTheme="majorHAnsi" w:hAnsiTheme="majorHAnsi"/>
          <w:i/>
          <w:iCs/>
          <w:color w:val="000000"/>
          <w:sz w:val="22"/>
          <w:szCs w:val="22"/>
        </w:rPr>
        <w:t xml:space="preserve"> </w:t>
      </w:r>
      <w:r w:rsidRPr="000B16D5">
        <w:rPr>
          <w:rFonts w:asciiTheme="majorHAnsi" w:hAnsiTheme="majorHAnsi"/>
          <w:i/>
          <w:iCs/>
          <w:color w:val="000000"/>
          <w:sz w:val="22"/>
          <w:szCs w:val="22"/>
        </w:rPr>
        <w:t>%.</w:t>
      </w:r>
    </w:p>
    <w:p w:rsidR="00621875" w:rsidRPr="000B16D5" w:rsidRDefault="00621875" w:rsidP="008017BA">
      <w:pPr>
        <w:pStyle w:val="Zkladntext"/>
        <w:spacing w:line="276" w:lineRule="auto"/>
        <w:ind w:right="-24"/>
        <w:jc w:val="both"/>
        <w:rPr>
          <w:rFonts w:asciiTheme="majorHAnsi" w:hAnsiTheme="majorHAnsi"/>
          <w:color w:val="000000"/>
          <w:sz w:val="22"/>
          <w:szCs w:val="22"/>
        </w:rPr>
      </w:pPr>
      <w:r w:rsidRPr="000B16D5">
        <w:rPr>
          <w:rFonts w:asciiTheme="majorHAnsi" w:hAnsiTheme="majorHAnsi"/>
          <w:color w:val="000000"/>
          <w:sz w:val="22"/>
          <w:szCs w:val="22"/>
        </w:rPr>
        <w:t xml:space="preserve">Naproti tomu u </w:t>
      </w:r>
      <w:r w:rsidRPr="000B16D5">
        <w:rPr>
          <w:rFonts w:asciiTheme="majorHAnsi" w:hAnsiTheme="majorHAnsi"/>
          <w:b/>
          <w:bCs/>
          <w:color w:val="000000"/>
          <w:sz w:val="22"/>
          <w:szCs w:val="22"/>
        </w:rPr>
        <w:t>sporadicky</w:t>
      </w:r>
      <w:r w:rsidRPr="000B16D5">
        <w:rPr>
          <w:rFonts w:asciiTheme="majorHAnsi" w:hAnsiTheme="majorHAnsi"/>
          <w:color w:val="000000"/>
          <w:sz w:val="22"/>
          <w:szCs w:val="22"/>
        </w:rPr>
        <w:t xml:space="preserve"> </w:t>
      </w:r>
      <w:r w:rsidRPr="000B16D5">
        <w:rPr>
          <w:rFonts w:asciiTheme="majorHAnsi" w:hAnsiTheme="majorHAnsi"/>
          <w:i/>
          <w:iCs/>
          <w:color w:val="000000"/>
          <w:sz w:val="22"/>
          <w:szCs w:val="22"/>
        </w:rPr>
        <w:t xml:space="preserve">(sporadically ocuring) </w:t>
      </w:r>
      <w:r w:rsidRPr="000B16D5">
        <w:rPr>
          <w:rFonts w:asciiTheme="majorHAnsi" w:hAnsiTheme="majorHAnsi"/>
          <w:color w:val="000000"/>
          <w:sz w:val="22"/>
          <w:szCs w:val="22"/>
        </w:rPr>
        <w:t xml:space="preserve">se vyskytujících forem nádorových onemocnění se predispozice rozvíjí na podkladě získaných, </w:t>
      </w:r>
      <w:r w:rsidRPr="000B16D5">
        <w:rPr>
          <w:rFonts w:asciiTheme="majorHAnsi" w:hAnsiTheme="majorHAnsi"/>
          <w:i/>
          <w:iCs/>
          <w:color w:val="000000"/>
          <w:sz w:val="22"/>
          <w:szCs w:val="22"/>
        </w:rPr>
        <w:t>somatických</w:t>
      </w:r>
      <w:r w:rsidRPr="000B16D5">
        <w:rPr>
          <w:rFonts w:asciiTheme="majorHAnsi" w:hAnsiTheme="majorHAnsi"/>
          <w:color w:val="000000"/>
          <w:sz w:val="22"/>
          <w:szCs w:val="22"/>
        </w:rPr>
        <w:t xml:space="preserve"> mutací jednotlivých bu</w:t>
      </w:r>
      <w:r w:rsidR="00C407E4" w:rsidRPr="000B16D5">
        <w:rPr>
          <w:rFonts w:asciiTheme="majorHAnsi" w:hAnsiTheme="majorHAnsi"/>
          <w:color w:val="000000"/>
          <w:sz w:val="22"/>
          <w:szCs w:val="22"/>
        </w:rPr>
        <w:t>n</w:t>
      </w:r>
      <w:r w:rsidRPr="000B16D5">
        <w:rPr>
          <w:rFonts w:asciiTheme="majorHAnsi" w:hAnsiTheme="majorHAnsi"/>
          <w:color w:val="000000"/>
          <w:sz w:val="22"/>
          <w:szCs w:val="22"/>
        </w:rPr>
        <w:t>ěk těla. Mutace vznikají v průběhu našeho života (a to již i intrauterinně) působením náhody, vnitřních nebo vnějších faktorů jako např. záření, potravy</w:t>
      </w:r>
      <w:r w:rsidR="00F937FE" w:rsidRPr="000B16D5">
        <w:rPr>
          <w:rFonts w:asciiTheme="majorHAnsi" w:hAnsiTheme="majorHAnsi"/>
          <w:color w:val="000000"/>
          <w:sz w:val="22"/>
          <w:szCs w:val="22"/>
        </w:rPr>
        <w:t xml:space="preserve"> apod.</w:t>
      </w:r>
      <w:r w:rsidRPr="000B16D5">
        <w:rPr>
          <w:rFonts w:asciiTheme="majorHAnsi" w:hAnsiTheme="majorHAnsi"/>
          <w:color w:val="000000"/>
          <w:sz w:val="22"/>
          <w:szCs w:val="22"/>
        </w:rPr>
        <w:t xml:space="preserve"> V průběhu času se mutace mohou kumulovat, poškození buňky se stupňuje. Narůstající věk je tak (ovšem stejně jako u dědičné formy) velmi výrazným rizikovým faktorem onemocnění. U sporadických nádorů je z tohoto důvodu typycký výskyt v pozdějším věku, zhruba od šestého decenia. </w:t>
      </w:r>
    </w:p>
    <w:p w:rsidR="00621875" w:rsidRPr="000B16D5" w:rsidRDefault="00621875" w:rsidP="008017BA">
      <w:pPr>
        <w:pStyle w:val="Zkladntext"/>
        <w:spacing w:line="276" w:lineRule="auto"/>
        <w:ind w:right="-24"/>
        <w:jc w:val="both"/>
        <w:rPr>
          <w:rFonts w:asciiTheme="majorHAnsi" w:hAnsiTheme="majorHAnsi"/>
          <w:color w:val="000000"/>
          <w:sz w:val="22"/>
          <w:szCs w:val="22"/>
        </w:rPr>
      </w:pPr>
      <w:r w:rsidRPr="000B16D5">
        <w:rPr>
          <w:rFonts w:asciiTheme="majorHAnsi" w:hAnsiTheme="majorHAnsi"/>
          <w:color w:val="000000"/>
          <w:sz w:val="22"/>
          <w:szCs w:val="22"/>
        </w:rPr>
        <w:t xml:space="preserve">Nemůžeme opomenout, že většina nádorových onemocnění se rozvíjí právě na tomto, </w:t>
      </w:r>
      <w:r w:rsidRPr="000B16D5">
        <w:rPr>
          <w:rFonts w:asciiTheme="majorHAnsi" w:hAnsiTheme="majorHAnsi"/>
          <w:i/>
          <w:iCs/>
          <w:color w:val="000000"/>
          <w:sz w:val="22"/>
          <w:szCs w:val="22"/>
        </w:rPr>
        <w:t>nedědičném</w:t>
      </w:r>
      <w:r w:rsidRPr="000B16D5">
        <w:rPr>
          <w:rFonts w:asciiTheme="majorHAnsi" w:hAnsiTheme="majorHAnsi"/>
          <w:color w:val="000000"/>
          <w:sz w:val="22"/>
          <w:szCs w:val="22"/>
        </w:rPr>
        <w:t xml:space="preserve"> podkladě. V tomto případě je jejich zvýšený</w:t>
      </w:r>
      <w:r w:rsidR="00C407E4" w:rsidRPr="000B16D5">
        <w:rPr>
          <w:rFonts w:asciiTheme="majorHAnsi" w:hAnsiTheme="majorHAnsi"/>
          <w:color w:val="000000"/>
          <w:sz w:val="22"/>
          <w:szCs w:val="22"/>
        </w:rPr>
        <w:t xml:space="preserve"> výskyt</w:t>
      </w:r>
      <w:r w:rsidRPr="000B16D5">
        <w:rPr>
          <w:rFonts w:asciiTheme="majorHAnsi" w:hAnsiTheme="majorHAnsi"/>
          <w:color w:val="000000"/>
          <w:sz w:val="22"/>
          <w:szCs w:val="22"/>
        </w:rPr>
        <w:t xml:space="preserve"> příznačný pro určitou populaci (např. kolorektální CA u nás) podmíněn podobným prostředím, které na nás působí. Význam </w:t>
      </w:r>
      <w:r w:rsidR="000001B8" w:rsidRPr="000B16D5">
        <w:rPr>
          <w:rFonts w:asciiTheme="majorHAnsi" w:hAnsiTheme="majorHAnsi"/>
          <w:color w:val="000000"/>
          <w:sz w:val="22"/>
          <w:szCs w:val="22"/>
        </w:rPr>
        <w:t xml:space="preserve">prevence </w:t>
      </w:r>
      <w:r w:rsidRPr="000B16D5">
        <w:rPr>
          <w:rFonts w:asciiTheme="majorHAnsi" w:hAnsiTheme="majorHAnsi"/>
          <w:color w:val="000000"/>
          <w:sz w:val="22"/>
          <w:szCs w:val="22"/>
        </w:rPr>
        <w:t xml:space="preserve">stran rizikových faktorů a životního stylu, především dlouhodobých stravovacích návyků, tak má </w:t>
      </w:r>
      <w:r w:rsidRPr="000B16D5">
        <w:rPr>
          <w:rFonts w:asciiTheme="majorHAnsi" w:hAnsiTheme="majorHAnsi"/>
          <w:i/>
          <w:iCs/>
          <w:color w:val="000000"/>
          <w:sz w:val="22"/>
          <w:szCs w:val="22"/>
        </w:rPr>
        <w:t>zásadní</w:t>
      </w:r>
      <w:r w:rsidRPr="000B16D5">
        <w:rPr>
          <w:rFonts w:asciiTheme="majorHAnsi" w:hAnsiTheme="majorHAnsi"/>
          <w:color w:val="000000"/>
          <w:sz w:val="22"/>
          <w:szCs w:val="22"/>
        </w:rPr>
        <w:t xml:space="preserve"> význam. </w:t>
      </w:r>
    </w:p>
    <w:p w:rsidR="004B7B5F" w:rsidRPr="000B16D5" w:rsidRDefault="004B7B5F" w:rsidP="00112887">
      <w:pPr>
        <w:pStyle w:val="Podpodnadpis"/>
        <w:rPr>
          <w:rFonts w:asciiTheme="majorHAnsi" w:hAnsiTheme="majorHAnsi"/>
        </w:rPr>
      </w:pPr>
      <w:r w:rsidRPr="000B16D5">
        <w:rPr>
          <w:rFonts w:asciiTheme="majorHAnsi" w:hAnsiTheme="majorHAnsi"/>
        </w:rPr>
        <w:t>Souvislost s výživou</w:t>
      </w:r>
    </w:p>
    <w:p w:rsidR="00621875" w:rsidRPr="000B16D5" w:rsidRDefault="00621875" w:rsidP="008017BA">
      <w:pPr>
        <w:pStyle w:val="Zkladntext"/>
        <w:spacing w:line="276" w:lineRule="auto"/>
        <w:ind w:right="-24"/>
        <w:jc w:val="both"/>
        <w:rPr>
          <w:rFonts w:asciiTheme="majorHAnsi" w:hAnsiTheme="majorHAnsi"/>
          <w:sz w:val="22"/>
          <w:szCs w:val="22"/>
        </w:rPr>
      </w:pPr>
      <w:r w:rsidRPr="000B16D5">
        <w:rPr>
          <w:rFonts w:asciiTheme="majorHAnsi" w:hAnsiTheme="majorHAnsi"/>
          <w:sz w:val="22"/>
          <w:szCs w:val="22"/>
        </w:rPr>
        <w:t>Vezmeme-li v potaz, že nádorová onemocnění jsou v České republice 2. nejčastější příčinou úmrtí (po onemocněních kardiovaskulárních), a že ve vyspělých zemích se na vzniku nádorového onemocnění podílí strava až ze 60</w:t>
      </w:r>
      <w:r w:rsidR="00E133AF" w:rsidRPr="000B16D5">
        <w:rPr>
          <w:rFonts w:asciiTheme="majorHAnsi" w:hAnsiTheme="majorHAnsi"/>
          <w:sz w:val="22"/>
          <w:szCs w:val="22"/>
        </w:rPr>
        <w:t xml:space="preserve"> </w:t>
      </w:r>
      <w:r w:rsidRPr="000B16D5">
        <w:rPr>
          <w:rFonts w:asciiTheme="majorHAnsi" w:hAnsiTheme="majorHAnsi"/>
          <w:sz w:val="22"/>
          <w:szCs w:val="22"/>
        </w:rPr>
        <w:t>% (</w:t>
      </w:r>
      <w:r w:rsidR="00E133AF" w:rsidRPr="000B16D5">
        <w:rPr>
          <w:rFonts w:asciiTheme="majorHAnsi" w:hAnsiTheme="majorHAnsi"/>
          <w:sz w:val="22"/>
          <w:szCs w:val="22"/>
        </w:rPr>
        <w:t>srov</w:t>
      </w:r>
      <w:r w:rsidRPr="000B16D5">
        <w:rPr>
          <w:rFonts w:asciiTheme="majorHAnsi" w:hAnsiTheme="majorHAnsi"/>
          <w:sz w:val="22"/>
          <w:szCs w:val="22"/>
        </w:rPr>
        <w:t>. s vlivem kouření do 35</w:t>
      </w:r>
      <w:r w:rsidR="00910BDC" w:rsidRPr="000B16D5">
        <w:rPr>
          <w:rFonts w:asciiTheme="majorHAnsi" w:hAnsiTheme="majorHAnsi"/>
          <w:sz w:val="22"/>
          <w:szCs w:val="22"/>
        </w:rPr>
        <w:t xml:space="preserve"> </w:t>
      </w:r>
      <w:r w:rsidR="00E133AF" w:rsidRPr="000B16D5">
        <w:rPr>
          <w:rFonts w:asciiTheme="majorHAnsi" w:hAnsiTheme="majorHAnsi"/>
          <w:sz w:val="22"/>
          <w:szCs w:val="22"/>
        </w:rPr>
        <w:t xml:space="preserve">% – </w:t>
      </w:r>
      <w:r w:rsidRPr="000B16D5">
        <w:rPr>
          <w:rFonts w:asciiTheme="majorHAnsi" w:hAnsiTheme="majorHAnsi"/>
          <w:sz w:val="22"/>
          <w:szCs w:val="22"/>
        </w:rPr>
        <w:t>číslo je relat</w:t>
      </w:r>
      <w:r w:rsidR="00E03E49" w:rsidRPr="000B16D5">
        <w:rPr>
          <w:rFonts w:asciiTheme="majorHAnsi" w:hAnsiTheme="majorHAnsi"/>
          <w:sz w:val="22"/>
          <w:szCs w:val="22"/>
        </w:rPr>
        <w:t>ivně</w:t>
      </w:r>
      <w:r w:rsidRPr="000B16D5">
        <w:rPr>
          <w:rFonts w:asciiTheme="majorHAnsi" w:hAnsiTheme="majorHAnsi"/>
          <w:sz w:val="22"/>
          <w:szCs w:val="22"/>
        </w:rPr>
        <w:t xml:space="preserve"> nízké, protože ne každý ze zkoumané populace kouří</w:t>
      </w:r>
      <w:r w:rsidR="00E03E49" w:rsidRPr="000B16D5">
        <w:rPr>
          <w:rFonts w:asciiTheme="majorHAnsi" w:hAnsiTheme="majorHAnsi"/>
          <w:sz w:val="22"/>
          <w:szCs w:val="22"/>
        </w:rPr>
        <w:t>; u</w:t>
      </w:r>
      <w:r w:rsidRPr="000B16D5">
        <w:rPr>
          <w:rFonts w:asciiTheme="majorHAnsi" w:hAnsiTheme="majorHAnsi"/>
          <w:sz w:val="22"/>
          <w:szCs w:val="22"/>
        </w:rPr>
        <w:t xml:space="preserve"> kuřáků je riziko samozřejmě mnohem vyšší.), má prevence na poli složení stravy a stravovacích návyků dalekosáhlý dopad. Obzvlášť v našich končinách s nechvalně známým prvenstvím v incidenci rakoviny tlustého střeva.</w:t>
      </w:r>
    </w:p>
    <w:p w:rsidR="00621875" w:rsidRPr="000B16D5" w:rsidRDefault="00621875" w:rsidP="008017BA">
      <w:pPr>
        <w:pStyle w:val="Zkladntext"/>
        <w:spacing w:line="276" w:lineRule="auto"/>
        <w:ind w:right="-24"/>
        <w:jc w:val="both"/>
        <w:rPr>
          <w:rFonts w:asciiTheme="majorHAnsi" w:hAnsiTheme="majorHAnsi"/>
          <w:sz w:val="22"/>
          <w:szCs w:val="22"/>
        </w:rPr>
      </w:pPr>
      <w:r w:rsidRPr="000B16D5">
        <w:rPr>
          <w:rFonts w:asciiTheme="majorHAnsi" w:hAnsiTheme="majorHAnsi"/>
          <w:sz w:val="22"/>
          <w:szCs w:val="22"/>
        </w:rPr>
        <w:lastRenderedPageBreak/>
        <w:t xml:space="preserve">Z genetické podstaty NO je patrné, že </w:t>
      </w:r>
      <w:r w:rsidRPr="000B16D5">
        <w:rPr>
          <w:rFonts w:asciiTheme="majorHAnsi" w:hAnsiTheme="majorHAnsi"/>
          <w:i/>
          <w:iCs/>
          <w:sz w:val="22"/>
          <w:szCs w:val="22"/>
        </w:rPr>
        <w:t>dlouhodobé</w:t>
      </w:r>
      <w:r w:rsidRPr="000B16D5">
        <w:rPr>
          <w:rFonts w:asciiTheme="majorHAnsi" w:hAnsiTheme="majorHAnsi"/>
          <w:sz w:val="22"/>
          <w:szCs w:val="22"/>
        </w:rPr>
        <w:t xml:space="preserve"> zdravé stravovací návyky a dieta jsou </w:t>
      </w:r>
      <w:r w:rsidRPr="000B16D5">
        <w:rPr>
          <w:rFonts w:asciiTheme="majorHAnsi" w:hAnsiTheme="majorHAnsi"/>
          <w:b/>
          <w:bCs/>
          <w:sz w:val="22"/>
          <w:szCs w:val="22"/>
        </w:rPr>
        <w:t xml:space="preserve">významným preventivním faktorem </w:t>
      </w:r>
      <w:r w:rsidRPr="000B16D5">
        <w:rPr>
          <w:rFonts w:asciiTheme="majorHAnsi" w:hAnsiTheme="majorHAnsi"/>
          <w:sz w:val="22"/>
          <w:szCs w:val="22"/>
        </w:rPr>
        <w:t>především u</w:t>
      </w:r>
      <w:r w:rsidRPr="000B16D5">
        <w:rPr>
          <w:rFonts w:asciiTheme="majorHAnsi" w:hAnsiTheme="majorHAnsi"/>
          <w:b/>
          <w:bCs/>
          <w:sz w:val="22"/>
          <w:szCs w:val="22"/>
        </w:rPr>
        <w:t xml:space="preserve"> polygenních forem</w:t>
      </w:r>
      <w:r w:rsidRPr="000B16D5">
        <w:rPr>
          <w:rFonts w:asciiTheme="majorHAnsi" w:hAnsiTheme="majorHAnsi"/>
          <w:sz w:val="22"/>
          <w:szCs w:val="22"/>
        </w:rPr>
        <w:t xml:space="preserve"> novotvarů (95</w:t>
      </w:r>
      <w:r w:rsidR="00E03E49" w:rsidRPr="000B16D5">
        <w:rPr>
          <w:rFonts w:asciiTheme="majorHAnsi" w:hAnsiTheme="majorHAnsi"/>
          <w:sz w:val="22"/>
          <w:szCs w:val="22"/>
        </w:rPr>
        <w:t xml:space="preserve"> </w:t>
      </w:r>
      <w:r w:rsidRPr="000B16D5">
        <w:rPr>
          <w:rFonts w:asciiTheme="majorHAnsi" w:hAnsiTheme="majorHAnsi"/>
          <w:sz w:val="22"/>
          <w:szCs w:val="22"/>
        </w:rPr>
        <w:t>% veškerých případů rakoviny), u monogenních jejich vliv není již tak významný. Má se však za to, že spolu s celkovým zdravým životním stylem (pravidelný pohyb, přiměřená tělěsná hmotnost</w:t>
      </w:r>
      <w:r w:rsidR="00E03E49" w:rsidRPr="000B16D5">
        <w:rPr>
          <w:rFonts w:asciiTheme="majorHAnsi" w:hAnsiTheme="majorHAnsi"/>
          <w:sz w:val="22"/>
          <w:szCs w:val="22"/>
        </w:rPr>
        <w:t xml:space="preserve"> apod.</w:t>
      </w:r>
      <w:r w:rsidRPr="000B16D5">
        <w:rPr>
          <w:rFonts w:asciiTheme="majorHAnsi" w:hAnsiTheme="majorHAnsi"/>
          <w:sz w:val="22"/>
          <w:szCs w:val="22"/>
        </w:rPr>
        <w:t xml:space="preserve"> ) mohou do jisté míry i v tomto případě nástup onemocnění oddálit. </w:t>
      </w:r>
    </w:p>
    <w:p w:rsidR="004B7B5F" w:rsidRPr="000B16D5" w:rsidRDefault="004B7B5F" w:rsidP="00621875">
      <w:pPr>
        <w:pStyle w:val="Zkladntext"/>
        <w:spacing w:line="276" w:lineRule="auto"/>
        <w:jc w:val="both"/>
        <w:rPr>
          <w:rFonts w:asciiTheme="majorHAnsi" w:hAnsiTheme="majorHAnsi"/>
          <w:sz w:val="22"/>
          <w:szCs w:val="22"/>
        </w:rPr>
      </w:pPr>
    </w:p>
    <w:p w:rsidR="004B7B5F" w:rsidRPr="000B16D5" w:rsidRDefault="004B7B5F" w:rsidP="00112887">
      <w:pPr>
        <w:pStyle w:val="Nadpispodkapitoly"/>
        <w:rPr>
          <w:rFonts w:asciiTheme="majorHAnsi" w:hAnsiTheme="majorHAnsi"/>
        </w:rPr>
      </w:pPr>
      <w:bookmarkStart w:id="114" w:name="_Toc380240649"/>
      <w:r w:rsidRPr="000B16D5">
        <w:rPr>
          <w:rFonts w:asciiTheme="majorHAnsi" w:hAnsiTheme="majorHAnsi"/>
        </w:rPr>
        <w:t>V</w:t>
      </w:r>
      <w:r w:rsidR="00112887" w:rsidRPr="000B16D5">
        <w:rPr>
          <w:rFonts w:asciiTheme="majorHAnsi" w:hAnsiTheme="majorHAnsi"/>
        </w:rPr>
        <w:t>ybraná nádorová onemocnění</w:t>
      </w:r>
      <w:bookmarkEnd w:id="114"/>
    </w:p>
    <w:p w:rsidR="00112887" w:rsidRPr="000B16D5" w:rsidRDefault="004B7B5F" w:rsidP="00112887">
      <w:pPr>
        <w:pStyle w:val="Podpodnadpis"/>
        <w:rPr>
          <w:rFonts w:asciiTheme="majorHAnsi" w:hAnsiTheme="majorHAnsi"/>
        </w:rPr>
      </w:pPr>
      <w:r w:rsidRPr="000B16D5">
        <w:rPr>
          <w:rFonts w:asciiTheme="majorHAnsi" w:hAnsiTheme="majorHAnsi"/>
          <w:i/>
          <w:iCs/>
        </w:rPr>
        <w:t>„monogenní“ nádorové syndromy</w:t>
      </w:r>
      <w:r w:rsidRPr="000B16D5">
        <w:rPr>
          <w:rFonts w:asciiTheme="majorHAnsi" w:hAnsiTheme="majorHAnsi"/>
        </w:rPr>
        <w:t xml:space="preserve"> </w:t>
      </w:r>
    </w:p>
    <w:p w:rsidR="00621875" w:rsidRPr="000B16D5" w:rsidRDefault="008017BA" w:rsidP="008017BA">
      <w:pPr>
        <w:pStyle w:val="Zkladntext"/>
        <w:spacing w:line="276" w:lineRule="auto"/>
        <w:ind w:right="-24"/>
        <w:jc w:val="both"/>
        <w:rPr>
          <w:rFonts w:asciiTheme="majorHAnsi" w:hAnsiTheme="majorHAnsi"/>
          <w:color w:val="000000"/>
          <w:sz w:val="22"/>
          <w:szCs w:val="22"/>
        </w:rPr>
      </w:pPr>
      <w:r w:rsidRPr="000B16D5">
        <w:rPr>
          <w:rFonts w:asciiTheme="majorHAnsi" w:hAnsiTheme="majorHAnsi"/>
          <w:sz w:val="22"/>
          <w:szCs w:val="22"/>
        </w:rPr>
        <w:t>P</w:t>
      </w:r>
      <w:r w:rsidR="00621875" w:rsidRPr="000B16D5">
        <w:rPr>
          <w:rFonts w:asciiTheme="majorHAnsi" w:hAnsiTheme="majorHAnsi"/>
          <w:color w:val="000000"/>
          <w:sz w:val="22"/>
          <w:szCs w:val="22"/>
        </w:rPr>
        <w:t xml:space="preserve">říznačná je </w:t>
      </w:r>
      <w:r w:rsidR="00621875" w:rsidRPr="000B16D5">
        <w:rPr>
          <w:rFonts w:asciiTheme="majorHAnsi" w:hAnsiTheme="majorHAnsi"/>
          <w:b/>
          <w:bCs/>
          <w:color w:val="000000"/>
          <w:sz w:val="22"/>
          <w:szCs w:val="22"/>
        </w:rPr>
        <w:t>časná</w:t>
      </w:r>
      <w:r w:rsidR="00621875" w:rsidRPr="000B16D5">
        <w:rPr>
          <w:rFonts w:asciiTheme="majorHAnsi" w:hAnsiTheme="majorHAnsi"/>
          <w:color w:val="000000"/>
          <w:sz w:val="22"/>
          <w:szCs w:val="22"/>
        </w:rPr>
        <w:t xml:space="preserve"> manifestace, </w:t>
      </w:r>
      <w:r w:rsidR="001C6B07" w:rsidRPr="000B16D5">
        <w:rPr>
          <w:rFonts w:asciiTheme="majorHAnsi" w:hAnsiTheme="majorHAnsi"/>
          <w:color w:val="000000"/>
          <w:sz w:val="22"/>
          <w:szCs w:val="22"/>
        </w:rPr>
        <w:t>„monogenní“ nádorové syndromy se vyskytují už</w:t>
      </w:r>
      <w:r w:rsidR="00621875" w:rsidRPr="000B16D5">
        <w:rPr>
          <w:rFonts w:asciiTheme="majorHAnsi" w:hAnsiTheme="majorHAnsi"/>
          <w:color w:val="000000"/>
          <w:sz w:val="22"/>
          <w:szCs w:val="22"/>
        </w:rPr>
        <w:t xml:space="preserve"> kolem třetího decenia. Většinou jde o dědičná onemocnění, kdy příčinná mutace genomu je přítomna ve </w:t>
      </w:r>
      <w:r w:rsidR="00621875" w:rsidRPr="000B16D5">
        <w:rPr>
          <w:rFonts w:asciiTheme="majorHAnsi" w:hAnsiTheme="majorHAnsi"/>
          <w:b/>
          <w:bCs/>
          <w:color w:val="000000"/>
          <w:sz w:val="22"/>
          <w:szCs w:val="22"/>
        </w:rPr>
        <w:t>všech buňkách těla</w:t>
      </w:r>
      <w:r w:rsidR="00621875" w:rsidRPr="000B16D5">
        <w:rPr>
          <w:rFonts w:asciiTheme="majorHAnsi" w:hAnsiTheme="majorHAnsi"/>
          <w:color w:val="000000"/>
          <w:sz w:val="22"/>
          <w:szCs w:val="22"/>
        </w:rPr>
        <w:t xml:space="preserve"> už od splynutí pohlavních buňek v zygotu. Podlomení obranných mechanismů v každé tělové buňce značně zvyšuje pravděpodobnost další mutace, která nádorovému zvrhnutí dává již zcela volný průběh. </w:t>
      </w:r>
      <w:r w:rsidR="000A24D2" w:rsidRPr="000B16D5">
        <w:rPr>
          <w:rFonts w:asciiTheme="majorHAnsi" w:hAnsiTheme="majorHAnsi"/>
          <w:color w:val="000000"/>
          <w:sz w:val="22"/>
          <w:szCs w:val="22"/>
        </w:rPr>
        <w:t>„</w:t>
      </w:r>
      <w:r w:rsidR="00621875" w:rsidRPr="000B16D5">
        <w:rPr>
          <w:rFonts w:asciiTheme="majorHAnsi" w:hAnsiTheme="majorHAnsi"/>
          <w:color w:val="000000"/>
          <w:sz w:val="22"/>
          <w:szCs w:val="22"/>
        </w:rPr>
        <w:t>Monogenní</w:t>
      </w:r>
      <w:r w:rsidR="000A24D2" w:rsidRPr="000B16D5">
        <w:rPr>
          <w:rFonts w:asciiTheme="majorHAnsi" w:hAnsiTheme="majorHAnsi"/>
          <w:color w:val="000000"/>
          <w:sz w:val="22"/>
          <w:szCs w:val="22"/>
        </w:rPr>
        <w:t>“</w:t>
      </w:r>
      <w:r w:rsidR="00621875" w:rsidRPr="000B16D5">
        <w:rPr>
          <w:rFonts w:asciiTheme="majorHAnsi" w:hAnsiTheme="majorHAnsi"/>
          <w:color w:val="000000"/>
          <w:sz w:val="22"/>
          <w:szCs w:val="22"/>
        </w:rPr>
        <w:t xml:space="preserve"> nádorové syndromy tvoří asi 5</w:t>
      </w:r>
      <w:r w:rsidR="000A24D2" w:rsidRPr="000B16D5">
        <w:rPr>
          <w:rFonts w:asciiTheme="majorHAnsi" w:hAnsiTheme="majorHAnsi"/>
          <w:color w:val="000000"/>
          <w:sz w:val="22"/>
          <w:szCs w:val="22"/>
        </w:rPr>
        <w:t xml:space="preserve"> </w:t>
      </w:r>
      <w:r w:rsidR="00621875" w:rsidRPr="000B16D5">
        <w:rPr>
          <w:rFonts w:asciiTheme="majorHAnsi" w:hAnsiTheme="majorHAnsi"/>
          <w:color w:val="000000"/>
          <w:sz w:val="22"/>
          <w:szCs w:val="22"/>
        </w:rPr>
        <w:t>% z celkového počtu nádorových onemocnění.</w:t>
      </w:r>
    </w:p>
    <w:p w:rsidR="00621875" w:rsidRPr="000B16D5" w:rsidRDefault="00621875" w:rsidP="008017BA">
      <w:pPr>
        <w:pStyle w:val="Zkladntext"/>
        <w:spacing w:line="276" w:lineRule="auto"/>
        <w:ind w:right="-24"/>
        <w:jc w:val="both"/>
        <w:rPr>
          <w:rFonts w:asciiTheme="majorHAnsi" w:hAnsiTheme="majorHAnsi"/>
          <w:color w:val="000000"/>
          <w:sz w:val="22"/>
          <w:szCs w:val="22"/>
        </w:rPr>
      </w:pPr>
      <w:r w:rsidRPr="000B16D5">
        <w:rPr>
          <w:rFonts w:asciiTheme="majorHAnsi" w:hAnsiTheme="majorHAnsi"/>
          <w:b/>
          <w:bCs/>
          <w:color w:val="000000"/>
          <w:sz w:val="22"/>
          <w:szCs w:val="22"/>
        </w:rPr>
        <w:t>Pravděpodobnost</w:t>
      </w:r>
      <w:r w:rsidRPr="000B16D5">
        <w:rPr>
          <w:rFonts w:asciiTheme="majorHAnsi" w:hAnsiTheme="majorHAnsi"/>
          <w:color w:val="000000"/>
          <w:sz w:val="22"/>
          <w:szCs w:val="22"/>
        </w:rPr>
        <w:t xml:space="preserve"> </w:t>
      </w:r>
      <w:r w:rsidRPr="000B16D5">
        <w:rPr>
          <w:rFonts w:asciiTheme="majorHAnsi" w:hAnsiTheme="majorHAnsi"/>
          <w:b/>
          <w:bCs/>
          <w:color w:val="000000"/>
          <w:sz w:val="22"/>
          <w:szCs w:val="22"/>
        </w:rPr>
        <w:t>rozvoje</w:t>
      </w:r>
      <w:r w:rsidRPr="000B16D5">
        <w:rPr>
          <w:rFonts w:asciiTheme="majorHAnsi" w:hAnsiTheme="majorHAnsi"/>
          <w:color w:val="000000"/>
          <w:sz w:val="22"/>
          <w:szCs w:val="22"/>
        </w:rPr>
        <w:t xml:space="preserve"> tohoto typu onemocnění je u nositelů </w:t>
      </w:r>
      <w:r w:rsidRPr="000B16D5">
        <w:rPr>
          <w:rFonts w:asciiTheme="majorHAnsi" w:hAnsiTheme="majorHAnsi"/>
          <w:i/>
          <w:iCs/>
          <w:color w:val="000000"/>
          <w:sz w:val="22"/>
          <w:szCs w:val="22"/>
        </w:rPr>
        <w:t>dědičné</w:t>
      </w:r>
      <w:r w:rsidRPr="000B16D5">
        <w:rPr>
          <w:rFonts w:asciiTheme="majorHAnsi" w:hAnsiTheme="majorHAnsi"/>
          <w:color w:val="000000"/>
          <w:sz w:val="22"/>
          <w:szCs w:val="22"/>
        </w:rPr>
        <w:t xml:space="preserve"> mutace v průběhu jejich života </w:t>
      </w:r>
      <w:r w:rsidRPr="000B16D5">
        <w:rPr>
          <w:rFonts w:asciiTheme="majorHAnsi" w:hAnsiTheme="majorHAnsi"/>
          <w:b/>
          <w:bCs/>
          <w:color w:val="000000"/>
          <w:sz w:val="22"/>
          <w:szCs w:val="22"/>
        </w:rPr>
        <w:t>velmi vysoká</w:t>
      </w:r>
      <w:r w:rsidRPr="000B16D5">
        <w:rPr>
          <w:rFonts w:asciiTheme="majorHAnsi" w:hAnsiTheme="majorHAnsi"/>
          <w:color w:val="000000"/>
          <w:sz w:val="22"/>
          <w:szCs w:val="22"/>
        </w:rPr>
        <w:t xml:space="preserve"> (kolem 80</w:t>
      </w:r>
      <w:r w:rsidR="0080599A" w:rsidRPr="000B16D5">
        <w:rPr>
          <w:rFonts w:asciiTheme="majorHAnsi" w:hAnsiTheme="majorHAnsi"/>
          <w:color w:val="000000"/>
          <w:sz w:val="22"/>
          <w:szCs w:val="22"/>
        </w:rPr>
        <w:t>–</w:t>
      </w:r>
      <w:r w:rsidRPr="000B16D5">
        <w:rPr>
          <w:rFonts w:asciiTheme="majorHAnsi" w:hAnsiTheme="majorHAnsi"/>
          <w:color w:val="000000"/>
          <w:sz w:val="22"/>
          <w:szCs w:val="22"/>
        </w:rPr>
        <w:t>90</w:t>
      </w:r>
      <w:r w:rsidR="00EC5AF0" w:rsidRPr="000B16D5">
        <w:rPr>
          <w:rFonts w:asciiTheme="majorHAnsi" w:hAnsiTheme="majorHAnsi"/>
          <w:color w:val="000000"/>
          <w:sz w:val="22"/>
          <w:szCs w:val="22"/>
        </w:rPr>
        <w:t xml:space="preserve"> </w:t>
      </w:r>
      <w:r w:rsidRPr="000B16D5">
        <w:rPr>
          <w:rFonts w:asciiTheme="majorHAnsi" w:hAnsiTheme="majorHAnsi"/>
          <w:color w:val="000000"/>
          <w:sz w:val="22"/>
          <w:szCs w:val="22"/>
        </w:rPr>
        <w:t>%). Včasná d</w:t>
      </w:r>
      <w:r w:rsidR="0080599A" w:rsidRPr="000B16D5">
        <w:rPr>
          <w:rFonts w:asciiTheme="majorHAnsi" w:hAnsiTheme="majorHAnsi"/>
          <w:color w:val="000000"/>
          <w:sz w:val="22"/>
          <w:szCs w:val="22"/>
        </w:rPr>
        <w:t>iagnóza</w:t>
      </w:r>
      <w:r w:rsidRPr="000B16D5">
        <w:rPr>
          <w:rFonts w:asciiTheme="majorHAnsi" w:hAnsiTheme="majorHAnsi"/>
          <w:color w:val="000000"/>
          <w:sz w:val="22"/>
          <w:szCs w:val="22"/>
        </w:rPr>
        <w:t xml:space="preserve"> a genetický screening jsou důležité pro nevědomostí potenciálně ohrožené příbuzenstvo i pro pacienta (např. možnosti preventivního odebrání nejčastěji postihované tkáně). Má se za to, že obecně uznávané zásady zdravé </w:t>
      </w:r>
      <w:r w:rsidRPr="000B16D5">
        <w:rPr>
          <w:rFonts w:asciiTheme="majorHAnsi" w:hAnsiTheme="majorHAnsi"/>
          <w:b/>
          <w:bCs/>
          <w:color w:val="000000"/>
          <w:sz w:val="22"/>
          <w:szCs w:val="22"/>
        </w:rPr>
        <w:t>výživy</w:t>
      </w:r>
      <w:r w:rsidRPr="000B16D5">
        <w:rPr>
          <w:rFonts w:asciiTheme="majorHAnsi" w:hAnsiTheme="majorHAnsi"/>
          <w:color w:val="000000"/>
          <w:sz w:val="22"/>
          <w:szCs w:val="22"/>
        </w:rPr>
        <w:t xml:space="preserve"> mohou oddálit nástup onemocnění, vliv však </w:t>
      </w:r>
      <w:r w:rsidRPr="000B16D5">
        <w:rPr>
          <w:rFonts w:asciiTheme="majorHAnsi" w:hAnsiTheme="majorHAnsi"/>
          <w:i/>
          <w:iCs/>
          <w:color w:val="000000"/>
          <w:sz w:val="22"/>
          <w:szCs w:val="22"/>
        </w:rPr>
        <w:t xml:space="preserve">není </w:t>
      </w:r>
      <w:r w:rsidRPr="000B16D5">
        <w:rPr>
          <w:rFonts w:asciiTheme="majorHAnsi" w:hAnsiTheme="majorHAnsi"/>
          <w:color w:val="000000"/>
          <w:sz w:val="22"/>
          <w:szCs w:val="22"/>
        </w:rPr>
        <w:t xml:space="preserve">zdaleka takový, jako u sporadicky se vyskytujících nádorů. </w:t>
      </w:r>
    </w:p>
    <w:p w:rsidR="004B7B5F" w:rsidRPr="000B16D5" w:rsidRDefault="004B7B5F" w:rsidP="004B7B5F">
      <w:pPr>
        <w:pStyle w:val="Zkladntext"/>
        <w:spacing w:line="276" w:lineRule="auto"/>
        <w:jc w:val="both"/>
        <w:rPr>
          <w:rFonts w:asciiTheme="majorHAnsi" w:hAnsiTheme="majorHAnsi"/>
          <w:i/>
          <w:iCs/>
          <w:color w:val="000000"/>
          <w:sz w:val="22"/>
          <w:szCs w:val="22"/>
        </w:rPr>
      </w:pPr>
      <w:r w:rsidRPr="000B16D5">
        <w:rPr>
          <w:rFonts w:asciiTheme="majorHAnsi" w:hAnsiTheme="majorHAnsi"/>
          <w:i/>
          <w:iCs/>
          <w:color w:val="000000"/>
          <w:sz w:val="22"/>
          <w:szCs w:val="22"/>
        </w:rPr>
        <w:t>Uvádíme příklady:</w:t>
      </w:r>
    </w:p>
    <w:p w:rsidR="00112887" w:rsidRPr="000B16D5" w:rsidRDefault="004B7B5F" w:rsidP="004B7B5F">
      <w:pPr>
        <w:pStyle w:val="Zkladntext"/>
        <w:numPr>
          <w:ilvl w:val="0"/>
          <w:numId w:val="34"/>
        </w:numPr>
        <w:spacing w:line="276" w:lineRule="auto"/>
        <w:jc w:val="both"/>
        <w:rPr>
          <w:rFonts w:asciiTheme="majorHAnsi" w:hAnsiTheme="majorHAnsi"/>
          <w:color w:val="000000"/>
          <w:sz w:val="22"/>
          <w:szCs w:val="22"/>
        </w:rPr>
      </w:pPr>
      <w:r w:rsidRPr="000B16D5">
        <w:rPr>
          <w:rFonts w:asciiTheme="majorHAnsi" w:hAnsiTheme="majorHAnsi"/>
          <w:b/>
          <w:bCs/>
          <w:color w:val="000000"/>
          <w:sz w:val="22"/>
          <w:szCs w:val="22"/>
        </w:rPr>
        <w:t xml:space="preserve">HNPCC (hereditary non polyposis colorectal cancer, též Lynchův syndrom): </w:t>
      </w:r>
      <w:r w:rsidRPr="000B16D5">
        <w:rPr>
          <w:rFonts w:asciiTheme="majorHAnsi" w:hAnsiTheme="majorHAnsi"/>
          <w:color w:val="000000"/>
          <w:sz w:val="22"/>
          <w:szCs w:val="22"/>
        </w:rPr>
        <w:t xml:space="preserve">postihuje geny proteinů, opravujících defekty při replikaci DNA (mis-match repair). V důsledku toho může způsobovat především nádory kolorekta, ale i další (endometrium dělohy, vývodné cesty močové, kůže...). Dědičnost onemocnění je autosomálně </w:t>
      </w:r>
      <w:r w:rsidRPr="000B16D5">
        <w:rPr>
          <w:rFonts w:asciiTheme="majorHAnsi" w:hAnsiTheme="majorHAnsi"/>
          <w:i/>
          <w:iCs/>
          <w:color w:val="000000"/>
          <w:sz w:val="22"/>
          <w:szCs w:val="22"/>
        </w:rPr>
        <w:t>dominantní</w:t>
      </w:r>
      <w:r w:rsidRPr="000B16D5">
        <w:rPr>
          <w:rFonts w:asciiTheme="majorHAnsi" w:hAnsiTheme="majorHAnsi"/>
          <w:color w:val="000000"/>
          <w:sz w:val="22"/>
          <w:szCs w:val="22"/>
        </w:rPr>
        <w:t>. Z hlediska výživy se uvažovanou prospěšnost zvýšeného příjmu vlákniny (škrobu) nepodařilo prokázat.</w:t>
      </w:r>
    </w:p>
    <w:p w:rsidR="00112887" w:rsidRPr="000B16D5" w:rsidRDefault="004B7B5F" w:rsidP="004B7B5F">
      <w:pPr>
        <w:pStyle w:val="Zkladntext"/>
        <w:numPr>
          <w:ilvl w:val="0"/>
          <w:numId w:val="34"/>
        </w:numPr>
        <w:spacing w:line="276" w:lineRule="auto"/>
        <w:jc w:val="both"/>
        <w:rPr>
          <w:rFonts w:asciiTheme="majorHAnsi" w:hAnsiTheme="majorHAnsi"/>
          <w:color w:val="000000"/>
          <w:sz w:val="22"/>
          <w:szCs w:val="22"/>
        </w:rPr>
      </w:pPr>
      <w:r w:rsidRPr="000B16D5">
        <w:rPr>
          <w:rFonts w:asciiTheme="majorHAnsi" w:hAnsiTheme="majorHAnsi"/>
          <w:b/>
          <w:bCs/>
          <w:color w:val="000000"/>
          <w:sz w:val="22"/>
          <w:szCs w:val="22"/>
        </w:rPr>
        <w:t xml:space="preserve">FAP (familiární adenomatózní polypóza): </w:t>
      </w:r>
      <w:r w:rsidRPr="000B16D5">
        <w:rPr>
          <w:rFonts w:asciiTheme="majorHAnsi" w:hAnsiTheme="majorHAnsi"/>
          <w:color w:val="000000"/>
          <w:sz w:val="22"/>
          <w:szCs w:val="22"/>
        </w:rPr>
        <w:t>autosomálně-</w:t>
      </w:r>
      <w:r w:rsidRPr="000B16D5">
        <w:rPr>
          <w:rFonts w:asciiTheme="majorHAnsi" w:hAnsiTheme="majorHAnsi"/>
          <w:i/>
          <w:iCs/>
          <w:color w:val="000000"/>
          <w:sz w:val="22"/>
          <w:szCs w:val="22"/>
        </w:rPr>
        <w:t>dominantní</w:t>
      </w:r>
      <w:r w:rsidRPr="000B16D5">
        <w:rPr>
          <w:rFonts w:asciiTheme="majorHAnsi" w:hAnsiTheme="majorHAnsi"/>
          <w:color w:val="000000"/>
          <w:sz w:val="22"/>
          <w:szCs w:val="22"/>
        </w:rPr>
        <w:t xml:space="preserve">, dědičná mutace postihuje gen APC, regulující buňěčný cyklus. Stovky až tisíce benigních adenomatózních </w:t>
      </w:r>
      <w:r w:rsidR="00EC5AF0" w:rsidRPr="000B16D5">
        <w:rPr>
          <w:rFonts w:asciiTheme="majorHAnsi" w:hAnsiTheme="majorHAnsi"/>
          <w:color w:val="000000"/>
          <w:sz w:val="22"/>
          <w:szCs w:val="22"/>
        </w:rPr>
        <w:t>(tj. vznikajících</w:t>
      </w:r>
      <w:r w:rsidRPr="000B16D5">
        <w:rPr>
          <w:rFonts w:asciiTheme="majorHAnsi" w:hAnsiTheme="majorHAnsi"/>
          <w:color w:val="000000"/>
          <w:sz w:val="22"/>
          <w:szCs w:val="22"/>
        </w:rPr>
        <w:t xml:space="preserve"> ze žlázkových buněk</w:t>
      </w:r>
      <w:r w:rsidR="00EC5AF0" w:rsidRPr="000B16D5">
        <w:rPr>
          <w:rFonts w:asciiTheme="majorHAnsi" w:hAnsiTheme="majorHAnsi"/>
          <w:color w:val="000000"/>
          <w:sz w:val="22"/>
          <w:szCs w:val="22"/>
        </w:rPr>
        <w:t>)</w:t>
      </w:r>
      <w:r w:rsidRPr="000B16D5">
        <w:rPr>
          <w:rFonts w:asciiTheme="majorHAnsi" w:hAnsiTheme="majorHAnsi"/>
          <w:color w:val="000000"/>
          <w:sz w:val="22"/>
          <w:szCs w:val="22"/>
        </w:rPr>
        <w:t xml:space="preserve"> polypů (výrůstků ze střevní stěny), se vyvíjejí v tlustém střevě od druhého decenia života a během následujících dvaceti let se v průměru některý z nich zvrhává do maligní formy. Nádory mohou vznikat opět i v jiných tkáních organismu, a stejně jako u předchozího onemocnění, ani v tomto případě vláknina nesnižuje incidenci.</w:t>
      </w:r>
    </w:p>
    <w:p w:rsidR="00112887" w:rsidRPr="000B16D5" w:rsidRDefault="004B7B5F" w:rsidP="004B7B5F">
      <w:pPr>
        <w:pStyle w:val="Zkladntext"/>
        <w:numPr>
          <w:ilvl w:val="0"/>
          <w:numId w:val="34"/>
        </w:numPr>
        <w:spacing w:line="276" w:lineRule="auto"/>
        <w:jc w:val="both"/>
        <w:rPr>
          <w:rFonts w:asciiTheme="majorHAnsi" w:hAnsiTheme="majorHAnsi"/>
          <w:color w:val="000000"/>
          <w:sz w:val="22"/>
          <w:szCs w:val="22"/>
        </w:rPr>
      </w:pPr>
      <w:r w:rsidRPr="000B16D5">
        <w:rPr>
          <w:rFonts w:asciiTheme="majorHAnsi" w:hAnsiTheme="majorHAnsi"/>
          <w:b/>
          <w:bCs/>
          <w:color w:val="000000"/>
          <w:sz w:val="22"/>
          <w:szCs w:val="22"/>
        </w:rPr>
        <w:t>Hereditární nádor prsu a ovaria:</w:t>
      </w:r>
      <w:r w:rsidRPr="000B16D5">
        <w:rPr>
          <w:rFonts w:asciiTheme="majorHAnsi" w:hAnsiTheme="majorHAnsi"/>
          <w:color w:val="000000"/>
          <w:sz w:val="22"/>
          <w:szCs w:val="22"/>
        </w:rPr>
        <w:t xml:space="preserve"> Onemocnění je dáno dědičnou, autosomálně-</w:t>
      </w:r>
      <w:r w:rsidRPr="000B16D5">
        <w:rPr>
          <w:rFonts w:asciiTheme="majorHAnsi" w:hAnsiTheme="majorHAnsi"/>
          <w:i/>
          <w:iCs/>
          <w:color w:val="000000"/>
          <w:sz w:val="22"/>
          <w:szCs w:val="22"/>
        </w:rPr>
        <w:t xml:space="preserve">dominantní </w:t>
      </w:r>
      <w:r w:rsidRPr="000B16D5">
        <w:rPr>
          <w:rFonts w:asciiTheme="majorHAnsi" w:hAnsiTheme="majorHAnsi"/>
          <w:color w:val="000000"/>
          <w:sz w:val="22"/>
          <w:szCs w:val="22"/>
        </w:rPr>
        <w:t>mutací genu BRCA, kódující proteiny pro opravy DNA.</w:t>
      </w:r>
    </w:p>
    <w:p w:rsidR="00112887" w:rsidRPr="000B16D5" w:rsidRDefault="004B7B5F" w:rsidP="004B7B5F">
      <w:pPr>
        <w:pStyle w:val="Zkladntext"/>
        <w:numPr>
          <w:ilvl w:val="0"/>
          <w:numId w:val="34"/>
        </w:numPr>
        <w:spacing w:line="276" w:lineRule="auto"/>
        <w:jc w:val="both"/>
        <w:rPr>
          <w:rFonts w:asciiTheme="majorHAnsi" w:hAnsiTheme="majorHAnsi"/>
          <w:color w:val="000000"/>
          <w:sz w:val="22"/>
          <w:szCs w:val="22"/>
        </w:rPr>
      </w:pPr>
      <w:r w:rsidRPr="000B16D5">
        <w:rPr>
          <w:rFonts w:asciiTheme="majorHAnsi" w:hAnsiTheme="majorHAnsi"/>
          <w:b/>
          <w:bCs/>
          <w:color w:val="000000"/>
          <w:sz w:val="22"/>
          <w:szCs w:val="22"/>
        </w:rPr>
        <w:t xml:space="preserve">MEN (mnohotná endokrynní neoplazie): </w:t>
      </w:r>
      <w:r w:rsidRPr="000B16D5">
        <w:rPr>
          <w:rFonts w:asciiTheme="majorHAnsi" w:hAnsiTheme="majorHAnsi"/>
          <w:color w:val="000000"/>
          <w:sz w:val="22"/>
          <w:szCs w:val="22"/>
        </w:rPr>
        <w:t>jde o syndrom zvyšující výskyt nádorů žláz s vnitřní sekrecí</w:t>
      </w:r>
      <w:r w:rsidR="00A41EE5" w:rsidRPr="000B16D5">
        <w:rPr>
          <w:rFonts w:asciiTheme="majorHAnsi" w:hAnsiTheme="majorHAnsi"/>
          <w:color w:val="000000"/>
          <w:sz w:val="22"/>
          <w:szCs w:val="22"/>
        </w:rPr>
        <w:t xml:space="preserve"> –</w:t>
      </w:r>
      <w:r w:rsidRPr="000B16D5">
        <w:rPr>
          <w:rFonts w:asciiTheme="majorHAnsi" w:hAnsiTheme="majorHAnsi"/>
          <w:color w:val="000000"/>
          <w:sz w:val="22"/>
          <w:szCs w:val="22"/>
        </w:rPr>
        <w:t xml:space="preserve"> štítné žlázy, nadledvin, ostrůvků slinivky břišní. Dědičnost je autosomálně-</w:t>
      </w:r>
      <w:r w:rsidRPr="000B16D5">
        <w:rPr>
          <w:rFonts w:asciiTheme="majorHAnsi" w:hAnsiTheme="majorHAnsi"/>
          <w:i/>
          <w:iCs/>
          <w:color w:val="000000"/>
          <w:sz w:val="22"/>
          <w:szCs w:val="22"/>
        </w:rPr>
        <w:t>dominantní</w:t>
      </w:r>
      <w:r w:rsidRPr="000B16D5">
        <w:rPr>
          <w:rFonts w:asciiTheme="majorHAnsi" w:hAnsiTheme="majorHAnsi"/>
          <w:color w:val="000000"/>
          <w:sz w:val="22"/>
          <w:szCs w:val="22"/>
        </w:rPr>
        <w:t xml:space="preserve">, mutace poškozuje proces oprav DNA. Prevencí může být v určitých případech chirurgické odnětí štítnice. </w:t>
      </w:r>
    </w:p>
    <w:p w:rsidR="004B7B5F" w:rsidRDefault="004B7B5F" w:rsidP="004B7B5F">
      <w:pPr>
        <w:pStyle w:val="Zkladntext"/>
        <w:numPr>
          <w:ilvl w:val="0"/>
          <w:numId w:val="34"/>
        </w:numPr>
        <w:spacing w:line="276" w:lineRule="auto"/>
        <w:jc w:val="both"/>
        <w:rPr>
          <w:rFonts w:asciiTheme="majorHAnsi" w:hAnsiTheme="majorHAnsi"/>
          <w:color w:val="000000"/>
          <w:sz w:val="22"/>
          <w:szCs w:val="22"/>
        </w:rPr>
      </w:pPr>
      <w:r w:rsidRPr="000B16D5">
        <w:rPr>
          <w:rFonts w:asciiTheme="majorHAnsi" w:hAnsiTheme="majorHAnsi"/>
          <w:b/>
          <w:bCs/>
          <w:color w:val="000000"/>
          <w:sz w:val="22"/>
          <w:szCs w:val="22"/>
        </w:rPr>
        <w:t xml:space="preserve">Liův-Fraumeniho syndrom: </w:t>
      </w:r>
      <w:r w:rsidRPr="000B16D5">
        <w:rPr>
          <w:rFonts w:asciiTheme="majorHAnsi" w:hAnsiTheme="majorHAnsi"/>
          <w:color w:val="000000"/>
          <w:sz w:val="22"/>
          <w:szCs w:val="22"/>
        </w:rPr>
        <w:t>mutace genu pro tumorsupresorový protein p53. Pro časnou diagnostiku je nevýhodné, že chybí varující fenotypický projev (marker fenotyp), dlouho tedy probíhá skrytě. Způsobuje rozličné maligní nádory</w:t>
      </w:r>
      <w:r w:rsidR="00A41EE5" w:rsidRPr="000B16D5">
        <w:rPr>
          <w:rFonts w:asciiTheme="majorHAnsi" w:hAnsiTheme="majorHAnsi"/>
          <w:color w:val="000000"/>
          <w:sz w:val="22"/>
          <w:szCs w:val="22"/>
        </w:rPr>
        <w:t xml:space="preserve"> – </w:t>
      </w:r>
      <w:r w:rsidRPr="000B16D5">
        <w:rPr>
          <w:rFonts w:asciiTheme="majorHAnsi" w:hAnsiTheme="majorHAnsi"/>
          <w:color w:val="000000"/>
          <w:sz w:val="22"/>
          <w:szCs w:val="22"/>
        </w:rPr>
        <w:t>prsu, mozku, měkých tkání, nebo u dětí leukémie.</w:t>
      </w:r>
    </w:p>
    <w:p w:rsidR="000D4B3D" w:rsidRPr="000B16D5" w:rsidRDefault="000D4B3D" w:rsidP="000D4B3D">
      <w:pPr>
        <w:pStyle w:val="Zkladntext"/>
        <w:spacing w:line="276" w:lineRule="auto"/>
        <w:ind w:left="360"/>
        <w:jc w:val="both"/>
        <w:rPr>
          <w:rFonts w:asciiTheme="majorHAnsi" w:hAnsiTheme="majorHAnsi"/>
          <w:color w:val="000000"/>
          <w:sz w:val="22"/>
          <w:szCs w:val="22"/>
        </w:rPr>
      </w:pPr>
    </w:p>
    <w:p w:rsidR="00112887" w:rsidRPr="000B16D5" w:rsidRDefault="00112887" w:rsidP="00112887">
      <w:pPr>
        <w:pStyle w:val="Podpodnadpis"/>
        <w:rPr>
          <w:rFonts w:asciiTheme="majorHAnsi" w:hAnsiTheme="majorHAnsi"/>
        </w:rPr>
      </w:pPr>
      <w:r w:rsidRPr="000B16D5">
        <w:rPr>
          <w:rFonts w:asciiTheme="majorHAnsi" w:hAnsiTheme="majorHAnsi"/>
        </w:rPr>
        <w:t>P</w:t>
      </w:r>
      <w:r w:rsidR="004B7B5F" w:rsidRPr="000B16D5">
        <w:rPr>
          <w:rFonts w:asciiTheme="majorHAnsi" w:hAnsiTheme="majorHAnsi"/>
        </w:rPr>
        <w:t xml:space="preserve">olygenní formy </w:t>
      </w:r>
    </w:p>
    <w:p w:rsidR="004B7B5F" w:rsidRPr="000B16D5" w:rsidRDefault="00621875" w:rsidP="008017BA">
      <w:pPr>
        <w:pStyle w:val="Zkladntext"/>
        <w:spacing w:line="276" w:lineRule="auto"/>
        <w:ind w:right="-24"/>
        <w:jc w:val="both"/>
        <w:rPr>
          <w:rFonts w:asciiTheme="majorHAnsi" w:hAnsiTheme="majorHAnsi"/>
          <w:color w:val="000000"/>
          <w:sz w:val="22"/>
          <w:szCs w:val="22"/>
        </w:rPr>
      </w:pPr>
      <w:r w:rsidRPr="000B16D5">
        <w:rPr>
          <w:rFonts w:asciiTheme="majorHAnsi" w:hAnsiTheme="majorHAnsi"/>
          <w:b/>
          <w:bCs/>
          <w:sz w:val="22"/>
          <w:szCs w:val="22"/>
        </w:rPr>
        <w:t>Typicky</w:t>
      </w:r>
      <w:r w:rsidRPr="000B16D5">
        <w:rPr>
          <w:rFonts w:asciiTheme="majorHAnsi" w:hAnsiTheme="majorHAnsi"/>
          <w:sz w:val="22"/>
          <w:szCs w:val="22"/>
        </w:rPr>
        <w:t xml:space="preserve"> jde o nádorová onemocnění středního a vyššího věku, podmíněné náhodnými </w:t>
      </w:r>
      <w:r w:rsidRPr="000B16D5">
        <w:rPr>
          <w:rFonts w:asciiTheme="majorHAnsi" w:hAnsiTheme="majorHAnsi"/>
          <w:i/>
          <w:iCs/>
          <w:sz w:val="22"/>
          <w:szCs w:val="22"/>
        </w:rPr>
        <w:t xml:space="preserve">somatickými mutacemi </w:t>
      </w:r>
      <w:r w:rsidRPr="000B16D5">
        <w:rPr>
          <w:rFonts w:asciiTheme="majorHAnsi" w:hAnsiTheme="majorHAnsi"/>
          <w:sz w:val="22"/>
          <w:szCs w:val="22"/>
        </w:rPr>
        <w:t>v jednotlivých buňkách těla (</w:t>
      </w:r>
      <w:r w:rsidRPr="000B16D5">
        <w:rPr>
          <w:rFonts w:asciiTheme="majorHAnsi" w:hAnsiTheme="majorHAnsi"/>
          <w:b/>
          <w:bCs/>
          <w:sz w:val="22"/>
          <w:szCs w:val="22"/>
        </w:rPr>
        <w:t>sporadický</w:t>
      </w:r>
      <w:r w:rsidRPr="000B16D5">
        <w:rPr>
          <w:rFonts w:asciiTheme="majorHAnsi" w:hAnsiTheme="majorHAnsi"/>
          <w:sz w:val="22"/>
          <w:szCs w:val="22"/>
        </w:rPr>
        <w:t xml:space="preserve"> výskyt</w:t>
      </w:r>
      <w:r w:rsidRPr="000B16D5">
        <w:rPr>
          <w:rFonts w:asciiTheme="majorHAnsi" w:hAnsiTheme="majorHAnsi"/>
          <w:i/>
          <w:iCs/>
          <w:sz w:val="22"/>
          <w:szCs w:val="22"/>
        </w:rPr>
        <w:t>)</w:t>
      </w:r>
      <w:r w:rsidRPr="000B16D5">
        <w:rPr>
          <w:rFonts w:asciiTheme="majorHAnsi" w:hAnsiTheme="majorHAnsi"/>
          <w:sz w:val="22"/>
          <w:szCs w:val="22"/>
        </w:rPr>
        <w:t>.</w:t>
      </w:r>
      <w:r w:rsidRPr="000B16D5">
        <w:rPr>
          <w:rFonts w:asciiTheme="majorHAnsi" w:hAnsiTheme="majorHAnsi"/>
          <w:color w:val="000000"/>
          <w:sz w:val="22"/>
          <w:szCs w:val="22"/>
        </w:rPr>
        <w:t xml:space="preserve"> Avšak pozor</w:t>
      </w:r>
      <w:r w:rsidR="003611B9" w:rsidRPr="000B16D5">
        <w:rPr>
          <w:rFonts w:asciiTheme="majorHAnsi" w:hAnsiTheme="majorHAnsi"/>
          <w:color w:val="000000"/>
          <w:sz w:val="22"/>
          <w:szCs w:val="22"/>
        </w:rPr>
        <w:t xml:space="preserve">: </w:t>
      </w:r>
      <w:r w:rsidRPr="000B16D5">
        <w:rPr>
          <w:rFonts w:asciiTheme="majorHAnsi" w:hAnsiTheme="majorHAnsi"/>
          <w:color w:val="000000"/>
          <w:sz w:val="22"/>
          <w:szCs w:val="22"/>
        </w:rPr>
        <w:t>i polygenní forma novotvaru</w:t>
      </w:r>
      <w:r w:rsidRPr="000B16D5">
        <w:rPr>
          <w:rFonts w:asciiTheme="majorHAnsi" w:hAnsiTheme="majorHAnsi"/>
          <w:b/>
          <w:bCs/>
          <w:color w:val="000000"/>
          <w:sz w:val="22"/>
          <w:szCs w:val="22"/>
        </w:rPr>
        <w:t xml:space="preserve"> </w:t>
      </w:r>
      <w:r w:rsidRPr="000B16D5">
        <w:rPr>
          <w:rFonts w:asciiTheme="majorHAnsi" w:hAnsiTheme="majorHAnsi"/>
          <w:color w:val="000000"/>
          <w:sz w:val="22"/>
          <w:szCs w:val="22"/>
        </w:rPr>
        <w:t>může</w:t>
      </w:r>
      <w:r w:rsidRPr="000B16D5">
        <w:rPr>
          <w:rFonts w:asciiTheme="majorHAnsi" w:hAnsiTheme="majorHAnsi"/>
          <w:b/>
          <w:bCs/>
          <w:color w:val="000000"/>
          <w:sz w:val="22"/>
          <w:szCs w:val="22"/>
        </w:rPr>
        <w:t xml:space="preserve"> </w:t>
      </w:r>
      <w:r w:rsidR="003611B9" w:rsidRPr="000B16D5">
        <w:rPr>
          <w:rFonts w:asciiTheme="majorHAnsi" w:hAnsiTheme="majorHAnsi"/>
          <w:bCs/>
          <w:color w:val="000000"/>
          <w:sz w:val="22"/>
          <w:szCs w:val="22"/>
        </w:rPr>
        <w:t>být</w:t>
      </w:r>
      <w:r w:rsidR="003611B9" w:rsidRPr="000B16D5">
        <w:rPr>
          <w:rFonts w:asciiTheme="majorHAnsi" w:hAnsiTheme="majorHAnsi"/>
          <w:b/>
          <w:bCs/>
          <w:color w:val="000000"/>
          <w:sz w:val="22"/>
          <w:szCs w:val="22"/>
        </w:rPr>
        <w:t xml:space="preserve"> </w:t>
      </w:r>
      <w:r w:rsidRPr="000B16D5">
        <w:rPr>
          <w:rFonts w:asciiTheme="majorHAnsi" w:hAnsiTheme="majorHAnsi"/>
          <w:b/>
          <w:bCs/>
          <w:color w:val="000000"/>
          <w:sz w:val="22"/>
          <w:szCs w:val="22"/>
        </w:rPr>
        <w:t>dědičná</w:t>
      </w:r>
      <w:r w:rsidRPr="000B16D5">
        <w:rPr>
          <w:rFonts w:asciiTheme="majorHAnsi" w:hAnsiTheme="majorHAnsi"/>
          <w:color w:val="000000"/>
          <w:sz w:val="22"/>
          <w:szCs w:val="22"/>
        </w:rPr>
        <w:t xml:space="preserve"> (srov. </w:t>
      </w:r>
      <w:r w:rsidR="00293C65" w:rsidRPr="000B16D5">
        <w:rPr>
          <w:rFonts w:asciiTheme="majorHAnsi" w:hAnsiTheme="majorHAnsi"/>
          <w:color w:val="000000"/>
          <w:sz w:val="22"/>
          <w:szCs w:val="22"/>
        </w:rPr>
        <w:t>„</w:t>
      </w:r>
      <w:r w:rsidRPr="000B16D5">
        <w:rPr>
          <w:rFonts w:asciiTheme="majorHAnsi" w:hAnsiTheme="majorHAnsi"/>
          <w:color w:val="000000"/>
          <w:sz w:val="22"/>
          <w:szCs w:val="22"/>
        </w:rPr>
        <w:t>monogenních</w:t>
      </w:r>
      <w:r w:rsidR="00293C65" w:rsidRPr="000B16D5">
        <w:rPr>
          <w:rFonts w:asciiTheme="majorHAnsi" w:hAnsiTheme="majorHAnsi"/>
          <w:color w:val="000000"/>
          <w:sz w:val="22"/>
          <w:szCs w:val="22"/>
        </w:rPr>
        <w:t xml:space="preserve">“ </w:t>
      </w:r>
      <w:r w:rsidRPr="000B16D5">
        <w:rPr>
          <w:rFonts w:asciiTheme="majorHAnsi" w:hAnsiTheme="majorHAnsi"/>
          <w:color w:val="000000"/>
          <w:sz w:val="22"/>
          <w:szCs w:val="22"/>
        </w:rPr>
        <w:t>NO je 5</w:t>
      </w:r>
      <w:r w:rsidR="00A41EE5" w:rsidRPr="000B16D5">
        <w:rPr>
          <w:rFonts w:asciiTheme="majorHAnsi" w:hAnsiTheme="majorHAnsi"/>
          <w:color w:val="000000"/>
          <w:sz w:val="22"/>
          <w:szCs w:val="22"/>
        </w:rPr>
        <w:t xml:space="preserve"> </w:t>
      </w:r>
      <w:r w:rsidRPr="000B16D5">
        <w:rPr>
          <w:rFonts w:asciiTheme="majorHAnsi" w:hAnsiTheme="majorHAnsi"/>
          <w:color w:val="000000"/>
          <w:sz w:val="22"/>
          <w:szCs w:val="22"/>
        </w:rPr>
        <w:t>% z celkového počtu, novotvarů dědičného původu však souhrnně 10</w:t>
      </w:r>
      <w:r w:rsidR="00A41EE5" w:rsidRPr="000B16D5">
        <w:rPr>
          <w:rFonts w:asciiTheme="majorHAnsi" w:hAnsiTheme="majorHAnsi"/>
          <w:color w:val="000000"/>
          <w:sz w:val="22"/>
          <w:szCs w:val="22"/>
        </w:rPr>
        <w:t>–</w:t>
      </w:r>
      <w:r w:rsidRPr="000B16D5">
        <w:rPr>
          <w:rFonts w:asciiTheme="majorHAnsi" w:hAnsiTheme="majorHAnsi"/>
          <w:color w:val="000000"/>
          <w:sz w:val="22"/>
          <w:szCs w:val="22"/>
        </w:rPr>
        <w:t>15</w:t>
      </w:r>
      <w:r w:rsidR="00A41EE5" w:rsidRPr="000B16D5">
        <w:rPr>
          <w:rFonts w:asciiTheme="majorHAnsi" w:hAnsiTheme="majorHAnsi"/>
          <w:color w:val="000000"/>
          <w:sz w:val="22"/>
          <w:szCs w:val="22"/>
        </w:rPr>
        <w:t xml:space="preserve"> </w:t>
      </w:r>
      <w:r w:rsidRPr="000B16D5">
        <w:rPr>
          <w:rFonts w:asciiTheme="majorHAnsi" w:hAnsiTheme="majorHAnsi"/>
          <w:color w:val="000000"/>
          <w:sz w:val="22"/>
          <w:szCs w:val="22"/>
        </w:rPr>
        <w:t>%)</w:t>
      </w:r>
      <w:r w:rsidRPr="000B16D5">
        <w:rPr>
          <w:rFonts w:asciiTheme="majorHAnsi" w:hAnsiTheme="majorHAnsi"/>
          <w:sz w:val="22"/>
          <w:szCs w:val="22"/>
        </w:rPr>
        <w:t>.</w:t>
      </w:r>
      <w:r w:rsidRPr="000B16D5">
        <w:rPr>
          <w:rFonts w:asciiTheme="majorHAnsi" w:hAnsiTheme="majorHAnsi"/>
          <w:color w:val="FF0000"/>
          <w:sz w:val="22"/>
          <w:szCs w:val="22"/>
        </w:rPr>
        <w:t xml:space="preserve"> </w:t>
      </w:r>
      <w:r w:rsidRPr="000B16D5">
        <w:rPr>
          <w:rFonts w:asciiTheme="majorHAnsi" w:hAnsiTheme="majorHAnsi"/>
          <w:color w:val="000000"/>
          <w:sz w:val="22"/>
          <w:szCs w:val="22"/>
        </w:rPr>
        <w:t>Vliv prostředí, vč</w:t>
      </w:r>
      <w:r w:rsidR="004A2AEF" w:rsidRPr="000B16D5">
        <w:rPr>
          <w:rFonts w:asciiTheme="majorHAnsi" w:hAnsiTheme="majorHAnsi"/>
          <w:color w:val="000000"/>
          <w:sz w:val="22"/>
          <w:szCs w:val="22"/>
        </w:rPr>
        <w:t>etně</w:t>
      </w:r>
      <w:r w:rsidRPr="000B16D5">
        <w:rPr>
          <w:rFonts w:asciiTheme="majorHAnsi" w:hAnsiTheme="majorHAnsi"/>
          <w:color w:val="000000"/>
          <w:sz w:val="22"/>
          <w:szCs w:val="22"/>
        </w:rPr>
        <w:t xml:space="preserve"> </w:t>
      </w:r>
      <w:r w:rsidR="004A2AEF" w:rsidRPr="000B16D5">
        <w:rPr>
          <w:rFonts w:asciiTheme="majorHAnsi" w:hAnsiTheme="majorHAnsi"/>
          <w:color w:val="000000"/>
          <w:sz w:val="22"/>
          <w:szCs w:val="22"/>
        </w:rPr>
        <w:t>výživy,</w:t>
      </w:r>
      <w:r w:rsidRPr="000B16D5">
        <w:rPr>
          <w:rFonts w:asciiTheme="majorHAnsi" w:hAnsiTheme="majorHAnsi"/>
          <w:color w:val="000000"/>
          <w:sz w:val="22"/>
          <w:szCs w:val="22"/>
        </w:rPr>
        <w:t xml:space="preserve"> je </w:t>
      </w:r>
      <w:r w:rsidRPr="000B16D5">
        <w:rPr>
          <w:rFonts w:asciiTheme="majorHAnsi" w:hAnsiTheme="majorHAnsi"/>
          <w:b/>
          <w:bCs/>
          <w:color w:val="000000"/>
          <w:sz w:val="22"/>
          <w:szCs w:val="22"/>
        </w:rPr>
        <w:t>výrazný</w:t>
      </w:r>
      <w:r w:rsidRPr="000B16D5">
        <w:rPr>
          <w:rFonts w:asciiTheme="majorHAnsi" w:hAnsiTheme="majorHAnsi"/>
          <w:color w:val="000000"/>
          <w:sz w:val="22"/>
          <w:szCs w:val="22"/>
        </w:rPr>
        <w:t>.</w:t>
      </w:r>
    </w:p>
    <w:p w:rsidR="004B7B5F" w:rsidRPr="000B16D5" w:rsidRDefault="004B7B5F" w:rsidP="004B7B5F">
      <w:pPr>
        <w:pStyle w:val="Zkladntext"/>
        <w:spacing w:line="276" w:lineRule="auto"/>
        <w:jc w:val="both"/>
        <w:rPr>
          <w:rFonts w:asciiTheme="majorHAnsi" w:hAnsiTheme="majorHAnsi"/>
          <w:i/>
          <w:iCs/>
          <w:color w:val="000000"/>
          <w:sz w:val="22"/>
          <w:szCs w:val="22"/>
        </w:rPr>
      </w:pPr>
      <w:r w:rsidRPr="000B16D5">
        <w:rPr>
          <w:rFonts w:asciiTheme="majorHAnsi" w:hAnsiTheme="majorHAnsi"/>
          <w:i/>
          <w:iCs/>
          <w:color w:val="000000"/>
          <w:sz w:val="22"/>
          <w:szCs w:val="22"/>
        </w:rPr>
        <w:lastRenderedPageBreak/>
        <w:t>Příklady:</w:t>
      </w:r>
    </w:p>
    <w:p w:rsidR="00112887" w:rsidRPr="000B16D5" w:rsidRDefault="00112887" w:rsidP="004B7B5F">
      <w:pPr>
        <w:pStyle w:val="Zkladntext"/>
        <w:numPr>
          <w:ilvl w:val="0"/>
          <w:numId w:val="35"/>
        </w:numPr>
        <w:spacing w:line="276" w:lineRule="auto"/>
        <w:jc w:val="both"/>
        <w:rPr>
          <w:rFonts w:asciiTheme="majorHAnsi" w:hAnsiTheme="majorHAnsi"/>
          <w:color w:val="000000"/>
          <w:sz w:val="22"/>
          <w:szCs w:val="22"/>
        </w:rPr>
      </w:pPr>
      <w:r w:rsidRPr="000B16D5">
        <w:rPr>
          <w:rFonts w:asciiTheme="majorHAnsi" w:hAnsiTheme="majorHAnsi"/>
          <w:b/>
          <w:bCs/>
          <w:color w:val="000000"/>
          <w:sz w:val="22"/>
          <w:szCs w:val="22"/>
        </w:rPr>
        <w:t>K</w:t>
      </w:r>
      <w:r w:rsidR="004B7B5F" w:rsidRPr="000B16D5">
        <w:rPr>
          <w:rFonts w:asciiTheme="majorHAnsi" w:hAnsiTheme="majorHAnsi"/>
          <w:b/>
          <w:bCs/>
          <w:color w:val="000000"/>
          <w:sz w:val="22"/>
          <w:szCs w:val="22"/>
        </w:rPr>
        <w:t>arcinom prsu</w:t>
      </w:r>
      <w:r w:rsidR="004B7B5F" w:rsidRPr="000B16D5">
        <w:rPr>
          <w:rFonts w:asciiTheme="majorHAnsi" w:hAnsiTheme="majorHAnsi"/>
          <w:color w:val="000000"/>
          <w:sz w:val="22"/>
          <w:szCs w:val="22"/>
        </w:rPr>
        <w:t>: je nejčastějším zhoubným nádorem ženské populace v ČR. Sporadická forma tvoří asi 95</w:t>
      </w:r>
      <w:r w:rsidR="002C52C1" w:rsidRPr="000B16D5">
        <w:rPr>
          <w:rFonts w:asciiTheme="majorHAnsi" w:hAnsiTheme="majorHAnsi"/>
          <w:color w:val="000000"/>
          <w:sz w:val="22"/>
          <w:szCs w:val="22"/>
        </w:rPr>
        <w:t xml:space="preserve"> </w:t>
      </w:r>
      <w:r w:rsidR="004B7B5F" w:rsidRPr="000B16D5">
        <w:rPr>
          <w:rFonts w:asciiTheme="majorHAnsi" w:hAnsiTheme="majorHAnsi"/>
          <w:color w:val="000000"/>
          <w:sz w:val="22"/>
          <w:szCs w:val="22"/>
        </w:rPr>
        <w:t>% případů výskytu ze všech novotvarů prsní žlázy. Vzniká somatickými mutacemi buňěk žlázového epitelu (epitel</w:t>
      </w:r>
      <w:r w:rsidR="00586441" w:rsidRPr="000B16D5">
        <w:rPr>
          <w:rFonts w:asciiTheme="majorHAnsi" w:hAnsiTheme="majorHAnsi"/>
          <w:color w:val="000000"/>
          <w:sz w:val="22"/>
          <w:szCs w:val="22"/>
        </w:rPr>
        <w:t xml:space="preserve"> </w:t>
      </w:r>
      <w:r w:rsidR="004B7B5F" w:rsidRPr="000B16D5">
        <w:rPr>
          <w:rFonts w:asciiTheme="majorHAnsi" w:hAnsiTheme="majorHAnsi"/>
          <w:color w:val="000000"/>
          <w:sz w:val="22"/>
          <w:szCs w:val="22"/>
        </w:rPr>
        <w:t>=</w:t>
      </w:r>
      <w:r w:rsidR="00586441" w:rsidRPr="000B16D5">
        <w:rPr>
          <w:rFonts w:asciiTheme="majorHAnsi" w:hAnsiTheme="majorHAnsi"/>
          <w:color w:val="000000"/>
          <w:sz w:val="22"/>
          <w:szCs w:val="22"/>
        </w:rPr>
        <w:t xml:space="preserve"> </w:t>
      </w:r>
      <w:r w:rsidR="004B7B5F" w:rsidRPr="000B16D5">
        <w:rPr>
          <w:rFonts w:asciiTheme="majorHAnsi" w:hAnsiTheme="majorHAnsi"/>
          <w:color w:val="000000"/>
          <w:sz w:val="22"/>
          <w:szCs w:val="22"/>
        </w:rPr>
        <w:t>karcinom). Ještě donedávna platilo, že každá druhá žena s diagnozou prsního CA na toto onemocnění zemře. Díky včasné diagnostice (mamografie) a zdokonalené terapii se t</w:t>
      </w:r>
      <w:r w:rsidRPr="000B16D5">
        <w:rPr>
          <w:rFonts w:asciiTheme="majorHAnsi" w:hAnsiTheme="majorHAnsi"/>
          <w:color w:val="000000"/>
          <w:sz w:val="22"/>
          <w:szCs w:val="22"/>
        </w:rPr>
        <w:t>ento hrůzný poměr daří snižovat.</w:t>
      </w:r>
    </w:p>
    <w:p w:rsidR="00112887" w:rsidRPr="000B16D5" w:rsidRDefault="00112887" w:rsidP="004B7B5F">
      <w:pPr>
        <w:pStyle w:val="Zkladntext"/>
        <w:numPr>
          <w:ilvl w:val="0"/>
          <w:numId w:val="35"/>
        </w:numPr>
        <w:spacing w:line="276" w:lineRule="auto"/>
        <w:jc w:val="both"/>
        <w:rPr>
          <w:rFonts w:asciiTheme="majorHAnsi" w:hAnsiTheme="majorHAnsi"/>
          <w:color w:val="000000"/>
          <w:sz w:val="22"/>
          <w:szCs w:val="22"/>
        </w:rPr>
      </w:pPr>
      <w:r w:rsidRPr="000B16D5">
        <w:rPr>
          <w:rFonts w:asciiTheme="majorHAnsi" w:hAnsiTheme="majorHAnsi"/>
          <w:b/>
          <w:bCs/>
          <w:color w:val="000000"/>
          <w:sz w:val="22"/>
          <w:szCs w:val="22"/>
        </w:rPr>
        <w:t>K</w:t>
      </w:r>
      <w:r w:rsidR="004B7B5F" w:rsidRPr="000B16D5">
        <w:rPr>
          <w:rFonts w:asciiTheme="majorHAnsi" w:hAnsiTheme="majorHAnsi"/>
          <w:b/>
          <w:bCs/>
          <w:color w:val="000000"/>
          <w:sz w:val="22"/>
          <w:szCs w:val="22"/>
        </w:rPr>
        <w:t xml:space="preserve">arcinom prostaty: </w:t>
      </w:r>
      <w:r w:rsidR="004B7B5F" w:rsidRPr="000B16D5">
        <w:rPr>
          <w:rFonts w:asciiTheme="majorHAnsi" w:hAnsiTheme="majorHAnsi"/>
          <w:color w:val="000000"/>
          <w:sz w:val="22"/>
          <w:szCs w:val="22"/>
        </w:rPr>
        <w:t xml:space="preserve">je u nás druhým nejčastějším NO v mužské populaci (po novotvarech plic- kouření). Vyskytuje se i dědičně, sporadicky je typický projev u mužů starších 50 let. Zdá se, že by v jeho patogenezi mohlo mít roli hormonální působení androgenů (resp. testosteron a modulace drah jeho účinku). Výskyt u mužů ve světě kolísá v různých populacích, v USA je nejčastější u černochů, v Evropě ve skandinávských zemích </w:t>
      </w:r>
      <w:r w:rsidR="00265EED" w:rsidRPr="000B16D5">
        <w:rPr>
          <w:rFonts w:asciiTheme="majorHAnsi" w:hAnsiTheme="majorHAnsi"/>
          <w:color w:val="000000"/>
          <w:sz w:val="22"/>
          <w:szCs w:val="22"/>
        </w:rPr>
        <w:t xml:space="preserve">a </w:t>
      </w:r>
      <w:r w:rsidR="004B7B5F" w:rsidRPr="000B16D5">
        <w:rPr>
          <w:rFonts w:asciiTheme="majorHAnsi" w:hAnsiTheme="majorHAnsi"/>
          <w:color w:val="000000"/>
          <w:sz w:val="22"/>
          <w:szCs w:val="22"/>
        </w:rPr>
        <w:t>ve Francii. U východních populací (Indie, Čína) je výrazně nižší. V poslední době incidence CA prostaty v ČR výrazně narůstá</w:t>
      </w:r>
      <w:r w:rsidR="00586441" w:rsidRPr="000B16D5">
        <w:rPr>
          <w:rFonts w:asciiTheme="majorHAnsi" w:hAnsiTheme="majorHAnsi"/>
          <w:color w:val="000000"/>
          <w:sz w:val="22"/>
          <w:szCs w:val="22"/>
        </w:rPr>
        <w:t xml:space="preserve"> – </w:t>
      </w:r>
      <w:r w:rsidR="004B7B5F" w:rsidRPr="000B16D5">
        <w:rPr>
          <w:rFonts w:asciiTheme="majorHAnsi" w:hAnsiTheme="majorHAnsi"/>
          <w:color w:val="000000"/>
          <w:sz w:val="22"/>
          <w:szCs w:val="22"/>
        </w:rPr>
        <w:t>za posledních deset let se více než zdvojnásobila. Velmi pravděpodobně je za tímto nárůstem dokonalejší a usilovnější diagnostika.</w:t>
      </w:r>
    </w:p>
    <w:p w:rsidR="00112887" w:rsidRPr="000B16D5" w:rsidRDefault="00112887" w:rsidP="004B7B5F">
      <w:pPr>
        <w:pStyle w:val="Zkladntext"/>
        <w:numPr>
          <w:ilvl w:val="0"/>
          <w:numId w:val="35"/>
        </w:numPr>
        <w:spacing w:line="276" w:lineRule="auto"/>
        <w:jc w:val="both"/>
        <w:rPr>
          <w:rFonts w:asciiTheme="majorHAnsi" w:hAnsiTheme="majorHAnsi"/>
          <w:color w:val="000000"/>
          <w:sz w:val="22"/>
          <w:szCs w:val="22"/>
        </w:rPr>
      </w:pPr>
      <w:r w:rsidRPr="000B16D5">
        <w:rPr>
          <w:rFonts w:asciiTheme="majorHAnsi" w:hAnsiTheme="majorHAnsi"/>
          <w:b/>
          <w:bCs/>
          <w:sz w:val="22"/>
          <w:szCs w:val="22"/>
        </w:rPr>
        <w:t>K</w:t>
      </w:r>
      <w:r w:rsidR="004B7B5F" w:rsidRPr="000B16D5">
        <w:rPr>
          <w:rFonts w:asciiTheme="majorHAnsi" w:hAnsiTheme="majorHAnsi"/>
          <w:b/>
          <w:bCs/>
          <w:sz w:val="22"/>
          <w:szCs w:val="22"/>
        </w:rPr>
        <w:t xml:space="preserve">olorektálním karcinom: </w:t>
      </w:r>
      <w:r w:rsidR="004B7B5F" w:rsidRPr="000B16D5">
        <w:rPr>
          <w:rFonts w:asciiTheme="majorHAnsi" w:hAnsiTheme="majorHAnsi"/>
          <w:color w:val="000000"/>
          <w:sz w:val="22"/>
          <w:szCs w:val="22"/>
        </w:rPr>
        <w:t xml:space="preserve">zaujímá u nás co do výskytu třetí místo, celosvětově jsme však země s </w:t>
      </w:r>
      <w:r w:rsidR="004B7B5F" w:rsidRPr="000B16D5">
        <w:rPr>
          <w:rFonts w:asciiTheme="majorHAnsi" w:hAnsiTheme="majorHAnsi"/>
          <w:b/>
          <w:bCs/>
          <w:color w:val="000000"/>
          <w:sz w:val="22"/>
          <w:szCs w:val="22"/>
        </w:rPr>
        <w:t xml:space="preserve">nejvyšší </w:t>
      </w:r>
      <w:r w:rsidR="004B7B5F" w:rsidRPr="000B16D5">
        <w:rPr>
          <w:rFonts w:asciiTheme="majorHAnsi" w:hAnsiTheme="majorHAnsi"/>
          <w:color w:val="000000"/>
          <w:sz w:val="22"/>
          <w:szCs w:val="22"/>
        </w:rPr>
        <w:t>incidencí</w:t>
      </w:r>
      <w:r w:rsidR="00D902FF" w:rsidRPr="000B16D5">
        <w:rPr>
          <w:rFonts w:asciiTheme="majorHAnsi" w:hAnsiTheme="majorHAnsi"/>
          <w:color w:val="000000"/>
          <w:sz w:val="22"/>
          <w:szCs w:val="22"/>
        </w:rPr>
        <w:t>.</w:t>
      </w:r>
      <w:r w:rsidR="004B7B5F" w:rsidRPr="000B16D5">
        <w:rPr>
          <w:rFonts w:asciiTheme="majorHAnsi" w:hAnsiTheme="majorHAnsi"/>
          <w:color w:val="000000"/>
          <w:sz w:val="22"/>
          <w:szCs w:val="22"/>
        </w:rPr>
        <w:t xml:space="preserve"> Existuje i dědičná forma onemocnění (viz výše), nejčastěji se však rozvíjí forma </w:t>
      </w:r>
      <w:r w:rsidR="004B7B5F" w:rsidRPr="000B16D5">
        <w:rPr>
          <w:rFonts w:asciiTheme="majorHAnsi" w:hAnsiTheme="majorHAnsi"/>
          <w:i/>
          <w:iCs/>
          <w:color w:val="000000"/>
          <w:sz w:val="22"/>
          <w:szCs w:val="22"/>
        </w:rPr>
        <w:t xml:space="preserve">sporadická, </w:t>
      </w:r>
      <w:r w:rsidR="004B7B5F" w:rsidRPr="000B16D5">
        <w:rPr>
          <w:rFonts w:asciiTheme="majorHAnsi" w:hAnsiTheme="majorHAnsi"/>
          <w:color w:val="000000"/>
          <w:sz w:val="22"/>
          <w:szCs w:val="22"/>
        </w:rPr>
        <w:t xml:space="preserve">na základě somatických mutací. V tomto procesu mají </w:t>
      </w:r>
      <w:r w:rsidR="004B7B5F" w:rsidRPr="000B16D5">
        <w:rPr>
          <w:rFonts w:asciiTheme="majorHAnsi" w:hAnsiTheme="majorHAnsi"/>
          <w:b/>
          <w:bCs/>
          <w:color w:val="000000"/>
          <w:sz w:val="22"/>
          <w:szCs w:val="22"/>
        </w:rPr>
        <w:t>velký vliv</w:t>
      </w:r>
      <w:r w:rsidR="004B7B5F" w:rsidRPr="000B16D5">
        <w:rPr>
          <w:rFonts w:asciiTheme="majorHAnsi" w:hAnsiTheme="majorHAnsi"/>
          <w:color w:val="000000"/>
          <w:sz w:val="22"/>
          <w:szCs w:val="22"/>
        </w:rPr>
        <w:t xml:space="preserve"> faktory prostředí, v hospodářsky rozvinutých zemích </w:t>
      </w:r>
      <w:r w:rsidR="004B7B5F" w:rsidRPr="000B16D5">
        <w:rPr>
          <w:rFonts w:asciiTheme="majorHAnsi" w:hAnsiTheme="majorHAnsi"/>
          <w:b/>
          <w:bCs/>
          <w:color w:val="000000"/>
          <w:sz w:val="22"/>
          <w:szCs w:val="22"/>
        </w:rPr>
        <w:t>především potrava</w:t>
      </w:r>
      <w:r w:rsidR="004B7B5F" w:rsidRPr="000B16D5">
        <w:rPr>
          <w:rFonts w:asciiTheme="majorHAnsi" w:hAnsiTheme="majorHAnsi"/>
          <w:color w:val="000000"/>
          <w:sz w:val="22"/>
          <w:szCs w:val="22"/>
        </w:rPr>
        <w:t xml:space="preserve"> a její složení (vliv na incidenci NO ze 40</w:t>
      </w:r>
      <w:r w:rsidR="00A80095" w:rsidRPr="000B16D5">
        <w:rPr>
          <w:rFonts w:asciiTheme="majorHAnsi" w:hAnsiTheme="majorHAnsi"/>
          <w:sz w:val="22"/>
          <w:szCs w:val="22"/>
        </w:rPr>
        <w:t>–</w:t>
      </w:r>
      <w:r w:rsidR="004B7B5F" w:rsidRPr="000B16D5">
        <w:rPr>
          <w:rFonts w:asciiTheme="majorHAnsi" w:hAnsiTheme="majorHAnsi"/>
          <w:color w:val="000000"/>
          <w:sz w:val="22"/>
          <w:szCs w:val="22"/>
        </w:rPr>
        <w:t>60</w:t>
      </w:r>
      <w:r w:rsidR="00D902FF" w:rsidRPr="000B16D5">
        <w:rPr>
          <w:rFonts w:asciiTheme="majorHAnsi" w:hAnsiTheme="majorHAnsi"/>
          <w:color w:val="000000"/>
          <w:sz w:val="22"/>
          <w:szCs w:val="22"/>
        </w:rPr>
        <w:t xml:space="preserve"> </w:t>
      </w:r>
      <w:r w:rsidR="004B7B5F" w:rsidRPr="000B16D5">
        <w:rPr>
          <w:rFonts w:asciiTheme="majorHAnsi" w:hAnsiTheme="majorHAnsi"/>
          <w:color w:val="000000"/>
          <w:sz w:val="22"/>
          <w:szCs w:val="22"/>
        </w:rPr>
        <w:t xml:space="preserve">%). Z genetického hlediska můžeme nádory kolorekta rozdělit podle dopadu poškozující mutace. Buď jsou zasaženy regulátory buněčného cyklu (gen APC např.), nebo geny, opravující chybné párování bazí DNA (mutation of mismatch repair, zkr. MMR). V prvním případě rozvoji maligního nádoru předchází nadměrné dělení zasažené buňky. Vzniká </w:t>
      </w:r>
      <w:r w:rsidR="004B7B5F" w:rsidRPr="000B16D5">
        <w:rPr>
          <w:rFonts w:asciiTheme="majorHAnsi" w:hAnsiTheme="majorHAnsi"/>
          <w:i/>
          <w:iCs/>
          <w:color w:val="000000"/>
          <w:sz w:val="22"/>
          <w:szCs w:val="22"/>
        </w:rPr>
        <w:t>ne</w:t>
      </w:r>
      <w:r w:rsidR="004B7B5F" w:rsidRPr="000B16D5">
        <w:rPr>
          <w:rFonts w:asciiTheme="majorHAnsi" w:hAnsiTheme="majorHAnsi"/>
          <w:color w:val="000000"/>
          <w:sz w:val="22"/>
          <w:szCs w:val="22"/>
        </w:rPr>
        <w:t xml:space="preserve">zhoubný novotvar, tzv. adenom. Častější dělení ovšem zvyšuje pravděpodobnost dalších chyb a mutací i v jiných genech. Poškození se kumulují a přinášejí pak již zcela neřízené, maligní zvrhnutí s nedobrou prognózou. </w:t>
      </w:r>
    </w:p>
    <w:p w:rsidR="00112887" w:rsidRPr="000B16D5" w:rsidRDefault="004B7B5F" w:rsidP="00112887">
      <w:pPr>
        <w:pStyle w:val="Zkladntext"/>
        <w:spacing w:line="276" w:lineRule="auto"/>
        <w:ind w:left="360"/>
        <w:jc w:val="both"/>
        <w:rPr>
          <w:rFonts w:asciiTheme="majorHAnsi" w:hAnsiTheme="majorHAnsi"/>
          <w:color w:val="000000"/>
          <w:sz w:val="22"/>
          <w:szCs w:val="22"/>
        </w:rPr>
      </w:pPr>
      <w:r w:rsidRPr="000B16D5">
        <w:rPr>
          <w:rFonts w:asciiTheme="majorHAnsi" w:hAnsiTheme="majorHAnsi"/>
          <w:color w:val="000000"/>
          <w:sz w:val="22"/>
          <w:szCs w:val="22"/>
        </w:rPr>
        <w:t>V případě MMR genů benigní adenom fázi maligní nepředchází, mutace je zhoubná v podstatě od počátku.</w:t>
      </w:r>
    </w:p>
    <w:p w:rsidR="00112887" w:rsidRPr="000B16D5" w:rsidRDefault="004B7B5F" w:rsidP="00112887">
      <w:pPr>
        <w:pStyle w:val="Zkladntext"/>
        <w:spacing w:line="276" w:lineRule="auto"/>
        <w:ind w:left="360"/>
        <w:jc w:val="both"/>
        <w:rPr>
          <w:rFonts w:asciiTheme="majorHAnsi" w:hAnsiTheme="majorHAnsi"/>
          <w:color w:val="000000"/>
          <w:sz w:val="22"/>
          <w:szCs w:val="22"/>
        </w:rPr>
      </w:pPr>
      <w:r w:rsidRPr="000B16D5">
        <w:rPr>
          <w:rFonts w:asciiTheme="majorHAnsi" w:hAnsiTheme="majorHAnsi"/>
          <w:color w:val="000000"/>
          <w:sz w:val="22"/>
          <w:szCs w:val="22"/>
        </w:rPr>
        <w:t>Podle tvaru můžeme rozlišovat CA polypózní (rostou do prostoru dutiny střeva), vyhloubené a ploché. V kombinaci s umístěním</w:t>
      </w:r>
      <w:r w:rsidR="00586441" w:rsidRPr="000B16D5">
        <w:rPr>
          <w:rFonts w:asciiTheme="majorHAnsi" w:hAnsiTheme="majorHAnsi"/>
          <w:color w:val="000000"/>
          <w:sz w:val="22"/>
          <w:szCs w:val="22"/>
        </w:rPr>
        <w:t xml:space="preserve"> – </w:t>
      </w:r>
      <w:r w:rsidRPr="000B16D5">
        <w:rPr>
          <w:rFonts w:asciiTheme="majorHAnsi" w:hAnsiTheme="majorHAnsi"/>
          <w:color w:val="000000"/>
          <w:sz w:val="22"/>
          <w:szCs w:val="22"/>
        </w:rPr>
        <w:t>ložiskově ve stěně střeva nebo obkružujíce jeho průsvit</w:t>
      </w:r>
      <w:r w:rsidR="00586441" w:rsidRPr="000B16D5">
        <w:rPr>
          <w:rFonts w:asciiTheme="majorHAnsi" w:hAnsiTheme="majorHAnsi"/>
          <w:color w:val="000000"/>
          <w:sz w:val="22"/>
          <w:szCs w:val="22"/>
        </w:rPr>
        <w:t xml:space="preserve"> – </w:t>
      </w:r>
      <w:r w:rsidRPr="000B16D5">
        <w:rPr>
          <w:rFonts w:asciiTheme="majorHAnsi" w:hAnsiTheme="majorHAnsi"/>
          <w:color w:val="000000"/>
          <w:sz w:val="22"/>
          <w:szCs w:val="22"/>
        </w:rPr>
        <w:t>lze usuzovat na nejčastější klinické projevy: neprůchodnost střeva (zácpa), perforace (akutní břišní příhoda) a krvácení. Pro prognózu je důležitá analýza nádorové tkáňě (histologický rozbor), zabývající se typem nádoru (typing), vývojového stádia buňěk (grading) a stupně metastazování (staging).</w:t>
      </w:r>
    </w:p>
    <w:p w:rsidR="004B7B5F" w:rsidRPr="000B16D5" w:rsidRDefault="004B7B5F" w:rsidP="00112887">
      <w:pPr>
        <w:pStyle w:val="Zkladntext"/>
        <w:spacing w:line="276" w:lineRule="auto"/>
        <w:ind w:left="360"/>
        <w:jc w:val="both"/>
        <w:rPr>
          <w:rFonts w:asciiTheme="majorHAnsi" w:hAnsiTheme="majorHAnsi"/>
          <w:color w:val="000000"/>
          <w:sz w:val="22"/>
          <w:szCs w:val="22"/>
        </w:rPr>
      </w:pPr>
      <w:r w:rsidRPr="000B16D5">
        <w:rPr>
          <w:rFonts w:asciiTheme="majorHAnsi" w:hAnsiTheme="majorHAnsi"/>
          <w:color w:val="000000"/>
          <w:sz w:val="22"/>
          <w:szCs w:val="22"/>
        </w:rPr>
        <w:t>Celosvětově nejvyšší incidence CA kolorekta v ČR je vzhledem k zásadnímu vlivu stravy alarmující. Vypovídá o našich stravovacích návycích a zvyklostech, od zátěže tradiční kuchyní (vepřové se zelím) přes kvalitu surovin</w:t>
      </w:r>
      <w:r w:rsidR="004B1F24" w:rsidRPr="000B16D5">
        <w:rPr>
          <w:rFonts w:asciiTheme="majorHAnsi" w:hAnsiTheme="majorHAnsi"/>
          <w:color w:val="000000"/>
          <w:sz w:val="22"/>
          <w:szCs w:val="22"/>
        </w:rPr>
        <w:t xml:space="preserve"> </w:t>
      </w:r>
      <w:r w:rsidRPr="000B16D5">
        <w:rPr>
          <w:rFonts w:asciiTheme="majorHAnsi" w:hAnsiTheme="majorHAnsi"/>
          <w:color w:val="000000"/>
          <w:sz w:val="22"/>
          <w:szCs w:val="22"/>
        </w:rPr>
        <w:t>až po velikost porcí.</w:t>
      </w:r>
    </w:p>
    <w:p w:rsidR="00112887" w:rsidRPr="000B16D5" w:rsidRDefault="00112887" w:rsidP="004B7B5F">
      <w:pPr>
        <w:pStyle w:val="Zkladntext"/>
        <w:spacing w:line="276" w:lineRule="auto"/>
        <w:jc w:val="both"/>
        <w:rPr>
          <w:rFonts w:asciiTheme="majorHAnsi" w:hAnsiTheme="majorHAnsi"/>
          <w:b/>
          <w:bCs/>
          <w:sz w:val="22"/>
          <w:szCs w:val="22"/>
        </w:rPr>
      </w:pPr>
    </w:p>
    <w:p w:rsidR="004B7B5F" w:rsidRPr="000B16D5" w:rsidRDefault="00A8377A" w:rsidP="00112887">
      <w:pPr>
        <w:pStyle w:val="Nadpispodkapitoly"/>
        <w:rPr>
          <w:rFonts w:asciiTheme="majorHAnsi" w:hAnsiTheme="majorHAnsi"/>
        </w:rPr>
      </w:pPr>
      <w:bookmarkStart w:id="115" w:name="_Toc380240650"/>
      <w:r w:rsidRPr="000B16D5">
        <w:rPr>
          <w:rFonts w:asciiTheme="majorHAnsi" w:hAnsiTheme="majorHAnsi"/>
        </w:rPr>
        <w:t>Protektivní dietní faktory nádorových onemocnění</w:t>
      </w:r>
      <w:bookmarkEnd w:id="115"/>
    </w:p>
    <w:p w:rsidR="004B7B5F" w:rsidRPr="000B16D5" w:rsidRDefault="004B7B5F" w:rsidP="004B7B5F">
      <w:pPr>
        <w:pStyle w:val="Zkladntext"/>
        <w:spacing w:line="276" w:lineRule="auto"/>
        <w:jc w:val="both"/>
        <w:rPr>
          <w:rFonts w:asciiTheme="majorHAnsi" w:hAnsiTheme="majorHAnsi"/>
          <w:color w:val="000000"/>
          <w:sz w:val="22"/>
          <w:szCs w:val="22"/>
        </w:rPr>
      </w:pPr>
      <w:r w:rsidRPr="000B16D5">
        <w:rPr>
          <w:rFonts w:asciiTheme="majorHAnsi" w:hAnsiTheme="majorHAnsi"/>
          <w:color w:val="000000"/>
          <w:sz w:val="22"/>
          <w:szCs w:val="22"/>
        </w:rPr>
        <w:t xml:space="preserve">Ukázalo se, že v našich podmínkách patří mezi zásadní protektivní faktory </w:t>
      </w:r>
      <w:r w:rsidRPr="000B16D5">
        <w:rPr>
          <w:rFonts w:asciiTheme="majorHAnsi" w:hAnsiTheme="majorHAnsi"/>
          <w:i/>
          <w:iCs/>
          <w:color w:val="000000"/>
          <w:sz w:val="22"/>
          <w:szCs w:val="22"/>
        </w:rPr>
        <w:t>celkové</w:t>
      </w:r>
      <w:r w:rsidRPr="000B16D5">
        <w:rPr>
          <w:rFonts w:asciiTheme="majorHAnsi" w:hAnsiTheme="majorHAnsi"/>
          <w:b/>
          <w:bCs/>
          <w:i/>
          <w:iCs/>
          <w:color w:val="000000"/>
          <w:sz w:val="22"/>
          <w:szCs w:val="22"/>
        </w:rPr>
        <w:t xml:space="preserve"> </w:t>
      </w:r>
      <w:r w:rsidRPr="000B16D5">
        <w:rPr>
          <w:rFonts w:asciiTheme="majorHAnsi" w:hAnsiTheme="majorHAnsi"/>
          <w:b/>
          <w:bCs/>
          <w:color w:val="000000"/>
          <w:sz w:val="22"/>
          <w:szCs w:val="22"/>
        </w:rPr>
        <w:t xml:space="preserve">stravovací návyky </w:t>
      </w:r>
      <w:r w:rsidRPr="000B16D5">
        <w:rPr>
          <w:rFonts w:asciiTheme="majorHAnsi" w:hAnsiTheme="majorHAnsi"/>
          <w:color w:val="000000"/>
          <w:sz w:val="22"/>
          <w:szCs w:val="22"/>
        </w:rPr>
        <w:t>(mimo složení jídelníčku i velikost porcí, četnost</w:t>
      </w:r>
      <w:r w:rsidR="00586441" w:rsidRPr="000B16D5">
        <w:rPr>
          <w:rFonts w:asciiTheme="majorHAnsi" w:hAnsiTheme="majorHAnsi"/>
          <w:color w:val="000000"/>
          <w:sz w:val="22"/>
          <w:szCs w:val="22"/>
        </w:rPr>
        <w:t xml:space="preserve"> stravování apod</w:t>
      </w:r>
      <w:r w:rsidR="00665960" w:rsidRPr="000B16D5">
        <w:rPr>
          <w:rFonts w:asciiTheme="majorHAnsi" w:hAnsiTheme="majorHAnsi"/>
          <w:color w:val="000000"/>
          <w:sz w:val="22"/>
          <w:szCs w:val="22"/>
        </w:rPr>
        <w:t>.</w:t>
      </w:r>
      <w:r w:rsidR="00586441" w:rsidRPr="000B16D5">
        <w:rPr>
          <w:rFonts w:asciiTheme="majorHAnsi" w:hAnsiTheme="majorHAnsi"/>
          <w:color w:val="000000"/>
          <w:sz w:val="22"/>
          <w:szCs w:val="22"/>
        </w:rPr>
        <w:t xml:space="preserve">), </w:t>
      </w:r>
      <w:r w:rsidRPr="000B16D5">
        <w:rPr>
          <w:rFonts w:asciiTheme="majorHAnsi" w:hAnsiTheme="majorHAnsi"/>
          <w:color w:val="000000"/>
          <w:sz w:val="22"/>
          <w:szCs w:val="22"/>
        </w:rPr>
        <w:t xml:space="preserve">a to především z </w:t>
      </w:r>
      <w:r w:rsidRPr="000B16D5">
        <w:rPr>
          <w:rFonts w:asciiTheme="majorHAnsi" w:hAnsiTheme="majorHAnsi"/>
          <w:b/>
          <w:bCs/>
          <w:color w:val="000000"/>
          <w:sz w:val="22"/>
          <w:szCs w:val="22"/>
        </w:rPr>
        <w:t>dlouhodobého</w:t>
      </w:r>
      <w:r w:rsidRPr="000B16D5">
        <w:rPr>
          <w:rFonts w:asciiTheme="majorHAnsi" w:hAnsiTheme="majorHAnsi"/>
          <w:color w:val="000000"/>
          <w:sz w:val="22"/>
          <w:szCs w:val="22"/>
        </w:rPr>
        <w:t xml:space="preserve"> hlediska. S nimi souvisí mj. i udržování přiměřené těl</w:t>
      </w:r>
      <w:r w:rsidR="00112887" w:rsidRPr="000B16D5">
        <w:rPr>
          <w:rFonts w:asciiTheme="majorHAnsi" w:hAnsiTheme="majorHAnsi"/>
          <w:color w:val="000000"/>
          <w:sz w:val="22"/>
          <w:szCs w:val="22"/>
        </w:rPr>
        <w:t>e</w:t>
      </w:r>
      <w:r w:rsidRPr="000B16D5">
        <w:rPr>
          <w:rFonts w:asciiTheme="majorHAnsi" w:hAnsiTheme="majorHAnsi"/>
          <w:color w:val="000000"/>
          <w:sz w:val="22"/>
          <w:szCs w:val="22"/>
        </w:rPr>
        <w:t>sné hmotnosti a pohyb.</w:t>
      </w:r>
    </w:p>
    <w:p w:rsidR="00112887" w:rsidRPr="000B16D5" w:rsidRDefault="00112887" w:rsidP="00300A19">
      <w:pPr>
        <w:pStyle w:val="Podpodnadpis"/>
        <w:numPr>
          <w:ilvl w:val="0"/>
          <w:numId w:val="0"/>
        </w:numPr>
        <w:ind w:left="720" w:hanging="720"/>
        <w:rPr>
          <w:rFonts w:asciiTheme="majorHAnsi" w:hAnsiTheme="majorHAnsi"/>
        </w:rPr>
      </w:pPr>
      <w:r w:rsidRPr="000B16D5">
        <w:rPr>
          <w:rFonts w:asciiTheme="majorHAnsi" w:hAnsiTheme="majorHAnsi"/>
        </w:rPr>
        <w:t>Souhrnná doporučení:</w:t>
      </w:r>
    </w:p>
    <w:p w:rsidR="004B7B5F" w:rsidRPr="000B16D5" w:rsidRDefault="004B7B5F" w:rsidP="004B7B5F">
      <w:pPr>
        <w:pStyle w:val="Zkladntext"/>
        <w:spacing w:line="276" w:lineRule="auto"/>
        <w:jc w:val="both"/>
        <w:rPr>
          <w:rFonts w:asciiTheme="majorHAnsi" w:hAnsiTheme="majorHAnsi"/>
          <w:bCs/>
          <w:sz w:val="22"/>
          <w:szCs w:val="22"/>
        </w:rPr>
      </w:pPr>
      <w:r w:rsidRPr="000B16D5">
        <w:rPr>
          <w:rFonts w:asciiTheme="majorHAnsi" w:hAnsiTheme="majorHAnsi"/>
          <w:bCs/>
          <w:sz w:val="22"/>
          <w:szCs w:val="22"/>
        </w:rPr>
        <w:t>Mezi obecně prospěšné živiny bývají řazeny:</w:t>
      </w:r>
    </w:p>
    <w:p w:rsidR="00112887" w:rsidRPr="000B16D5" w:rsidRDefault="00112887" w:rsidP="004B7B5F">
      <w:pPr>
        <w:pStyle w:val="Zkladntext"/>
        <w:numPr>
          <w:ilvl w:val="0"/>
          <w:numId w:val="36"/>
        </w:numPr>
        <w:spacing w:line="276" w:lineRule="auto"/>
        <w:jc w:val="both"/>
        <w:rPr>
          <w:rFonts w:asciiTheme="majorHAnsi" w:hAnsiTheme="majorHAnsi"/>
          <w:b/>
          <w:bCs/>
          <w:sz w:val="22"/>
          <w:szCs w:val="22"/>
        </w:rPr>
      </w:pPr>
      <w:r w:rsidRPr="000B16D5">
        <w:rPr>
          <w:rFonts w:asciiTheme="majorHAnsi" w:hAnsiTheme="majorHAnsi"/>
          <w:b/>
          <w:bCs/>
          <w:sz w:val="22"/>
          <w:szCs w:val="22"/>
        </w:rPr>
        <w:t>I</w:t>
      </w:r>
      <w:r w:rsidR="004B7B5F" w:rsidRPr="000B16D5">
        <w:rPr>
          <w:rFonts w:asciiTheme="majorHAnsi" w:hAnsiTheme="majorHAnsi"/>
          <w:b/>
          <w:bCs/>
          <w:sz w:val="22"/>
          <w:szCs w:val="22"/>
        </w:rPr>
        <w:t>zothiokyanáty</w:t>
      </w:r>
    </w:p>
    <w:p w:rsidR="00112887" w:rsidRPr="000B16D5" w:rsidRDefault="00683D23" w:rsidP="00112887">
      <w:pPr>
        <w:pStyle w:val="Zkladntext"/>
        <w:spacing w:line="276" w:lineRule="auto"/>
        <w:ind w:left="360"/>
        <w:jc w:val="both"/>
        <w:rPr>
          <w:rFonts w:asciiTheme="majorHAnsi" w:hAnsiTheme="majorHAnsi"/>
          <w:b/>
          <w:bCs/>
          <w:sz w:val="20"/>
          <w:szCs w:val="22"/>
        </w:rPr>
      </w:pPr>
      <w:r w:rsidRPr="000B16D5">
        <w:rPr>
          <w:rFonts w:asciiTheme="majorHAnsi" w:hAnsiTheme="majorHAnsi"/>
          <w:sz w:val="20"/>
          <w:szCs w:val="22"/>
        </w:rPr>
        <w:t xml:space="preserve">Patří </w:t>
      </w:r>
      <w:r w:rsidR="004B7B5F" w:rsidRPr="000B16D5">
        <w:rPr>
          <w:rFonts w:asciiTheme="majorHAnsi" w:hAnsiTheme="majorHAnsi"/>
          <w:sz w:val="20"/>
          <w:szCs w:val="22"/>
        </w:rPr>
        <w:t xml:space="preserve">do kupiny </w:t>
      </w:r>
      <w:r w:rsidR="001767CE" w:rsidRPr="000B16D5">
        <w:rPr>
          <w:rFonts w:asciiTheme="majorHAnsi" w:hAnsiTheme="majorHAnsi"/>
          <w:sz w:val="20"/>
          <w:szCs w:val="22"/>
        </w:rPr>
        <w:t>„</w:t>
      </w:r>
      <w:r w:rsidR="004B7B5F" w:rsidRPr="000B16D5">
        <w:rPr>
          <w:rFonts w:asciiTheme="majorHAnsi" w:hAnsiTheme="majorHAnsi"/>
          <w:sz w:val="20"/>
          <w:szCs w:val="22"/>
        </w:rPr>
        <w:t>phytochemicals</w:t>
      </w:r>
      <w:r w:rsidR="001767CE" w:rsidRPr="000B16D5">
        <w:rPr>
          <w:rFonts w:asciiTheme="majorHAnsi" w:hAnsiTheme="majorHAnsi"/>
          <w:sz w:val="20"/>
          <w:szCs w:val="22"/>
        </w:rPr>
        <w:t>“</w:t>
      </w:r>
      <w:r w:rsidR="00E73DB0" w:rsidRPr="000B16D5">
        <w:rPr>
          <w:rFonts w:asciiTheme="majorHAnsi" w:hAnsiTheme="majorHAnsi"/>
          <w:sz w:val="20"/>
          <w:szCs w:val="22"/>
        </w:rPr>
        <w:t xml:space="preserve"> </w:t>
      </w:r>
      <w:r w:rsidR="00E73DB0" w:rsidRPr="000B16D5">
        <w:rPr>
          <w:rFonts w:asciiTheme="majorHAnsi" w:hAnsiTheme="majorHAnsi"/>
          <w:color w:val="000000"/>
          <w:sz w:val="22"/>
          <w:szCs w:val="22"/>
        </w:rPr>
        <w:t>–</w:t>
      </w:r>
      <w:r w:rsidR="001767CE" w:rsidRPr="000B16D5">
        <w:rPr>
          <w:rFonts w:asciiTheme="majorHAnsi" w:hAnsiTheme="majorHAnsi"/>
          <w:sz w:val="20"/>
          <w:szCs w:val="22"/>
        </w:rPr>
        <w:t xml:space="preserve"> </w:t>
      </w:r>
      <w:r w:rsidR="004B7B5F" w:rsidRPr="000B16D5">
        <w:rPr>
          <w:rFonts w:asciiTheme="majorHAnsi" w:hAnsiTheme="majorHAnsi"/>
          <w:sz w:val="20"/>
          <w:szCs w:val="22"/>
        </w:rPr>
        <w:t>biologicky aktivní látky, obsažené v potravinách rostlinného původu. Nejsou pro člověka nezbytné (nejde o nutrienty), mohou však interakcemi s organismem ovlivňovat některé buňečné pochody, funkce (např. jako antioxidanty). Předpokládá se, že by mohly hrát roli i v prevenci rakoviny. V zelenině, ve které se nacházejí, ovlivňují např. její chuť, nebo barvu.</w:t>
      </w:r>
    </w:p>
    <w:p w:rsidR="00112887" w:rsidRPr="000B16D5" w:rsidRDefault="004B7B5F" w:rsidP="00112887">
      <w:pPr>
        <w:pStyle w:val="Zkladntext"/>
        <w:spacing w:line="276" w:lineRule="auto"/>
        <w:ind w:left="360"/>
        <w:jc w:val="both"/>
        <w:rPr>
          <w:rFonts w:asciiTheme="majorHAnsi" w:hAnsiTheme="majorHAnsi"/>
          <w:b/>
          <w:bCs/>
          <w:sz w:val="22"/>
          <w:szCs w:val="22"/>
        </w:rPr>
      </w:pPr>
      <w:r w:rsidRPr="000B16D5">
        <w:rPr>
          <w:rFonts w:asciiTheme="majorHAnsi" w:hAnsiTheme="majorHAnsi"/>
          <w:sz w:val="22"/>
          <w:szCs w:val="22"/>
        </w:rPr>
        <w:t xml:space="preserve">Zdrojem je </w:t>
      </w:r>
      <w:r w:rsidRPr="000B16D5">
        <w:rPr>
          <w:rFonts w:asciiTheme="majorHAnsi" w:hAnsiTheme="majorHAnsi"/>
          <w:b/>
          <w:bCs/>
          <w:sz w:val="22"/>
          <w:szCs w:val="22"/>
        </w:rPr>
        <w:t xml:space="preserve">brukvovitá </w:t>
      </w:r>
      <w:r w:rsidRPr="000B16D5">
        <w:rPr>
          <w:rFonts w:asciiTheme="majorHAnsi" w:hAnsiTheme="majorHAnsi"/>
          <w:sz w:val="22"/>
          <w:szCs w:val="22"/>
        </w:rPr>
        <w:t xml:space="preserve">(košťálová) </w:t>
      </w:r>
      <w:r w:rsidRPr="000B16D5">
        <w:rPr>
          <w:rFonts w:asciiTheme="majorHAnsi" w:hAnsiTheme="majorHAnsi"/>
          <w:b/>
          <w:bCs/>
          <w:sz w:val="22"/>
          <w:szCs w:val="22"/>
        </w:rPr>
        <w:t>zelenina</w:t>
      </w:r>
      <w:r w:rsidRPr="000B16D5">
        <w:rPr>
          <w:rFonts w:asciiTheme="majorHAnsi" w:hAnsiTheme="majorHAnsi"/>
          <w:sz w:val="22"/>
          <w:szCs w:val="22"/>
        </w:rPr>
        <w:t xml:space="preserve"> – kapusta, brukev, květák, brokolice, hořčice (především hořčičná semínka), zelí nebo kedluben. Má se za to, že příjem potravin s vysokým obsahem izothiokyanátů je z hlediska prevence rakoviny přínosný. Obzvlášť v případě rakoviny plic, nebo kolorekta. Vznikají spolu s </w:t>
      </w:r>
      <w:r w:rsidRPr="000B16D5">
        <w:rPr>
          <w:rFonts w:asciiTheme="majorHAnsi" w:hAnsiTheme="majorHAnsi"/>
          <w:sz w:val="22"/>
          <w:szCs w:val="22"/>
        </w:rPr>
        <w:lastRenderedPageBreak/>
        <w:t>indoly hydrolitickým štěpením z cukerných derivátů glukosinolátů. Na</w:t>
      </w:r>
      <w:r w:rsidR="000D0318" w:rsidRPr="000B16D5">
        <w:rPr>
          <w:rFonts w:asciiTheme="majorHAnsi" w:hAnsiTheme="majorHAnsi"/>
          <w:sz w:val="22"/>
          <w:szCs w:val="22"/>
        </w:rPr>
        <w:t xml:space="preserve"> </w:t>
      </w:r>
      <w:r w:rsidRPr="000B16D5">
        <w:rPr>
          <w:rFonts w:asciiTheme="majorHAnsi" w:hAnsiTheme="majorHAnsi"/>
          <w:sz w:val="22"/>
          <w:szCs w:val="22"/>
        </w:rPr>
        <w:t>rozdíl</w:t>
      </w:r>
      <w:r w:rsidR="000D0318" w:rsidRPr="000B16D5">
        <w:rPr>
          <w:rFonts w:asciiTheme="majorHAnsi" w:hAnsiTheme="majorHAnsi"/>
          <w:sz w:val="22"/>
          <w:szCs w:val="22"/>
        </w:rPr>
        <w:t xml:space="preserve"> </w:t>
      </w:r>
      <w:r w:rsidRPr="000B16D5">
        <w:rPr>
          <w:rFonts w:asciiTheme="majorHAnsi" w:hAnsiTheme="majorHAnsi"/>
          <w:sz w:val="22"/>
          <w:szCs w:val="22"/>
        </w:rPr>
        <w:t>od nich jsou chemicky vysoce reaktivní, vážou se na bílkoviny a tak působí protizánětlivě, váží se na stresové proteiny, působí proti nadměrnému dělení buňky nebo metastazování nádorů. Jejich zastoupení v zelenině jí dodává charakteristickou chuť</w:t>
      </w:r>
      <w:r w:rsidR="002B7F53" w:rsidRPr="000B16D5">
        <w:rPr>
          <w:rFonts w:asciiTheme="majorHAnsi" w:hAnsiTheme="majorHAnsi"/>
          <w:sz w:val="22"/>
          <w:szCs w:val="22"/>
        </w:rPr>
        <w:t xml:space="preserve"> </w:t>
      </w:r>
      <w:r w:rsidR="002B7F53" w:rsidRPr="000B16D5">
        <w:rPr>
          <w:rFonts w:asciiTheme="majorHAnsi" w:hAnsiTheme="majorHAnsi"/>
          <w:color w:val="000000"/>
          <w:sz w:val="22"/>
          <w:szCs w:val="22"/>
        </w:rPr>
        <w:t>–</w:t>
      </w:r>
      <w:r w:rsidR="002B7F53" w:rsidRPr="000B16D5">
        <w:rPr>
          <w:rFonts w:asciiTheme="majorHAnsi" w:hAnsiTheme="majorHAnsi"/>
          <w:sz w:val="22"/>
          <w:szCs w:val="22"/>
        </w:rPr>
        <w:t xml:space="preserve"> </w:t>
      </w:r>
      <w:r w:rsidRPr="000B16D5">
        <w:rPr>
          <w:rFonts w:asciiTheme="majorHAnsi" w:hAnsiTheme="majorHAnsi"/>
          <w:sz w:val="22"/>
          <w:szCs w:val="22"/>
        </w:rPr>
        <w:t>např. hořkost kapusty nebo pálivost u hořčice.</w:t>
      </w:r>
    </w:p>
    <w:p w:rsidR="008017BA" w:rsidRPr="000B16D5" w:rsidRDefault="00F55D4E" w:rsidP="008017BA">
      <w:pPr>
        <w:pStyle w:val="Zkladntext"/>
        <w:numPr>
          <w:ilvl w:val="0"/>
          <w:numId w:val="36"/>
        </w:numPr>
        <w:spacing w:line="276" w:lineRule="auto"/>
        <w:jc w:val="both"/>
        <w:rPr>
          <w:rFonts w:asciiTheme="majorHAnsi" w:hAnsiTheme="majorHAnsi"/>
          <w:b/>
          <w:bCs/>
          <w:sz w:val="22"/>
          <w:szCs w:val="22"/>
        </w:rPr>
      </w:pPr>
      <w:r w:rsidRPr="000B16D5">
        <w:rPr>
          <w:rFonts w:asciiTheme="majorHAnsi" w:hAnsiTheme="majorHAnsi"/>
          <w:b/>
          <w:bCs/>
          <w:color w:val="000000"/>
          <w:sz w:val="22"/>
          <w:szCs w:val="22"/>
        </w:rPr>
        <w:t xml:space="preserve">Vitamín </w:t>
      </w:r>
      <w:r w:rsidR="004B7B5F" w:rsidRPr="000B16D5">
        <w:rPr>
          <w:rFonts w:asciiTheme="majorHAnsi" w:hAnsiTheme="majorHAnsi"/>
          <w:b/>
          <w:bCs/>
          <w:color w:val="000000"/>
          <w:sz w:val="22"/>
          <w:szCs w:val="22"/>
        </w:rPr>
        <w:t>D</w:t>
      </w:r>
      <w:r w:rsidR="004B7B5F" w:rsidRPr="000B16D5">
        <w:rPr>
          <w:rFonts w:asciiTheme="majorHAnsi" w:hAnsiTheme="majorHAnsi"/>
          <w:b/>
          <w:bCs/>
          <w:color w:val="000000"/>
          <w:sz w:val="22"/>
          <w:szCs w:val="22"/>
          <w:shd w:val="clear" w:color="auto" w:fill="FFFF00"/>
        </w:rPr>
        <w:t xml:space="preserve"> </w:t>
      </w:r>
    </w:p>
    <w:p w:rsidR="008017BA" w:rsidRPr="000B16D5" w:rsidRDefault="00683D23" w:rsidP="008017BA">
      <w:pPr>
        <w:pStyle w:val="Zkladntext"/>
        <w:spacing w:after="0" w:line="276" w:lineRule="auto"/>
        <w:ind w:left="360"/>
        <w:jc w:val="both"/>
        <w:rPr>
          <w:rFonts w:asciiTheme="majorHAnsi" w:hAnsiTheme="majorHAnsi"/>
          <w:b/>
          <w:bCs/>
          <w:sz w:val="20"/>
          <w:szCs w:val="22"/>
        </w:rPr>
      </w:pPr>
      <w:r w:rsidRPr="000B16D5">
        <w:rPr>
          <w:rFonts w:asciiTheme="majorHAnsi" w:hAnsiTheme="majorHAnsi"/>
          <w:sz w:val="20"/>
          <w:szCs w:val="22"/>
        </w:rPr>
        <w:t xml:space="preserve">V </w:t>
      </w:r>
      <w:r w:rsidR="008017BA" w:rsidRPr="000B16D5">
        <w:rPr>
          <w:rFonts w:asciiTheme="majorHAnsi" w:hAnsiTheme="majorHAnsi"/>
          <w:sz w:val="20"/>
          <w:szCs w:val="22"/>
        </w:rPr>
        <w:t xml:space="preserve">tucích rozpustný vitamín, který podle posledních zjistění má velký význam v prevenci, a </w:t>
      </w:r>
      <w:r w:rsidR="00DA0F9F" w:rsidRPr="000B16D5">
        <w:rPr>
          <w:rFonts w:asciiTheme="majorHAnsi" w:hAnsiTheme="majorHAnsi"/>
          <w:sz w:val="20"/>
          <w:szCs w:val="22"/>
        </w:rPr>
        <w:t>potenciálně i léčbě</w:t>
      </w:r>
      <w:r w:rsidR="008017BA" w:rsidRPr="000B16D5">
        <w:rPr>
          <w:rFonts w:asciiTheme="majorHAnsi" w:hAnsiTheme="majorHAnsi"/>
          <w:sz w:val="20"/>
          <w:szCs w:val="22"/>
        </w:rPr>
        <w:t xml:space="preserve"> nádorových </w:t>
      </w:r>
      <w:r w:rsidRPr="000B16D5">
        <w:rPr>
          <w:rFonts w:asciiTheme="majorHAnsi" w:hAnsiTheme="majorHAnsi"/>
          <w:sz w:val="20"/>
          <w:szCs w:val="22"/>
        </w:rPr>
        <w:t>onemocnění.</w:t>
      </w:r>
    </w:p>
    <w:p w:rsidR="008017BA" w:rsidRPr="000B16D5" w:rsidRDefault="008017BA" w:rsidP="008017BA">
      <w:pPr>
        <w:pStyle w:val="Zkladntext"/>
        <w:spacing w:after="0" w:line="276" w:lineRule="auto"/>
        <w:ind w:left="360"/>
        <w:jc w:val="both"/>
        <w:rPr>
          <w:rFonts w:asciiTheme="majorHAnsi" w:hAnsiTheme="majorHAnsi"/>
          <w:b/>
          <w:bCs/>
          <w:sz w:val="22"/>
          <w:szCs w:val="22"/>
        </w:rPr>
      </w:pPr>
      <w:r w:rsidRPr="000B16D5">
        <w:rPr>
          <w:rFonts w:asciiTheme="majorHAnsi" w:hAnsiTheme="majorHAnsi"/>
          <w:sz w:val="22"/>
          <w:szCs w:val="22"/>
        </w:rPr>
        <w:t xml:space="preserve">Jako jeden z mála vitamínů si je tělo schopno vitamín D částečně vytvářet, nepokryje však zcela svoji potřebu. K produkci dochází při dopadu slunečního záření, resp. jeho UV-složky na kůži. Zbytek je třeba hradit příjmem v potravě, přičemž množství se odvíjí od množství vzniklého v těle. </w:t>
      </w:r>
    </w:p>
    <w:p w:rsidR="008017BA" w:rsidRPr="000B16D5" w:rsidRDefault="008017BA" w:rsidP="008017BA">
      <w:pPr>
        <w:pStyle w:val="Zkladntext"/>
        <w:spacing w:after="0" w:line="276" w:lineRule="auto"/>
        <w:ind w:left="360"/>
        <w:jc w:val="both"/>
        <w:rPr>
          <w:rFonts w:asciiTheme="majorHAnsi" w:hAnsiTheme="majorHAnsi"/>
          <w:b/>
          <w:bCs/>
          <w:sz w:val="22"/>
          <w:szCs w:val="22"/>
        </w:rPr>
      </w:pPr>
      <w:r w:rsidRPr="000B16D5">
        <w:rPr>
          <w:rFonts w:asciiTheme="majorHAnsi" w:hAnsiTheme="majorHAnsi"/>
          <w:sz w:val="22"/>
          <w:szCs w:val="22"/>
        </w:rPr>
        <w:t>Nevystavíme-li se slunečním paprskům alespoň na 15 minut denně (práce v budovách, auta, opalovací krém, v zimě oblečení), je produkce naším tělem nedostatečná, a z dlouhodobějšího hlediska je třeba hradit poptávku vnějším přívodem v potravinách.</w:t>
      </w:r>
    </w:p>
    <w:p w:rsidR="008017BA" w:rsidRPr="000B16D5" w:rsidRDefault="008017BA" w:rsidP="008017BA">
      <w:pPr>
        <w:pStyle w:val="Zkladntext"/>
        <w:spacing w:after="0" w:line="276" w:lineRule="auto"/>
        <w:ind w:left="360"/>
        <w:jc w:val="both"/>
        <w:rPr>
          <w:rFonts w:asciiTheme="majorHAnsi" w:hAnsiTheme="majorHAnsi"/>
          <w:b/>
          <w:bCs/>
          <w:sz w:val="20"/>
          <w:szCs w:val="20"/>
        </w:rPr>
      </w:pPr>
      <w:r w:rsidRPr="000B16D5">
        <w:rPr>
          <w:rFonts w:asciiTheme="majorHAnsi" w:hAnsiTheme="majorHAnsi"/>
          <w:iCs/>
          <w:sz w:val="20"/>
          <w:szCs w:val="20"/>
        </w:rPr>
        <w:t>Na populačních studiích byl objeven rozdílný výskyt některých novotvarů v závislosti na obývané zeměpisné šířce</w:t>
      </w:r>
      <w:r w:rsidR="00A80095" w:rsidRPr="000B16D5">
        <w:rPr>
          <w:rFonts w:asciiTheme="majorHAnsi" w:hAnsiTheme="majorHAnsi"/>
          <w:iCs/>
          <w:sz w:val="20"/>
          <w:szCs w:val="20"/>
        </w:rPr>
        <w:t xml:space="preserve"> </w:t>
      </w:r>
      <w:r w:rsidR="00A80095" w:rsidRPr="000B16D5">
        <w:rPr>
          <w:rFonts w:asciiTheme="majorHAnsi" w:hAnsiTheme="majorHAnsi"/>
          <w:sz w:val="20"/>
          <w:szCs w:val="20"/>
        </w:rPr>
        <w:t>–</w:t>
      </w:r>
      <w:r w:rsidR="00A80095" w:rsidRPr="000B16D5">
        <w:rPr>
          <w:rFonts w:asciiTheme="majorHAnsi" w:hAnsiTheme="majorHAnsi"/>
          <w:iCs/>
          <w:sz w:val="20"/>
          <w:szCs w:val="20"/>
        </w:rPr>
        <w:t xml:space="preserve"> </w:t>
      </w:r>
      <w:r w:rsidRPr="000B16D5">
        <w:rPr>
          <w:rFonts w:asciiTheme="majorHAnsi" w:hAnsiTheme="majorHAnsi"/>
          <w:iCs/>
          <w:sz w:val="20"/>
          <w:szCs w:val="20"/>
        </w:rPr>
        <w:t xml:space="preserve">od 40. rovnoběžky severní nebo jižní šířky klesá doba </w:t>
      </w:r>
      <w:r w:rsidR="00FF478F" w:rsidRPr="000B16D5">
        <w:rPr>
          <w:rFonts w:asciiTheme="majorHAnsi" w:hAnsiTheme="majorHAnsi"/>
          <w:iCs/>
          <w:sz w:val="20"/>
          <w:szCs w:val="20"/>
        </w:rPr>
        <w:t>[</w:t>
      </w:r>
      <w:r w:rsidRPr="000B16D5">
        <w:rPr>
          <w:rFonts w:asciiTheme="majorHAnsi" w:hAnsiTheme="majorHAnsi"/>
          <w:iCs/>
          <w:sz w:val="20"/>
          <w:szCs w:val="20"/>
        </w:rPr>
        <w:t>zima</w:t>
      </w:r>
      <w:r w:rsidR="00FF478F" w:rsidRPr="000B16D5">
        <w:rPr>
          <w:rFonts w:asciiTheme="majorHAnsi" w:hAnsiTheme="majorHAnsi"/>
          <w:iCs/>
          <w:sz w:val="20"/>
          <w:szCs w:val="20"/>
        </w:rPr>
        <w:t>]</w:t>
      </w:r>
      <w:r w:rsidRPr="000B16D5">
        <w:rPr>
          <w:rFonts w:asciiTheme="majorHAnsi" w:hAnsiTheme="majorHAnsi"/>
          <w:iCs/>
          <w:sz w:val="20"/>
          <w:szCs w:val="20"/>
        </w:rPr>
        <w:t xml:space="preserve"> i intenzita oslunění </w:t>
      </w:r>
      <w:r w:rsidR="00FF478F" w:rsidRPr="000B16D5">
        <w:rPr>
          <w:rFonts w:asciiTheme="majorHAnsi" w:hAnsiTheme="majorHAnsi"/>
          <w:iCs/>
          <w:sz w:val="20"/>
          <w:szCs w:val="20"/>
        </w:rPr>
        <w:t>[</w:t>
      </w:r>
      <w:r w:rsidRPr="000B16D5">
        <w:rPr>
          <w:rFonts w:asciiTheme="majorHAnsi" w:hAnsiTheme="majorHAnsi"/>
          <w:iCs/>
          <w:sz w:val="20"/>
          <w:szCs w:val="20"/>
        </w:rPr>
        <w:t>sklon planety</w:t>
      </w:r>
      <w:r w:rsidR="00FF478F" w:rsidRPr="000B16D5">
        <w:rPr>
          <w:rFonts w:asciiTheme="majorHAnsi" w:hAnsiTheme="majorHAnsi"/>
          <w:iCs/>
          <w:sz w:val="20"/>
          <w:szCs w:val="20"/>
        </w:rPr>
        <w:t>]</w:t>
      </w:r>
      <w:r w:rsidRPr="000B16D5">
        <w:rPr>
          <w:rFonts w:asciiTheme="majorHAnsi" w:hAnsiTheme="majorHAnsi"/>
          <w:iCs/>
          <w:sz w:val="20"/>
          <w:szCs w:val="20"/>
        </w:rPr>
        <w:t>. Některé NO se pak vyskytují častěji.</w:t>
      </w:r>
    </w:p>
    <w:p w:rsidR="008017BA" w:rsidRPr="000B16D5" w:rsidRDefault="008017BA" w:rsidP="008017BA">
      <w:pPr>
        <w:pStyle w:val="Zkladntext"/>
        <w:spacing w:after="0" w:line="276" w:lineRule="auto"/>
        <w:ind w:left="360"/>
        <w:jc w:val="both"/>
        <w:rPr>
          <w:rFonts w:asciiTheme="majorHAnsi" w:hAnsiTheme="majorHAnsi"/>
          <w:b/>
          <w:bCs/>
          <w:sz w:val="22"/>
          <w:szCs w:val="22"/>
        </w:rPr>
      </w:pPr>
      <w:r w:rsidRPr="000B16D5">
        <w:rPr>
          <w:rFonts w:asciiTheme="majorHAnsi" w:hAnsiTheme="majorHAnsi"/>
          <w:sz w:val="22"/>
          <w:szCs w:val="22"/>
        </w:rPr>
        <w:t xml:space="preserve">Jako dobrý </w:t>
      </w:r>
      <w:r w:rsidRPr="000B16D5">
        <w:rPr>
          <w:rFonts w:asciiTheme="majorHAnsi" w:hAnsiTheme="majorHAnsi"/>
          <w:b/>
          <w:bCs/>
          <w:sz w:val="22"/>
          <w:szCs w:val="22"/>
        </w:rPr>
        <w:t>přirozený zdroj</w:t>
      </w:r>
      <w:r w:rsidRPr="000B16D5">
        <w:rPr>
          <w:rFonts w:asciiTheme="majorHAnsi" w:hAnsiTheme="majorHAnsi"/>
          <w:sz w:val="22"/>
          <w:szCs w:val="22"/>
        </w:rPr>
        <w:t xml:space="preserve"> mohou posloužit ryby (makrela, sleď), vaječný žloutek, játra, mléko nebo máslo.</w:t>
      </w:r>
    </w:p>
    <w:p w:rsidR="008017BA" w:rsidRPr="000B16D5" w:rsidRDefault="008017BA" w:rsidP="008017BA">
      <w:pPr>
        <w:pStyle w:val="Zkladntext"/>
        <w:spacing w:after="0" w:line="276" w:lineRule="auto"/>
        <w:ind w:left="360"/>
        <w:jc w:val="both"/>
        <w:rPr>
          <w:rFonts w:asciiTheme="majorHAnsi" w:hAnsiTheme="majorHAnsi"/>
          <w:b/>
          <w:bCs/>
          <w:sz w:val="22"/>
          <w:szCs w:val="22"/>
        </w:rPr>
      </w:pPr>
      <w:r w:rsidRPr="000B16D5">
        <w:rPr>
          <w:rFonts w:asciiTheme="majorHAnsi" w:hAnsiTheme="majorHAnsi"/>
          <w:b/>
          <w:bCs/>
          <w:sz w:val="22"/>
          <w:szCs w:val="22"/>
        </w:rPr>
        <w:t xml:space="preserve">Dostatečná hladina </w:t>
      </w:r>
      <w:r w:rsidRPr="000B16D5">
        <w:rPr>
          <w:rFonts w:asciiTheme="majorHAnsi" w:hAnsiTheme="majorHAnsi"/>
          <w:sz w:val="22"/>
          <w:szCs w:val="22"/>
        </w:rPr>
        <w:t xml:space="preserve">vitamínu D v krvi působí jako </w:t>
      </w:r>
      <w:r w:rsidRPr="000B16D5">
        <w:rPr>
          <w:rFonts w:asciiTheme="majorHAnsi" w:hAnsiTheme="majorHAnsi"/>
          <w:i/>
          <w:iCs/>
          <w:sz w:val="22"/>
          <w:szCs w:val="22"/>
        </w:rPr>
        <w:t>preventivní opatření</w:t>
      </w:r>
      <w:r w:rsidR="00B54F0A" w:rsidRPr="000B16D5">
        <w:rPr>
          <w:rFonts w:asciiTheme="majorHAnsi" w:hAnsiTheme="majorHAnsi"/>
          <w:sz w:val="22"/>
          <w:szCs w:val="22"/>
        </w:rPr>
        <w:t xml:space="preserve"> </w:t>
      </w:r>
      <w:r w:rsidR="00B54F0A" w:rsidRPr="000B16D5">
        <w:rPr>
          <w:rFonts w:asciiTheme="majorHAnsi" w:hAnsiTheme="majorHAnsi"/>
          <w:color w:val="000000"/>
          <w:sz w:val="22"/>
          <w:szCs w:val="22"/>
        </w:rPr>
        <w:t>–</w:t>
      </w:r>
      <w:r w:rsidR="00B54F0A" w:rsidRPr="000B16D5">
        <w:rPr>
          <w:rFonts w:asciiTheme="majorHAnsi" w:hAnsiTheme="majorHAnsi"/>
          <w:sz w:val="22"/>
          <w:szCs w:val="22"/>
        </w:rPr>
        <w:t xml:space="preserve"> </w:t>
      </w:r>
      <w:r w:rsidRPr="000B16D5">
        <w:rPr>
          <w:rFonts w:asciiTheme="majorHAnsi" w:hAnsiTheme="majorHAnsi"/>
          <w:sz w:val="22"/>
          <w:szCs w:val="22"/>
        </w:rPr>
        <w:t xml:space="preserve">snižuje tendenci buňek dělit se tím, že zasahuje na několika místech do regulace buňečného cyklu. Studiemi byl </w:t>
      </w:r>
      <w:r w:rsidRPr="000B16D5">
        <w:rPr>
          <w:rFonts w:asciiTheme="majorHAnsi" w:hAnsiTheme="majorHAnsi"/>
          <w:b/>
          <w:bCs/>
          <w:sz w:val="22"/>
          <w:szCs w:val="22"/>
        </w:rPr>
        <w:t>nedostatek</w:t>
      </w:r>
      <w:r w:rsidRPr="000B16D5">
        <w:rPr>
          <w:rFonts w:asciiTheme="majorHAnsi" w:hAnsiTheme="majorHAnsi"/>
          <w:sz w:val="22"/>
          <w:szCs w:val="22"/>
        </w:rPr>
        <w:t xml:space="preserve"> vitamínu </w:t>
      </w:r>
      <w:r w:rsidRPr="000B16D5">
        <w:rPr>
          <w:rFonts w:asciiTheme="majorHAnsi" w:hAnsiTheme="majorHAnsi"/>
          <w:i/>
          <w:iCs/>
          <w:sz w:val="22"/>
          <w:szCs w:val="22"/>
        </w:rPr>
        <w:t xml:space="preserve">asociován </w:t>
      </w:r>
      <w:r w:rsidRPr="000B16D5">
        <w:rPr>
          <w:rFonts w:asciiTheme="majorHAnsi" w:hAnsiTheme="majorHAnsi"/>
          <w:sz w:val="22"/>
          <w:szCs w:val="22"/>
        </w:rPr>
        <w:t xml:space="preserve">především </w:t>
      </w:r>
      <w:r w:rsidRPr="000B16D5">
        <w:rPr>
          <w:rFonts w:asciiTheme="majorHAnsi" w:hAnsiTheme="majorHAnsi"/>
          <w:i/>
          <w:iCs/>
          <w:sz w:val="22"/>
          <w:szCs w:val="22"/>
        </w:rPr>
        <w:t xml:space="preserve">s </w:t>
      </w:r>
      <w:r w:rsidRPr="000B16D5">
        <w:rPr>
          <w:rFonts w:asciiTheme="majorHAnsi" w:hAnsiTheme="majorHAnsi"/>
          <w:b/>
          <w:bCs/>
          <w:sz w:val="22"/>
          <w:szCs w:val="22"/>
        </w:rPr>
        <w:t>nádory tlustého střeva</w:t>
      </w:r>
      <w:r w:rsidRPr="000B16D5">
        <w:rPr>
          <w:rFonts w:asciiTheme="majorHAnsi" w:hAnsiTheme="majorHAnsi"/>
          <w:sz w:val="22"/>
          <w:szCs w:val="22"/>
        </w:rPr>
        <w:t xml:space="preserve">, slinivky, </w:t>
      </w:r>
      <w:r w:rsidRPr="000B16D5">
        <w:rPr>
          <w:rFonts w:asciiTheme="majorHAnsi" w:hAnsiTheme="majorHAnsi"/>
          <w:b/>
          <w:bCs/>
          <w:sz w:val="22"/>
          <w:szCs w:val="22"/>
        </w:rPr>
        <w:t>prsu</w:t>
      </w:r>
      <w:r w:rsidRPr="000B16D5">
        <w:rPr>
          <w:rFonts w:asciiTheme="majorHAnsi" w:hAnsiTheme="majorHAnsi"/>
          <w:sz w:val="22"/>
          <w:szCs w:val="22"/>
        </w:rPr>
        <w:t>, dělohy, prostaty nebo žaludku.</w:t>
      </w:r>
    </w:p>
    <w:p w:rsidR="008017BA" w:rsidRPr="000B16D5" w:rsidRDefault="008017BA" w:rsidP="008017BA">
      <w:pPr>
        <w:pStyle w:val="Zkladntext"/>
        <w:spacing w:after="0" w:line="276" w:lineRule="auto"/>
        <w:ind w:left="360"/>
        <w:jc w:val="both"/>
        <w:rPr>
          <w:rFonts w:asciiTheme="majorHAnsi" w:hAnsiTheme="majorHAnsi"/>
          <w:b/>
          <w:bCs/>
          <w:sz w:val="22"/>
          <w:szCs w:val="22"/>
        </w:rPr>
      </w:pPr>
      <w:r w:rsidRPr="000B16D5">
        <w:rPr>
          <w:rFonts w:asciiTheme="majorHAnsi" w:hAnsiTheme="majorHAnsi"/>
          <w:sz w:val="22"/>
          <w:szCs w:val="22"/>
        </w:rPr>
        <w:t>Vyšší hladina vitamínu v krvi je spojována s nižší pravděpodobností, že choroba propukne (např. u kolorektálního CA až o 50</w:t>
      </w:r>
      <w:r w:rsidR="00B54F0A" w:rsidRPr="000B16D5">
        <w:rPr>
          <w:rFonts w:asciiTheme="majorHAnsi" w:hAnsiTheme="majorHAnsi"/>
          <w:sz w:val="22"/>
          <w:szCs w:val="22"/>
        </w:rPr>
        <w:t xml:space="preserve"> </w:t>
      </w:r>
      <w:r w:rsidRPr="000B16D5">
        <w:rPr>
          <w:rFonts w:asciiTheme="majorHAnsi" w:hAnsiTheme="majorHAnsi"/>
          <w:sz w:val="22"/>
          <w:szCs w:val="22"/>
        </w:rPr>
        <w:t>%)</w:t>
      </w:r>
      <w:r w:rsidR="006757E9" w:rsidRPr="000B16D5">
        <w:rPr>
          <w:rFonts w:asciiTheme="majorHAnsi" w:hAnsiTheme="majorHAnsi"/>
          <w:sz w:val="22"/>
          <w:szCs w:val="22"/>
        </w:rPr>
        <w:t>;</w:t>
      </w:r>
      <w:r w:rsidRPr="000B16D5">
        <w:rPr>
          <w:rFonts w:asciiTheme="majorHAnsi" w:hAnsiTheme="majorHAnsi"/>
          <w:sz w:val="22"/>
          <w:szCs w:val="22"/>
        </w:rPr>
        <w:t xml:space="preserve"> navíc</w:t>
      </w:r>
      <w:r w:rsidR="00B54F0A" w:rsidRPr="000B16D5">
        <w:rPr>
          <w:rFonts w:asciiTheme="majorHAnsi" w:hAnsiTheme="majorHAnsi"/>
          <w:sz w:val="22"/>
          <w:szCs w:val="22"/>
        </w:rPr>
        <w:t xml:space="preserve"> </w:t>
      </w:r>
      <w:r w:rsidRPr="000B16D5">
        <w:rPr>
          <w:rFonts w:asciiTheme="majorHAnsi" w:hAnsiTheme="majorHAnsi"/>
          <w:sz w:val="22"/>
          <w:szCs w:val="22"/>
        </w:rPr>
        <w:t>když už k takové situaci dojde, pravděpodobnost uzdravení je vyšší.</w:t>
      </w:r>
    </w:p>
    <w:p w:rsidR="008017BA" w:rsidRPr="000B16D5" w:rsidRDefault="008017BA" w:rsidP="008017BA">
      <w:pPr>
        <w:pStyle w:val="Zkladntext"/>
        <w:spacing w:after="0" w:line="276" w:lineRule="auto"/>
        <w:ind w:left="360"/>
        <w:jc w:val="both"/>
        <w:rPr>
          <w:rFonts w:asciiTheme="majorHAnsi" w:hAnsiTheme="majorHAnsi"/>
          <w:b/>
          <w:bCs/>
          <w:sz w:val="22"/>
          <w:szCs w:val="22"/>
        </w:rPr>
      </w:pPr>
      <w:r w:rsidRPr="000B16D5">
        <w:rPr>
          <w:rFonts w:asciiTheme="majorHAnsi" w:hAnsiTheme="majorHAnsi"/>
          <w:color w:val="000000"/>
          <w:sz w:val="22"/>
          <w:szCs w:val="22"/>
        </w:rPr>
        <w:t xml:space="preserve">Výše popsané je důsledkem dlouhodobého, </w:t>
      </w:r>
      <w:r w:rsidR="00B54F0A" w:rsidRPr="000B16D5">
        <w:rPr>
          <w:rFonts w:asciiTheme="majorHAnsi" w:hAnsiTheme="majorHAnsi"/>
          <w:color w:val="000000"/>
          <w:sz w:val="22"/>
          <w:szCs w:val="22"/>
        </w:rPr>
        <w:t>„</w:t>
      </w:r>
      <w:r w:rsidRPr="000B16D5">
        <w:rPr>
          <w:rFonts w:asciiTheme="majorHAnsi" w:hAnsiTheme="majorHAnsi"/>
          <w:color w:val="000000"/>
          <w:sz w:val="22"/>
          <w:szCs w:val="22"/>
        </w:rPr>
        <w:t>plíživého</w:t>
      </w:r>
      <w:r w:rsidR="00B54F0A" w:rsidRPr="000B16D5">
        <w:rPr>
          <w:rFonts w:asciiTheme="majorHAnsi" w:hAnsiTheme="majorHAnsi"/>
          <w:color w:val="000000"/>
          <w:sz w:val="22"/>
          <w:szCs w:val="22"/>
        </w:rPr>
        <w:t xml:space="preserve">“ </w:t>
      </w:r>
      <w:r w:rsidRPr="000B16D5">
        <w:rPr>
          <w:rFonts w:asciiTheme="majorHAnsi" w:hAnsiTheme="majorHAnsi"/>
          <w:color w:val="000000"/>
          <w:sz w:val="22"/>
          <w:szCs w:val="22"/>
        </w:rPr>
        <w:t>nedostatku vitamínu D v organismu, resp. jeho nedostatečného přívodu. Hypervitaminóza je oproti tomu stav ojedinělý a nastává až při výrazně přemrštěném příjmu. Důsledky nejsou nikterak závažné</w:t>
      </w:r>
      <w:r w:rsidR="00A80095" w:rsidRPr="000B16D5">
        <w:rPr>
          <w:rFonts w:asciiTheme="majorHAnsi" w:hAnsiTheme="majorHAnsi"/>
          <w:color w:val="000000"/>
          <w:sz w:val="22"/>
          <w:szCs w:val="22"/>
        </w:rPr>
        <w:t xml:space="preserve"> </w:t>
      </w:r>
      <w:r w:rsidR="00A80095" w:rsidRPr="000B16D5">
        <w:rPr>
          <w:rFonts w:asciiTheme="majorHAnsi" w:hAnsiTheme="majorHAnsi"/>
          <w:sz w:val="22"/>
          <w:szCs w:val="22"/>
        </w:rPr>
        <w:t>–</w:t>
      </w:r>
      <w:r w:rsidR="00A80095" w:rsidRPr="000B16D5">
        <w:rPr>
          <w:rFonts w:asciiTheme="majorHAnsi" w:hAnsiTheme="majorHAnsi"/>
          <w:color w:val="000000"/>
          <w:sz w:val="22"/>
          <w:szCs w:val="22"/>
        </w:rPr>
        <w:t xml:space="preserve"> </w:t>
      </w:r>
      <w:r w:rsidRPr="000B16D5">
        <w:rPr>
          <w:rFonts w:asciiTheme="majorHAnsi" w:hAnsiTheme="majorHAnsi"/>
          <w:color w:val="000000"/>
          <w:sz w:val="22"/>
          <w:szCs w:val="22"/>
        </w:rPr>
        <w:t>není se jí tedy třeba příliš obávat.</w:t>
      </w:r>
    </w:p>
    <w:p w:rsidR="00112887" w:rsidRPr="000B16D5" w:rsidRDefault="00112887" w:rsidP="008017BA">
      <w:pPr>
        <w:pStyle w:val="Zkladntext"/>
        <w:numPr>
          <w:ilvl w:val="0"/>
          <w:numId w:val="44"/>
        </w:numPr>
        <w:spacing w:line="276" w:lineRule="auto"/>
        <w:jc w:val="both"/>
        <w:rPr>
          <w:rFonts w:asciiTheme="majorHAnsi" w:hAnsiTheme="majorHAnsi"/>
          <w:sz w:val="22"/>
          <w:szCs w:val="22"/>
        </w:rPr>
      </w:pPr>
      <w:r w:rsidRPr="000B16D5">
        <w:rPr>
          <w:rFonts w:asciiTheme="majorHAnsi" w:hAnsiTheme="majorHAnsi"/>
          <w:b/>
          <w:bCs/>
          <w:sz w:val="22"/>
          <w:szCs w:val="22"/>
        </w:rPr>
        <w:t>P</w:t>
      </w:r>
      <w:r w:rsidR="004B7B5F" w:rsidRPr="000B16D5">
        <w:rPr>
          <w:rFonts w:asciiTheme="majorHAnsi" w:hAnsiTheme="majorHAnsi"/>
          <w:b/>
          <w:bCs/>
          <w:sz w:val="22"/>
          <w:szCs w:val="22"/>
        </w:rPr>
        <w:t>olynenasycené mastné kyseliny</w:t>
      </w:r>
    </w:p>
    <w:p w:rsidR="00112887" w:rsidRPr="000B16D5" w:rsidRDefault="003422F3" w:rsidP="00112887">
      <w:pPr>
        <w:pStyle w:val="Zkladntext"/>
        <w:spacing w:line="276" w:lineRule="auto"/>
        <w:ind w:left="360"/>
        <w:jc w:val="both"/>
        <w:rPr>
          <w:rFonts w:asciiTheme="majorHAnsi" w:hAnsiTheme="majorHAnsi"/>
          <w:sz w:val="22"/>
          <w:szCs w:val="22"/>
        </w:rPr>
      </w:pPr>
      <w:r w:rsidRPr="000B16D5">
        <w:rPr>
          <w:rFonts w:asciiTheme="majorHAnsi" w:hAnsiTheme="majorHAnsi"/>
          <w:sz w:val="22"/>
          <w:szCs w:val="22"/>
        </w:rPr>
        <w:t xml:space="preserve">Polynenasycené </w:t>
      </w:r>
      <w:r w:rsidR="004B7B5F" w:rsidRPr="000B16D5">
        <w:rPr>
          <w:rFonts w:asciiTheme="majorHAnsi" w:hAnsiTheme="majorHAnsi"/>
          <w:sz w:val="22"/>
          <w:szCs w:val="22"/>
        </w:rPr>
        <w:t>mastné kyseliny jsou pro člověka esenciální (</w:t>
      </w:r>
      <w:r w:rsidRPr="000B16D5">
        <w:rPr>
          <w:rFonts w:asciiTheme="majorHAnsi" w:hAnsiTheme="majorHAnsi"/>
          <w:sz w:val="22"/>
          <w:szCs w:val="22"/>
        </w:rPr>
        <w:t xml:space="preserve">neboť </w:t>
      </w:r>
      <w:r w:rsidR="004B7B5F" w:rsidRPr="000B16D5">
        <w:rPr>
          <w:rFonts w:asciiTheme="majorHAnsi" w:hAnsiTheme="majorHAnsi"/>
          <w:sz w:val="22"/>
          <w:szCs w:val="22"/>
        </w:rPr>
        <w:t>nedokáže syntetizovat násobné vazby), musí je přijímat potravou. Uvažuje se nad jejich protinádorovými, preventivními účinky především u karcinomu kolorekta, prostaty i CA prsu, dosavadní studie však mají rozporuplné výsledky a je třeba dalších výzkumů, který by pomohly zaujmout jednoznačné stanovisko.</w:t>
      </w:r>
    </w:p>
    <w:p w:rsidR="00112887" w:rsidRPr="000B16D5" w:rsidRDefault="00112887" w:rsidP="004B7B5F">
      <w:pPr>
        <w:pStyle w:val="Zkladntext"/>
        <w:numPr>
          <w:ilvl w:val="0"/>
          <w:numId w:val="36"/>
        </w:numPr>
        <w:spacing w:line="276" w:lineRule="auto"/>
        <w:jc w:val="both"/>
        <w:rPr>
          <w:rFonts w:asciiTheme="majorHAnsi" w:hAnsiTheme="majorHAnsi"/>
          <w:sz w:val="22"/>
          <w:szCs w:val="22"/>
        </w:rPr>
      </w:pPr>
      <w:r w:rsidRPr="000B16D5">
        <w:rPr>
          <w:rFonts w:asciiTheme="majorHAnsi" w:hAnsiTheme="majorHAnsi"/>
          <w:b/>
          <w:bCs/>
          <w:sz w:val="22"/>
          <w:szCs w:val="22"/>
        </w:rPr>
        <w:t>Z</w:t>
      </w:r>
      <w:r w:rsidR="004B7B5F" w:rsidRPr="000B16D5">
        <w:rPr>
          <w:rFonts w:asciiTheme="majorHAnsi" w:hAnsiTheme="majorHAnsi"/>
          <w:b/>
          <w:bCs/>
          <w:sz w:val="22"/>
          <w:szCs w:val="22"/>
        </w:rPr>
        <w:t>elen</w:t>
      </w:r>
      <w:r w:rsidRPr="000B16D5">
        <w:rPr>
          <w:rFonts w:asciiTheme="majorHAnsi" w:hAnsiTheme="majorHAnsi"/>
          <w:b/>
          <w:bCs/>
          <w:sz w:val="22"/>
          <w:szCs w:val="22"/>
        </w:rPr>
        <w:t>ý</w:t>
      </w:r>
      <w:r w:rsidR="004B7B5F" w:rsidRPr="000B16D5">
        <w:rPr>
          <w:rFonts w:asciiTheme="majorHAnsi" w:hAnsiTheme="majorHAnsi"/>
          <w:b/>
          <w:bCs/>
          <w:sz w:val="22"/>
          <w:szCs w:val="22"/>
        </w:rPr>
        <w:t xml:space="preserve"> čaj</w:t>
      </w:r>
    </w:p>
    <w:p w:rsidR="00112887" w:rsidRPr="000B16D5" w:rsidRDefault="004B7B5F" w:rsidP="00112887">
      <w:pPr>
        <w:pStyle w:val="Zkladntext"/>
        <w:spacing w:line="276" w:lineRule="auto"/>
        <w:ind w:left="360"/>
        <w:jc w:val="both"/>
        <w:rPr>
          <w:rFonts w:asciiTheme="majorHAnsi" w:hAnsiTheme="majorHAnsi"/>
          <w:sz w:val="22"/>
          <w:szCs w:val="22"/>
        </w:rPr>
      </w:pPr>
      <w:r w:rsidRPr="000B16D5">
        <w:rPr>
          <w:rFonts w:asciiTheme="majorHAnsi" w:hAnsiTheme="majorHAnsi"/>
          <w:sz w:val="22"/>
          <w:szCs w:val="22"/>
        </w:rPr>
        <w:t xml:space="preserve">Přestože bylo dříve předpokládáno, že zvýšený příjem zeleného čaje má význam v prevenci nádorových onemocnění, nepřesvědčivé výsledky posledních studií preventivní, protinádorové působení </w:t>
      </w:r>
      <w:r w:rsidRPr="000B16D5">
        <w:rPr>
          <w:rFonts w:asciiTheme="majorHAnsi" w:hAnsiTheme="majorHAnsi"/>
          <w:b/>
          <w:bCs/>
          <w:sz w:val="22"/>
          <w:szCs w:val="22"/>
        </w:rPr>
        <w:t>nepotvrzují</w:t>
      </w:r>
      <w:r w:rsidRPr="000B16D5">
        <w:rPr>
          <w:rFonts w:asciiTheme="majorHAnsi" w:hAnsiTheme="majorHAnsi"/>
          <w:sz w:val="22"/>
          <w:szCs w:val="22"/>
        </w:rPr>
        <w:t xml:space="preserve">. </w:t>
      </w:r>
    </w:p>
    <w:p w:rsidR="00112887" w:rsidRPr="000B16D5" w:rsidRDefault="000D0318" w:rsidP="004B7B5F">
      <w:pPr>
        <w:pStyle w:val="Zkladntext"/>
        <w:numPr>
          <w:ilvl w:val="0"/>
          <w:numId w:val="36"/>
        </w:numPr>
        <w:spacing w:line="276" w:lineRule="auto"/>
        <w:jc w:val="both"/>
        <w:rPr>
          <w:rFonts w:asciiTheme="majorHAnsi" w:hAnsiTheme="majorHAnsi"/>
          <w:sz w:val="22"/>
          <w:szCs w:val="22"/>
        </w:rPr>
      </w:pPr>
      <w:r w:rsidRPr="000B16D5">
        <w:rPr>
          <w:rFonts w:asciiTheme="majorHAnsi" w:hAnsiTheme="majorHAnsi"/>
          <w:b/>
          <w:bCs/>
          <w:sz w:val="22"/>
          <w:szCs w:val="22"/>
        </w:rPr>
        <w:t>K</w:t>
      </w:r>
      <w:r w:rsidR="004B7B5F" w:rsidRPr="000B16D5">
        <w:rPr>
          <w:rFonts w:asciiTheme="majorHAnsi" w:hAnsiTheme="majorHAnsi"/>
          <w:b/>
          <w:bCs/>
          <w:sz w:val="22"/>
          <w:szCs w:val="22"/>
        </w:rPr>
        <w:t>urkumin</w:t>
      </w:r>
    </w:p>
    <w:p w:rsidR="00112887" w:rsidRPr="000B16D5" w:rsidRDefault="004B7B5F" w:rsidP="00112887">
      <w:pPr>
        <w:pStyle w:val="Zkladntext"/>
        <w:spacing w:line="276" w:lineRule="auto"/>
        <w:ind w:left="360"/>
        <w:jc w:val="both"/>
        <w:rPr>
          <w:rFonts w:asciiTheme="majorHAnsi" w:hAnsiTheme="majorHAnsi"/>
          <w:sz w:val="22"/>
          <w:szCs w:val="22"/>
        </w:rPr>
      </w:pPr>
      <w:r w:rsidRPr="000B16D5">
        <w:rPr>
          <w:rFonts w:asciiTheme="majorHAnsi" w:hAnsiTheme="majorHAnsi"/>
          <w:sz w:val="22"/>
          <w:szCs w:val="22"/>
        </w:rPr>
        <w:t>/též náleží mezi fytochemikálie, viz výše</w:t>
      </w:r>
      <w:r w:rsidR="00112887" w:rsidRPr="000B16D5">
        <w:rPr>
          <w:rFonts w:asciiTheme="majorHAnsi" w:hAnsiTheme="majorHAnsi"/>
          <w:sz w:val="22"/>
          <w:szCs w:val="22"/>
        </w:rPr>
        <w:t>/</w:t>
      </w:r>
    </w:p>
    <w:p w:rsidR="004B7B5F" w:rsidRPr="000B16D5" w:rsidRDefault="00112887" w:rsidP="00112887">
      <w:pPr>
        <w:pStyle w:val="Zkladntext"/>
        <w:spacing w:line="276" w:lineRule="auto"/>
        <w:ind w:left="360"/>
        <w:jc w:val="both"/>
        <w:rPr>
          <w:rFonts w:asciiTheme="majorHAnsi" w:hAnsiTheme="majorHAnsi"/>
          <w:sz w:val="22"/>
          <w:szCs w:val="22"/>
        </w:rPr>
      </w:pPr>
      <w:r w:rsidRPr="000B16D5">
        <w:rPr>
          <w:rFonts w:asciiTheme="majorHAnsi" w:hAnsiTheme="majorHAnsi"/>
          <w:sz w:val="22"/>
          <w:szCs w:val="22"/>
        </w:rPr>
        <w:t>L</w:t>
      </w:r>
      <w:r w:rsidR="004B7B5F" w:rsidRPr="000B16D5">
        <w:rPr>
          <w:rFonts w:asciiTheme="majorHAnsi" w:hAnsiTheme="majorHAnsi"/>
          <w:sz w:val="22"/>
          <w:szCs w:val="22"/>
        </w:rPr>
        <w:t xml:space="preserve">átka nacházející se v </w:t>
      </w:r>
      <w:r w:rsidR="004B7B5F" w:rsidRPr="000B16D5">
        <w:rPr>
          <w:rFonts w:asciiTheme="majorHAnsi" w:hAnsiTheme="majorHAnsi"/>
          <w:b/>
          <w:bCs/>
          <w:sz w:val="22"/>
          <w:szCs w:val="22"/>
        </w:rPr>
        <w:t>kurkumě</w:t>
      </w:r>
      <w:r w:rsidR="004B7B5F" w:rsidRPr="000B16D5">
        <w:rPr>
          <w:rFonts w:asciiTheme="majorHAnsi" w:hAnsiTheme="majorHAnsi"/>
          <w:sz w:val="22"/>
          <w:szCs w:val="22"/>
        </w:rPr>
        <w:t>, v koření taktéž zvaném indický šafrán. Pochází z rostliny kurkumovník dlouhý, má jasně žlutou barvu (přidává se do</w:t>
      </w:r>
      <w:r w:rsidR="004B7B5F" w:rsidRPr="000B16D5">
        <w:rPr>
          <w:rFonts w:asciiTheme="majorHAnsi" w:hAnsiTheme="majorHAnsi"/>
          <w:b/>
          <w:bCs/>
          <w:sz w:val="22"/>
          <w:szCs w:val="22"/>
        </w:rPr>
        <w:t xml:space="preserve"> </w:t>
      </w:r>
      <w:r w:rsidR="00DF05D5" w:rsidRPr="000B16D5">
        <w:rPr>
          <w:rFonts w:asciiTheme="majorHAnsi" w:hAnsiTheme="majorHAnsi"/>
          <w:b/>
          <w:bCs/>
          <w:sz w:val="22"/>
          <w:szCs w:val="22"/>
        </w:rPr>
        <w:t>kari</w:t>
      </w:r>
      <w:r w:rsidR="004B7B5F" w:rsidRPr="000B16D5">
        <w:rPr>
          <w:rFonts w:asciiTheme="majorHAnsi" w:hAnsiTheme="majorHAnsi"/>
          <w:sz w:val="22"/>
          <w:szCs w:val="22"/>
        </w:rPr>
        <w:t>) a pepřově nahořklou chuť. V poslední době se intenzivně zkoumají její možné preventivní, protinádorové vlastnosti pro využití v prevenci i léčbě. Na některé buněčné systémy působí jako antioxidant, zároveň potlačuje iniciaci a rozvoj nádorového bujení, podle některých pozorování působí dokonce selektivně na nádorové buňky.</w:t>
      </w:r>
    </w:p>
    <w:p w:rsidR="00112887" w:rsidRPr="000B16D5" w:rsidRDefault="00112887" w:rsidP="004B7B5F">
      <w:pPr>
        <w:pStyle w:val="Zkladntext"/>
        <w:spacing w:line="276" w:lineRule="auto"/>
        <w:jc w:val="both"/>
        <w:rPr>
          <w:rFonts w:asciiTheme="majorHAnsi" w:hAnsiTheme="majorHAnsi"/>
          <w:b/>
          <w:bCs/>
          <w:sz w:val="22"/>
          <w:szCs w:val="22"/>
        </w:rPr>
      </w:pPr>
    </w:p>
    <w:p w:rsidR="004B7B5F" w:rsidRPr="000B16D5" w:rsidRDefault="004B7B5F" w:rsidP="00112887">
      <w:pPr>
        <w:pStyle w:val="Nadpispodkapitoly"/>
        <w:rPr>
          <w:rFonts w:asciiTheme="majorHAnsi" w:hAnsiTheme="majorHAnsi"/>
        </w:rPr>
      </w:pPr>
      <w:bookmarkStart w:id="116" w:name="_Toc380240651"/>
      <w:r w:rsidRPr="000B16D5">
        <w:rPr>
          <w:rFonts w:asciiTheme="majorHAnsi" w:hAnsiTheme="majorHAnsi"/>
        </w:rPr>
        <w:t>Xenobiotika v potravě</w:t>
      </w:r>
      <w:bookmarkEnd w:id="116"/>
    </w:p>
    <w:p w:rsidR="004B7B5F" w:rsidRPr="000B16D5" w:rsidRDefault="00112887" w:rsidP="004B7B5F">
      <w:pPr>
        <w:pStyle w:val="Zkladntext"/>
        <w:spacing w:line="276" w:lineRule="auto"/>
        <w:jc w:val="both"/>
        <w:rPr>
          <w:rFonts w:asciiTheme="majorHAnsi" w:hAnsiTheme="majorHAnsi"/>
          <w:sz w:val="22"/>
          <w:szCs w:val="22"/>
        </w:rPr>
      </w:pPr>
      <w:r w:rsidRPr="000B16D5">
        <w:rPr>
          <w:rFonts w:asciiTheme="majorHAnsi" w:hAnsiTheme="majorHAnsi"/>
          <w:sz w:val="22"/>
          <w:szCs w:val="22"/>
        </w:rPr>
        <w:t>X</w:t>
      </w:r>
      <w:r w:rsidR="004B7B5F" w:rsidRPr="000B16D5">
        <w:rPr>
          <w:rFonts w:asciiTheme="majorHAnsi" w:hAnsiTheme="majorHAnsi"/>
          <w:sz w:val="22"/>
          <w:szCs w:val="22"/>
        </w:rPr>
        <w:t xml:space="preserve">enobiotika jsou cizorodé látky, které nemají pro organismus žádnou výživovou hodnotu. Dostávají se do něj s potravou, příp. s vdechovaným vzduchem plícemi, </w:t>
      </w:r>
      <w:r w:rsidR="00DF05D5" w:rsidRPr="000B16D5">
        <w:rPr>
          <w:rFonts w:asciiTheme="majorHAnsi" w:hAnsiTheme="majorHAnsi"/>
          <w:sz w:val="22"/>
          <w:szCs w:val="22"/>
        </w:rPr>
        <w:t xml:space="preserve">načež </w:t>
      </w:r>
      <w:r w:rsidR="004B7B5F" w:rsidRPr="000B16D5">
        <w:rPr>
          <w:rFonts w:asciiTheme="majorHAnsi" w:hAnsiTheme="majorHAnsi"/>
          <w:sz w:val="22"/>
          <w:szCs w:val="22"/>
        </w:rPr>
        <w:t>se je tělo je opět vyloučuje. Hromadění xenobiotik v organismu může mít rozličné následky, mezi negativními můžeme uvést mutagenitu a zvýšené riziko k nádorovým onemocněním.</w:t>
      </w:r>
    </w:p>
    <w:p w:rsidR="004B7B5F" w:rsidRPr="000B16D5" w:rsidRDefault="004B7B5F" w:rsidP="00112887">
      <w:pPr>
        <w:pStyle w:val="Podpodnadpis"/>
        <w:numPr>
          <w:ilvl w:val="0"/>
          <w:numId w:val="0"/>
        </w:numPr>
        <w:ind w:left="720" w:hanging="720"/>
        <w:rPr>
          <w:rFonts w:asciiTheme="majorHAnsi" w:hAnsiTheme="majorHAnsi"/>
        </w:rPr>
      </w:pPr>
      <w:r w:rsidRPr="000B16D5">
        <w:rPr>
          <w:rFonts w:asciiTheme="majorHAnsi" w:hAnsiTheme="majorHAnsi"/>
        </w:rPr>
        <w:lastRenderedPageBreak/>
        <w:t>Nejvýznamější karcinogenní xenobiotika</w:t>
      </w:r>
    </w:p>
    <w:p w:rsidR="00112887" w:rsidRPr="000B16D5" w:rsidRDefault="004B7B5F" w:rsidP="004B7B5F">
      <w:pPr>
        <w:pStyle w:val="Zkladntext"/>
        <w:numPr>
          <w:ilvl w:val="0"/>
          <w:numId w:val="36"/>
        </w:numPr>
        <w:spacing w:line="276" w:lineRule="auto"/>
        <w:jc w:val="both"/>
        <w:rPr>
          <w:rFonts w:asciiTheme="majorHAnsi" w:hAnsiTheme="majorHAnsi"/>
          <w:color w:val="000000"/>
          <w:sz w:val="22"/>
          <w:szCs w:val="22"/>
        </w:rPr>
      </w:pPr>
      <w:r w:rsidRPr="000B16D5">
        <w:rPr>
          <w:rFonts w:asciiTheme="majorHAnsi" w:hAnsiTheme="majorHAnsi"/>
          <w:i/>
          <w:iCs/>
          <w:sz w:val="22"/>
          <w:szCs w:val="22"/>
        </w:rPr>
        <w:t>akrylamidy:</w:t>
      </w:r>
      <w:r w:rsidRPr="000B16D5">
        <w:rPr>
          <w:rFonts w:asciiTheme="majorHAnsi" w:hAnsiTheme="majorHAnsi"/>
          <w:sz w:val="22"/>
          <w:szCs w:val="22"/>
        </w:rPr>
        <w:t xml:space="preserve"> vznikají za vysoké teploty (smažení i pečení) v potravinách s vysokým obsahem škrobu. Kancerogenita je prokázána u zvířat, u člověka pojímáme důvodné podezření. Akrylamidy se mohou uvolňovat z některých plastových obalů, obsaženy jsou ale i v základních potravinách j</w:t>
      </w:r>
      <w:r w:rsidRPr="000B16D5">
        <w:rPr>
          <w:rFonts w:asciiTheme="majorHAnsi" w:hAnsiTheme="majorHAnsi"/>
          <w:color w:val="000000"/>
          <w:sz w:val="22"/>
          <w:szCs w:val="22"/>
        </w:rPr>
        <w:t xml:space="preserve">ako brambory, nebo chléb. Jejich obsah můžeme zvýšit nevhodnou úpravou, např. již zmíněným smažením (pomfrity, chipsy...). </w:t>
      </w:r>
      <w:r w:rsidR="009834E6" w:rsidRPr="000B16D5">
        <w:rPr>
          <w:rFonts w:asciiTheme="majorHAnsi" w:hAnsiTheme="majorHAnsi"/>
          <w:color w:val="000000"/>
          <w:sz w:val="22"/>
          <w:szCs w:val="22"/>
        </w:rPr>
        <w:t>Snažíme se dodržovat pravidlo ALARA (</w:t>
      </w:r>
      <w:r w:rsidR="009834E6" w:rsidRPr="000B16D5">
        <w:rPr>
          <w:rFonts w:asciiTheme="majorHAnsi" w:hAnsiTheme="majorHAnsi"/>
          <w:color w:val="000000"/>
          <w:sz w:val="22"/>
          <w:szCs w:val="22"/>
          <w:u w:val="single"/>
        </w:rPr>
        <w:t>a</w:t>
      </w:r>
      <w:r w:rsidR="009834E6" w:rsidRPr="000B16D5">
        <w:rPr>
          <w:rFonts w:asciiTheme="majorHAnsi" w:hAnsiTheme="majorHAnsi"/>
          <w:color w:val="000000"/>
          <w:sz w:val="22"/>
          <w:szCs w:val="22"/>
        </w:rPr>
        <w:t xml:space="preserve">s </w:t>
      </w:r>
      <w:r w:rsidR="009834E6" w:rsidRPr="000B16D5">
        <w:rPr>
          <w:rFonts w:asciiTheme="majorHAnsi" w:hAnsiTheme="majorHAnsi"/>
          <w:color w:val="000000"/>
          <w:sz w:val="22"/>
          <w:szCs w:val="22"/>
          <w:u w:val="single"/>
        </w:rPr>
        <w:t>l</w:t>
      </w:r>
      <w:r w:rsidR="009834E6" w:rsidRPr="000B16D5">
        <w:rPr>
          <w:rFonts w:asciiTheme="majorHAnsi" w:hAnsiTheme="majorHAnsi"/>
          <w:color w:val="000000"/>
          <w:sz w:val="22"/>
          <w:szCs w:val="22"/>
        </w:rPr>
        <w:t xml:space="preserve">ow </w:t>
      </w:r>
      <w:r w:rsidR="009834E6" w:rsidRPr="000B16D5">
        <w:rPr>
          <w:rFonts w:asciiTheme="majorHAnsi" w:hAnsiTheme="majorHAnsi"/>
          <w:color w:val="000000"/>
          <w:sz w:val="22"/>
          <w:szCs w:val="22"/>
          <w:u w:val="single"/>
        </w:rPr>
        <w:t>a</w:t>
      </w:r>
      <w:r w:rsidR="009834E6" w:rsidRPr="000B16D5">
        <w:rPr>
          <w:rFonts w:asciiTheme="majorHAnsi" w:hAnsiTheme="majorHAnsi"/>
          <w:color w:val="000000"/>
          <w:sz w:val="22"/>
          <w:szCs w:val="22"/>
        </w:rPr>
        <w:t xml:space="preserve">s </w:t>
      </w:r>
      <w:r w:rsidR="009834E6" w:rsidRPr="000B16D5">
        <w:rPr>
          <w:rFonts w:asciiTheme="majorHAnsi" w:hAnsiTheme="majorHAnsi"/>
          <w:color w:val="000000"/>
          <w:sz w:val="22"/>
          <w:szCs w:val="22"/>
          <w:u w:val="single"/>
        </w:rPr>
        <w:t>r</w:t>
      </w:r>
      <w:r w:rsidR="009834E6" w:rsidRPr="000B16D5">
        <w:rPr>
          <w:rFonts w:asciiTheme="majorHAnsi" w:hAnsiTheme="majorHAnsi"/>
          <w:color w:val="000000"/>
          <w:sz w:val="22"/>
          <w:szCs w:val="22"/>
        </w:rPr>
        <w:t xml:space="preserve">easonably </w:t>
      </w:r>
      <w:r w:rsidR="009834E6" w:rsidRPr="000B16D5">
        <w:rPr>
          <w:rFonts w:asciiTheme="majorHAnsi" w:hAnsiTheme="majorHAnsi"/>
          <w:color w:val="000000"/>
          <w:sz w:val="22"/>
          <w:szCs w:val="22"/>
          <w:u w:val="single"/>
        </w:rPr>
        <w:t>a</w:t>
      </w:r>
      <w:r w:rsidR="009834E6" w:rsidRPr="000B16D5">
        <w:rPr>
          <w:rFonts w:asciiTheme="majorHAnsi" w:hAnsiTheme="majorHAnsi"/>
          <w:color w:val="000000"/>
          <w:sz w:val="22"/>
          <w:szCs w:val="22"/>
        </w:rPr>
        <w:t>chievable).</w:t>
      </w:r>
    </w:p>
    <w:p w:rsidR="00112887" w:rsidRPr="000B16D5" w:rsidRDefault="004B7B5F" w:rsidP="004B7B5F">
      <w:pPr>
        <w:pStyle w:val="Zkladntext"/>
        <w:numPr>
          <w:ilvl w:val="0"/>
          <w:numId w:val="36"/>
        </w:numPr>
        <w:spacing w:line="276" w:lineRule="auto"/>
        <w:jc w:val="both"/>
        <w:rPr>
          <w:rFonts w:asciiTheme="majorHAnsi" w:hAnsiTheme="majorHAnsi"/>
          <w:color w:val="000000"/>
          <w:sz w:val="22"/>
          <w:szCs w:val="22"/>
        </w:rPr>
      </w:pPr>
      <w:r w:rsidRPr="000B16D5">
        <w:rPr>
          <w:rFonts w:asciiTheme="majorHAnsi" w:hAnsiTheme="majorHAnsi"/>
          <w:i/>
          <w:iCs/>
          <w:sz w:val="22"/>
          <w:szCs w:val="22"/>
        </w:rPr>
        <w:t>heterocyklické aminy:</w:t>
      </w:r>
      <w:r w:rsidRPr="000B16D5">
        <w:rPr>
          <w:rFonts w:asciiTheme="majorHAnsi" w:hAnsiTheme="majorHAnsi"/>
          <w:sz w:val="22"/>
          <w:szCs w:val="22"/>
        </w:rPr>
        <w:t xml:space="preserve"> látky, nacházející se v potravinách živočišného původu (především bíkoviny, cukry). Vznikají při jejich úpravě za vysokých teplot (100</w:t>
      </w:r>
      <w:r w:rsidR="00835E4E" w:rsidRPr="000B16D5">
        <w:rPr>
          <w:rFonts w:asciiTheme="majorHAnsi" w:hAnsiTheme="majorHAnsi"/>
          <w:color w:val="000000"/>
          <w:sz w:val="22"/>
          <w:szCs w:val="22"/>
        </w:rPr>
        <w:t>–</w:t>
      </w:r>
      <w:r w:rsidRPr="000B16D5">
        <w:rPr>
          <w:rFonts w:asciiTheme="majorHAnsi" w:hAnsiTheme="majorHAnsi"/>
          <w:sz w:val="22"/>
          <w:szCs w:val="22"/>
        </w:rPr>
        <w:t>800</w:t>
      </w:r>
      <w:r w:rsidR="00835E4E" w:rsidRPr="000B16D5">
        <w:rPr>
          <w:rFonts w:asciiTheme="majorHAnsi" w:hAnsiTheme="majorHAnsi"/>
          <w:sz w:val="22"/>
          <w:szCs w:val="22"/>
        </w:rPr>
        <w:t xml:space="preserve"> </w:t>
      </w:r>
      <w:r w:rsidRPr="000B16D5">
        <w:rPr>
          <w:rFonts w:asciiTheme="majorHAnsi" w:hAnsiTheme="majorHAnsi"/>
          <w:sz w:val="22"/>
          <w:szCs w:val="22"/>
        </w:rPr>
        <w:t>°C) přepalováním, např. při grilování, pečení. Karcinogeneze HA je podmíněna jejich mutagenitou, nejvyšší koncentrace nalézáme na povrchu pečínky při hnědnutí masa a ve výpeku z něj.</w:t>
      </w:r>
    </w:p>
    <w:p w:rsidR="00112887" w:rsidRPr="000B16D5" w:rsidRDefault="004B7B5F" w:rsidP="004B7B5F">
      <w:pPr>
        <w:pStyle w:val="Zkladntext"/>
        <w:numPr>
          <w:ilvl w:val="0"/>
          <w:numId w:val="36"/>
        </w:numPr>
        <w:spacing w:line="276" w:lineRule="auto"/>
        <w:jc w:val="both"/>
        <w:rPr>
          <w:rFonts w:asciiTheme="majorHAnsi" w:hAnsiTheme="majorHAnsi"/>
          <w:color w:val="000000"/>
          <w:sz w:val="22"/>
          <w:szCs w:val="22"/>
        </w:rPr>
      </w:pPr>
      <w:r w:rsidRPr="000B16D5">
        <w:rPr>
          <w:rFonts w:asciiTheme="majorHAnsi" w:hAnsiTheme="majorHAnsi"/>
          <w:i/>
          <w:iCs/>
          <w:sz w:val="22"/>
          <w:szCs w:val="22"/>
        </w:rPr>
        <w:t xml:space="preserve">polycyklické aromatické uhlovodíky: </w:t>
      </w:r>
      <w:r w:rsidRPr="000B16D5">
        <w:rPr>
          <w:rFonts w:asciiTheme="majorHAnsi" w:hAnsiTheme="majorHAnsi"/>
          <w:sz w:val="22"/>
          <w:szCs w:val="22"/>
        </w:rPr>
        <w:t>vznikají jako produkty nedokonalého spalování organické hmoty, vč. fosilních paliv (též organický původ). Pomineme-li jejich přítomnost v prostředí jako průmyslové znečištění, při úpravě pokrmů mohou vznikat v potravinách vystavených velmi vysokým teplotám (kolem 500</w:t>
      </w:r>
      <w:r w:rsidR="00835E4E" w:rsidRPr="000B16D5">
        <w:rPr>
          <w:rFonts w:asciiTheme="majorHAnsi" w:hAnsiTheme="majorHAnsi"/>
          <w:sz w:val="22"/>
          <w:szCs w:val="22"/>
        </w:rPr>
        <w:t xml:space="preserve"> </w:t>
      </w:r>
      <w:r w:rsidRPr="000B16D5">
        <w:rPr>
          <w:rFonts w:asciiTheme="majorHAnsi" w:hAnsiTheme="majorHAnsi"/>
          <w:sz w:val="22"/>
          <w:szCs w:val="22"/>
        </w:rPr>
        <w:t xml:space="preserve">°C, např. </w:t>
      </w:r>
      <w:r w:rsidR="00835E4E" w:rsidRPr="000B16D5">
        <w:rPr>
          <w:rFonts w:asciiTheme="majorHAnsi" w:hAnsiTheme="majorHAnsi"/>
          <w:sz w:val="22"/>
          <w:szCs w:val="22"/>
        </w:rPr>
        <w:t xml:space="preserve">při </w:t>
      </w:r>
      <w:r w:rsidRPr="000B16D5">
        <w:rPr>
          <w:rFonts w:asciiTheme="majorHAnsi" w:hAnsiTheme="majorHAnsi"/>
          <w:sz w:val="22"/>
          <w:szCs w:val="22"/>
        </w:rPr>
        <w:t>přepalování tuků), nebo se do potraviny dostávají zvnějšku</w:t>
      </w:r>
      <w:r w:rsidR="00835E4E" w:rsidRPr="000B16D5">
        <w:rPr>
          <w:rFonts w:asciiTheme="majorHAnsi" w:hAnsiTheme="majorHAnsi"/>
          <w:sz w:val="22"/>
          <w:szCs w:val="22"/>
        </w:rPr>
        <w:t xml:space="preserve"> </w:t>
      </w:r>
      <w:r w:rsidR="00835E4E" w:rsidRPr="000B16D5">
        <w:rPr>
          <w:rFonts w:asciiTheme="majorHAnsi" w:hAnsiTheme="majorHAnsi"/>
          <w:color w:val="000000"/>
          <w:sz w:val="22"/>
          <w:szCs w:val="22"/>
        </w:rPr>
        <w:t>–</w:t>
      </w:r>
      <w:r w:rsidR="00835E4E" w:rsidRPr="000B16D5">
        <w:rPr>
          <w:rFonts w:asciiTheme="majorHAnsi" w:hAnsiTheme="majorHAnsi"/>
          <w:sz w:val="22"/>
          <w:szCs w:val="22"/>
        </w:rPr>
        <w:t xml:space="preserve"> </w:t>
      </w:r>
      <w:r w:rsidRPr="000B16D5">
        <w:rPr>
          <w:rFonts w:asciiTheme="majorHAnsi" w:hAnsiTheme="majorHAnsi"/>
          <w:sz w:val="22"/>
          <w:szCs w:val="22"/>
        </w:rPr>
        <w:t>kouřem při uzení a grilování. V kancerogenezi působí jako mutageny poškozující genom.</w:t>
      </w:r>
    </w:p>
    <w:p w:rsidR="00112887" w:rsidRPr="000B16D5" w:rsidRDefault="004B7B5F" w:rsidP="004B7B5F">
      <w:pPr>
        <w:pStyle w:val="Zkladntext"/>
        <w:numPr>
          <w:ilvl w:val="0"/>
          <w:numId w:val="36"/>
        </w:numPr>
        <w:spacing w:line="276" w:lineRule="auto"/>
        <w:jc w:val="both"/>
        <w:rPr>
          <w:rFonts w:asciiTheme="majorHAnsi" w:hAnsiTheme="majorHAnsi"/>
          <w:color w:val="000000"/>
          <w:sz w:val="22"/>
          <w:szCs w:val="22"/>
        </w:rPr>
      </w:pPr>
      <w:r w:rsidRPr="000B16D5">
        <w:rPr>
          <w:rFonts w:asciiTheme="majorHAnsi" w:hAnsiTheme="majorHAnsi"/>
          <w:i/>
          <w:iCs/>
          <w:color w:val="000000"/>
          <w:sz w:val="22"/>
          <w:szCs w:val="22"/>
        </w:rPr>
        <w:t xml:space="preserve">dusičnany, dusitany, nitrosaminy: </w:t>
      </w:r>
      <w:r w:rsidRPr="000B16D5">
        <w:rPr>
          <w:rFonts w:asciiTheme="majorHAnsi" w:hAnsiTheme="majorHAnsi"/>
          <w:iCs/>
          <w:color w:val="000000"/>
          <w:sz w:val="22"/>
          <w:szCs w:val="22"/>
        </w:rPr>
        <w:t xml:space="preserve">na kancerogenezi mají vliv především karcinogenní nitrosaminy, které vznikají v trávicím traktu z dusičnanů a dusitanů za spolupůsobení sekundárních aminů (např. cigaretový kouř, pivo, víno). Dusičnany se používají jako hnojiva (vysoký obsah v zelenině), nebo </w:t>
      </w:r>
      <w:r w:rsidR="001B3933" w:rsidRPr="000B16D5">
        <w:rPr>
          <w:rFonts w:asciiTheme="majorHAnsi" w:hAnsiTheme="majorHAnsi"/>
          <w:iCs/>
          <w:color w:val="000000"/>
          <w:sz w:val="22"/>
          <w:szCs w:val="22"/>
        </w:rPr>
        <w:t xml:space="preserve">jako </w:t>
      </w:r>
      <w:r w:rsidRPr="000B16D5">
        <w:rPr>
          <w:rFonts w:asciiTheme="majorHAnsi" w:hAnsiTheme="majorHAnsi"/>
          <w:iCs/>
          <w:color w:val="000000"/>
          <w:sz w:val="22"/>
          <w:szCs w:val="22"/>
        </w:rPr>
        <w:t>konzervační látky pro udržení stálé barvy a delší doby trvanlivosti (maso, sýry). Uplatňují se mutagenně při vzniku rakoviny žaludku, tlustého střeva nebo jater.</w:t>
      </w:r>
    </w:p>
    <w:p w:rsidR="004B7B5F" w:rsidRPr="000B16D5" w:rsidRDefault="004B7B5F" w:rsidP="004B7B5F">
      <w:pPr>
        <w:pStyle w:val="Zkladntext"/>
        <w:numPr>
          <w:ilvl w:val="0"/>
          <w:numId w:val="36"/>
        </w:numPr>
        <w:spacing w:line="276" w:lineRule="auto"/>
        <w:jc w:val="both"/>
        <w:rPr>
          <w:rFonts w:asciiTheme="majorHAnsi" w:hAnsiTheme="majorHAnsi"/>
          <w:color w:val="000000"/>
          <w:sz w:val="22"/>
          <w:szCs w:val="22"/>
        </w:rPr>
      </w:pPr>
      <w:r w:rsidRPr="000B16D5">
        <w:rPr>
          <w:rFonts w:asciiTheme="majorHAnsi" w:hAnsiTheme="majorHAnsi"/>
          <w:i/>
          <w:iCs/>
          <w:color w:val="000000"/>
          <w:sz w:val="22"/>
          <w:szCs w:val="22"/>
        </w:rPr>
        <w:t xml:space="preserve">mykotoxiny: </w:t>
      </w:r>
      <w:r w:rsidRPr="000B16D5">
        <w:rPr>
          <w:rFonts w:asciiTheme="majorHAnsi" w:hAnsiTheme="majorHAnsi"/>
          <w:color w:val="000000"/>
          <w:sz w:val="22"/>
          <w:szCs w:val="22"/>
        </w:rPr>
        <w:t>jedovaté produkty hub a plísní, které vznikají při nevhodném skladování potravin. Nejčastěji je nalezneme v obilninách (pšenice, rýže, kukuřice), luštěninách nebo oříšcích. Mohou se vyskytovat i v krmivu zvířat, odkud se dostávají s masem nebo mlékem do lidského těla. Na</w:t>
      </w:r>
      <w:r w:rsidR="0033085E" w:rsidRPr="000B16D5">
        <w:rPr>
          <w:rFonts w:asciiTheme="majorHAnsi" w:hAnsiTheme="majorHAnsi"/>
          <w:color w:val="000000"/>
          <w:sz w:val="22"/>
          <w:szCs w:val="22"/>
        </w:rPr>
        <w:t xml:space="preserve"> </w:t>
      </w:r>
      <w:r w:rsidRPr="000B16D5">
        <w:rPr>
          <w:rFonts w:asciiTheme="majorHAnsi" w:hAnsiTheme="majorHAnsi"/>
          <w:color w:val="000000"/>
          <w:sz w:val="22"/>
          <w:szCs w:val="22"/>
        </w:rPr>
        <w:t xml:space="preserve">rozdíl od jejich původců jsou mykotoxiny odolné i proti tepelné úpravě potravin a je prokázana jejich příčinná souvislost s novotvary jater. Nejvýznamější skupinou jsou </w:t>
      </w:r>
      <w:r w:rsidRPr="000B16D5">
        <w:rPr>
          <w:rFonts w:asciiTheme="majorHAnsi" w:hAnsiTheme="majorHAnsi"/>
          <w:i/>
          <w:iCs/>
          <w:color w:val="000000"/>
          <w:sz w:val="22"/>
          <w:szCs w:val="22"/>
        </w:rPr>
        <w:t>aflatoxiny</w:t>
      </w:r>
      <w:r w:rsidRPr="000B16D5">
        <w:rPr>
          <w:rFonts w:asciiTheme="majorHAnsi" w:hAnsiTheme="majorHAnsi"/>
          <w:color w:val="000000"/>
          <w:sz w:val="22"/>
          <w:szCs w:val="22"/>
        </w:rPr>
        <w:t>.</w:t>
      </w:r>
    </w:p>
    <w:p w:rsidR="008017BA" w:rsidRPr="000B16D5" w:rsidRDefault="008017BA" w:rsidP="00CA082E">
      <w:pPr>
        <w:jc w:val="both"/>
        <w:rPr>
          <w:rFonts w:asciiTheme="majorHAnsi" w:hAnsiTheme="majorHAnsi"/>
        </w:rPr>
      </w:pPr>
    </w:p>
    <w:p w:rsidR="00CA082E" w:rsidRPr="000B16D5" w:rsidRDefault="00CA082E" w:rsidP="00CA082E">
      <w:pPr>
        <w:jc w:val="both"/>
        <w:rPr>
          <w:rFonts w:asciiTheme="majorHAnsi" w:hAnsiTheme="majorHAnsi"/>
        </w:rPr>
      </w:pPr>
      <w:r w:rsidRPr="000B16D5">
        <w:rPr>
          <w:rFonts w:asciiTheme="majorHAnsi" w:hAnsiTheme="majorHAnsi"/>
        </w:rPr>
        <w:t>____________________________________________</w:t>
      </w:r>
    </w:p>
    <w:p w:rsidR="00CA082E" w:rsidRPr="000B16D5" w:rsidRDefault="00CA082E" w:rsidP="00CA082E">
      <w:pPr>
        <w:spacing w:after="0"/>
        <w:jc w:val="both"/>
        <w:rPr>
          <w:rFonts w:asciiTheme="majorHAnsi" w:hAnsiTheme="majorHAnsi"/>
          <w:b/>
          <w:sz w:val="20"/>
        </w:rPr>
      </w:pPr>
      <w:r w:rsidRPr="000B16D5">
        <w:rPr>
          <w:rFonts w:asciiTheme="majorHAnsi" w:hAnsiTheme="majorHAnsi"/>
          <w:b/>
          <w:sz w:val="20"/>
        </w:rPr>
        <w:t>Zdroje:</w:t>
      </w:r>
    </w:p>
    <w:p w:rsidR="00CA082E" w:rsidRPr="000B16D5" w:rsidRDefault="00CA082E" w:rsidP="00CA082E">
      <w:pPr>
        <w:pStyle w:val="Odstavecseseznamem"/>
        <w:numPr>
          <w:ilvl w:val="0"/>
          <w:numId w:val="32"/>
        </w:numPr>
        <w:jc w:val="both"/>
        <w:rPr>
          <w:rFonts w:asciiTheme="majorHAnsi" w:hAnsiTheme="majorHAnsi"/>
          <w:sz w:val="16"/>
        </w:rPr>
        <w:sectPr w:rsidR="00CA082E" w:rsidRPr="000B16D5" w:rsidSect="00A2684E">
          <w:type w:val="continuous"/>
          <w:pgSz w:w="11906" w:h="16838"/>
          <w:pgMar w:top="720" w:right="720" w:bottom="720" w:left="720" w:header="708" w:footer="708" w:gutter="0"/>
          <w:pgNumType w:start="78"/>
          <w:cols w:space="708"/>
          <w:titlePg/>
          <w:docGrid w:linePitch="360"/>
        </w:sectPr>
      </w:pP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lastRenderedPageBreak/>
        <w:t>Novotná Š, Vitamin D u onkologických pacientů, 2012, Závěrečná práce dostupná na http://is.muni.cz/th/223524/lf_m/</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http://www.uzis.cz/publikace/zdravotnicka-rocenka-ceske-republiky-2011</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Heike Allgayer,Helga Rehder,Simone Fulda, Hereditary Tumors: From Genes to Clinical Consequences, John Wiley &amp; Sons, 2009, ISBN 9783527627530</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Nečas E. et al., Obecná patologická fyziologie, Praha – Karolinum, 2007,</w:t>
      </w:r>
      <w:r w:rsidRPr="000B16D5">
        <w:rPr>
          <w:rFonts w:asciiTheme="majorHAnsi" w:hAnsiTheme="majorHAnsi"/>
        </w:rPr>
        <w:t xml:space="preserve"> </w:t>
      </w:r>
      <w:r w:rsidRPr="000B16D5">
        <w:rPr>
          <w:rFonts w:asciiTheme="majorHAnsi" w:hAnsiTheme="majorHAnsi"/>
          <w:sz w:val="16"/>
        </w:rPr>
        <w:t>ISBN: 978-80-246-1688-9</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Stratil P., Kubáň V., Princip kanrcinogeneze a přírodní karcinogenní sloučeniny v potravinách, 2004, Chem. Listy 98, 379−387</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Lindor NM, Petersen GM, Hadley DW, Kinney AY, Miesfeldt S, Lu KH, Lynch P, Burke W, Press N., Recommendations for the care of individuals with an inherited predisposition to Lynch syndrome: a systematic review.</w:t>
      </w:r>
      <w:r w:rsidRPr="000B16D5">
        <w:rPr>
          <w:rFonts w:asciiTheme="majorHAnsi" w:hAnsiTheme="majorHAnsi"/>
        </w:rPr>
        <w:t xml:space="preserve"> </w:t>
      </w:r>
      <w:r w:rsidRPr="000B16D5">
        <w:rPr>
          <w:rFonts w:asciiTheme="majorHAnsi" w:hAnsiTheme="majorHAnsi"/>
          <w:sz w:val="16"/>
        </w:rPr>
        <w:t>JAMA. 2006 Sep 27;296(12):1507-17.</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http://cancer.stanford.edu/information/nutritionAndCancer/reduceRisk/</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CAPP2 Investigators, Long-term effect of resistant starch on cancer risk in carriers of hereditary colorectal cancer: an analysis from the CAPP2 randomised controlled trial. Lancet Oncol. 2012 Dec;13(12):1242-9. doi: 10.1016/S1470-2045(12)70475-8.</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Rahner N, Steinke V., Hereditary cancer syndromes.</w:t>
      </w:r>
      <w:r w:rsidRPr="000B16D5">
        <w:rPr>
          <w:rFonts w:asciiTheme="majorHAnsi" w:hAnsiTheme="majorHAnsi"/>
        </w:rPr>
        <w:t xml:space="preserve"> </w:t>
      </w:r>
      <w:r w:rsidRPr="000B16D5">
        <w:rPr>
          <w:rFonts w:asciiTheme="majorHAnsi" w:hAnsiTheme="majorHAnsi"/>
          <w:sz w:val="16"/>
        </w:rPr>
        <w:t>Dtsch Arztebl Int. 2008 Oct;105(41):706-14. doi: 10.3238/arztebl.2008.0706.</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http://www.svod.cz</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http://www.nutrition.gov/nutrition-and-health-issues/cancer</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lastRenderedPageBreak/>
        <w:t>Higdon JV, Delage B, Williams DE, Dashwood RH. Cruciferous vegetables and human cancer risk: epidemiologic evidence and mechanistic basis. Pharmacol Res. 2007 Mar;55(3):224-36. Epub 2007 Jan 25.</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Dinkova-Kostova AT., Chemoprotection against cancer by isothiocyanates: a focus on the animal models and the protective mechanisms.</w:t>
      </w:r>
      <w:r w:rsidRPr="000B16D5">
        <w:rPr>
          <w:rFonts w:asciiTheme="majorHAnsi" w:hAnsiTheme="majorHAnsi"/>
        </w:rPr>
        <w:t xml:space="preserve"> </w:t>
      </w:r>
      <w:r w:rsidRPr="000B16D5">
        <w:rPr>
          <w:rFonts w:asciiTheme="majorHAnsi" w:hAnsiTheme="majorHAnsi"/>
          <w:sz w:val="16"/>
        </w:rPr>
        <w:t>Top Curr Chem. 2013;329:179-201. doi: 10.1007/128_2012_337.</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Holick CN, Stanford JL, Kwon EM, Ostrander EA, Nejentsev S, Peters U. Comprehensive association analysis of the vitamin D pathway genes, VDR, CYP27B1, and CYP24A1, in prostate cancer.</w:t>
      </w:r>
      <w:r w:rsidRPr="000B16D5">
        <w:rPr>
          <w:rFonts w:asciiTheme="majorHAnsi" w:hAnsiTheme="majorHAnsi"/>
        </w:rPr>
        <w:t xml:space="preserve"> </w:t>
      </w:r>
      <w:r w:rsidRPr="000B16D5">
        <w:rPr>
          <w:rFonts w:asciiTheme="majorHAnsi" w:hAnsiTheme="majorHAnsi"/>
          <w:sz w:val="16"/>
        </w:rPr>
        <w:t>Cancer Epidemiol Biomarkers Prev. 2007 Oct;16(10):1990-9.</w:t>
      </w:r>
    </w:p>
    <w:p w:rsidR="006E43B2" w:rsidRPr="000B16D5" w:rsidRDefault="00905D12" w:rsidP="00905D12">
      <w:pPr>
        <w:pStyle w:val="Odstavecseseznamem"/>
        <w:numPr>
          <w:ilvl w:val="0"/>
          <w:numId w:val="37"/>
        </w:numPr>
        <w:jc w:val="both"/>
        <w:rPr>
          <w:rFonts w:asciiTheme="majorHAnsi" w:hAnsiTheme="majorHAnsi"/>
          <w:sz w:val="16"/>
        </w:rPr>
      </w:pPr>
      <w:r w:rsidRPr="000B16D5">
        <w:rPr>
          <w:rFonts w:asciiTheme="majorHAnsi" w:hAnsiTheme="majorHAnsi"/>
          <w:sz w:val="16"/>
        </w:rPr>
        <w:t>Stubbins RE, Hakeem A, Núñez NP. Using components of the vitamin D pathway to prevent and treat colon cancer.</w:t>
      </w:r>
      <w:r w:rsidRPr="000B16D5">
        <w:rPr>
          <w:rFonts w:asciiTheme="majorHAnsi" w:hAnsiTheme="majorHAnsi"/>
        </w:rPr>
        <w:t xml:space="preserve"> </w:t>
      </w:r>
      <w:r w:rsidRPr="000B16D5">
        <w:rPr>
          <w:rFonts w:asciiTheme="majorHAnsi" w:hAnsiTheme="majorHAnsi"/>
          <w:sz w:val="16"/>
        </w:rPr>
        <w:t>Nutr Rev. 2012 Dec;70(12):721-9. doi: 10.1111/j.1753-4887.2012.00522.x</w:t>
      </w:r>
    </w:p>
    <w:p w:rsidR="006E43B2" w:rsidRPr="000B16D5" w:rsidRDefault="00905D12" w:rsidP="00905D12">
      <w:pPr>
        <w:pStyle w:val="Odstavecseseznamem"/>
        <w:numPr>
          <w:ilvl w:val="0"/>
          <w:numId w:val="37"/>
        </w:numPr>
        <w:jc w:val="both"/>
        <w:rPr>
          <w:rFonts w:asciiTheme="majorHAnsi" w:hAnsiTheme="majorHAnsi"/>
          <w:sz w:val="16"/>
        </w:rPr>
      </w:pPr>
      <w:r w:rsidRPr="000B16D5">
        <w:rPr>
          <w:rFonts w:asciiTheme="majorHAnsi" w:hAnsiTheme="majorHAnsi"/>
          <w:sz w:val="16"/>
        </w:rPr>
        <w:t>Thiébaut AC, Chajès V, Clavel-Chapelon F, Gerber M. Unsaturated fatty acids intake and breast cancer risk: epidemiological data review. Bull Cancer. 2005 Jul;92(7):658-69.</w:t>
      </w:r>
    </w:p>
    <w:p w:rsidR="00905D12" w:rsidRPr="000B16D5" w:rsidRDefault="00905D12" w:rsidP="00905D12">
      <w:pPr>
        <w:pStyle w:val="Odstavecseseznamem"/>
        <w:numPr>
          <w:ilvl w:val="0"/>
          <w:numId w:val="37"/>
        </w:numPr>
        <w:jc w:val="both"/>
        <w:rPr>
          <w:rFonts w:asciiTheme="majorHAnsi" w:hAnsiTheme="majorHAnsi"/>
          <w:sz w:val="16"/>
        </w:rPr>
      </w:pPr>
      <w:r w:rsidRPr="000B16D5">
        <w:rPr>
          <w:rFonts w:asciiTheme="majorHAnsi" w:hAnsiTheme="majorHAnsi"/>
          <w:sz w:val="16"/>
        </w:rPr>
        <w:t>Shen XJ, Zhou JD, Dong JY, Ding WQ, Wu JC. Dietary intake of n-3 fatty acids and colorectal cancer risk: a meta-analysis of data from 489 000 individuals.</w:t>
      </w:r>
      <w:r w:rsidRPr="000B16D5">
        <w:rPr>
          <w:rFonts w:asciiTheme="majorHAnsi" w:hAnsiTheme="majorHAnsi"/>
        </w:rPr>
        <w:t xml:space="preserve"> </w:t>
      </w:r>
      <w:r w:rsidRPr="000B16D5">
        <w:rPr>
          <w:rFonts w:asciiTheme="majorHAnsi" w:hAnsiTheme="majorHAnsi"/>
          <w:sz w:val="16"/>
        </w:rPr>
        <w:t>Br J Nutr. 2012 Nov 14;108(9):1550-6. doi: 10.1017/S0007114512003546.</w:t>
      </w:r>
    </w:p>
    <w:p w:rsidR="006E43B2" w:rsidRPr="000B16D5" w:rsidRDefault="006E43B2" w:rsidP="006E43B2">
      <w:pPr>
        <w:pStyle w:val="Odstavecseseznamem"/>
        <w:numPr>
          <w:ilvl w:val="0"/>
          <w:numId w:val="37"/>
        </w:numPr>
        <w:jc w:val="both"/>
        <w:rPr>
          <w:rFonts w:asciiTheme="majorHAnsi" w:hAnsiTheme="majorHAnsi"/>
          <w:sz w:val="16"/>
        </w:rPr>
      </w:pPr>
      <w:r w:rsidRPr="000B16D5">
        <w:rPr>
          <w:rFonts w:asciiTheme="majorHAnsi" w:hAnsiTheme="majorHAnsi"/>
          <w:sz w:val="16"/>
        </w:rPr>
        <w:t>http://www.cancer.gov/cancertopics/factsheet/prevention/tea#a2</w:t>
      </w:r>
    </w:p>
    <w:p w:rsidR="006E43B2" w:rsidRPr="000B16D5" w:rsidRDefault="00905D12" w:rsidP="00905D12">
      <w:pPr>
        <w:pStyle w:val="Odstavecseseznamem"/>
        <w:numPr>
          <w:ilvl w:val="0"/>
          <w:numId w:val="37"/>
        </w:numPr>
        <w:jc w:val="both"/>
        <w:rPr>
          <w:rFonts w:asciiTheme="majorHAnsi" w:hAnsiTheme="majorHAnsi"/>
          <w:sz w:val="16"/>
        </w:rPr>
      </w:pPr>
      <w:r w:rsidRPr="000B16D5">
        <w:rPr>
          <w:rFonts w:asciiTheme="majorHAnsi" w:hAnsiTheme="majorHAnsi"/>
          <w:sz w:val="16"/>
        </w:rPr>
        <w:lastRenderedPageBreak/>
        <w:t>Aggarwal BB, Kumar A, Bharti AC. Anticancer potential of curcumin: preclinical and clinical studies. Anticancer Res. 2003 Jan-Feb;23(1A):363-98.</w:t>
      </w:r>
    </w:p>
    <w:p w:rsidR="00112887" w:rsidRPr="000B16D5" w:rsidRDefault="00905D12" w:rsidP="00905D12">
      <w:pPr>
        <w:pStyle w:val="Odstavecseseznamem"/>
        <w:numPr>
          <w:ilvl w:val="0"/>
          <w:numId w:val="37"/>
        </w:numPr>
        <w:jc w:val="both"/>
        <w:rPr>
          <w:rFonts w:asciiTheme="majorHAnsi" w:hAnsiTheme="majorHAnsi"/>
          <w:sz w:val="16"/>
        </w:rPr>
      </w:pPr>
      <w:r w:rsidRPr="000B16D5">
        <w:rPr>
          <w:rFonts w:asciiTheme="majorHAnsi" w:hAnsiTheme="majorHAnsi"/>
          <w:sz w:val="16"/>
        </w:rPr>
        <w:t>López-Lázaro M. Anticancer and carcinogenic properties of curcumin: considerations for its clinical development as a cancer chemopreventive and chemotherapeutic agent.</w:t>
      </w:r>
      <w:r w:rsidRPr="000B16D5">
        <w:rPr>
          <w:rFonts w:asciiTheme="majorHAnsi" w:hAnsiTheme="majorHAnsi"/>
        </w:rPr>
        <w:t xml:space="preserve"> </w:t>
      </w:r>
      <w:r w:rsidRPr="000B16D5">
        <w:rPr>
          <w:rFonts w:asciiTheme="majorHAnsi" w:hAnsiTheme="majorHAnsi"/>
          <w:sz w:val="16"/>
        </w:rPr>
        <w:t>Mol Nutr Food Res. 2008 Jun;52 Suppl 1:S103-27. doi: 10.1002/mnfr.200700238.</w:t>
      </w:r>
    </w:p>
    <w:p w:rsidR="006E43B2" w:rsidRPr="000B16D5" w:rsidRDefault="00905D12" w:rsidP="00905D12">
      <w:pPr>
        <w:pStyle w:val="Odstavecseseznamem"/>
        <w:numPr>
          <w:ilvl w:val="0"/>
          <w:numId w:val="37"/>
        </w:numPr>
        <w:jc w:val="both"/>
        <w:rPr>
          <w:rFonts w:asciiTheme="majorHAnsi" w:hAnsiTheme="majorHAnsi"/>
          <w:sz w:val="16"/>
        </w:rPr>
      </w:pPr>
      <w:r w:rsidRPr="000B16D5">
        <w:rPr>
          <w:rFonts w:asciiTheme="majorHAnsi" w:hAnsiTheme="majorHAnsi"/>
          <w:sz w:val="16"/>
        </w:rPr>
        <w:t>Tomaniová M., Kocourek V., Hajšlová J., Polycyklické aromatické uhlovodíky v potravinách, 1997, Chem. Listy 91, 357-366</w:t>
      </w:r>
    </w:p>
    <w:p w:rsidR="006E43B2" w:rsidRPr="000B16D5" w:rsidRDefault="00905D12" w:rsidP="006E43B2">
      <w:pPr>
        <w:pStyle w:val="Odstavecseseznamem"/>
        <w:numPr>
          <w:ilvl w:val="0"/>
          <w:numId w:val="37"/>
        </w:numPr>
        <w:jc w:val="both"/>
        <w:rPr>
          <w:rFonts w:asciiTheme="majorHAnsi" w:hAnsiTheme="majorHAnsi"/>
          <w:sz w:val="16"/>
        </w:rPr>
      </w:pPr>
      <w:r w:rsidRPr="000B16D5">
        <w:rPr>
          <w:rFonts w:asciiTheme="majorHAnsi" w:hAnsiTheme="majorHAnsi"/>
          <w:sz w:val="16"/>
        </w:rPr>
        <w:t>http://www.medicinapropraxi.cz/pdfs/med/2008/09/13.pd</w:t>
      </w:r>
      <w:r w:rsidR="006E43B2" w:rsidRPr="000B16D5">
        <w:rPr>
          <w:rFonts w:asciiTheme="majorHAnsi" w:hAnsiTheme="majorHAnsi"/>
          <w:sz w:val="16"/>
        </w:rPr>
        <w:t>f</w:t>
      </w:r>
    </w:p>
    <w:sectPr w:rsidR="006E43B2" w:rsidRPr="000B16D5" w:rsidSect="00A2684E">
      <w:type w:val="continuous"/>
      <w:pgSz w:w="11906" w:h="16838"/>
      <w:pgMar w:top="720" w:right="720" w:bottom="720" w:left="720" w:header="708" w:footer="708" w:gutter="0"/>
      <w:pgNumType w:start="86"/>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8D9" w:rsidRDefault="008468D9" w:rsidP="00312118">
      <w:pPr>
        <w:spacing w:after="0" w:line="240" w:lineRule="auto"/>
      </w:pPr>
      <w:r>
        <w:separator/>
      </w:r>
    </w:p>
  </w:endnote>
  <w:endnote w:type="continuationSeparator" w:id="0">
    <w:p w:rsidR="008468D9" w:rsidRDefault="008468D9" w:rsidP="00312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rebuchetMS-Bold">
    <w:altName w:val="Times New Roman"/>
    <w:charset w:val="EE"/>
    <w:family w:val="auto"/>
    <w:pitch w:val="default"/>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TBDFo00">
    <w:altName w:val="MS Gothic"/>
    <w:panose1 w:val="00000000000000000000"/>
    <w:charset w:val="80"/>
    <w:family w:val="swiss"/>
    <w:notTrueType/>
    <w:pitch w:val="default"/>
    <w:sig w:usb0="00000000" w:usb1="08070000" w:usb2="00000010" w:usb3="00000000" w:csb0="00020000" w:csb1="00000000"/>
  </w:font>
  <w:font w:name="TTBE8o00">
    <w:altName w:val="MS Gothic"/>
    <w:panose1 w:val="00000000000000000000"/>
    <w:charset w:val="80"/>
    <w:family w:val="swiss"/>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565053"/>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8588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24"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Default="00440FD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B10F8" w:rsidRPr="00FB10F8">
                                <w:rPr>
                                  <w:noProof/>
                                  <w:color w:val="C0504D" w:themeColor="accent2"/>
                                </w:rPr>
                                <w:t>7</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Obdélník 650" o:spid="_x0000_s1041" style="position:absolute;margin-left:0;margin-top:0;width:44.55pt;height:15.1pt;rotation:180;flip:x;z-index:2516858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eiiGusgCAACtBQAADgAAAAAAAAAAAAAAAAAuAgAAZHJzL2Uyb0RvYy54bWxQSwECLQAU&#10;AAYACAAAACEAI+V68dsAAAADAQAADwAAAAAAAAAAAAAAAAAiBQAAZHJzL2Rvd25yZXYueG1sUEsF&#10;BgAAAAAEAAQA8wAAACoGAAAAAA==&#10;" filled="f" fillcolor="#c0504d" stroked="f" strokecolor="#5c83b4" strokeweight="2.25pt">
                  <v:textbox inset=",0,,0">
                    <w:txbxContent>
                      <w:p w:rsidR="00440FD1" w:rsidRDefault="00440FD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B10F8" w:rsidRPr="00FB10F8">
                          <w:rPr>
                            <w:noProof/>
                            <w:color w:val="C0504D" w:themeColor="accent2"/>
                          </w:rPr>
                          <w:t>7</w:t>
                        </w:r>
                        <w:r>
                          <w:rPr>
                            <w:color w:val="C0504D" w:themeColor="accent2"/>
                          </w:rPr>
                          <w:fldChar w:fldCharType="end"/>
                        </w:r>
                      </w:p>
                    </w:txbxContent>
                  </v:textbox>
                  <w10:wrap anchorx="margin" anchory="margin"/>
                </v:rect>
              </w:pict>
            </mc:Fallback>
          </mc:AlternateConten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267279"/>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87936" behindDoc="0" locked="0" layoutInCell="1" allowOverlap="1" wp14:anchorId="6E4D36B6" wp14:editId="2338D9D5">
                  <wp:simplePos x="0" y="0"/>
                  <wp:positionH relativeFrom="rightMargin">
                    <wp:align>center</wp:align>
                  </wp:positionH>
                  <wp:positionV relativeFrom="bottomMargin">
                    <wp:align>center</wp:align>
                  </wp:positionV>
                  <wp:extent cx="565785" cy="191770"/>
                  <wp:effectExtent l="0" t="0" r="0" b="0"/>
                  <wp:wrapNone/>
                  <wp:docPr id="8"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56</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E4D36B6" id="_x0000_s1050" style="position:absolute;margin-left:0;margin-top:0;width:44.55pt;height:15.1pt;rotation:180;flip:x;z-index:2516879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56</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230552"/>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77696" behindDoc="0" locked="0" layoutInCell="1" allowOverlap="1" wp14:anchorId="5C3B8D38" wp14:editId="73A593F4">
                  <wp:simplePos x="0" y="0"/>
                  <wp:positionH relativeFrom="rightMargin">
                    <wp:align>center</wp:align>
                  </wp:positionH>
                  <wp:positionV relativeFrom="bottomMargin">
                    <wp:align>center</wp:align>
                  </wp:positionV>
                  <wp:extent cx="565785" cy="191770"/>
                  <wp:effectExtent l="0" t="0" r="0" b="0"/>
                  <wp:wrapNone/>
                  <wp:docPr id="15"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59</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C3B8D38" id="_x0000_s1051" style="position:absolute;margin-left:0;margin-top:0;width:44.55pt;height:15.1pt;rotation:180;flip:x;z-index:25167769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59</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961845"/>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79744" behindDoc="0" locked="0" layoutInCell="1" allowOverlap="1" wp14:anchorId="715CF338" wp14:editId="15EB8F14">
                  <wp:simplePos x="0" y="0"/>
                  <wp:positionH relativeFrom="rightMargin">
                    <wp:align>center</wp:align>
                  </wp:positionH>
                  <wp:positionV relativeFrom="bottomMargin">
                    <wp:align>center</wp:align>
                  </wp:positionV>
                  <wp:extent cx="565785" cy="191770"/>
                  <wp:effectExtent l="0" t="0" r="0" b="0"/>
                  <wp:wrapNone/>
                  <wp:docPr id="13"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64</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15CF338" id="_x0000_s1052" style="position:absolute;margin-left:0;margin-top:0;width:44.55pt;height:15.1pt;rotation:180;flip:x;z-index:25167974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64</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879953"/>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81792" behindDoc="0" locked="0" layoutInCell="1" allowOverlap="1" wp14:anchorId="48D65938" wp14:editId="6229992D">
                  <wp:simplePos x="0" y="0"/>
                  <wp:positionH relativeFrom="rightMargin">
                    <wp:align>center</wp:align>
                  </wp:positionH>
                  <wp:positionV relativeFrom="bottomMargin">
                    <wp:align>center</wp:align>
                  </wp:positionV>
                  <wp:extent cx="565785" cy="191770"/>
                  <wp:effectExtent l="0" t="0" r="0" b="0"/>
                  <wp:wrapNone/>
                  <wp:docPr id="650"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87</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8D65938" id="_x0000_s1053" style="position:absolute;margin-left:0;margin-top:0;width:44.55pt;height:15.1pt;rotation:180;flip:x;z-index:25168179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87</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127090"/>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83840" behindDoc="0" locked="0" layoutInCell="1" allowOverlap="1" wp14:anchorId="067BE1BE" wp14:editId="598FDDCF">
                  <wp:simplePos x="0" y="0"/>
                  <wp:positionH relativeFrom="rightMargin">
                    <wp:align>center</wp:align>
                  </wp:positionH>
                  <wp:positionV relativeFrom="bottomMargin">
                    <wp:align>center</wp:align>
                  </wp:positionV>
                  <wp:extent cx="565785" cy="191770"/>
                  <wp:effectExtent l="0" t="0" r="0" b="0"/>
                  <wp:wrapNone/>
                  <wp:docPr id="23"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Default="00440FD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B10F8" w:rsidRPr="00FB10F8">
                                <w:rPr>
                                  <w:noProof/>
                                  <w:color w:val="C0504D" w:themeColor="accent2"/>
                                </w:rPr>
                                <w:t>12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67BE1BE" id="_x0000_s1042" style="position:absolute;margin-left:0;margin-top:0;width:44.55pt;height:15.1pt;rotation:180;flip:x;z-index:2516838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&#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nZFQUcsCAAC0BQAADgAAAAAAAAAAAAAAAAAuAgAAZHJzL2Uyb0RvYy54bWxQSwEC&#10;LQAUAAYACAAAACEAI+V68dsAAAADAQAADwAAAAAAAAAAAAAAAAAlBQAAZHJzL2Rvd25yZXYueG1s&#10;UEsFBgAAAAAEAAQA8wAAAC0GAAAAAA==&#10;" filled="f" fillcolor="#c0504d" stroked="f" strokecolor="#5c83b4" strokeweight="2.25pt">
                  <v:textbox inset=",0,,0">
                    <w:txbxContent>
                      <w:p w:rsidR="00440FD1" w:rsidRDefault="00440FD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B10F8" w:rsidRPr="00FB10F8">
                          <w:rPr>
                            <w:noProof/>
                            <w:color w:val="C0504D" w:themeColor="accent2"/>
                          </w:rPr>
                          <w:t>12</w:t>
                        </w:r>
                        <w:r>
                          <w:rPr>
                            <w:color w:val="C0504D"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295544"/>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65408" behindDoc="0" locked="0" layoutInCell="1" allowOverlap="1" wp14:anchorId="55C7FFF1" wp14:editId="74B29870">
                  <wp:simplePos x="0" y="0"/>
                  <wp:positionH relativeFrom="rightMargin">
                    <wp:align>center</wp:align>
                  </wp:positionH>
                  <wp:positionV relativeFrom="bottomMargin">
                    <wp:align>center</wp:align>
                  </wp:positionV>
                  <wp:extent cx="565785" cy="191770"/>
                  <wp:effectExtent l="0" t="0" r="0" b="0"/>
                  <wp:wrapNone/>
                  <wp:docPr id="22"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20</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5C7FFF1" id="_x0000_s1043"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&#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xWaNX8sCAAC0BQAADgAAAAAAAAAAAAAAAAAuAgAAZHJzL2Uyb0RvYy54bWxQSwEC&#10;LQAUAAYACAAAACEAI+V68dsAAAADAQAADwAAAAAAAAAAAAAAAAAlBQAAZHJzL2Rvd25yZXYueG1s&#10;UEsFBgAAAAAEAAQA8wAAAC0GA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20</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694694"/>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67456" behindDoc="0" locked="0" layoutInCell="1" allowOverlap="1" wp14:anchorId="351F96BF" wp14:editId="17E6DFA0">
                  <wp:simplePos x="0" y="0"/>
                  <wp:positionH relativeFrom="rightMargin">
                    <wp:align>center</wp:align>
                  </wp:positionH>
                  <wp:positionV relativeFrom="bottomMargin">
                    <wp:align>center</wp:align>
                  </wp:positionV>
                  <wp:extent cx="565785" cy="191770"/>
                  <wp:effectExtent l="0" t="0" r="0" b="0"/>
                  <wp:wrapNone/>
                  <wp:docPr id="21"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24</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51F96BF" id="_x0000_s1044" style="position:absolute;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24</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501994"/>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63360" behindDoc="0" locked="0" layoutInCell="1" allowOverlap="1" wp14:anchorId="1BC16436" wp14:editId="652E2CBA">
                  <wp:simplePos x="0" y="0"/>
                  <wp:positionH relativeFrom="rightMargin">
                    <wp:align>center</wp:align>
                  </wp:positionH>
                  <wp:positionV relativeFrom="bottomMargin">
                    <wp:align>center</wp:align>
                  </wp:positionV>
                  <wp:extent cx="565785" cy="191770"/>
                  <wp:effectExtent l="0" t="0" r="0" b="0"/>
                  <wp:wrapNone/>
                  <wp:docPr id="20"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Pr="008618D5">
                                <w:rPr>
                                  <w:rFonts w:ascii="Palatino Linotype" w:hAnsi="Palatino Linotype"/>
                                  <w:noProof/>
                                  <w:color w:val="C0504D" w:themeColor="accent2"/>
                                </w:rPr>
                                <w:t>4</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BC16436" id="_x0000_s1045"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&#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dYg2QssCAAC0BQAADgAAAAAAAAAAAAAAAAAuAgAAZHJzL2Uyb0RvYy54bWxQSwEC&#10;LQAUAAYACAAAACEAI+V68dsAAAADAQAADwAAAAAAAAAAAAAAAAAlBQAAZHJzL2Rvd25yZXYueG1s&#10;UEsFBgAAAAAEAAQA8wAAAC0GA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Pr="008618D5">
                          <w:rPr>
                            <w:rFonts w:ascii="Palatino Linotype" w:hAnsi="Palatino Linotype"/>
                            <w:noProof/>
                            <w:color w:val="C0504D" w:themeColor="accent2"/>
                          </w:rPr>
                          <w:t>4</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198149"/>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69504" behindDoc="0" locked="0" layoutInCell="1" allowOverlap="1" wp14:anchorId="2C5627B6" wp14:editId="003E38FA">
                  <wp:simplePos x="0" y="0"/>
                  <wp:positionH relativeFrom="rightMargin">
                    <wp:align>center</wp:align>
                  </wp:positionH>
                  <wp:positionV relativeFrom="bottomMargin">
                    <wp:align>center</wp:align>
                  </wp:positionV>
                  <wp:extent cx="565785" cy="191770"/>
                  <wp:effectExtent l="0" t="0" r="0" b="0"/>
                  <wp:wrapNone/>
                  <wp:docPr id="19"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1</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C5627B6" id="_x0000_s1046" style="position:absolute;margin-left:0;margin-top:0;width:44.55pt;height:15.1pt;rotation:180;flip:x;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1</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845875"/>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71552" behindDoc="0" locked="0" layoutInCell="1" allowOverlap="1" wp14:anchorId="7A1E860C" wp14:editId="000961EA">
                  <wp:simplePos x="0" y="0"/>
                  <wp:positionH relativeFrom="rightMargin">
                    <wp:align>center</wp:align>
                  </wp:positionH>
                  <wp:positionV relativeFrom="bottomMargin">
                    <wp:align>center</wp:align>
                  </wp:positionV>
                  <wp:extent cx="565785" cy="191770"/>
                  <wp:effectExtent l="0" t="0" r="0" b="0"/>
                  <wp:wrapNone/>
                  <wp:docPr id="18"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32</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A1E860C" id="_x0000_s1047"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&#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i9ridcsCAAC0BQAADgAAAAAAAAAAAAAAAAAuAgAAZHJzL2Uyb0RvYy54bWxQSwEC&#10;LQAUAAYACAAAACEAI+V68dsAAAADAQAADwAAAAAAAAAAAAAAAAAlBQAAZHJzL2Rvd25yZXYueG1s&#10;UEsFBgAAAAAEAAQA8wAAAC0GA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32</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791392"/>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73600" behindDoc="0" locked="0" layoutInCell="1" allowOverlap="1" wp14:anchorId="6C443A86" wp14:editId="10862324">
                  <wp:simplePos x="0" y="0"/>
                  <wp:positionH relativeFrom="rightMargin">
                    <wp:align>center</wp:align>
                  </wp:positionH>
                  <wp:positionV relativeFrom="bottomMargin">
                    <wp:align>center</wp:align>
                  </wp:positionV>
                  <wp:extent cx="565785" cy="191770"/>
                  <wp:effectExtent l="0" t="0" r="0" b="0"/>
                  <wp:wrapNone/>
                  <wp:docPr id="17"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38</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C443A86" id="_x0000_s1048" style="position:absolute;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38</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023594"/>
      <w:docPartObj>
        <w:docPartGallery w:val="Page Numbers (Bottom of Page)"/>
        <w:docPartUnique/>
      </w:docPartObj>
    </w:sdtPr>
    <w:sdtEndPr/>
    <w:sdtContent>
      <w:p w:rsidR="00440FD1" w:rsidRDefault="00440FD1">
        <w:pPr>
          <w:pStyle w:val="Zpat"/>
        </w:pPr>
        <w:r>
          <w:rPr>
            <w:noProof/>
          </w:rPr>
          <mc:AlternateContent>
            <mc:Choice Requires="wps">
              <w:drawing>
                <wp:anchor distT="0" distB="0" distL="114300" distR="114300" simplePos="0" relativeHeight="251675648" behindDoc="0" locked="0" layoutInCell="1" allowOverlap="1" wp14:anchorId="255A770E" wp14:editId="1A962DC7">
                  <wp:simplePos x="0" y="0"/>
                  <wp:positionH relativeFrom="rightMargin">
                    <wp:align>center</wp:align>
                  </wp:positionH>
                  <wp:positionV relativeFrom="bottomMargin">
                    <wp:align>center</wp:align>
                  </wp:positionV>
                  <wp:extent cx="565785" cy="191770"/>
                  <wp:effectExtent l="0" t="0" r="0" b="0"/>
                  <wp:wrapNone/>
                  <wp:docPr id="16" name="Obdélní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53</w:t>
                              </w:r>
                              <w:r w:rsidRPr="00062176">
                                <w:rPr>
                                  <w:rFonts w:ascii="Palatino Linotype" w:hAnsi="Palatino Linotype"/>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55A770E" id="_x0000_s1049" style="position:absolute;margin-left:0;margin-top:0;width:44.55pt;height:15.1pt;rotation:180;flip:x;z-index:25167564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" filled="f" fillcolor="#c0504d" stroked="f" strokecolor="#5c83b4" strokeweight="2.25pt">
                  <v:textbox inset=",0,,0">
                    <w:txbxContent>
                      <w:p w:rsidR="00440FD1" w:rsidRPr="00062176" w:rsidRDefault="00440FD1">
                        <w:pPr>
                          <w:pBdr>
                            <w:top w:val="single" w:sz="4" w:space="1" w:color="7F7F7F" w:themeColor="background1" w:themeShade="7F"/>
                          </w:pBdr>
                          <w:jc w:val="center"/>
                          <w:rPr>
                            <w:rFonts w:ascii="Palatino Linotype" w:hAnsi="Palatino Linotype"/>
                            <w:color w:val="C0504D" w:themeColor="accent2"/>
                          </w:rPr>
                        </w:pPr>
                        <w:r w:rsidRPr="00062176">
                          <w:rPr>
                            <w:rFonts w:ascii="Palatino Linotype" w:hAnsi="Palatino Linotype"/>
                          </w:rPr>
                          <w:fldChar w:fldCharType="begin"/>
                        </w:r>
                        <w:r w:rsidRPr="00062176">
                          <w:rPr>
                            <w:rFonts w:ascii="Palatino Linotype" w:hAnsi="Palatino Linotype"/>
                          </w:rPr>
                          <w:instrText>PAGE   \* MERGEFORMAT</w:instrText>
                        </w:r>
                        <w:r w:rsidRPr="00062176">
                          <w:rPr>
                            <w:rFonts w:ascii="Palatino Linotype" w:hAnsi="Palatino Linotype"/>
                          </w:rPr>
                          <w:fldChar w:fldCharType="separate"/>
                        </w:r>
                        <w:r w:rsidR="00FB10F8" w:rsidRPr="00FB10F8">
                          <w:rPr>
                            <w:rFonts w:ascii="Palatino Linotype" w:hAnsi="Palatino Linotype"/>
                            <w:noProof/>
                            <w:color w:val="C0504D" w:themeColor="accent2"/>
                          </w:rPr>
                          <w:t>53</w:t>
                        </w:r>
                        <w:r w:rsidRPr="00062176">
                          <w:rPr>
                            <w:rFonts w:ascii="Palatino Linotype" w:hAnsi="Palatino Linotype"/>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8D9" w:rsidRDefault="008468D9" w:rsidP="00312118">
      <w:pPr>
        <w:spacing w:after="0" w:line="240" w:lineRule="auto"/>
      </w:pPr>
      <w:r>
        <w:separator/>
      </w:r>
    </w:p>
  </w:footnote>
  <w:footnote w:type="continuationSeparator" w:id="0">
    <w:p w:rsidR="008468D9" w:rsidRDefault="008468D9" w:rsidP="00312118">
      <w:pPr>
        <w:spacing w:after="0" w:line="240" w:lineRule="auto"/>
      </w:pPr>
      <w:r>
        <w:continuationSeparator/>
      </w:r>
    </w:p>
  </w:footnote>
  <w:footnote w:id="1">
    <w:p w:rsidR="00440FD1" w:rsidRDefault="00440FD1" w:rsidP="00312118">
      <w:pPr>
        <w:pStyle w:val="Textpoznpodarou"/>
      </w:pPr>
      <w:r>
        <w:rPr>
          <w:rStyle w:val="Znakapoznpodarou"/>
        </w:rPr>
        <w:footnoteRef/>
      </w:r>
      <w:r>
        <w:t xml:space="preserve"> Kromě nezávislých znaků existují i znaky závislé, resp. geny, které jsou ve vazbě a tudíž se do další generace přenášejí vždy spolu (může to např. souviset s tím, že se vedle sebe nacházejí v těsné blízkosti na chromozomu).</w:t>
      </w:r>
    </w:p>
  </w:footnote>
  <w:footnote w:id="2">
    <w:p w:rsidR="00440FD1" w:rsidRPr="00672280" w:rsidRDefault="00440FD1" w:rsidP="00960C7E">
      <w:pPr>
        <w:pStyle w:val="Textpoznpodarou"/>
        <w:rPr>
          <w:sz w:val="16"/>
        </w:rPr>
      </w:pPr>
      <w:r>
        <w:rPr>
          <w:rStyle w:val="Znakapoznpodarou"/>
        </w:rPr>
        <w:footnoteRef/>
      </w:r>
      <w:r>
        <w:t xml:space="preserve"> </w:t>
      </w:r>
      <w:r w:rsidRPr="00672280">
        <w:rPr>
          <w:sz w:val="16"/>
        </w:rPr>
        <w:t xml:space="preserve">Kvůli velkému množství jednonukleotidových polymorfismů (tzv. SNP, či „snipů“) v celém našem genomu bylo nutné vytvořit jednotnou nomenklaturu, která je platná ve všech laboratořích po celém světě. Zkratka „rs“ a číselné označení vychází z anglického „reference SNP number“. Jedná se </w:t>
      </w:r>
      <w:r>
        <w:rPr>
          <w:sz w:val="16"/>
        </w:rPr>
        <w:t xml:space="preserve">tedy </w:t>
      </w:r>
      <w:r w:rsidRPr="00672280">
        <w:rPr>
          <w:sz w:val="16"/>
        </w:rPr>
        <w:t xml:space="preserve">o </w:t>
      </w:r>
      <w:r>
        <w:rPr>
          <w:sz w:val="16"/>
        </w:rPr>
        <w:t xml:space="preserve">pořadové </w:t>
      </w:r>
      <w:r w:rsidRPr="00672280">
        <w:rPr>
          <w:sz w:val="16"/>
        </w:rPr>
        <w:t>číslo</w:t>
      </w:r>
      <w:r>
        <w:rPr>
          <w:sz w:val="16"/>
        </w:rPr>
        <w:t xml:space="preserve"> jednonukleotidového polymorfismu, který byl prokázán studiemi („referován“)</w:t>
      </w:r>
      <w:r w:rsidRPr="00672280">
        <w:rPr>
          <w:sz w:val="16"/>
        </w:rPr>
        <w:t>.</w:t>
      </w:r>
      <w:r>
        <w:rPr>
          <w:sz w:val="16"/>
        </w:rPr>
        <w:t xml:space="preserve"> Koncovka „-C“ pak značí, který konkrétní nukleotid (A, T, C, G) je prokázán jako rizikový, či jako neutrální.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nsid w:val="001E1F65"/>
    <w:multiLevelType w:val="hybridMultilevel"/>
    <w:tmpl w:val="4B94FB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2C12C8"/>
    <w:multiLevelType w:val="hybridMultilevel"/>
    <w:tmpl w:val="461CF02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7B554F1"/>
    <w:multiLevelType w:val="hybridMultilevel"/>
    <w:tmpl w:val="B374048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08D34076"/>
    <w:multiLevelType w:val="hybridMultilevel"/>
    <w:tmpl w:val="6E9CE97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09F82C2F"/>
    <w:multiLevelType w:val="multilevel"/>
    <w:tmpl w:val="B7C6D3C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0BA916C1"/>
    <w:multiLevelType w:val="hybridMultilevel"/>
    <w:tmpl w:val="1E24BF42"/>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0BE61B4E"/>
    <w:multiLevelType w:val="hybridMultilevel"/>
    <w:tmpl w:val="55E482DC"/>
    <w:lvl w:ilvl="0" w:tplc="65D64ACA">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BF32119"/>
    <w:multiLevelType w:val="hybridMultilevel"/>
    <w:tmpl w:val="C7FE00E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0F600A5E"/>
    <w:multiLevelType w:val="hybridMultilevel"/>
    <w:tmpl w:val="D06C393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
    <w:nsid w:val="14094921"/>
    <w:multiLevelType w:val="hybridMultilevel"/>
    <w:tmpl w:val="62B662A0"/>
    <w:lvl w:ilvl="0" w:tplc="65D64ACA">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5F6241C"/>
    <w:multiLevelType w:val="hybridMultilevel"/>
    <w:tmpl w:val="987EC3C4"/>
    <w:lvl w:ilvl="0" w:tplc="04050011">
      <w:start w:val="1"/>
      <w:numFmt w:val="decimal"/>
      <w:lvlText w:val="%1)"/>
      <w:lvlJc w:val="left"/>
      <w:pPr>
        <w:ind w:left="360" w:hanging="360"/>
      </w:pPr>
    </w:lvl>
    <w:lvl w:ilvl="1" w:tplc="E20EF608">
      <w:start w:val="1"/>
      <w:numFmt w:val="upperLetter"/>
      <w:lvlText w:val="%2)"/>
      <w:lvlJc w:val="left"/>
      <w:pPr>
        <w:ind w:left="1080" w:hanging="360"/>
      </w:pPr>
      <w:rPr>
        <w:rFonts w:hint="default"/>
      </w:rPr>
    </w:lvl>
    <w:lvl w:ilvl="2" w:tplc="EB28FAC8">
      <w:start w:val="1"/>
      <w:numFmt w:val="decimal"/>
      <w:lvlText w:val="%3."/>
      <w:lvlJc w:val="left"/>
      <w:pPr>
        <w:ind w:left="1980" w:hanging="360"/>
      </w:pPr>
      <w:rPr>
        <w:rFonts w:hint="default"/>
      </w:r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172B7C73"/>
    <w:multiLevelType w:val="hybridMultilevel"/>
    <w:tmpl w:val="2850FA6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1C522DE0"/>
    <w:multiLevelType w:val="hybridMultilevel"/>
    <w:tmpl w:val="4BF44EA2"/>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1E6B2CE4"/>
    <w:multiLevelType w:val="hybridMultilevel"/>
    <w:tmpl w:val="A83ECC0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23547914"/>
    <w:multiLevelType w:val="hybridMultilevel"/>
    <w:tmpl w:val="D6D6801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34FA09A4"/>
    <w:multiLevelType w:val="hybridMultilevel"/>
    <w:tmpl w:val="F7F2A73A"/>
    <w:lvl w:ilvl="0" w:tplc="26E2F3A8">
      <w:start w:val="3"/>
      <w:numFmt w:val="bullet"/>
      <w:lvlText w:val="-"/>
      <w:lvlJc w:val="left"/>
      <w:pPr>
        <w:ind w:left="720" w:hanging="360"/>
      </w:pPr>
      <w:rPr>
        <w:rFonts w:ascii="Palatino Linotype" w:eastAsiaTheme="minorHAnsi" w:hAnsi="Palatino Linotyp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5023E38"/>
    <w:multiLevelType w:val="hybridMultilevel"/>
    <w:tmpl w:val="41409C2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3523468E"/>
    <w:multiLevelType w:val="multilevel"/>
    <w:tmpl w:val="D5D4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40261B"/>
    <w:multiLevelType w:val="hybridMultilevel"/>
    <w:tmpl w:val="FCF27CE6"/>
    <w:lvl w:ilvl="0" w:tplc="65D64ACA">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65D64ACA">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376C59B9"/>
    <w:multiLevelType w:val="hybridMultilevel"/>
    <w:tmpl w:val="A12EC9A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3798116F"/>
    <w:multiLevelType w:val="hybridMultilevel"/>
    <w:tmpl w:val="106EA22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3AEB7E5F"/>
    <w:multiLevelType w:val="hybridMultilevel"/>
    <w:tmpl w:val="940E8C0A"/>
    <w:lvl w:ilvl="0" w:tplc="65D64ACA">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410763D2"/>
    <w:multiLevelType w:val="hybridMultilevel"/>
    <w:tmpl w:val="A73AC6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3EC7EEB"/>
    <w:multiLevelType w:val="hybridMultilevel"/>
    <w:tmpl w:val="D66A4DE6"/>
    <w:lvl w:ilvl="0" w:tplc="65D64ACA">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47620B7"/>
    <w:multiLevelType w:val="hybridMultilevel"/>
    <w:tmpl w:val="9962BFB8"/>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nsid w:val="4483136F"/>
    <w:multiLevelType w:val="multilevel"/>
    <w:tmpl w:val="5D18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2605FE"/>
    <w:multiLevelType w:val="hybridMultilevel"/>
    <w:tmpl w:val="2FEA783C"/>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45D3767E"/>
    <w:multiLevelType w:val="hybridMultilevel"/>
    <w:tmpl w:val="381C1828"/>
    <w:lvl w:ilvl="0" w:tplc="65D64ACA">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4758304B"/>
    <w:multiLevelType w:val="hybridMultilevel"/>
    <w:tmpl w:val="6D44217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47803F36"/>
    <w:multiLevelType w:val="hybridMultilevel"/>
    <w:tmpl w:val="163C4A4E"/>
    <w:lvl w:ilvl="0" w:tplc="65D64ACA">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4DE22A37"/>
    <w:multiLevelType w:val="multilevel"/>
    <w:tmpl w:val="7EE475C6"/>
    <w:lvl w:ilvl="0">
      <w:start w:val="1"/>
      <w:numFmt w:val="decimal"/>
      <w:pStyle w:val="Nadpiskapitoly"/>
      <w:lvlText w:val="%1"/>
      <w:lvlJc w:val="left"/>
      <w:pPr>
        <w:ind w:left="360" w:hanging="360"/>
      </w:pPr>
      <w:rPr>
        <w:rFonts w:hint="default"/>
      </w:rPr>
    </w:lvl>
    <w:lvl w:ilvl="1">
      <w:start w:val="1"/>
      <w:numFmt w:val="decimal"/>
      <w:pStyle w:val="Nadpispodkapitoly"/>
      <w:isLgl/>
      <w:lvlText w:val="%1.%2"/>
      <w:lvlJc w:val="left"/>
      <w:pPr>
        <w:ind w:left="360" w:hanging="360"/>
      </w:pPr>
      <w:rPr>
        <w:rFonts w:hint="default"/>
      </w:rPr>
    </w:lvl>
    <w:lvl w:ilvl="2">
      <w:start w:val="1"/>
      <w:numFmt w:val="decimal"/>
      <w:pStyle w:val="Podpodnadpis"/>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4F165634"/>
    <w:multiLevelType w:val="hybridMultilevel"/>
    <w:tmpl w:val="8DD246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258320A"/>
    <w:multiLevelType w:val="hybridMultilevel"/>
    <w:tmpl w:val="E1D4416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3400565"/>
    <w:multiLevelType w:val="hybridMultilevel"/>
    <w:tmpl w:val="40F09F8C"/>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5600169D"/>
    <w:multiLevelType w:val="multilevel"/>
    <w:tmpl w:val="6C1E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96077E"/>
    <w:multiLevelType w:val="hybridMultilevel"/>
    <w:tmpl w:val="270C6EDC"/>
    <w:lvl w:ilvl="0" w:tplc="0405000B">
      <w:start w:val="1"/>
      <w:numFmt w:val="bullet"/>
      <w:lvlText w:val=""/>
      <w:lvlJc w:val="left"/>
      <w:pPr>
        <w:ind w:left="360" w:hanging="360"/>
      </w:pPr>
      <w:rPr>
        <w:rFonts w:ascii="Wingdings" w:hAnsi="Wingding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nsid w:val="5EBB788E"/>
    <w:multiLevelType w:val="multilevel"/>
    <w:tmpl w:val="3EA49EF6"/>
    <w:lvl w:ilvl="0">
      <w:start w:val="1"/>
      <w:numFmt w:val="decimal"/>
      <w:lvlText w:val="%1)"/>
      <w:lvlJc w:val="left"/>
      <w:pPr>
        <w:tabs>
          <w:tab w:val="num" w:pos="360"/>
        </w:tabs>
        <w:ind w:left="360" w:hanging="360"/>
      </w:pPr>
      <w:rPr>
        <w:rFonts w:ascii="Palatino Linotype" w:eastAsiaTheme="minorHAnsi" w:hAnsi="Palatino Linotype" w:cstheme="minorBidi"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603B0C4E"/>
    <w:multiLevelType w:val="hybridMultilevel"/>
    <w:tmpl w:val="99A4D1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3935194"/>
    <w:multiLevelType w:val="hybridMultilevel"/>
    <w:tmpl w:val="E09AED9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5FC46A3"/>
    <w:multiLevelType w:val="hybridMultilevel"/>
    <w:tmpl w:val="2298AD7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nsid w:val="74484053"/>
    <w:multiLevelType w:val="multilevel"/>
    <w:tmpl w:val="B7C6D3C6"/>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787E4D17"/>
    <w:multiLevelType w:val="hybridMultilevel"/>
    <w:tmpl w:val="581CA7D2"/>
    <w:lvl w:ilvl="0" w:tplc="65D64ACA">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nsid w:val="7D823AC6"/>
    <w:multiLevelType w:val="hybridMultilevel"/>
    <w:tmpl w:val="2A100C46"/>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4">
    <w:nsid w:val="7EF66BE8"/>
    <w:multiLevelType w:val="hybridMultilevel"/>
    <w:tmpl w:val="F73C76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4"/>
  </w:num>
  <w:num w:numId="4">
    <w:abstractNumId w:val="0"/>
  </w:num>
  <w:num w:numId="5">
    <w:abstractNumId w:val="16"/>
  </w:num>
  <w:num w:numId="6">
    <w:abstractNumId w:val="18"/>
  </w:num>
  <w:num w:numId="7">
    <w:abstractNumId w:val="37"/>
  </w:num>
  <w:num w:numId="8">
    <w:abstractNumId w:val="41"/>
  </w:num>
  <w:num w:numId="9">
    <w:abstractNumId w:val="35"/>
  </w:num>
  <w:num w:numId="10">
    <w:abstractNumId w:val="23"/>
  </w:num>
  <w:num w:numId="11">
    <w:abstractNumId w:val="43"/>
  </w:num>
  <w:num w:numId="12">
    <w:abstractNumId w:val="9"/>
  </w:num>
  <w:num w:numId="13">
    <w:abstractNumId w:val="15"/>
  </w:num>
  <w:num w:numId="14">
    <w:abstractNumId w:val="20"/>
  </w:num>
  <w:num w:numId="15">
    <w:abstractNumId w:val="24"/>
  </w:num>
  <w:num w:numId="16">
    <w:abstractNumId w:val="14"/>
  </w:num>
  <w:num w:numId="17">
    <w:abstractNumId w:val="6"/>
  </w:num>
  <w:num w:numId="18">
    <w:abstractNumId w:val="2"/>
  </w:num>
  <w:num w:numId="19">
    <w:abstractNumId w:val="40"/>
  </w:num>
  <w:num w:numId="20">
    <w:abstractNumId w:val="10"/>
  </w:num>
  <w:num w:numId="21">
    <w:abstractNumId w:val="25"/>
  </w:num>
  <w:num w:numId="22">
    <w:abstractNumId w:val="21"/>
  </w:num>
  <w:num w:numId="23">
    <w:abstractNumId w:val="5"/>
  </w:num>
  <w:num w:numId="24">
    <w:abstractNumId w:val="29"/>
  </w:num>
  <w:num w:numId="25">
    <w:abstractNumId w:val="13"/>
  </w:num>
  <w:num w:numId="26">
    <w:abstractNumId w:val="34"/>
  </w:num>
  <w:num w:numId="27">
    <w:abstractNumId w:val="44"/>
  </w:num>
  <w:num w:numId="28">
    <w:abstractNumId w:val="27"/>
  </w:num>
  <w:num w:numId="29">
    <w:abstractNumId w:val="38"/>
  </w:num>
  <w:num w:numId="30">
    <w:abstractNumId w:val="36"/>
  </w:num>
  <w:num w:numId="31">
    <w:abstractNumId w:val="11"/>
  </w:num>
  <w:num w:numId="32">
    <w:abstractNumId w:val="12"/>
  </w:num>
  <w:num w:numId="33">
    <w:abstractNumId w:val="17"/>
  </w:num>
  <w:num w:numId="34">
    <w:abstractNumId w:val="22"/>
  </w:num>
  <w:num w:numId="35">
    <w:abstractNumId w:val="42"/>
  </w:num>
  <w:num w:numId="36">
    <w:abstractNumId w:val="30"/>
  </w:num>
  <w:num w:numId="37">
    <w:abstractNumId w:val="3"/>
  </w:num>
  <w:num w:numId="38">
    <w:abstractNumId w:val="26"/>
  </w:num>
  <w:num w:numId="39">
    <w:abstractNumId w:val="1"/>
  </w:num>
  <w:num w:numId="40">
    <w:abstractNumId w:val="33"/>
  </w:num>
  <w:num w:numId="41">
    <w:abstractNumId w:val="32"/>
  </w:num>
  <w:num w:numId="42">
    <w:abstractNumId w:val="7"/>
  </w:num>
  <w:num w:numId="43">
    <w:abstractNumId w:val="39"/>
  </w:num>
  <w:num w:numId="44">
    <w:abstractNumId w:val="28"/>
  </w:num>
  <w:num w:numId="45">
    <w:abstractNumId w:val="19"/>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2AB"/>
    <w:rsid w:val="000001B8"/>
    <w:rsid w:val="00000F6A"/>
    <w:rsid w:val="000010FE"/>
    <w:rsid w:val="00006879"/>
    <w:rsid w:val="00010B1C"/>
    <w:rsid w:val="000136A1"/>
    <w:rsid w:val="00013E1B"/>
    <w:rsid w:val="00015235"/>
    <w:rsid w:val="0002282B"/>
    <w:rsid w:val="00025CD5"/>
    <w:rsid w:val="0002721F"/>
    <w:rsid w:val="00044DF1"/>
    <w:rsid w:val="00044E6E"/>
    <w:rsid w:val="000478EF"/>
    <w:rsid w:val="00054C20"/>
    <w:rsid w:val="000572A3"/>
    <w:rsid w:val="0005786A"/>
    <w:rsid w:val="00062176"/>
    <w:rsid w:val="0006414A"/>
    <w:rsid w:val="00071A6A"/>
    <w:rsid w:val="00073BB9"/>
    <w:rsid w:val="00075C9C"/>
    <w:rsid w:val="00081963"/>
    <w:rsid w:val="00081E99"/>
    <w:rsid w:val="00083276"/>
    <w:rsid w:val="00085AFA"/>
    <w:rsid w:val="00087457"/>
    <w:rsid w:val="0009380C"/>
    <w:rsid w:val="00097015"/>
    <w:rsid w:val="000A24D2"/>
    <w:rsid w:val="000A2B1D"/>
    <w:rsid w:val="000A3699"/>
    <w:rsid w:val="000A4B86"/>
    <w:rsid w:val="000A4E3C"/>
    <w:rsid w:val="000B16A1"/>
    <w:rsid w:val="000B16D5"/>
    <w:rsid w:val="000B6C46"/>
    <w:rsid w:val="000B7352"/>
    <w:rsid w:val="000C3E10"/>
    <w:rsid w:val="000C6245"/>
    <w:rsid w:val="000C7553"/>
    <w:rsid w:val="000D0318"/>
    <w:rsid w:val="000D3449"/>
    <w:rsid w:val="000D4B3D"/>
    <w:rsid w:val="000D5338"/>
    <w:rsid w:val="000D7022"/>
    <w:rsid w:val="000E274D"/>
    <w:rsid w:val="000E56D5"/>
    <w:rsid w:val="00100C72"/>
    <w:rsid w:val="0010382A"/>
    <w:rsid w:val="001057B0"/>
    <w:rsid w:val="00107BE0"/>
    <w:rsid w:val="00112887"/>
    <w:rsid w:val="00117EEE"/>
    <w:rsid w:val="00123CB3"/>
    <w:rsid w:val="0013649F"/>
    <w:rsid w:val="00140269"/>
    <w:rsid w:val="00144BED"/>
    <w:rsid w:val="00146F7F"/>
    <w:rsid w:val="0015193C"/>
    <w:rsid w:val="00153A96"/>
    <w:rsid w:val="00156C92"/>
    <w:rsid w:val="001662F9"/>
    <w:rsid w:val="001727C4"/>
    <w:rsid w:val="00174182"/>
    <w:rsid w:val="00174BF2"/>
    <w:rsid w:val="001767CE"/>
    <w:rsid w:val="00177134"/>
    <w:rsid w:val="00177563"/>
    <w:rsid w:val="00182A81"/>
    <w:rsid w:val="001859BF"/>
    <w:rsid w:val="00186C9A"/>
    <w:rsid w:val="00194084"/>
    <w:rsid w:val="0019436B"/>
    <w:rsid w:val="00196CA1"/>
    <w:rsid w:val="00197083"/>
    <w:rsid w:val="001A224A"/>
    <w:rsid w:val="001A2CE6"/>
    <w:rsid w:val="001A4090"/>
    <w:rsid w:val="001A4D9C"/>
    <w:rsid w:val="001A4EED"/>
    <w:rsid w:val="001A5ACF"/>
    <w:rsid w:val="001A7AA9"/>
    <w:rsid w:val="001B349A"/>
    <w:rsid w:val="001B3933"/>
    <w:rsid w:val="001B3EF7"/>
    <w:rsid w:val="001C6B07"/>
    <w:rsid w:val="001C6E46"/>
    <w:rsid w:val="001D1060"/>
    <w:rsid w:val="001D6BDC"/>
    <w:rsid w:val="001E2492"/>
    <w:rsid w:val="001E42F7"/>
    <w:rsid w:val="001E59A8"/>
    <w:rsid w:val="001E6933"/>
    <w:rsid w:val="001F088E"/>
    <w:rsid w:val="001F60F3"/>
    <w:rsid w:val="001F6967"/>
    <w:rsid w:val="001F7607"/>
    <w:rsid w:val="00201B49"/>
    <w:rsid w:val="002248FB"/>
    <w:rsid w:val="00226574"/>
    <w:rsid w:val="00227281"/>
    <w:rsid w:val="00235B19"/>
    <w:rsid w:val="00236F03"/>
    <w:rsid w:val="00237F5B"/>
    <w:rsid w:val="00244837"/>
    <w:rsid w:val="0025228A"/>
    <w:rsid w:val="0025366B"/>
    <w:rsid w:val="00261EB7"/>
    <w:rsid w:val="00264DDD"/>
    <w:rsid w:val="00265EED"/>
    <w:rsid w:val="00266EE1"/>
    <w:rsid w:val="002753A4"/>
    <w:rsid w:val="00277758"/>
    <w:rsid w:val="0028285E"/>
    <w:rsid w:val="00290827"/>
    <w:rsid w:val="00291461"/>
    <w:rsid w:val="00293C65"/>
    <w:rsid w:val="00295CE6"/>
    <w:rsid w:val="002973D9"/>
    <w:rsid w:val="002A5CAD"/>
    <w:rsid w:val="002B3117"/>
    <w:rsid w:val="002B4488"/>
    <w:rsid w:val="002B7F53"/>
    <w:rsid w:val="002C52C1"/>
    <w:rsid w:val="002C54C5"/>
    <w:rsid w:val="002C6113"/>
    <w:rsid w:val="002C6FB6"/>
    <w:rsid w:val="002D0AED"/>
    <w:rsid w:val="002E109C"/>
    <w:rsid w:val="002E52DC"/>
    <w:rsid w:val="002E6A79"/>
    <w:rsid w:val="002E7EAA"/>
    <w:rsid w:val="002F288B"/>
    <w:rsid w:val="002F33E4"/>
    <w:rsid w:val="002F78CB"/>
    <w:rsid w:val="00300A19"/>
    <w:rsid w:val="003067C7"/>
    <w:rsid w:val="00306CDC"/>
    <w:rsid w:val="00312118"/>
    <w:rsid w:val="00312A43"/>
    <w:rsid w:val="00313D79"/>
    <w:rsid w:val="003152A1"/>
    <w:rsid w:val="00320498"/>
    <w:rsid w:val="003235AB"/>
    <w:rsid w:val="00324DDF"/>
    <w:rsid w:val="0033085E"/>
    <w:rsid w:val="003352A9"/>
    <w:rsid w:val="0034037C"/>
    <w:rsid w:val="0034090A"/>
    <w:rsid w:val="003422F3"/>
    <w:rsid w:val="003463CB"/>
    <w:rsid w:val="00352C04"/>
    <w:rsid w:val="003611B9"/>
    <w:rsid w:val="00362355"/>
    <w:rsid w:val="00364EA8"/>
    <w:rsid w:val="00370379"/>
    <w:rsid w:val="00371AEB"/>
    <w:rsid w:val="00383F1B"/>
    <w:rsid w:val="00386AE9"/>
    <w:rsid w:val="00393222"/>
    <w:rsid w:val="0039489D"/>
    <w:rsid w:val="003B2C97"/>
    <w:rsid w:val="003B35D0"/>
    <w:rsid w:val="003B4230"/>
    <w:rsid w:val="003C4C41"/>
    <w:rsid w:val="003C77E4"/>
    <w:rsid w:val="003D717C"/>
    <w:rsid w:val="003D7B26"/>
    <w:rsid w:val="003D7B3D"/>
    <w:rsid w:val="003E2919"/>
    <w:rsid w:val="003F01F6"/>
    <w:rsid w:val="003F31F2"/>
    <w:rsid w:val="00404A84"/>
    <w:rsid w:val="00405380"/>
    <w:rsid w:val="00410C60"/>
    <w:rsid w:val="00412457"/>
    <w:rsid w:val="004151CD"/>
    <w:rsid w:val="00420BBE"/>
    <w:rsid w:val="00423E85"/>
    <w:rsid w:val="0043011F"/>
    <w:rsid w:val="004302D9"/>
    <w:rsid w:val="0043156E"/>
    <w:rsid w:val="00435712"/>
    <w:rsid w:val="00440FD1"/>
    <w:rsid w:val="004415E7"/>
    <w:rsid w:val="004420D0"/>
    <w:rsid w:val="00451354"/>
    <w:rsid w:val="00452887"/>
    <w:rsid w:val="004616E5"/>
    <w:rsid w:val="00463B32"/>
    <w:rsid w:val="0046741D"/>
    <w:rsid w:val="004729E5"/>
    <w:rsid w:val="00474E63"/>
    <w:rsid w:val="0048041A"/>
    <w:rsid w:val="004958C3"/>
    <w:rsid w:val="00495D84"/>
    <w:rsid w:val="004A107C"/>
    <w:rsid w:val="004A2AEF"/>
    <w:rsid w:val="004A73AB"/>
    <w:rsid w:val="004A7EA2"/>
    <w:rsid w:val="004B00EB"/>
    <w:rsid w:val="004B0645"/>
    <w:rsid w:val="004B1F24"/>
    <w:rsid w:val="004B43B5"/>
    <w:rsid w:val="004B7B5F"/>
    <w:rsid w:val="004C02A5"/>
    <w:rsid w:val="004C58F7"/>
    <w:rsid w:val="004C5ABF"/>
    <w:rsid w:val="004C6FB5"/>
    <w:rsid w:val="004C7893"/>
    <w:rsid w:val="004D0C38"/>
    <w:rsid w:val="004D53CF"/>
    <w:rsid w:val="004E3817"/>
    <w:rsid w:val="004E3897"/>
    <w:rsid w:val="004E4272"/>
    <w:rsid w:val="004E5338"/>
    <w:rsid w:val="004E55FE"/>
    <w:rsid w:val="004E7161"/>
    <w:rsid w:val="004F377A"/>
    <w:rsid w:val="004F7664"/>
    <w:rsid w:val="005051A4"/>
    <w:rsid w:val="00511C9A"/>
    <w:rsid w:val="005157D7"/>
    <w:rsid w:val="00515EA1"/>
    <w:rsid w:val="00517392"/>
    <w:rsid w:val="00520D6A"/>
    <w:rsid w:val="00521552"/>
    <w:rsid w:val="00523B6B"/>
    <w:rsid w:val="00524C6F"/>
    <w:rsid w:val="00525BE1"/>
    <w:rsid w:val="00530153"/>
    <w:rsid w:val="00531672"/>
    <w:rsid w:val="00536CD0"/>
    <w:rsid w:val="00537870"/>
    <w:rsid w:val="00537A6A"/>
    <w:rsid w:val="005416CC"/>
    <w:rsid w:val="00543D9C"/>
    <w:rsid w:val="00545272"/>
    <w:rsid w:val="00556B2E"/>
    <w:rsid w:val="00556E4B"/>
    <w:rsid w:val="005575E9"/>
    <w:rsid w:val="00562A9E"/>
    <w:rsid w:val="00562CE3"/>
    <w:rsid w:val="005652F3"/>
    <w:rsid w:val="005669BB"/>
    <w:rsid w:val="00572CDA"/>
    <w:rsid w:val="005828BD"/>
    <w:rsid w:val="005834D4"/>
    <w:rsid w:val="00583A24"/>
    <w:rsid w:val="0058419B"/>
    <w:rsid w:val="00585B3F"/>
    <w:rsid w:val="00586441"/>
    <w:rsid w:val="00597419"/>
    <w:rsid w:val="005A44A6"/>
    <w:rsid w:val="005A49C1"/>
    <w:rsid w:val="005A6DF6"/>
    <w:rsid w:val="005B1AFC"/>
    <w:rsid w:val="005B4012"/>
    <w:rsid w:val="005B4B2E"/>
    <w:rsid w:val="005B6E26"/>
    <w:rsid w:val="005B79D4"/>
    <w:rsid w:val="005C1EE7"/>
    <w:rsid w:val="005C4AC3"/>
    <w:rsid w:val="005D2042"/>
    <w:rsid w:val="005D2522"/>
    <w:rsid w:val="005D4F95"/>
    <w:rsid w:val="005D5FA0"/>
    <w:rsid w:val="005D6EF2"/>
    <w:rsid w:val="005E153D"/>
    <w:rsid w:val="005E1B70"/>
    <w:rsid w:val="005E1C39"/>
    <w:rsid w:val="005E1D17"/>
    <w:rsid w:val="005E2576"/>
    <w:rsid w:val="005E405B"/>
    <w:rsid w:val="005E6986"/>
    <w:rsid w:val="005F359A"/>
    <w:rsid w:val="005F739F"/>
    <w:rsid w:val="006004C4"/>
    <w:rsid w:val="006012D4"/>
    <w:rsid w:val="00601929"/>
    <w:rsid w:val="00602FB9"/>
    <w:rsid w:val="0060744F"/>
    <w:rsid w:val="00607594"/>
    <w:rsid w:val="0061066D"/>
    <w:rsid w:val="006139EF"/>
    <w:rsid w:val="006145E8"/>
    <w:rsid w:val="00614607"/>
    <w:rsid w:val="00616B0C"/>
    <w:rsid w:val="00621340"/>
    <w:rsid w:val="00621875"/>
    <w:rsid w:val="0062252D"/>
    <w:rsid w:val="006329CB"/>
    <w:rsid w:val="00641967"/>
    <w:rsid w:val="00643C30"/>
    <w:rsid w:val="00651732"/>
    <w:rsid w:val="006551F5"/>
    <w:rsid w:val="0066230B"/>
    <w:rsid w:val="0066272E"/>
    <w:rsid w:val="006631F1"/>
    <w:rsid w:val="00665960"/>
    <w:rsid w:val="00667AA5"/>
    <w:rsid w:val="00670415"/>
    <w:rsid w:val="006728B9"/>
    <w:rsid w:val="00675131"/>
    <w:rsid w:val="006757E9"/>
    <w:rsid w:val="006766A8"/>
    <w:rsid w:val="00682AE6"/>
    <w:rsid w:val="00682DFE"/>
    <w:rsid w:val="00683D23"/>
    <w:rsid w:val="0068539C"/>
    <w:rsid w:val="00687006"/>
    <w:rsid w:val="0068707E"/>
    <w:rsid w:val="006948E4"/>
    <w:rsid w:val="0069755F"/>
    <w:rsid w:val="006A0754"/>
    <w:rsid w:val="006A3748"/>
    <w:rsid w:val="006A621E"/>
    <w:rsid w:val="006A7BA7"/>
    <w:rsid w:val="006B0A62"/>
    <w:rsid w:val="006B14C7"/>
    <w:rsid w:val="006B204D"/>
    <w:rsid w:val="006C14F1"/>
    <w:rsid w:val="006D2A30"/>
    <w:rsid w:val="006D5D5E"/>
    <w:rsid w:val="006E176A"/>
    <w:rsid w:val="006E43B2"/>
    <w:rsid w:val="006E69C6"/>
    <w:rsid w:val="006E7C35"/>
    <w:rsid w:val="007017C2"/>
    <w:rsid w:val="007034BB"/>
    <w:rsid w:val="00703CBE"/>
    <w:rsid w:val="0070515D"/>
    <w:rsid w:val="007125E5"/>
    <w:rsid w:val="00714CAA"/>
    <w:rsid w:val="00725C5C"/>
    <w:rsid w:val="00726B5B"/>
    <w:rsid w:val="00733310"/>
    <w:rsid w:val="00736EEF"/>
    <w:rsid w:val="007409CE"/>
    <w:rsid w:val="00741C37"/>
    <w:rsid w:val="00743571"/>
    <w:rsid w:val="007540F9"/>
    <w:rsid w:val="00756D0C"/>
    <w:rsid w:val="0076148D"/>
    <w:rsid w:val="00761A69"/>
    <w:rsid w:val="00762445"/>
    <w:rsid w:val="00766F0A"/>
    <w:rsid w:val="007716B0"/>
    <w:rsid w:val="00774F5B"/>
    <w:rsid w:val="0078505D"/>
    <w:rsid w:val="0079682D"/>
    <w:rsid w:val="007A1485"/>
    <w:rsid w:val="007B42A9"/>
    <w:rsid w:val="007B69A1"/>
    <w:rsid w:val="007C0E8F"/>
    <w:rsid w:val="007C15E0"/>
    <w:rsid w:val="007C5373"/>
    <w:rsid w:val="007C6FF0"/>
    <w:rsid w:val="007C7941"/>
    <w:rsid w:val="007D46F8"/>
    <w:rsid w:val="007D53D2"/>
    <w:rsid w:val="007E621E"/>
    <w:rsid w:val="007F03AC"/>
    <w:rsid w:val="007F1527"/>
    <w:rsid w:val="007F70DB"/>
    <w:rsid w:val="00800E87"/>
    <w:rsid w:val="008017BA"/>
    <w:rsid w:val="0080339C"/>
    <w:rsid w:val="0080599A"/>
    <w:rsid w:val="008103DC"/>
    <w:rsid w:val="00812D90"/>
    <w:rsid w:val="00815DA3"/>
    <w:rsid w:val="00816308"/>
    <w:rsid w:val="0081750E"/>
    <w:rsid w:val="008202AD"/>
    <w:rsid w:val="00820B2A"/>
    <w:rsid w:val="00827109"/>
    <w:rsid w:val="008309B5"/>
    <w:rsid w:val="008316A1"/>
    <w:rsid w:val="008316BA"/>
    <w:rsid w:val="008329DF"/>
    <w:rsid w:val="00835438"/>
    <w:rsid w:val="00835E4E"/>
    <w:rsid w:val="0083639E"/>
    <w:rsid w:val="008378F9"/>
    <w:rsid w:val="008406AE"/>
    <w:rsid w:val="00842905"/>
    <w:rsid w:val="00842CB3"/>
    <w:rsid w:val="00843885"/>
    <w:rsid w:val="00845459"/>
    <w:rsid w:val="008468D9"/>
    <w:rsid w:val="008501DD"/>
    <w:rsid w:val="008618D5"/>
    <w:rsid w:val="00863388"/>
    <w:rsid w:val="00867E1B"/>
    <w:rsid w:val="00873BF1"/>
    <w:rsid w:val="0088719B"/>
    <w:rsid w:val="00892461"/>
    <w:rsid w:val="00897206"/>
    <w:rsid w:val="00897760"/>
    <w:rsid w:val="008A1C4C"/>
    <w:rsid w:val="008A22CB"/>
    <w:rsid w:val="008A3361"/>
    <w:rsid w:val="008A3AE7"/>
    <w:rsid w:val="008A7241"/>
    <w:rsid w:val="008B0A2E"/>
    <w:rsid w:val="008B1F36"/>
    <w:rsid w:val="008B40C9"/>
    <w:rsid w:val="008B475D"/>
    <w:rsid w:val="008B50FC"/>
    <w:rsid w:val="008C5680"/>
    <w:rsid w:val="008D0900"/>
    <w:rsid w:val="008D1603"/>
    <w:rsid w:val="008D76F1"/>
    <w:rsid w:val="008D7A55"/>
    <w:rsid w:val="008D7F16"/>
    <w:rsid w:val="008D7FE6"/>
    <w:rsid w:val="008E2A21"/>
    <w:rsid w:val="008F356C"/>
    <w:rsid w:val="008F56B9"/>
    <w:rsid w:val="00903B64"/>
    <w:rsid w:val="00905D12"/>
    <w:rsid w:val="00910BDC"/>
    <w:rsid w:val="009139DC"/>
    <w:rsid w:val="00923789"/>
    <w:rsid w:val="00924FD0"/>
    <w:rsid w:val="00926AFF"/>
    <w:rsid w:val="009272DB"/>
    <w:rsid w:val="0093526F"/>
    <w:rsid w:val="00943298"/>
    <w:rsid w:val="00946857"/>
    <w:rsid w:val="00946A45"/>
    <w:rsid w:val="00950A3E"/>
    <w:rsid w:val="00952271"/>
    <w:rsid w:val="009547FC"/>
    <w:rsid w:val="00960C7E"/>
    <w:rsid w:val="00961DC8"/>
    <w:rsid w:val="00962EE2"/>
    <w:rsid w:val="009651A2"/>
    <w:rsid w:val="009659EB"/>
    <w:rsid w:val="00972D74"/>
    <w:rsid w:val="0097309C"/>
    <w:rsid w:val="009777A8"/>
    <w:rsid w:val="00977AEB"/>
    <w:rsid w:val="0098140D"/>
    <w:rsid w:val="009834E6"/>
    <w:rsid w:val="00985932"/>
    <w:rsid w:val="009911BA"/>
    <w:rsid w:val="0099377B"/>
    <w:rsid w:val="009B453F"/>
    <w:rsid w:val="009B62FF"/>
    <w:rsid w:val="009B66B6"/>
    <w:rsid w:val="009C0916"/>
    <w:rsid w:val="009C0C87"/>
    <w:rsid w:val="009D123B"/>
    <w:rsid w:val="009D202B"/>
    <w:rsid w:val="009D532C"/>
    <w:rsid w:val="009D6C0D"/>
    <w:rsid w:val="009D6CB6"/>
    <w:rsid w:val="009E1924"/>
    <w:rsid w:val="009E4052"/>
    <w:rsid w:val="009F06BC"/>
    <w:rsid w:val="009F53ED"/>
    <w:rsid w:val="00A017C7"/>
    <w:rsid w:val="00A051C2"/>
    <w:rsid w:val="00A0549E"/>
    <w:rsid w:val="00A10EF3"/>
    <w:rsid w:val="00A175C1"/>
    <w:rsid w:val="00A20DB0"/>
    <w:rsid w:val="00A22F24"/>
    <w:rsid w:val="00A234B5"/>
    <w:rsid w:val="00A2684E"/>
    <w:rsid w:val="00A355A8"/>
    <w:rsid w:val="00A41AF4"/>
    <w:rsid w:val="00A41EE5"/>
    <w:rsid w:val="00A431B8"/>
    <w:rsid w:val="00A561E5"/>
    <w:rsid w:val="00A61028"/>
    <w:rsid w:val="00A67F2E"/>
    <w:rsid w:val="00A80095"/>
    <w:rsid w:val="00A8064E"/>
    <w:rsid w:val="00A81784"/>
    <w:rsid w:val="00A82952"/>
    <w:rsid w:val="00A8377A"/>
    <w:rsid w:val="00AA0129"/>
    <w:rsid w:val="00AC0A06"/>
    <w:rsid w:val="00AC32F9"/>
    <w:rsid w:val="00AC5A47"/>
    <w:rsid w:val="00AD36DC"/>
    <w:rsid w:val="00AD38B4"/>
    <w:rsid w:val="00AD5951"/>
    <w:rsid w:val="00AD64B3"/>
    <w:rsid w:val="00AD7F50"/>
    <w:rsid w:val="00AE29B0"/>
    <w:rsid w:val="00AE3D42"/>
    <w:rsid w:val="00AE5EDA"/>
    <w:rsid w:val="00AE7359"/>
    <w:rsid w:val="00AF5E92"/>
    <w:rsid w:val="00B0195D"/>
    <w:rsid w:val="00B056AC"/>
    <w:rsid w:val="00B16D32"/>
    <w:rsid w:val="00B433BB"/>
    <w:rsid w:val="00B437DA"/>
    <w:rsid w:val="00B4762F"/>
    <w:rsid w:val="00B53C27"/>
    <w:rsid w:val="00B54F0A"/>
    <w:rsid w:val="00B56C10"/>
    <w:rsid w:val="00B57F34"/>
    <w:rsid w:val="00B626CF"/>
    <w:rsid w:val="00B751E4"/>
    <w:rsid w:val="00B8097D"/>
    <w:rsid w:val="00B8779F"/>
    <w:rsid w:val="00B93042"/>
    <w:rsid w:val="00B9497E"/>
    <w:rsid w:val="00B9651D"/>
    <w:rsid w:val="00B975C5"/>
    <w:rsid w:val="00BA357D"/>
    <w:rsid w:val="00BA5358"/>
    <w:rsid w:val="00BB1A7D"/>
    <w:rsid w:val="00BB2A9B"/>
    <w:rsid w:val="00BC2465"/>
    <w:rsid w:val="00BC25CA"/>
    <w:rsid w:val="00BC6799"/>
    <w:rsid w:val="00BC7B6B"/>
    <w:rsid w:val="00BD44BF"/>
    <w:rsid w:val="00BD579D"/>
    <w:rsid w:val="00BD7907"/>
    <w:rsid w:val="00BE31F3"/>
    <w:rsid w:val="00BF3E69"/>
    <w:rsid w:val="00BF6975"/>
    <w:rsid w:val="00C03650"/>
    <w:rsid w:val="00C03BEF"/>
    <w:rsid w:val="00C04236"/>
    <w:rsid w:val="00C10C53"/>
    <w:rsid w:val="00C14882"/>
    <w:rsid w:val="00C1617A"/>
    <w:rsid w:val="00C1676C"/>
    <w:rsid w:val="00C23DC5"/>
    <w:rsid w:val="00C25E52"/>
    <w:rsid w:val="00C30F59"/>
    <w:rsid w:val="00C3131A"/>
    <w:rsid w:val="00C3389F"/>
    <w:rsid w:val="00C36FFE"/>
    <w:rsid w:val="00C4032E"/>
    <w:rsid w:val="00C407E4"/>
    <w:rsid w:val="00C40924"/>
    <w:rsid w:val="00C44D88"/>
    <w:rsid w:val="00C47743"/>
    <w:rsid w:val="00C506A9"/>
    <w:rsid w:val="00C51339"/>
    <w:rsid w:val="00C533CC"/>
    <w:rsid w:val="00C56B48"/>
    <w:rsid w:val="00C57E62"/>
    <w:rsid w:val="00C65B32"/>
    <w:rsid w:val="00C76192"/>
    <w:rsid w:val="00C814A9"/>
    <w:rsid w:val="00C93C79"/>
    <w:rsid w:val="00CA082E"/>
    <w:rsid w:val="00CA1152"/>
    <w:rsid w:val="00CA2C88"/>
    <w:rsid w:val="00CB0B99"/>
    <w:rsid w:val="00CB1C1B"/>
    <w:rsid w:val="00CC023C"/>
    <w:rsid w:val="00CC4B1C"/>
    <w:rsid w:val="00CC7F15"/>
    <w:rsid w:val="00CD00EF"/>
    <w:rsid w:val="00CD140A"/>
    <w:rsid w:val="00CE1594"/>
    <w:rsid w:val="00CE3040"/>
    <w:rsid w:val="00CE33E7"/>
    <w:rsid w:val="00CE673B"/>
    <w:rsid w:val="00CE6A04"/>
    <w:rsid w:val="00CE7A21"/>
    <w:rsid w:val="00CF2D53"/>
    <w:rsid w:val="00CF6C5D"/>
    <w:rsid w:val="00CF76C4"/>
    <w:rsid w:val="00D02DC7"/>
    <w:rsid w:val="00D04D43"/>
    <w:rsid w:val="00D068D7"/>
    <w:rsid w:val="00D11630"/>
    <w:rsid w:val="00D1251F"/>
    <w:rsid w:val="00D12DF4"/>
    <w:rsid w:val="00D145A2"/>
    <w:rsid w:val="00D24FAE"/>
    <w:rsid w:val="00D26B21"/>
    <w:rsid w:val="00D27CF7"/>
    <w:rsid w:val="00D31C56"/>
    <w:rsid w:val="00D33064"/>
    <w:rsid w:val="00D36B56"/>
    <w:rsid w:val="00D440F1"/>
    <w:rsid w:val="00D515B8"/>
    <w:rsid w:val="00D54EFD"/>
    <w:rsid w:val="00D56167"/>
    <w:rsid w:val="00D639D5"/>
    <w:rsid w:val="00D6695A"/>
    <w:rsid w:val="00D6778E"/>
    <w:rsid w:val="00D71231"/>
    <w:rsid w:val="00D72B28"/>
    <w:rsid w:val="00D76DA5"/>
    <w:rsid w:val="00D80BCC"/>
    <w:rsid w:val="00D81246"/>
    <w:rsid w:val="00D83A31"/>
    <w:rsid w:val="00D83EFF"/>
    <w:rsid w:val="00D852F0"/>
    <w:rsid w:val="00D86534"/>
    <w:rsid w:val="00D871DC"/>
    <w:rsid w:val="00D902FF"/>
    <w:rsid w:val="00D925A8"/>
    <w:rsid w:val="00DA06C5"/>
    <w:rsid w:val="00DA0F9F"/>
    <w:rsid w:val="00DA3FEC"/>
    <w:rsid w:val="00DA4546"/>
    <w:rsid w:val="00DA6189"/>
    <w:rsid w:val="00DA6F0C"/>
    <w:rsid w:val="00DB134A"/>
    <w:rsid w:val="00DB6ED5"/>
    <w:rsid w:val="00DC0816"/>
    <w:rsid w:val="00DC2BEB"/>
    <w:rsid w:val="00DC2C56"/>
    <w:rsid w:val="00DC2D91"/>
    <w:rsid w:val="00DC7322"/>
    <w:rsid w:val="00DC7EFE"/>
    <w:rsid w:val="00DD2847"/>
    <w:rsid w:val="00DD53E8"/>
    <w:rsid w:val="00DE0054"/>
    <w:rsid w:val="00DE5851"/>
    <w:rsid w:val="00DE7598"/>
    <w:rsid w:val="00DF05D5"/>
    <w:rsid w:val="00DF545D"/>
    <w:rsid w:val="00DF634A"/>
    <w:rsid w:val="00E03ACD"/>
    <w:rsid w:val="00E03E49"/>
    <w:rsid w:val="00E03F0C"/>
    <w:rsid w:val="00E07B49"/>
    <w:rsid w:val="00E11F9F"/>
    <w:rsid w:val="00E12172"/>
    <w:rsid w:val="00E133AF"/>
    <w:rsid w:val="00E210E3"/>
    <w:rsid w:val="00E279BD"/>
    <w:rsid w:val="00E335CB"/>
    <w:rsid w:val="00E35FC0"/>
    <w:rsid w:val="00E4134B"/>
    <w:rsid w:val="00E51FFC"/>
    <w:rsid w:val="00E53DA1"/>
    <w:rsid w:val="00E55203"/>
    <w:rsid w:val="00E63610"/>
    <w:rsid w:val="00E67CF5"/>
    <w:rsid w:val="00E72A98"/>
    <w:rsid w:val="00E73DB0"/>
    <w:rsid w:val="00E7761B"/>
    <w:rsid w:val="00E85C1C"/>
    <w:rsid w:val="00E86A87"/>
    <w:rsid w:val="00E92615"/>
    <w:rsid w:val="00E94D7C"/>
    <w:rsid w:val="00E9595C"/>
    <w:rsid w:val="00E97A80"/>
    <w:rsid w:val="00EA00AC"/>
    <w:rsid w:val="00EA3A2D"/>
    <w:rsid w:val="00EA3FAF"/>
    <w:rsid w:val="00EB7640"/>
    <w:rsid w:val="00EC25CF"/>
    <w:rsid w:val="00EC2DF2"/>
    <w:rsid w:val="00EC5AF0"/>
    <w:rsid w:val="00ED0AC7"/>
    <w:rsid w:val="00ED2333"/>
    <w:rsid w:val="00ED3445"/>
    <w:rsid w:val="00ED45EC"/>
    <w:rsid w:val="00ED7225"/>
    <w:rsid w:val="00EE0A3D"/>
    <w:rsid w:val="00EE351F"/>
    <w:rsid w:val="00EE4AF3"/>
    <w:rsid w:val="00EE638F"/>
    <w:rsid w:val="00F02D94"/>
    <w:rsid w:val="00F058F5"/>
    <w:rsid w:val="00F06047"/>
    <w:rsid w:val="00F07147"/>
    <w:rsid w:val="00F07E37"/>
    <w:rsid w:val="00F11251"/>
    <w:rsid w:val="00F114D9"/>
    <w:rsid w:val="00F17D84"/>
    <w:rsid w:val="00F20128"/>
    <w:rsid w:val="00F36477"/>
    <w:rsid w:val="00F403AC"/>
    <w:rsid w:val="00F446F9"/>
    <w:rsid w:val="00F47610"/>
    <w:rsid w:val="00F51D77"/>
    <w:rsid w:val="00F5223A"/>
    <w:rsid w:val="00F5313A"/>
    <w:rsid w:val="00F537CA"/>
    <w:rsid w:val="00F5392A"/>
    <w:rsid w:val="00F5444C"/>
    <w:rsid w:val="00F55D4E"/>
    <w:rsid w:val="00F64421"/>
    <w:rsid w:val="00F64666"/>
    <w:rsid w:val="00F66553"/>
    <w:rsid w:val="00F72A20"/>
    <w:rsid w:val="00F755BF"/>
    <w:rsid w:val="00F80A5C"/>
    <w:rsid w:val="00F80CFA"/>
    <w:rsid w:val="00F85C97"/>
    <w:rsid w:val="00F86A21"/>
    <w:rsid w:val="00F90DCE"/>
    <w:rsid w:val="00F91243"/>
    <w:rsid w:val="00F928D7"/>
    <w:rsid w:val="00F92B77"/>
    <w:rsid w:val="00F937FE"/>
    <w:rsid w:val="00F93D1C"/>
    <w:rsid w:val="00F94188"/>
    <w:rsid w:val="00F9611B"/>
    <w:rsid w:val="00FA0AF9"/>
    <w:rsid w:val="00FA2498"/>
    <w:rsid w:val="00FA3894"/>
    <w:rsid w:val="00FA4DD4"/>
    <w:rsid w:val="00FB10F8"/>
    <w:rsid w:val="00FB3804"/>
    <w:rsid w:val="00FC02AB"/>
    <w:rsid w:val="00FC52C5"/>
    <w:rsid w:val="00FC67B2"/>
    <w:rsid w:val="00FC6A68"/>
    <w:rsid w:val="00FC6FDD"/>
    <w:rsid w:val="00FD0447"/>
    <w:rsid w:val="00FD0B03"/>
    <w:rsid w:val="00FE10EE"/>
    <w:rsid w:val="00FE27A7"/>
    <w:rsid w:val="00FE3555"/>
    <w:rsid w:val="00FF2999"/>
    <w:rsid w:val="00FF299A"/>
    <w:rsid w:val="00FF47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C1B3CC-7BDD-4851-941B-0506D96E4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761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761A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761A6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761A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kapitoly">
    <w:name w:val="Nadpis kapitoly"/>
    <w:basedOn w:val="Odstavecseseznamem"/>
    <w:link w:val="NadpiskapitolyChar"/>
    <w:qFormat/>
    <w:rsid w:val="002D0AED"/>
    <w:pPr>
      <w:numPr>
        <w:numId w:val="1"/>
      </w:numPr>
      <w:jc w:val="both"/>
    </w:pPr>
    <w:rPr>
      <w:rFonts w:ascii="Palatino Linotype" w:hAnsi="Palatino Linotype"/>
      <w:b/>
      <w:smallCaps/>
      <w:sz w:val="28"/>
    </w:rPr>
  </w:style>
  <w:style w:type="character" w:customStyle="1" w:styleId="NadpiskapitolyChar">
    <w:name w:val="Nadpis kapitoly Char"/>
    <w:basedOn w:val="Standardnpsmoodstavce"/>
    <w:link w:val="Nadpiskapitoly"/>
    <w:rsid w:val="002D0AED"/>
    <w:rPr>
      <w:rFonts w:ascii="Palatino Linotype" w:hAnsi="Palatino Linotype"/>
      <w:b/>
      <w:smallCaps/>
      <w:sz w:val="28"/>
    </w:rPr>
  </w:style>
  <w:style w:type="paragraph" w:customStyle="1" w:styleId="Nadpispodkapitoly">
    <w:name w:val="Nadpis podkapitoly"/>
    <w:basedOn w:val="Odstavecseseznamem"/>
    <w:link w:val="NadpispodkapitolyChar"/>
    <w:qFormat/>
    <w:rsid w:val="002D0AED"/>
    <w:pPr>
      <w:numPr>
        <w:ilvl w:val="1"/>
        <w:numId w:val="1"/>
      </w:numPr>
    </w:pPr>
    <w:rPr>
      <w:rFonts w:ascii="Palatino Linotype" w:hAnsi="Palatino Linotype"/>
      <w:b/>
      <w:smallCaps/>
      <w:sz w:val="24"/>
    </w:rPr>
  </w:style>
  <w:style w:type="character" w:customStyle="1" w:styleId="NadpispodkapitolyChar">
    <w:name w:val="Nadpis podkapitoly Char"/>
    <w:basedOn w:val="Standardnpsmoodstavce"/>
    <w:link w:val="Nadpispodkapitoly"/>
    <w:rsid w:val="002D0AED"/>
    <w:rPr>
      <w:rFonts w:ascii="Palatino Linotype" w:hAnsi="Palatino Linotype"/>
      <w:b/>
      <w:smallCaps/>
      <w:sz w:val="24"/>
    </w:rPr>
  </w:style>
  <w:style w:type="paragraph" w:customStyle="1" w:styleId="Podpodnadpis">
    <w:name w:val="Podpodnadpis"/>
    <w:basedOn w:val="Nadpispodkapitoly"/>
    <w:link w:val="PodpodnadpisChar"/>
    <w:qFormat/>
    <w:rsid w:val="00AC32F9"/>
    <w:pPr>
      <w:numPr>
        <w:ilvl w:val="2"/>
      </w:numPr>
    </w:pPr>
    <w:rPr>
      <w:color w:val="000000"/>
      <w:sz w:val="22"/>
    </w:rPr>
  </w:style>
  <w:style w:type="paragraph" w:styleId="Odstavecseseznamem">
    <w:name w:val="List Paragraph"/>
    <w:basedOn w:val="Normln"/>
    <w:uiPriority w:val="34"/>
    <w:qFormat/>
    <w:rsid w:val="00FC02AB"/>
    <w:pPr>
      <w:ind w:left="720"/>
      <w:contextualSpacing/>
    </w:pPr>
  </w:style>
  <w:style w:type="paragraph" w:styleId="Bezmezer">
    <w:name w:val="No Spacing"/>
    <w:link w:val="BezmezerChar"/>
    <w:uiPriority w:val="1"/>
    <w:qFormat/>
    <w:rsid w:val="001E42F7"/>
    <w:pPr>
      <w:spacing w:after="0" w:line="240" w:lineRule="auto"/>
    </w:pPr>
  </w:style>
  <w:style w:type="character" w:customStyle="1" w:styleId="BezmezerChar">
    <w:name w:val="Bez mezer Char"/>
    <w:basedOn w:val="Standardnpsmoodstavce"/>
    <w:link w:val="Bezmezer"/>
    <w:uiPriority w:val="1"/>
    <w:rsid w:val="001E42F7"/>
    <w:rPr>
      <w:rFonts w:eastAsiaTheme="minorEastAsia"/>
      <w:lang w:eastAsia="cs-CZ"/>
    </w:rPr>
  </w:style>
  <w:style w:type="paragraph" w:styleId="Textbubliny">
    <w:name w:val="Balloon Text"/>
    <w:basedOn w:val="Normln"/>
    <w:link w:val="TextbublinyChar"/>
    <w:uiPriority w:val="99"/>
    <w:semiHidden/>
    <w:unhideWhenUsed/>
    <w:rsid w:val="001E42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42F7"/>
    <w:rPr>
      <w:rFonts w:ascii="Tahoma" w:hAnsi="Tahoma" w:cs="Tahoma"/>
      <w:sz w:val="16"/>
      <w:szCs w:val="16"/>
    </w:rPr>
  </w:style>
  <w:style w:type="paragraph" w:styleId="Textpoznpodarou">
    <w:name w:val="footnote text"/>
    <w:basedOn w:val="Normln"/>
    <w:link w:val="TextpoznpodarouChar"/>
    <w:uiPriority w:val="99"/>
    <w:semiHidden/>
    <w:unhideWhenUsed/>
    <w:rsid w:val="0031211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12118"/>
    <w:rPr>
      <w:sz w:val="20"/>
      <w:szCs w:val="20"/>
    </w:rPr>
  </w:style>
  <w:style w:type="character" w:styleId="Znakapoznpodarou">
    <w:name w:val="footnote reference"/>
    <w:basedOn w:val="Standardnpsmoodstavce"/>
    <w:uiPriority w:val="99"/>
    <w:semiHidden/>
    <w:unhideWhenUsed/>
    <w:rsid w:val="00312118"/>
    <w:rPr>
      <w:vertAlign w:val="superscript"/>
    </w:rPr>
  </w:style>
  <w:style w:type="paragraph" w:styleId="Obsah1">
    <w:name w:val="toc 1"/>
    <w:basedOn w:val="Normln"/>
    <w:next w:val="Normln"/>
    <w:autoRedefine/>
    <w:uiPriority w:val="39"/>
    <w:unhideWhenUsed/>
    <w:rsid w:val="00312118"/>
    <w:pPr>
      <w:spacing w:after="100"/>
    </w:pPr>
  </w:style>
  <w:style w:type="paragraph" w:styleId="Obsah2">
    <w:name w:val="toc 2"/>
    <w:basedOn w:val="Normln"/>
    <w:next w:val="Normln"/>
    <w:autoRedefine/>
    <w:uiPriority w:val="39"/>
    <w:unhideWhenUsed/>
    <w:rsid w:val="00312118"/>
    <w:pPr>
      <w:spacing w:after="100"/>
      <w:ind w:left="220"/>
    </w:pPr>
  </w:style>
  <w:style w:type="character" w:styleId="Hypertextovodkaz">
    <w:name w:val="Hyperlink"/>
    <w:basedOn w:val="Standardnpsmoodstavce"/>
    <w:uiPriority w:val="99"/>
    <w:unhideWhenUsed/>
    <w:rsid w:val="00312118"/>
    <w:rPr>
      <w:color w:val="0000FF" w:themeColor="hyperlink"/>
      <w:u w:val="single"/>
    </w:rPr>
  </w:style>
  <w:style w:type="paragraph" w:styleId="Zhlav">
    <w:name w:val="header"/>
    <w:basedOn w:val="Normln"/>
    <w:link w:val="ZhlavChar"/>
    <w:uiPriority w:val="99"/>
    <w:unhideWhenUsed/>
    <w:rsid w:val="00820B2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0B2A"/>
  </w:style>
  <w:style w:type="paragraph" w:styleId="Zpat">
    <w:name w:val="footer"/>
    <w:basedOn w:val="Normln"/>
    <w:link w:val="ZpatChar"/>
    <w:uiPriority w:val="99"/>
    <w:unhideWhenUsed/>
    <w:rsid w:val="00820B2A"/>
    <w:pPr>
      <w:tabs>
        <w:tab w:val="center" w:pos="4536"/>
        <w:tab w:val="right" w:pos="9072"/>
      </w:tabs>
      <w:spacing w:after="0" w:line="240" w:lineRule="auto"/>
    </w:pPr>
  </w:style>
  <w:style w:type="character" w:customStyle="1" w:styleId="ZpatChar">
    <w:name w:val="Zápatí Char"/>
    <w:basedOn w:val="Standardnpsmoodstavce"/>
    <w:link w:val="Zpat"/>
    <w:uiPriority w:val="99"/>
    <w:rsid w:val="00820B2A"/>
  </w:style>
  <w:style w:type="table" w:styleId="Mkatabulky">
    <w:name w:val="Table Grid"/>
    <w:basedOn w:val="Normlntabulka"/>
    <w:uiPriority w:val="59"/>
    <w:rsid w:val="00960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dpodnadpisChar">
    <w:name w:val="Podpodnadpis Char"/>
    <w:basedOn w:val="NadpispodkapitolyChar"/>
    <w:link w:val="Podpodnadpis"/>
    <w:rsid w:val="00AC32F9"/>
    <w:rPr>
      <w:rFonts w:ascii="Palatino Linotype" w:hAnsi="Palatino Linotype"/>
      <w:b/>
      <w:smallCaps/>
      <w:color w:val="000000"/>
      <w:sz w:val="24"/>
    </w:rPr>
  </w:style>
  <w:style w:type="paragraph" w:customStyle="1" w:styleId="Odstavecseseznamem1">
    <w:name w:val="Odstavec se seznamem1"/>
    <w:rsid w:val="00545272"/>
    <w:pPr>
      <w:widowControl w:val="0"/>
      <w:suppressAutoHyphens/>
      <w:spacing w:after="0" w:line="240" w:lineRule="auto"/>
      <w:ind w:left="720"/>
    </w:pPr>
    <w:rPr>
      <w:rFonts w:ascii="Times New Roman" w:eastAsia="Lucida Sans Unicode" w:hAnsi="Times New Roman" w:cs="Times New Roman"/>
      <w:kern w:val="1"/>
      <w:sz w:val="24"/>
      <w:szCs w:val="24"/>
      <w:lang w:eastAsia="ar-SA"/>
    </w:rPr>
  </w:style>
  <w:style w:type="character" w:styleId="Sledovanodkaz">
    <w:name w:val="FollowedHyperlink"/>
    <w:basedOn w:val="Standardnpsmoodstavce"/>
    <w:uiPriority w:val="99"/>
    <w:semiHidden/>
    <w:unhideWhenUsed/>
    <w:rsid w:val="00545272"/>
    <w:rPr>
      <w:color w:val="800080" w:themeColor="followedHyperlink"/>
      <w:u w:val="single"/>
    </w:rPr>
  </w:style>
  <w:style w:type="paragraph" w:styleId="Normlnweb">
    <w:name w:val="Normal (Web)"/>
    <w:basedOn w:val="Normln"/>
    <w:uiPriority w:val="99"/>
    <w:unhideWhenUsed/>
    <w:rsid w:val="00CA2C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3Char">
    <w:name w:val="Nadpis 3 Char"/>
    <w:basedOn w:val="Standardnpsmoodstavce"/>
    <w:link w:val="Nadpis3"/>
    <w:uiPriority w:val="9"/>
    <w:semiHidden/>
    <w:rsid w:val="00761A69"/>
    <w:rPr>
      <w:rFonts w:asciiTheme="majorHAnsi" w:eastAsiaTheme="majorEastAsia" w:hAnsiTheme="majorHAnsi" w:cstheme="majorBidi"/>
      <w:color w:val="243F60" w:themeColor="accent1" w:themeShade="7F"/>
      <w:sz w:val="24"/>
      <w:szCs w:val="24"/>
    </w:rPr>
  </w:style>
  <w:style w:type="character" w:customStyle="1" w:styleId="definitiontext">
    <w:name w:val="definition_text"/>
    <w:basedOn w:val="Standardnpsmoodstavce"/>
    <w:rsid w:val="00761A69"/>
  </w:style>
  <w:style w:type="character" w:styleId="Siln">
    <w:name w:val="Strong"/>
    <w:basedOn w:val="Standardnpsmoodstavce"/>
    <w:uiPriority w:val="22"/>
    <w:qFormat/>
    <w:rsid w:val="00761A69"/>
    <w:rPr>
      <w:b/>
      <w:bCs/>
    </w:rPr>
  </w:style>
  <w:style w:type="character" w:customStyle="1" w:styleId="mw-cite-backlink">
    <w:name w:val="mw-cite-backlink"/>
    <w:basedOn w:val="Standardnpsmoodstavce"/>
    <w:rsid w:val="00761A69"/>
  </w:style>
  <w:style w:type="character" w:customStyle="1" w:styleId="citation">
    <w:name w:val="citation"/>
    <w:basedOn w:val="Standardnpsmoodstavce"/>
    <w:rsid w:val="00761A69"/>
  </w:style>
  <w:style w:type="character" w:customStyle="1" w:styleId="Nadpis1Char">
    <w:name w:val="Nadpis 1 Char"/>
    <w:basedOn w:val="Standardnpsmoodstavce"/>
    <w:link w:val="Nadpis1"/>
    <w:uiPriority w:val="9"/>
    <w:rsid w:val="00761A69"/>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761A69"/>
    <w:rPr>
      <w:rFonts w:asciiTheme="majorHAnsi" w:eastAsiaTheme="majorEastAsia" w:hAnsiTheme="majorHAnsi" w:cstheme="majorBidi"/>
      <w:b/>
      <w:bCs/>
      <w:color w:val="4F81BD" w:themeColor="accent1"/>
      <w:sz w:val="26"/>
      <w:szCs w:val="26"/>
    </w:rPr>
  </w:style>
  <w:style w:type="character" w:customStyle="1" w:styleId="Nadpis4Char">
    <w:name w:val="Nadpis 4 Char"/>
    <w:basedOn w:val="Standardnpsmoodstavce"/>
    <w:link w:val="Nadpis4"/>
    <w:uiPriority w:val="9"/>
    <w:semiHidden/>
    <w:rsid w:val="00761A69"/>
    <w:rPr>
      <w:rFonts w:asciiTheme="majorHAnsi" w:eastAsiaTheme="majorEastAsia" w:hAnsiTheme="majorHAnsi" w:cstheme="majorBidi"/>
      <w:b/>
      <w:bCs/>
      <w:i/>
      <w:iCs/>
      <w:color w:val="4F81BD" w:themeColor="accent1"/>
    </w:rPr>
  </w:style>
  <w:style w:type="character" w:styleId="Odkaznakoment">
    <w:name w:val="annotation reference"/>
    <w:basedOn w:val="Standardnpsmoodstavce"/>
    <w:uiPriority w:val="99"/>
    <w:semiHidden/>
    <w:unhideWhenUsed/>
    <w:rsid w:val="00761A69"/>
    <w:rPr>
      <w:sz w:val="16"/>
      <w:szCs w:val="16"/>
    </w:rPr>
  </w:style>
  <w:style w:type="paragraph" w:styleId="Textkomente">
    <w:name w:val="annotation text"/>
    <w:basedOn w:val="Normln"/>
    <w:link w:val="TextkomenteChar"/>
    <w:uiPriority w:val="99"/>
    <w:unhideWhenUsed/>
    <w:rsid w:val="00761A69"/>
    <w:pPr>
      <w:spacing w:after="160" w:line="240" w:lineRule="auto"/>
    </w:pPr>
    <w:rPr>
      <w:sz w:val="20"/>
      <w:szCs w:val="20"/>
    </w:rPr>
  </w:style>
  <w:style w:type="character" w:customStyle="1" w:styleId="TextkomenteChar">
    <w:name w:val="Text komentáře Char"/>
    <w:basedOn w:val="Standardnpsmoodstavce"/>
    <w:link w:val="Textkomente"/>
    <w:uiPriority w:val="99"/>
    <w:rsid w:val="00761A69"/>
    <w:rPr>
      <w:sz w:val="20"/>
      <w:szCs w:val="20"/>
    </w:rPr>
  </w:style>
  <w:style w:type="character" w:customStyle="1" w:styleId="Nzev1">
    <w:name w:val="Název1"/>
    <w:basedOn w:val="Standardnpsmoodstavce"/>
    <w:rsid w:val="00761A69"/>
  </w:style>
  <w:style w:type="character" w:customStyle="1" w:styleId="cite-accessibility-label">
    <w:name w:val="cite-accessibility-label"/>
    <w:basedOn w:val="Standardnpsmoodstavce"/>
    <w:rsid w:val="00761A69"/>
  </w:style>
  <w:style w:type="paragraph" w:customStyle="1" w:styleId="Nzev2">
    <w:name w:val="Název2"/>
    <w:basedOn w:val="Normln"/>
    <w:rsid w:val="00761A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ln"/>
    <w:rsid w:val="00761A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ln"/>
    <w:rsid w:val="00761A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Standardnpsmoodstavce"/>
    <w:rsid w:val="00761A69"/>
  </w:style>
  <w:style w:type="character" w:customStyle="1" w:styleId="highlight">
    <w:name w:val="highlight"/>
    <w:basedOn w:val="Standardnpsmoodstavce"/>
    <w:rsid w:val="00761A69"/>
  </w:style>
  <w:style w:type="paragraph" w:styleId="Pedmtkomente">
    <w:name w:val="annotation subject"/>
    <w:basedOn w:val="Textkomente"/>
    <w:next w:val="Textkomente"/>
    <w:link w:val="PedmtkomenteChar"/>
    <w:uiPriority w:val="99"/>
    <w:semiHidden/>
    <w:unhideWhenUsed/>
    <w:rsid w:val="004F7664"/>
    <w:pPr>
      <w:spacing w:after="200"/>
    </w:pPr>
    <w:rPr>
      <w:b/>
      <w:bCs/>
    </w:rPr>
  </w:style>
  <w:style w:type="character" w:customStyle="1" w:styleId="PedmtkomenteChar">
    <w:name w:val="Předmět komentáře Char"/>
    <w:basedOn w:val="TextkomenteChar"/>
    <w:link w:val="Pedmtkomente"/>
    <w:uiPriority w:val="99"/>
    <w:semiHidden/>
    <w:rsid w:val="004F7664"/>
    <w:rPr>
      <w:b/>
      <w:bCs/>
      <w:sz w:val="20"/>
      <w:szCs w:val="20"/>
    </w:rPr>
  </w:style>
  <w:style w:type="paragraph" w:styleId="Titulek">
    <w:name w:val="caption"/>
    <w:basedOn w:val="Normln"/>
    <w:next w:val="Normln"/>
    <w:uiPriority w:val="35"/>
    <w:unhideWhenUsed/>
    <w:qFormat/>
    <w:rsid w:val="00D56167"/>
    <w:pPr>
      <w:spacing w:line="240" w:lineRule="auto"/>
    </w:pPr>
    <w:rPr>
      <w:b/>
      <w:bCs/>
      <w:color w:val="4F81BD" w:themeColor="accent1"/>
      <w:sz w:val="18"/>
      <w:szCs w:val="18"/>
    </w:rPr>
  </w:style>
  <w:style w:type="paragraph" w:customStyle="1" w:styleId="Palatino">
    <w:name w:val="Palatino"/>
    <w:basedOn w:val="Normln"/>
    <w:link w:val="PalatinoChar"/>
    <w:qFormat/>
    <w:rsid w:val="00AC32F9"/>
    <w:pPr>
      <w:autoSpaceDE w:val="0"/>
      <w:spacing w:after="0"/>
      <w:jc w:val="both"/>
    </w:pPr>
    <w:rPr>
      <w:rFonts w:ascii="Palatino Linotype" w:eastAsia="TrebuchetMS-Bold" w:hAnsi="Palatino Linotype" w:cs="TrebuchetMS-Bold"/>
      <w:sz w:val="21"/>
      <w:szCs w:val="21"/>
    </w:rPr>
  </w:style>
  <w:style w:type="character" w:customStyle="1" w:styleId="PalatinoChar">
    <w:name w:val="Palatino Char"/>
    <w:basedOn w:val="Standardnpsmoodstavce"/>
    <w:link w:val="Palatino"/>
    <w:rsid w:val="00AC32F9"/>
    <w:rPr>
      <w:rFonts w:ascii="Palatino Linotype" w:eastAsia="TrebuchetMS-Bold" w:hAnsi="Palatino Linotype" w:cs="TrebuchetMS-Bold"/>
      <w:sz w:val="21"/>
      <w:szCs w:val="21"/>
    </w:rPr>
  </w:style>
  <w:style w:type="paragraph" w:styleId="Zkladntext">
    <w:name w:val="Body Text"/>
    <w:basedOn w:val="Normln"/>
    <w:link w:val="ZkladntextChar"/>
    <w:semiHidden/>
    <w:rsid w:val="004B7B5F"/>
    <w:pPr>
      <w:widowControl w:val="0"/>
      <w:suppressAutoHyphens/>
      <w:spacing w:after="120" w:line="240" w:lineRule="auto"/>
    </w:pPr>
    <w:rPr>
      <w:rFonts w:ascii="Times New Roman" w:eastAsia="Arial Unicode MS" w:hAnsi="Times New Roman" w:cs="Mangal"/>
      <w:kern w:val="1"/>
      <w:sz w:val="24"/>
      <w:szCs w:val="24"/>
      <w:lang w:eastAsia="hi-IN" w:bidi="hi-IN"/>
    </w:rPr>
  </w:style>
  <w:style w:type="character" w:customStyle="1" w:styleId="ZkladntextChar">
    <w:name w:val="Základní text Char"/>
    <w:basedOn w:val="Standardnpsmoodstavce"/>
    <w:link w:val="Zkladntext"/>
    <w:semiHidden/>
    <w:rsid w:val="004B7B5F"/>
    <w:rPr>
      <w:rFonts w:ascii="Times New Roman" w:eastAsia="Arial Unicode MS" w:hAnsi="Times New Roman" w:cs="Mangal"/>
      <w:kern w:val="1"/>
      <w:sz w:val="24"/>
      <w:szCs w:val="24"/>
      <w:lang w:eastAsia="hi-IN" w:bidi="hi-IN"/>
    </w:rPr>
  </w:style>
  <w:style w:type="paragraph" w:customStyle="1" w:styleId="p">
    <w:name w:val="p"/>
    <w:basedOn w:val="Normln"/>
    <w:rsid w:val="00520D6A"/>
    <w:pPr>
      <w:spacing w:before="100" w:beforeAutospacing="1" w:after="100" w:afterAutospacing="1" w:line="240" w:lineRule="auto"/>
    </w:pPr>
    <w:rPr>
      <w:rFonts w:ascii="Times New Roman" w:eastAsia="Times New Roman" w:hAnsi="Times New Roman" w:cs="Times New Roman"/>
      <w:sz w:val="24"/>
      <w:szCs w:val="24"/>
    </w:rPr>
  </w:style>
  <w:style w:type="character" w:styleId="Zdraznn">
    <w:name w:val="Emphasis"/>
    <w:basedOn w:val="Standardnpsmoodstavce"/>
    <w:uiPriority w:val="20"/>
    <w:qFormat/>
    <w:rsid w:val="00520D6A"/>
    <w:rPr>
      <w:i/>
      <w:iCs/>
    </w:rPr>
  </w:style>
  <w:style w:type="character" w:customStyle="1" w:styleId="xref">
    <w:name w:val="xref"/>
    <w:basedOn w:val="Standardnpsmoodstavce"/>
    <w:rsid w:val="00520D6A"/>
  </w:style>
  <w:style w:type="character" w:customStyle="1" w:styleId="element-citation">
    <w:name w:val="element-citation"/>
    <w:basedOn w:val="Standardnpsmoodstavce"/>
    <w:rsid w:val="00520D6A"/>
  </w:style>
  <w:style w:type="character" w:customStyle="1" w:styleId="ref-journal">
    <w:name w:val="ref-journal"/>
    <w:basedOn w:val="Standardnpsmoodstavce"/>
    <w:rsid w:val="00520D6A"/>
  </w:style>
  <w:style w:type="character" w:customStyle="1" w:styleId="ref-vol">
    <w:name w:val="ref-vol"/>
    <w:basedOn w:val="Standardnpsmoodstavce"/>
    <w:rsid w:val="00520D6A"/>
  </w:style>
  <w:style w:type="character" w:customStyle="1" w:styleId="nowrap">
    <w:name w:val="nowrap"/>
    <w:basedOn w:val="Standardnpsmoodstavce"/>
    <w:rsid w:val="00520D6A"/>
  </w:style>
  <w:style w:type="character" w:customStyle="1" w:styleId="citation-abbreviation">
    <w:name w:val="citation-abbreviation"/>
    <w:basedOn w:val="Standardnpsmoodstavce"/>
    <w:rsid w:val="00520D6A"/>
  </w:style>
  <w:style w:type="character" w:customStyle="1" w:styleId="citation-publication-date">
    <w:name w:val="citation-publication-date"/>
    <w:basedOn w:val="Standardnpsmoodstavce"/>
    <w:rsid w:val="00520D6A"/>
  </w:style>
  <w:style w:type="character" w:customStyle="1" w:styleId="citation-volume">
    <w:name w:val="citation-volume"/>
    <w:basedOn w:val="Standardnpsmoodstavce"/>
    <w:rsid w:val="00520D6A"/>
  </w:style>
  <w:style w:type="character" w:customStyle="1" w:styleId="citation-flpages">
    <w:name w:val="citation-flpages"/>
    <w:basedOn w:val="Standardnpsmoodstavce"/>
    <w:rsid w:val="00520D6A"/>
  </w:style>
  <w:style w:type="character" w:customStyle="1" w:styleId="fm-vol-iss-date">
    <w:name w:val="fm-vol-iss-date"/>
    <w:basedOn w:val="Standardnpsmoodstavce"/>
    <w:rsid w:val="00520D6A"/>
  </w:style>
  <w:style w:type="character" w:customStyle="1" w:styleId="doi">
    <w:name w:val="doi"/>
    <w:basedOn w:val="Standardnpsmoodstavce"/>
    <w:rsid w:val="00520D6A"/>
  </w:style>
  <w:style w:type="character" w:customStyle="1" w:styleId="fm-citation-ids-label">
    <w:name w:val="fm-citation-ids-label"/>
    <w:basedOn w:val="Standardnpsmoodstavce"/>
    <w:rsid w:val="00520D6A"/>
  </w:style>
  <w:style w:type="character" w:customStyle="1" w:styleId="ui-ncbitoggler-master-text">
    <w:name w:val="ui-ncbitoggler-master-text"/>
    <w:basedOn w:val="Standardnpsmoodstavce"/>
    <w:rsid w:val="00520D6A"/>
  </w:style>
  <w:style w:type="character" w:customStyle="1" w:styleId="citation-issue">
    <w:name w:val="citation-issue"/>
    <w:basedOn w:val="Standardnpsmoodstavce"/>
    <w:rsid w:val="00520D6A"/>
  </w:style>
  <w:style w:type="paragraph" w:customStyle="1" w:styleId="Odstavecseseznamem2">
    <w:name w:val="Odstavec se seznamem2"/>
    <w:rsid w:val="00C10C53"/>
    <w:pPr>
      <w:widowControl w:val="0"/>
      <w:suppressAutoHyphens/>
      <w:spacing w:after="0" w:line="240" w:lineRule="auto"/>
      <w:ind w:left="720"/>
    </w:pPr>
    <w:rPr>
      <w:rFonts w:ascii="Times New Roman" w:eastAsia="Lucida Sans Unicode" w:hAnsi="Times New Roman" w:cs="Times New Roman"/>
      <w:kern w:val="1"/>
      <w:sz w:val="24"/>
      <w:szCs w:val="24"/>
      <w:lang w:eastAsia="ar-SA"/>
    </w:rPr>
  </w:style>
  <w:style w:type="paragraph" w:styleId="Revize">
    <w:name w:val="Revision"/>
    <w:hidden/>
    <w:uiPriority w:val="99"/>
    <w:semiHidden/>
    <w:rsid w:val="006074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9754">
      <w:bodyDiv w:val="1"/>
      <w:marLeft w:val="0"/>
      <w:marRight w:val="0"/>
      <w:marTop w:val="0"/>
      <w:marBottom w:val="0"/>
      <w:divBdr>
        <w:top w:val="none" w:sz="0" w:space="0" w:color="auto"/>
        <w:left w:val="none" w:sz="0" w:space="0" w:color="auto"/>
        <w:bottom w:val="none" w:sz="0" w:space="0" w:color="auto"/>
        <w:right w:val="none" w:sz="0" w:space="0" w:color="auto"/>
      </w:divBdr>
    </w:div>
    <w:div w:id="221403981">
      <w:bodyDiv w:val="1"/>
      <w:marLeft w:val="0"/>
      <w:marRight w:val="0"/>
      <w:marTop w:val="0"/>
      <w:marBottom w:val="0"/>
      <w:divBdr>
        <w:top w:val="none" w:sz="0" w:space="0" w:color="auto"/>
        <w:left w:val="none" w:sz="0" w:space="0" w:color="auto"/>
        <w:bottom w:val="none" w:sz="0" w:space="0" w:color="auto"/>
        <w:right w:val="none" w:sz="0" w:space="0" w:color="auto"/>
      </w:divBdr>
      <w:divsChild>
        <w:div w:id="1275599777">
          <w:marLeft w:val="75"/>
          <w:marRight w:val="75"/>
          <w:marTop w:val="0"/>
          <w:marBottom w:val="0"/>
          <w:divBdr>
            <w:top w:val="none" w:sz="0" w:space="0" w:color="auto"/>
            <w:left w:val="none" w:sz="0" w:space="0" w:color="auto"/>
            <w:bottom w:val="none" w:sz="0" w:space="0" w:color="auto"/>
            <w:right w:val="none" w:sz="0" w:space="0" w:color="auto"/>
          </w:divBdr>
        </w:div>
      </w:divsChild>
    </w:div>
    <w:div w:id="290290701">
      <w:bodyDiv w:val="1"/>
      <w:marLeft w:val="0"/>
      <w:marRight w:val="0"/>
      <w:marTop w:val="0"/>
      <w:marBottom w:val="0"/>
      <w:divBdr>
        <w:top w:val="none" w:sz="0" w:space="0" w:color="auto"/>
        <w:left w:val="none" w:sz="0" w:space="0" w:color="auto"/>
        <w:bottom w:val="none" w:sz="0" w:space="0" w:color="auto"/>
        <w:right w:val="none" w:sz="0" w:space="0" w:color="auto"/>
      </w:divBdr>
    </w:div>
    <w:div w:id="312367654">
      <w:bodyDiv w:val="1"/>
      <w:marLeft w:val="0"/>
      <w:marRight w:val="0"/>
      <w:marTop w:val="0"/>
      <w:marBottom w:val="0"/>
      <w:divBdr>
        <w:top w:val="none" w:sz="0" w:space="0" w:color="auto"/>
        <w:left w:val="none" w:sz="0" w:space="0" w:color="auto"/>
        <w:bottom w:val="none" w:sz="0" w:space="0" w:color="auto"/>
        <w:right w:val="none" w:sz="0" w:space="0" w:color="auto"/>
      </w:divBdr>
    </w:div>
    <w:div w:id="320543493">
      <w:bodyDiv w:val="1"/>
      <w:marLeft w:val="0"/>
      <w:marRight w:val="0"/>
      <w:marTop w:val="0"/>
      <w:marBottom w:val="0"/>
      <w:divBdr>
        <w:top w:val="none" w:sz="0" w:space="0" w:color="auto"/>
        <w:left w:val="none" w:sz="0" w:space="0" w:color="auto"/>
        <w:bottom w:val="none" w:sz="0" w:space="0" w:color="auto"/>
        <w:right w:val="none" w:sz="0" w:space="0" w:color="auto"/>
      </w:divBdr>
      <w:divsChild>
        <w:div w:id="1571961350">
          <w:marLeft w:val="0"/>
          <w:marRight w:val="0"/>
          <w:marTop w:val="0"/>
          <w:marBottom w:val="0"/>
          <w:divBdr>
            <w:top w:val="none" w:sz="0" w:space="0" w:color="auto"/>
            <w:left w:val="none" w:sz="0" w:space="0" w:color="auto"/>
            <w:bottom w:val="none" w:sz="0" w:space="0" w:color="auto"/>
            <w:right w:val="none" w:sz="0" w:space="0" w:color="auto"/>
          </w:divBdr>
        </w:div>
      </w:divsChild>
    </w:div>
    <w:div w:id="336540029">
      <w:bodyDiv w:val="1"/>
      <w:marLeft w:val="0"/>
      <w:marRight w:val="0"/>
      <w:marTop w:val="0"/>
      <w:marBottom w:val="0"/>
      <w:divBdr>
        <w:top w:val="none" w:sz="0" w:space="0" w:color="auto"/>
        <w:left w:val="none" w:sz="0" w:space="0" w:color="auto"/>
        <w:bottom w:val="none" w:sz="0" w:space="0" w:color="auto"/>
        <w:right w:val="none" w:sz="0" w:space="0" w:color="auto"/>
      </w:divBdr>
    </w:div>
    <w:div w:id="370544138">
      <w:bodyDiv w:val="1"/>
      <w:marLeft w:val="0"/>
      <w:marRight w:val="0"/>
      <w:marTop w:val="0"/>
      <w:marBottom w:val="0"/>
      <w:divBdr>
        <w:top w:val="none" w:sz="0" w:space="0" w:color="auto"/>
        <w:left w:val="none" w:sz="0" w:space="0" w:color="auto"/>
        <w:bottom w:val="none" w:sz="0" w:space="0" w:color="auto"/>
        <w:right w:val="none" w:sz="0" w:space="0" w:color="auto"/>
      </w:divBdr>
    </w:div>
    <w:div w:id="436800797">
      <w:bodyDiv w:val="1"/>
      <w:marLeft w:val="0"/>
      <w:marRight w:val="0"/>
      <w:marTop w:val="0"/>
      <w:marBottom w:val="0"/>
      <w:divBdr>
        <w:top w:val="none" w:sz="0" w:space="0" w:color="auto"/>
        <w:left w:val="none" w:sz="0" w:space="0" w:color="auto"/>
        <w:bottom w:val="none" w:sz="0" w:space="0" w:color="auto"/>
        <w:right w:val="none" w:sz="0" w:space="0" w:color="auto"/>
      </w:divBdr>
    </w:div>
    <w:div w:id="439644157">
      <w:bodyDiv w:val="1"/>
      <w:marLeft w:val="0"/>
      <w:marRight w:val="0"/>
      <w:marTop w:val="0"/>
      <w:marBottom w:val="0"/>
      <w:divBdr>
        <w:top w:val="none" w:sz="0" w:space="0" w:color="auto"/>
        <w:left w:val="none" w:sz="0" w:space="0" w:color="auto"/>
        <w:bottom w:val="none" w:sz="0" w:space="0" w:color="auto"/>
        <w:right w:val="none" w:sz="0" w:space="0" w:color="auto"/>
      </w:divBdr>
    </w:div>
    <w:div w:id="527911938">
      <w:bodyDiv w:val="1"/>
      <w:marLeft w:val="0"/>
      <w:marRight w:val="0"/>
      <w:marTop w:val="0"/>
      <w:marBottom w:val="0"/>
      <w:divBdr>
        <w:top w:val="none" w:sz="0" w:space="0" w:color="auto"/>
        <w:left w:val="none" w:sz="0" w:space="0" w:color="auto"/>
        <w:bottom w:val="none" w:sz="0" w:space="0" w:color="auto"/>
        <w:right w:val="none" w:sz="0" w:space="0" w:color="auto"/>
      </w:divBdr>
    </w:div>
    <w:div w:id="536895858">
      <w:bodyDiv w:val="1"/>
      <w:marLeft w:val="0"/>
      <w:marRight w:val="0"/>
      <w:marTop w:val="0"/>
      <w:marBottom w:val="0"/>
      <w:divBdr>
        <w:top w:val="none" w:sz="0" w:space="0" w:color="auto"/>
        <w:left w:val="none" w:sz="0" w:space="0" w:color="auto"/>
        <w:bottom w:val="none" w:sz="0" w:space="0" w:color="auto"/>
        <w:right w:val="none" w:sz="0" w:space="0" w:color="auto"/>
      </w:divBdr>
    </w:div>
    <w:div w:id="551237937">
      <w:bodyDiv w:val="1"/>
      <w:marLeft w:val="0"/>
      <w:marRight w:val="0"/>
      <w:marTop w:val="0"/>
      <w:marBottom w:val="0"/>
      <w:divBdr>
        <w:top w:val="none" w:sz="0" w:space="0" w:color="auto"/>
        <w:left w:val="none" w:sz="0" w:space="0" w:color="auto"/>
        <w:bottom w:val="none" w:sz="0" w:space="0" w:color="auto"/>
        <w:right w:val="none" w:sz="0" w:space="0" w:color="auto"/>
      </w:divBdr>
    </w:div>
    <w:div w:id="552011032">
      <w:bodyDiv w:val="1"/>
      <w:marLeft w:val="0"/>
      <w:marRight w:val="0"/>
      <w:marTop w:val="0"/>
      <w:marBottom w:val="0"/>
      <w:divBdr>
        <w:top w:val="none" w:sz="0" w:space="0" w:color="auto"/>
        <w:left w:val="none" w:sz="0" w:space="0" w:color="auto"/>
        <w:bottom w:val="none" w:sz="0" w:space="0" w:color="auto"/>
        <w:right w:val="none" w:sz="0" w:space="0" w:color="auto"/>
      </w:divBdr>
    </w:div>
    <w:div w:id="561477861">
      <w:bodyDiv w:val="1"/>
      <w:marLeft w:val="0"/>
      <w:marRight w:val="0"/>
      <w:marTop w:val="0"/>
      <w:marBottom w:val="0"/>
      <w:divBdr>
        <w:top w:val="none" w:sz="0" w:space="0" w:color="auto"/>
        <w:left w:val="none" w:sz="0" w:space="0" w:color="auto"/>
        <w:bottom w:val="none" w:sz="0" w:space="0" w:color="auto"/>
        <w:right w:val="none" w:sz="0" w:space="0" w:color="auto"/>
      </w:divBdr>
    </w:div>
    <w:div w:id="633951130">
      <w:bodyDiv w:val="1"/>
      <w:marLeft w:val="0"/>
      <w:marRight w:val="0"/>
      <w:marTop w:val="0"/>
      <w:marBottom w:val="0"/>
      <w:divBdr>
        <w:top w:val="none" w:sz="0" w:space="0" w:color="auto"/>
        <w:left w:val="none" w:sz="0" w:space="0" w:color="auto"/>
        <w:bottom w:val="none" w:sz="0" w:space="0" w:color="auto"/>
        <w:right w:val="none" w:sz="0" w:space="0" w:color="auto"/>
      </w:divBdr>
      <w:divsChild>
        <w:div w:id="1072896290">
          <w:marLeft w:val="0"/>
          <w:marRight w:val="0"/>
          <w:marTop w:val="0"/>
          <w:marBottom w:val="0"/>
          <w:divBdr>
            <w:top w:val="none" w:sz="0" w:space="0" w:color="auto"/>
            <w:left w:val="none" w:sz="0" w:space="0" w:color="auto"/>
            <w:bottom w:val="none" w:sz="0" w:space="0" w:color="auto"/>
            <w:right w:val="none" w:sz="0" w:space="0" w:color="auto"/>
          </w:divBdr>
        </w:div>
        <w:div w:id="1184321446">
          <w:marLeft w:val="0"/>
          <w:marRight w:val="0"/>
          <w:marTop w:val="0"/>
          <w:marBottom w:val="0"/>
          <w:divBdr>
            <w:top w:val="none" w:sz="0" w:space="0" w:color="auto"/>
            <w:left w:val="none" w:sz="0" w:space="0" w:color="auto"/>
            <w:bottom w:val="none" w:sz="0" w:space="0" w:color="auto"/>
            <w:right w:val="none" w:sz="0" w:space="0" w:color="auto"/>
          </w:divBdr>
        </w:div>
      </w:divsChild>
    </w:div>
    <w:div w:id="714280340">
      <w:bodyDiv w:val="1"/>
      <w:marLeft w:val="0"/>
      <w:marRight w:val="0"/>
      <w:marTop w:val="0"/>
      <w:marBottom w:val="0"/>
      <w:divBdr>
        <w:top w:val="none" w:sz="0" w:space="0" w:color="auto"/>
        <w:left w:val="none" w:sz="0" w:space="0" w:color="auto"/>
        <w:bottom w:val="none" w:sz="0" w:space="0" w:color="auto"/>
        <w:right w:val="none" w:sz="0" w:space="0" w:color="auto"/>
      </w:divBdr>
    </w:div>
    <w:div w:id="728920698">
      <w:bodyDiv w:val="1"/>
      <w:marLeft w:val="0"/>
      <w:marRight w:val="0"/>
      <w:marTop w:val="0"/>
      <w:marBottom w:val="0"/>
      <w:divBdr>
        <w:top w:val="none" w:sz="0" w:space="0" w:color="auto"/>
        <w:left w:val="none" w:sz="0" w:space="0" w:color="auto"/>
        <w:bottom w:val="none" w:sz="0" w:space="0" w:color="auto"/>
        <w:right w:val="none" w:sz="0" w:space="0" w:color="auto"/>
      </w:divBdr>
    </w:div>
    <w:div w:id="734358975">
      <w:bodyDiv w:val="1"/>
      <w:marLeft w:val="0"/>
      <w:marRight w:val="0"/>
      <w:marTop w:val="0"/>
      <w:marBottom w:val="0"/>
      <w:divBdr>
        <w:top w:val="none" w:sz="0" w:space="0" w:color="auto"/>
        <w:left w:val="none" w:sz="0" w:space="0" w:color="auto"/>
        <w:bottom w:val="none" w:sz="0" w:space="0" w:color="auto"/>
        <w:right w:val="none" w:sz="0" w:space="0" w:color="auto"/>
      </w:divBdr>
    </w:div>
    <w:div w:id="741028974">
      <w:bodyDiv w:val="1"/>
      <w:marLeft w:val="0"/>
      <w:marRight w:val="0"/>
      <w:marTop w:val="0"/>
      <w:marBottom w:val="0"/>
      <w:divBdr>
        <w:top w:val="none" w:sz="0" w:space="0" w:color="auto"/>
        <w:left w:val="none" w:sz="0" w:space="0" w:color="auto"/>
        <w:bottom w:val="none" w:sz="0" w:space="0" w:color="auto"/>
        <w:right w:val="none" w:sz="0" w:space="0" w:color="auto"/>
      </w:divBdr>
    </w:div>
    <w:div w:id="893348237">
      <w:bodyDiv w:val="1"/>
      <w:marLeft w:val="0"/>
      <w:marRight w:val="0"/>
      <w:marTop w:val="0"/>
      <w:marBottom w:val="0"/>
      <w:divBdr>
        <w:top w:val="none" w:sz="0" w:space="0" w:color="auto"/>
        <w:left w:val="none" w:sz="0" w:space="0" w:color="auto"/>
        <w:bottom w:val="none" w:sz="0" w:space="0" w:color="auto"/>
        <w:right w:val="none" w:sz="0" w:space="0" w:color="auto"/>
      </w:divBdr>
      <w:divsChild>
        <w:div w:id="1175539158">
          <w:marLeft w:val="0"/>
          <w:marRight w:val="0"/>
          <w:marTop w:val="0"/>
          <w:marBottom w:val="0"/>
          <w:divBdr>
            <w:top w:val="none" w:sz="0" w:space="0" w:color="auto"/>
            <w:left w:val="none" w:sz="0" w:space="0" w:color="auto"/>
            <w:bottom w:val="none" w:sz="0" w:space="0" w:color="auto"/>
            <w:right w:val="none" w:sz="0" w:space="0" w:color="auto"/>
          </w:divBdr>
        </w:div>
        <w:div w:id="962619137">
          <w:marLeft w:val="0"/>
          <w:marRight w:val="0"/>
          <w:marTop w:val="0"/>
          <w:marBottom w:val="0"/>
          <w:divBdr>
            <w:top w:val="none" w:sz="0" w:space="0" w:color="auto"/>
            <w:left w:val="none" w:sz="0" w:space="0" w:color="auto"/>
            <w:bottom w:val="none" w:sz="0" w:space="0" w:color="auto"/>
            <w:right w:val="none" w:sz="0" w:space="0" w:color="auto"/>
          </w:divBdr>
        </w:div>
      </w:divsChild>
    </w:div>
    <w:div w:id="977878151">
      <w:bodyDiv w:val="1"/>
      <w:marLeft w:val="0"/>
      <w:marRight w:val="0"/>
      <w:marTop w:val="0"/>
      <w:marBottom w:val="0"/>
      <w:divBdr>
        <w:top w:val="none" w:sz="0" w:space="0" w:color="auto"/>
        <w:left w:val="none" w:sz="0" w:space="0" w:color="auto"/>
        <w:bottom w:val="none" w:sz="0" w:space="0" w:color="auto"/>
        <w:right w:val="none" w:sz="0" w:space="0" w:color="auto"/>
      </w:divBdr>
    </w:div>
    <w:div w:id="1002970756">
      <w:bodyDiv w:val="1"/>
      <w:marLeft w:val="0"/>
      <w:marRight w:val="0"/>
      <w:marTop w:val="0"/>
      <w:marBottom w:val="0"/>
      <w:divBdr>
        <w:top w:val="none" w:sz="0" w:space="0" w:color="auto"/>
        <w:left w:val="none" w:sz="0" w:space="0" w:color="auto"/>
        <w:bottom w:val="none" w:sz="0" w:space="0" w:color="auto"/>
        <w:right w:val="none" w:sz="0" w:space="0" w:color="auto"/>
      </w:divBdr>
    </w:div>
    <w:div w:id="1003125260">
      <w:bodyDiv w:val="1"/>
      <w:marLeft w:val="0"/>
      <w:marRight w:val="0"/>
      <w:marTop w:val="0"/>
      <w:marBottom w:val="0"/>
      <w:divBdr>
        <w:top w:val="none" w:sz="0" w:space="0" w:color="auto"/>
        <w:left w:val="none" w:sz="0" w:space="0" w:color="auto"/>
        <w:bottom w:val="none" w:sz="0" w:space="0" w:color="auto"/>
        <w:right w:val="none" w:sz="0" w:space="0" w:color="auto"/>
      </w:divBdr>
    </w:div>
    <w:div w:id="1010110272">
      <w:bodyDiv w:val="1"/>
      <w:marLeft w:val="0"/>
      <w:marRight w:val="0"/>
      <w:marTop w:val="0"/>
      <w:marBottom w:val="0"/>
      <w:divBdr>
        <w:top w:val="none" w:sz="0" w:space="0" w:color="auto"/>
        <w:left w:val="none" w:sz="0" w:space="0" w:color="auto"/>
        <w:bottom w:val="none" w:sz="0" w:space="0" w:color="auto"/>
        <w:right w:val="none" w:sz="0" w:space="0" w:color="auto"/>
      </w:divBdr>
      <w:divsChild>
        <w:div w:id="549265108">
          <w:marLeft w:val="15"/>
          <w:marRight w:val="15"/>
          <w:marTop w:val="0"/>
          <w:marBottom w:val="0"/>
          <w:divBdr>
            <w:top w:val="none" w:sz="0" w:space="0" w:color="auto"/>
            <w:left w:val="none" w:sz="0" w:space="0" w:color="auto"/>
            <w:bottom w:val="none" w:sz="0" w:space="0" w:color="auto"/>
            <w:right w:val="none" w:sz="0" w:space="0" w:color="auto"/>
          </w:divBdr>
        </w:div>
      </w:divsChild>
    </w:div>
    <w:div w:id="1092313748">
      <w:bodyDiv w:val="1"/>
      <w:marLeft w:val="0"/>
      <w:marRight w:val="0"/>
      <w:marTop w:val="0"/>
      <w:marBottom w:val="0"/>
      <w:divBdr>
        <w:top w:val="none" w:sz="0" w:space="0" w:color="auto"/>
        <w:left w:val="none" w:sz="0" w:space="0" w:color="auto"/>
        <w:bottom w:val="none" w:sz="0" w:space="0" w:color="auto"/>
        <w:right w:val="none" w:sz="0" w:space="0" w:color="auto"/>
      </w:divBdr>
    </w:div>
    <w:div w:id="1239831254">
      <w:bodyDiv w:val="1"/>
      <w:marLeft w:val="0"/>
      <w:marRight w:val="0"/>
      <w:marTop w:val="0"/>
      <w:marBottom w:val="0"/>
      <w:divBdr>
        <w:top w:val="none" w:sz="0" w:space="0" w:color="auto"/>
        <w:left w:val="none" w:sz="0" w:space="0" w:color="auto"/>
        <w:bottom w:val="none" w:sz="0" w:space="0" w:color="auto"/>
        <w:right w:val="none" w:sz="0" w:space="0" w:color="auto"/>
      </w:divBdr>
      <w:divsChild>
        <w:div w:id="310911936">
          <w:marLeft w:val="0"/>
          <w:marRight w:val="0"/>
          <w:marTop w:val="0"/>
          <w:marBottom w:val="0"/>
          <w:divBdr>
            <w:top w:val="none" w:sz="0" w:space="0" w:color="auto"/>
            <w:left w:val="none" w:sz="0" w:space="0" w:color="auto"/>
            <w:bottom w:val="none" w:sz="0" w:space="0" w:color="auto"/>
            <w:right w:val="none" w:sz="0" w:space="0" w:color="auto"/>
          </w:divBdr>
        </w:div>
        <w:div w:id="11151749">
          <w:marLeft w:val="0"/>
          <w:marRight w:val="0"/>
          <w:marTop w:val="0"/>
          <w:marBottom w:val="0"/>
          <w:divBdr>
            <w:top w:val="none" w:sz="0" w:space="0" w:color="auto"/>
            <w:left w:val="none" w:sz="0" w:space="0" w:color="auto"/>
            <w:bottom w:val="none" w:sz="0" w:space="0" w:color="auto"/>
            <w:right w:val="none" w:sz="0" w:space="0" w:color="auto"/>
          </w:divBdr>
        </w:div>
        <w:div w:id="1852449750">
          <w:marLeft w:val="0"/>
          <w:marRight w:val="0"/>
          <w:marTop w:val="0"/>
          <w:marBottom w:val="0"/>
          <w:divBdr>
            <w:top w:val="none" w:sz="0" w:space="0" w:color="auto"/>
            <w:left w:val="none" w:sz="0" w:space="0" w:color="auto"/>
            <w:bottom w:val="none" w:sz="0" w:space="0" w:color="auto"/>
            <w:right w:val="none" w:sz="0" w:space="0" w:color="auto"/>
          </w:divBdr>
        </w:div>
        <w:div w:id="1528641265">
          <w:marLeft w:val="0"/>
          <w:marRight w:val="0"/>
          <w:marTop w:val="0"/>
          <w:marBottom w:val="0"/>
          <w:divBdr>
            <w:top w:val="none" w:sz="0" w:space="0" w:color="auto"/>
            <w:left w:val="none" w:sz="0" w:space="0" w:color="auto"/>
            <w:bottom w:val="none" w:sz="0" w:space="0" w:color="auto"/>
            <w:right w:val="none" w:sz="0" w:space="0" w:color="auto"/>
          </w:divBdr>
        </w:div>
      </w:divsChild>
    </w:div>
    <w:div w:id="1278680003">
      <w:bodyDiv w:val="1"/>
      <w:marLeft w:val="0"/>
      <w:marRight w:val="0"/>
      <w:marTop w:val="0"/>
      <w:marBottom w:val="0"/>
      <w:divBdr>
        <w:top w:val="none" w:sz="0" w:space="0" w:color="auto"/>
        <w:left w:val="none" w:sz="0" w:space="0" w:color="auto"/>
        <w:bottom w:val="none" w:sz="0" w:space="0" w:color="auto"/>
        <w:right w:val="none" w:sz="0" w:space="0" w:color="auto"/>
      </w:divBdr>
    </w:div>
    <w:div w:id="1313098030">
      <w:bodyDiv w:val="1"/>
      <w:marLeft w:val="0"/>
      <w:marRight w:val="0"/>
      <w:marTop w:val="0"/>
      <w:marBottom w:val="0"/>
      <w:divBdr>
        <w:top w:val="none" w:sz="0" w:space="0" w:color="auto"/>
        <w:left w:val="none" w:sz="0" w:space="0" w:color="auto"/>
        <w:bottom w:val="none" w:sz="0" w:space="0" w:color="auto"/>
        <w:right w:val="none" w:sz="0" w:space="0" w:color="auto"/>
      </w:divBdr>
    </w:div>
    <w:div w:id="1340159333">
      <w:bodyDiv w:val="1"/>
      <w:marLeft w:val="0"/>
      <w:marRight w:val="0"/>
      <w:marTop w:val="0"/>
      <w:marBottom w:val="0"/>
      <w:divBdr>
        <w:top w:val="none" w:sz="0" w:space="0" w:color="auto"/>
        <w:left w:val="none" w:sz="0" w:space="0" w:color="auto"/>
        <w:bottom w:val="none" w:sz="0" w:space="0" w:color="auto"/>
        <w:right w:val="none" w:sz="0" w:space="0" w:color="auto"/>
      </w:divBdr>
    </w:div>
    <w:div w:id="1452163314">
      <w:bodyDiv w:val="1"/>
      <w:marLeft w:val="0"/>
      <w:marRight w:val="0"/>
      <w:marTop w:val="0"/>
      <w:marBottom w:val="0"/>
      <w:divBdr>
        <w:top w:val="none" w:sz="0" w:space="0" w:color="auto"/>
        <w:left w:val="none" w:sz="0" w:space="0" w:color="auto"/>
        <w:bottom w:val="none" w:sz="0" w:space="0" w:color="auto"/>
        <w:right w:val="none" w:sz="0" w:space="0" w:color="auto"/>
      </w:divBdr>
    </w:div>
    <w:div w:id="1526596070">
      <w:bodyDiv w:val="1"/>
      <w:marLeft w:val="0"/>
      <w:marRight w:val="0"/>
      <w:marTop w:val="0"/>
      <w:marBottom w:val="0"/>
      <w:divBdr>
        <w:top w:val="none" w:sz="0" w:space="0" w:color="auto"/>
        <w:left w:val="none" w:sz="0" w:space="0" w:color="auto"/>
        <w:bottom w:val="none" w:sz="0" w:space="0" w:color="auto"/>
        <w:right w:val="none" w:sz="0" w:space="0" w:color="auto"/>
      </w:divBdr>
    </w:div>
    <w:div w:id="1564217680">
      <w:bodyDiv w:val="1"/>
      <w:marLeft w:val="0"/>
      <w:marRight w:val="0"/>
      <w:marTop w:val="0"/>
      <w:marBottom w:val="0"/>
      <w:divBdr>
        <w:top w:val="none" w:sz="0" w:space="0" w:color="auto"/>
        <w:left w:val="none" w:sz="0" w:space="0" w:color="auto"/>
        <w:bottom w:val="none" w:sz="0" w:space="0" w:color="auto"/>
        <w:right w:val="none" w:sz="0" w:space="0" w:color="auto"/>
      </w:divBdr>
    </w:div>
    <w:div w:id="1565289401">
      <w:bodyDiv w:val="1"/>
      <w:marLeft w:val="0"/>
      <w:marRight w:val="0"/>
      <w:marTop w:val="0"/>
      <w:marBottom w:val="0"/>
      <w:divBdr>
        <w:top w:val="none" w:sz="0" w:space="0" w:color="auto"/>
        <w:left w:val="none" w:sz="0" w:space="0" w:color="auto"/>
        <w:bottom w:val="none" w:sz="0" w:space="0" w:color="auto"/>
        <w:right w:val="none" w:sz="0" w:space="0" w:color="auto"/>
      </w:divBdr>
    </w:div>
    <w:div w:id="1596357948">
      <w:bodyDiv w:val="1"/>
      <w:marLeft w:val="0"/>
      <w:marRight w:val="0"/>
      <w:marTop w:val="0"/>
      <w:marBottom w:val="0"/>
      <w:divBdr>
        <w:top w:val="none" w:sz="0" w:space="0" w:color="auto"/>
        <w:left w:val="none" w:sz="0" w:space="0" w:color="auto"/>
        <w:bottom w:val="none" w:sz="0" w:space="0" w:color="auto"/>
        <w:right w:val="none" w:sz="0" w:space="0" w:color="auto"/>
      </w:divBdr>
    </w:div>
    <w:div w:id="1857227742">
      <w:bodyDiv w:val="1"/>
      <w:marLeft w:val="0"/>
      <w:marRight w:val="0"/>
      <w:marTop w:val="0"/>
      <w:marBottom w:val="0"/>
      <w:divBdr>
        <w:top w:val="none" w:sz="0" w:space="0" w:color="auto"/>
        <w:left w:val="none" w:sz="0" w:space="0" w:color="auto"/>
        <w:bottom w:val="none" w:sz="0" w:space="0" w:color="auto"/>
        <w:right w:val="none" w:sz="0" w:space="0" w:color="auto"/>
      </w:divBdr>
    </w:div>
    <w:div w:id="1899704026">
      <w:bodyDiv w:val="1"/>
      <w:marLeft w:val="0"/>
      <w:marRight w:val="0"/>
      <w:marTop w:val="0"/>
      <w:marBottom w:val="0"/>
      <w:divBdr>
        <w:top w:val="none" w:sz="0" w:space="0" w:color="auto"/>
        <w:left w:val="none" w:sz="0" w:space="0" w:color="auto"/>
        <w:bottom w:val="none" w:sz="0" w:space="0" w:color="auto"/>
        <w:right w:val="none" w:sz="0" w:space="0" w:color="auto"/>
      </w:divBdr>
    </w:div>
    <w:div w:id="1918979230">
      <w:bodyDiv w:val="1"/>
      <w:marLeft w:val="0"/>
      <w:marRight w:val="0"/>
      <w:marTop w:val="0"/>
      <w:marBottom w:val="0"/>
      <w:divBdr>
        <w:top w:val="none" w:sz="0" w:space="0" w:color="auto"/>
        <w:left w:val="none" w:sz="0" w:space="0" w:color="auto"/>
        <w:bottom w:val="none" w:sz="0" w:space="0" w:color="auto"/>
        <w:right w:val="none" w:sz="0" w:space="0" w:color="auto"/>
      </w:divBdr>
      <w:divsChild>
        <w:div w:id="169876355">
          <w:marLeft w:val="0"/>
          <w:marRight w:val="0"/>
          <w:marTop w:val="0"/>
          <w:marBottom w:val="0"/>
          <w:divBdr>
            <w:top w:val="none" w:sz="0" w:space="0" w:color="auto"/>
            <w:left w:val="none" w:sz="0" w:space="0" w:color="auto"/>
            <w:bottom w:val="none" w:sz="0" w:space="0" w:color="auto"/>
            <w:right w:val="none" w:sz="0" w:space="0" w:color="auto"/>
          </w:divBdr>
          <w:divsChild>
            <w:div w:id="16855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5052">
      <w:bodyDiv w:val="1"/>
      <w:marLeft w:val="0"/>
      <w:marRight w:val="0"/>
      <w:marTop w:val="0"/>
      <w:marBottom w:val="0"/>
      <w:divBdr>
        <w:top w:val="none" w:sz="0" w:space="0" w:color="auto"/>
        <w:left w:val="none" w:sz="0" w:space="0" w:color="auto"/>
        <w:bottom w:val="none" w:sz="0" w:space="0" w:color="auto"/>
        <w:right w:val="none" w:sz="0" w:space="0" w:color="auto"/>
      </w:divBdr>
    </w:div>
    <w:div w:id="2058625989">
      <w:bodyDiv w:val="1"/>
      <w:marLeft w:val="0"/>
      <w:marRight w:val="0"/>
      <w:marTop w:val="0"/>
      <w:marBottom w:val="0"/>
      <w:divBdr>
        <w:top w:val="none" w:sz="0" w:space="0" w:color="auto"/>
        <w:left w:val="none" w:sz="0" w:space="0" w:color="auto"/>
        <w:bottom w:val="none" w:sz="0" w:space="0" w:color="auto"/>
        <w:right w:val="none" w:sz="0" w:space="0" w:color="auto"/>
      </w:divBdr>
    </w:div>
    <w:div w:id="2088913106">
      <w:bodyDiv w:val="1"/>
      <w:marLeft w:val="0"/>
      <w:marRight w:val="0"/>
      <w:marTop w:val="0"/>
      <w:marBottom w:val="0"/>
      <w:divBdr>
        <w:top w:val="none" w:sz="0" w:space="0" w:color="auto"/>
        <w:left w:val="none" w:sz="0" w:space="0" w:color="auto"/>
        <w:bottom w:val="none" w:sz="0" w:space="0" w:color="auto"/>
        <w:right w:val="none" w:sz="0" w:space="0" w:color="auto"/>
      </w:divBdr>
    </w:div>
    <w:div w:id="214003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link.springer.com/article/10.1007/s12064-001-0033-9" TargetMode="External"/><Relationship Id="rId26" Type="http://schemas.openxmlformats.org/officeDocument/2006/relationships/footer" Target="footer7.xml"/><Relationship Id="rId39" Type="http://schemas.openxmlformats.org/officeDocument/2006/relationships/hyperlink" Target="http://www.ncbi.nlm.nih.gov/pubmed?term=Sala-Vila%20A%5BAuthor%5D&amp;cauthor=true&amp;cauthor_uid=18779276" TargetMode="External"/><Relationship Id="rId21" Type="http://schemas.openxmlformats.org/officeDocument/2006/relationships/footer" Target="footer5.xml"/><Relationship Id="rId34" Type="http://schemas.openxmlformats.org/officeDocument/2006/relationships/hyperlink" Target="http://www.ncbi.nlm.nih.gov/pubmed?term=Kimber%20AC%5BAuthor%5D&amp;cauthor=true&amp;cauthor_uid=18779276" TargetMode="External"/><Relationship Id="rId42" Type="http://schemas.openxmlformats.org/officeDocument/2006/relationships/hyperlink" Target="http://www.ncbi.nlm.nih.gov/pubmed?term=Packard%20C%5BAuthor%5D&amp;cauthor=true&amp;cauthor_uid=18779276" TargetMode="External"/><Relationship Id="rId47" Type="http://schemas.openxmlformats.org/officeDocument/2006/relationships/hyperlink" Target="http://www.ncbi.nlm.nih.gov/books/NBK22223/figure/hereditaryhemochromatosis.f1/?report=objectonly" TargetMode="External"/><Relationship Id="rId50" Type="http://schemas.openxmlformats.org/officeDocument/2006/relationships/footer" Target="footer8.xml"/><Relationship Id="rId55" Type="http://schemas.openxmlformats.org/officeDocument/2006/relationships/hyperlink" Target="http://www.wikiskripta.eu/index.php/Polymorfismus" TargetMode="External"/><Relationship Id="rId63" Type="http://schemas.openxmlformats.org/officeDocument/2006/relationships/footer" Target="footer10.xml"/><Relationship Id="rId68" Type="http://schemas.openxmlformats.org/officeDocument/2006/relationships/hyperlink" Target="http://zdravi.e15.cz/clanek/postgradualni-medicina/syndrom-deficitu-vitaminu-d-teorie-nebo-klinicka-realita-308615" TargetMode="External"/><Relationship Id="rId76" Type="http://schemas.openxmlformats.org/officeDocument/2006/relationships/image" Target="media/image18.tiff"/><Relationship Id="rId84" Type="http://schemas.openxmlformats.org/officeDocument/2006/relationships/hyperlink" Target="http://www.ensembl.org/index.html" TargetMode="External"/><Relationship Id="rId7" Type="http://schemas.openxmlformats.org/officeDocument/2006/relationships/endnotes" Target="endnotes.xml"/><Relationship Id="rId71"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ncbi.nlm.nih.gov/pubmed?term=Miles%20EA%5BAuthor%5D&amp;cauthor=true&amp;cauthor_uid=18779276"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ncbi.nlm.nih.gov/pubmed?term=Curtis%20P%5BAuthor%5D&amp;cauthor=true&amp;cauthor_uid=18779276" TargetMode="External"/><Relationship Id="rId37" Type="http://schemas.openxmlformats.org/officeDocument/2006/relationships/hyperlink" Target="http://www.ncbi.nlm.nih.gov/pubmed?term=Stannard%20J%5BAuthor%5D&amp;cauthor=true&amp;cauthor_uid=18779276" TargetMode="External"/><Relationship Id="rId40" Type="http://schemas.openxmlformats.org/officeDocument/2006/relationships/hyperlink" Target="http://www.ncbi.nlm.nih.gov/pubmed?term=West%20AL%5BAuthor%5D&amp;cauthor=true&amp;cauthor_uid=18779276" TargetMode="External"/><Relationship Id="rId45" Type="http://schemas.openxmlformats.org/officeDocument/2006/relationships/hyperlink" Target="http://www.ncbi.nlm.nih.gov/pubmed?term=Minihane%20AM%5BAuthor%5D&amp;cauthor=true&amp;cauthor_uid=18779276" TargetMode="External"/><Relationship Id="rId53" Type="http://schemas.openxmlformats.org/officeDocument/2006/relationships/hyperlink" Target="http://en.wikipedia.org/wiki/Genome-wide_association_study" TargetMode="External"/><Relationship Id="rId58" Type="http://schemas.openxmlformats.org/officeDocument/2006/relationships/hyperlink" Target="http://www.affymetrix.com/estore/browse/products.jsp?productId=131533&amp;categoryId=35642&amp;productName=Genome-Wide-Human-SNP-Array-6.0" TargetMode="External"/><Relationship Id="rId66" Type="http://schemas.openxmlformats.org/officeDocument/2006/relationships/hyperlink" Target="http://zdravi.e15.cz/clanek/postgradualni-medicina/mnohotne-ucinky-vitaminu-d-461272" TargetMode="External"/><Relationship Id="rId74" Type="http://schemas.openxmlformats.org/officeDocument/2006/relationships/image" Target="media/image16.tiff"/><Relationship Id="rId79" Type="http://schemas.openxmlformats.org/officeDocument/2006/relationships/hyperlink" Target="http://www.uzis.cz"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hyperlink" Target="http://www.nlm.nih.gov/medlineplus/ency/article/001214.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ncbi.nlm.nih.gov/pubmed/10938022" TargetMode="External"/><Relationship Id="rId30" Type="http://schemas.openxmlformats.org/officeDocument/2006/relationships/hyperlink" Target="http://www.ncbi.nlm.nih.gov/pubmed?term=Kofler%20BM%5BAuthor%5D&amp;cauthor=true&amp;cauthor_uid=18779276" TargetMode="External"/><Relationship Id="rId35" Type="http://schemas.openxmlformats.org/officeDocument/2006/relationships/hyperlink" Target="http://www.ncbi.nlm.nih.gov/pubmed?term=Grew%20JP%5BAuthor%5D&amp;cauthor=true&amp;cauthor_uid=18779276" TargetMode="External"/><Relationship Id="rId43" Type="http://schemas.openxmlformats.org/officeDocument/2006/relationships/hyperlink" Target="http://www.ncbi.nlm.nih.gov/pubmed?term=Williams%20CM%5BAuthor%5D&amp;cauthor=true&amp;cauthor_uid=18779276" TargetMode="External"/><Relationship Id="rId48" Type="http://schemas.openxmlformats.org/officeDocument/2006/relationships/image" Target="media/image11.png"/><Relationship Id="rId56" Type="http://schemas.openxmlformats.org/officeDocument/2006/relationships/hyperlink" Target="http://www.wikiskripta.eu/index.php/Lokus" TargetMode="External"/><Relationship Id="rId64" Type="http://schemas.openxmlformats.org/officeDocument/2006/relationships/hyperlink" Target="http://zdravi.e15.cz/clanek/postgradualni-medicina/vitamin-d-412191" TargetMode="External"/><Relationship Id="rId69" Type="http://schemas.openxmlformats.org/officeDocument/2006/relationships/footer" Target="footer11.xml"/><Relationship Id="rId77" Type="http://schemas.openxmlformats.org/officeDocument/2006/relationships/image" Target="media/image19.tiff"/><Relationship Id="rId8" Type="http://schemas.openxmlformats.org/officeDocument/2006/relationships/footer" Target="footer1.xml"/><Relationship Id="rId51" Type="http://schemas.openxmlformats.org/officeDocument/2006/relationships/image" Target="media/image12.png"/><Relationship Id="rId72" Type="http://schemas.openxmlformats.org/officeDocument/2006/relationships/oleObject" Target="embeddings/oleObject1.bin"/><Relationship Id="rId80" Type="http://schemas.openxmlformats.org/officeDocument/2006/relationships/image" Target="media/image20.png"/><Relationship Id="rId85" Type="http://schemas.openxmlformats.org/officeDocument/2006/relationships/hyperlink" Target="http://www.remedia.cz/Okruhy-temat/Diabetologie/Dietni-lecba-pacientu-s-diabetem/8-V-11T.magarticle.aspx"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ncbi.nlm.nih.gov/pubmed/1397836" TargetMode="External"/><Relationship Id="rId25" Type="http://schemas.openxmlformats.org/officeDocument/2006/relationships/footer" Target="footer6.xml"/><Relationship Id="rId33" Type="http://schemas.openxmlformats.org/officeDocument/2006/relationships/hyperlink" Target="http://www.ncbi.nlm.nih.gov/pubmed?term=Armah%20CK%5BAuthor%5D&amp;cauthor=true&amp;cauthor_uid=18779276" TargetMode="External"/><Relationship Id="rId38" Type="http://schemas.openxmlformats.org/officeDocument/2006/relationships/hyperlink" Target="http://www.ncbi.nlm.nih.gov/pubmed?term=Napper%20FL%5BAuthor%5D&amp;cauthor=true&amp;cauthor_uid=18779276" TargetMode="External"/><Relationship Id="rId46" Type="http://schemas.openxmlformats.org/officeDocument/2006/relationships/hyperlink" Target="http://www.ncbi.nlm.nih.gov/pubmed/?term=Caslake+et+al%2C+2008+ApoE" TargetMode="External"/><Relationship Id="rId59" Type="http://schemas.openxmlformats.org/officeDocument/2006/relationships/footer" Target="footer9.xml"/><Relationship Id="rId67" Type="http://schemas.openxmlformats.org/officeDocument/2006/relationships/hyperlink" Target="http://zdravi.e15.cz/clanek/postgradualni-medicina/mnohotne-ucinky-vitaminu-d-461272" TargetMode="External"/><Relationship Id="rId20" Type="http://schemas.openxmlformats.org/officeDocument/2006/relationships/footer" Target="footer4.xml"/><Relationship Id="rId41" Type="http://schemas.openxmlformats.org/officeDocument/2006/relationships/hyperlink" Target="http://www.ncbi.nlm.nih.gov/pubmed?term=Mathers%20JC%5BAuthor%5D&amp;cauthor=true&amp;cauthor_uid=18779276" TargetMode="External"/><Relationship Id="rId54" Type="http://schemas.openxmlformats.org/officeDocument/2006/relationships/hyperlink" Target="http://www.wikiskripta.eu/index.php/Genotyp" TargetMode="External"/><Relationship Id="rId62" Type="http://schemas.microsoft.com/office/2007/relationships/hdphoto" Target="media/hdphoto2.wdp"/><Relationship Id="rId70" Type="http://schemas.openxmlformats.org/officeDocument/2006/relationships/image" Target="media/image14.png"/><Relationship Id="rId75" Type="http://schemas.openxmlformats.org/officeDocument/2006/relationships/image" Target="media/image17.tiff"/><Relationship Id="rId83" Type="http://schemas.openxmlformats.org/officeDocument/2006/relationships/hyperlink" Target="http://www.diabetes.niddk.nih.gov/dm/pubs/mod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ncbi.nlm.nih.gov/pubmed?term=Caslake%20MJ%5BAuthor%5D&amp;cauthor=true&amp;cauthor_uid=18779276" TargetMode="External"/><Relationship Id="rId36" Type="http://schemas.openxmlformats.org/officeDocument/2006/relationships/hyperlink" Target="http://www.ncbi.nlm.nih.gov/pubmed?term=Farrell%20L%5BAuthor%5D&amp;cauthor=true&amp;cauthor_uid=18779276" TargetMode="External"/><Relationship Id="rId49" Type="http://schemas.microsoft.com/office/2007/relationships/hdphoto" Target="media/hdphoto1.wdp"/><Relationship Id="rId57" Type="http://schemas.openxmlformats.org/officeDocument/2006/relationships/hyperlink" Target="http://www.wikiskripta.eu/index.php/Genotyp" TargetMode="External"/><Relationship Id="rId10" Type="http://schemas.openxmlformats.org/officeDocument/2006/relationships/image" Target="media/image2.png"/><Relationship Id="rId31" Type="http://schemas.openxmlformats.org/officeDocument/2006/relationships/hyperlink" Target="http://www.ncbi.nlm.nih.gov/pubmed?term=Lietz%20G%5BAuthor%5D&amp;cauthor=true&amp;cauthor_uid=18779276" TargetMode="External"/><Relationship Id="rId44" Type="http://schemas.openxmlformats.org/officeDocument/2006/relationships/hyperlink" Target="http://www.ncbi.nlm.nih.gov/pubmed?term=Calder%20PC%5BAuthor%5D&amp;cauthor=true&amp;cauthor_uid=18779276" TargetMode="External"/><Relationship Id="rId52" Type="http://schemas.openxmlformats.org/officeDocument/2006/relationships/hyperlink" Target="http://www.wikiskripta.eu/index.php/Gen" TargetMode="External"/><Relationship Id="rId60" Type="http://schemas.openxmlformats.org/officeDocument/2006/relationships/hyperlink" Target="http://www.ncbi.nlm.nih.gov/pubmed/?term=Molecular+basis+of+the+obesity+associated+with+Bardet-Biedl+syndrome.+Trends+in+Endocrinology+and+Metabolism" TargetMode="External"/><Relationship Id="rId65" Type="http://schemas.openxmlformats.org/officeDocument/2006/relationships/hyperlink" Target="http://phys.org/news201791554.html" TargetMode="External"/><Relationship Id="rId73" Type="http://schemas.openxmlformats.org/officeDocument/2006/relationships/footer" Target="footer12.xml"/><Relationship Id="rId78" Type="http://schemas.openxmlformats.org/officeDocument/2006/relationships/footer" Target="footer13.xml"/><Relationship Id="rId81" Type="http://schemas.openxmlformats.org/officeDocument/2006/relationships/hyperlink" Target="http://www.szu.cz/tema/prevence/narodni-akcni-plan-pro-diabetes" TargetMode="External"/><Relationship Id="rId86"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DA649-1C84-44EE-9FBB-F93C0E753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35756</Words>
  <Characters>210963</Characters>
  <Application>Microsoft Office Word</Application>
  <DocSecurity>0</DocSecurity>
  <Lines>1758</Lines>
  <Paragraphs>492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Genetika</vt:lpstr>
      <vt:lpstr>Genetika</vt:lpstr>
    </vt:vector>
  </TitlesOfParts>
  <Company>Masarykova univerzita v brně</Company>
  <LinksUpToDate>false</LinksUpToDate>
  <CharactersWithSpaces>246227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Genetika</dc:title>
  <dc:creator>Julie Bienertová-Vašků a kolektiv</dc:creator>
  <cp:lastModifiedBy>Zbyněk</cp:lastModifiedBy>
  <cp:revision>2</cp:revision>
  <cp:lastPrinted>2014-02-15T14:21:00Z</cp:lastPrinted>
  <dcterms:created xsi:type="dcterms:W3CDTF">2016-02-24T11:41:00Z</dcterms:created>
  <dcterms:modified xsi:type="dcterms:W3CDTF">2016-02-24T11:41:00Z</dcterms:modified>
</cp:coreProperties>
</file>