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3C" w:rsidRPr="00662E08" w:rsidRDefault="005C2C3C" w:rsidP="005C2C3C">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NÁRODNÍ STRATEGIE</w:t>
      </w:r>
    </w:p>
    <w:p w:rsidR="005C2C3C" w:rsidRPr="00662E08" w:rsidRDefault="005C2C3C" w:rsidP="005C2C3C">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PRIMÁRNÍ PREVENCE RIZIKOVÉHO CHOVÁNÍ DĚTÍ A MLÁDEŽE</w:t>
      </w:r>
    </w:p>
    <w:p w:rsidR="005C2C3C" w:rsidRPr="00662E08" w:rsidRDefault="005C2C3C" w:rsidP="005C2C3C">
      <w:pPr>
        <w:spacing w:before="0" w:line="276" w:lineRule="auto"/>
        <w:jc w:val="center"/>
        <w:rPr>
          <w:rFonts w:ascii="Times New Roman" w:hAnsi="Times New Roman"/>
          <w:b/>
          <w:color w:val="FF6600"/>
          <w:sz w:val="48"/>
          <w:szCs w:val="48"/>
        </w:rPr>
      </w:pPr>
    </w:p>
    <w:p w:rsidR="005C2C3C" w:rsidRPr="00662E08" w:rsidRDefault="005C2C3C" w:rsidP="005C2C3C">
      <w:pPr>
        <w:spacing w:before="0" w:line="276" w:lineRule="auto"/>
        <w:jc w:val="center"/>
        <w:rPr>
          <w:rFonts w:ascii="Times New Roman" w:hAnsi="Times New Roman"/>
          <w:b/>
          <w:color w:val="FF6600"/>
          <w:sz w:val="48"/>
          <w:szCs w:val="48"/>
        </w:rPr>
      </w:pPr>
      <w:r w:rsidRPr="00662E08">
        <w:rPr>
          <w:rFonts w:ascii="Times New Roman" w:hAnsi="Times New Roman"/>
          <w:b/>
          <w:color w:val="FF6600"/>
          <w:sz w:val="48"/>
          <w:szCs w:val="48"/>
        </w:rPr>
        <w:t>NA OBDOBÍ 2013 - 2018</w:t>
      </w:r>
    </w:p>
    <w:p w:rsidR="00B7529B" w:rsidRDefault="00B7529B"/>
    <w:p w:rsidR="005C2C3C" w:rsidRDefault="005C2C3C"/>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 xml:space="preserve">Ministerstvo školství, mládeže a tělovýchovy (dále </w:t>
      </w:r>
      <w:r>
        <w:rPr>
          <w:rFonts w:ascii="Times New Roman" w:hAnsi="Times New Roman"/>
        </w:rPr>
        <w:t>MŠMT</w:t>
      </w:r>
      <w:r w:rsidRPr="00662E08">
        <w:rPr>
          <w:rFonts w:ascii="Times New Roman" w:hAnsi="Times New Roman"/>
        </w:rPr>
        <w:t xml:space="preserve">) má stěžejní roli při uplatňování školní primární prevence rizikových projevů chování u dětí a mládeže v České republice. V oblasti protidrogové primární prevence bylo ministerstvo usnesením vlády č. 549/2003, o posílení </w:t>
      </w:r>
      <w:proofErr w:type="gramStart"/>
      <w:r w:rsidRPr="00662E08">
        <w:rPr>
          <w:rFonts w:ascii="Times New Roman" w:hAnsi="Times New Roman"/>
        </w:rPr>
        <w:t xml:space="preserve">národní  </w:t>
      </w:r>
      <w:r>
        <w:rPr>
          <w:rFonts w:ascii="Times New Roman" w:hAnsi="Times New Roman"/>
        </w:rPr>
        <w:t>p</w:t>
      </w:r>
      <w:r w:rsidRPr="00662E08">
        <w:rPr>
          <w:rFonts w:ascii="Times New Roman" w:hAnsi="Times New Roman"/>
        </w:rPr>
        <w:t>rotidrogové</w:t>
      </w:r>
      <w:proofErr w:type="gramEnd"/>
      <w:r w:rsidRPr="00662E08">
        <w:rPr>
          <w:rFonts w:ascii="Times New Roman" w:hAnsi="Times New Roman"/>
        </w:rPr>
        <w:t xml:space="preserve"> politiky a současně zákonem č. 379/2005 Sb., o opatřeních k ochraně před škodami působenými tabákovými výrobky, alkoholem a jinými návykovými látkami a o změně souvisejících zákonů</w:t>
      </w:r>
      <w:r>
        <w:rPr>
          <w:rFonts w:ascii="Times New Roman" w:hAnsi="Times New Roman"/>
        </w:rPr>
        <w:t>, ve znění pozdějších předpisů,</w:t>
      </w:r>
      <w:r w:rsidRPr="00662E08">
        <w:rPr>
          <w:rFonts w:ascii="Times New Roman" w:hAnsi="Times New Roman"/>
        </w:rPr>
        <w:t xml:space="preserve"> pověřeno </w:t>
      </w:r>
      <w:r>
        <w:rPr>
          <w:rFonts w:ascii="Times New Roman" w:hAnsi="Times New Roman"/>
        </w:rPr>
        <w:t>financováním a koordinací činností v oblasti</w:t>
      </w:r>
      <w:r w:rsidRPr="00662E08">
        <w:rPr>
          <w:rFonts w:ascii="Times New Roman" w:hAnsi="Times New Roman"/>
        </w:rPr>
        <w:t xml:space="preserve"> primární protidrogové prevence </w:t>
      </w:r>
      <w:r>
        <w:rPr>
          <w:rFonts w:ascii="Times New Roman" w:hAnsi="Times New Roman"/>
        </w:rPr>
        <w:t>ve školách a školských zařízeních. Období školního vzdělávání je velmi významné při</w:t>
      </w:r>
      <w:r w:rsidRPr="00662E08">
        <w:rPr>
          <w:rFonts w:ascii="Times New Roman" w:hAnsi="Times New Roman"/>
        </w:rPr>
        <w:t xml:space="preserve"> formování osobnosti mladých lidí a vše, co se v tomto období nepodaří, se jen velmi obtížně napravuje v období dospělosti. Toto je také důvod, proč je oblasti prevence rizikových projevů chování u školní populace věnována mimořádná pozornost, a to nejen ze strany ministerstva, ale i všech dalších složek podílejících se na řízení oblasti školství, zvláště pak krajů a obcí.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Ministerstvo v oblasti prevence rizikového chování plní n</w:t>
      </w:r>
      <w:r w:rsidRPr="00662E08">
        <w:rPr>
          <w:rFonts w:ascii="Times New Roman" w:hAnsi="Times New Roman"/>
        </w:rPr>
        <w:t>ě</w:t>
      </w:r>
      <w:r w:rsidRPr="00662E08">
        <w:rPr>
          <w:rFonts w:ascii="Times New Roman" w:hAnsi="Times New Roman"/>
        </w:rPr>
        <w:t xml:space="preserve">kolik </w:t>
      </w:r>
      <w:r>
        <w:rPr>
          <w:rFonts w:ascii="Times New Roman" w:hAnsi="Times New Roman"/>
        </w:rPr>
        <w:t xml:space="preserve">stěžejních </w:t>
      </w:r>
      <w:r w:rsidRPr="00662E08">
        <w:rPr>
          <w:rFonts w:ascii="Times New Roman" w:hAnsi="Times New Roman"/>
        </w:rPr>
        <w:t>úkolů. Jednak je to stanovování základních strategií v daných oblastech, stanovení priorit na budoucí období, podpora vytváření vazeb a struktury subjektů realizujících či spolupodílejících se na vytyč</w:t>
      </w:r>
      <w:r w:rsidRPr="00662E08">
        <w:rPr>
          <w:rFonts w:ascii="Times New Roman" w:hAnsi="Times New Roman"/>
        </w:rPr>
        <w:t>e</w:t>
      </w:r>
      <w:r w:rsidRPr="00662E08">
        <w:rPr>
          <w:rFonts w:ascii="Times New Roman" w:hAnsi="Times New Roman"/>
        </w:rPr>
        <w:t>ných prioritách a v neposlední řadě podpora vytváření materiálních, personálních a finančních podmínek nezbytných pro vlastní</w:t>
      </w:r>
      <w:r>
        <w:rPr>
          <w:rFonts w:ascii="Times New Roman" w:hAnsi="Times New Roman"/>
        </w:rPr>
        <w:t xml:space="preserve"> realizaci prevence ve školství, včetně nezbytné metodické podpory subjektů působících v primární prevenci.</w:t>
      </w:r>
    </w:p>
    <w:p w:rsidR="005C2C3C" w:rsidRDefault="005C2C3C"/>
    <w:p w:rsidR="005C2C3C" w:rsidRDefault="005C2C3C"/>
    <w:p w:rsidR="005C2C3C" w:rsidRDefault="005C2C3C" w:rsidP="005C2C3C">
      <w:pPr>
        <w:pStyle w:val="StylNadpis1ZarovnatdoblokuVlevo0cmPedsazen076"/>
        <w:spacing w:before="0" w:after="0" w:line="276" w:lineRule="auto"/>
        <w:ind w:left="360" w:hanging="360"/>
        <w:rPr>
          <w:rFonts w:ascii="Times New Roman" w:hAnsi="Times New Roman"/>
        </w:rPr>
      </w:pPr>
      <w:bookmarkStart w:id="0" w:name="_Toc350694106"/>
      <w:r w:rsidRPr="00662E08">
        <w:rPr>
          <w:rFonts w:ascii="Times New Roman" w:hAnsi="Times New Roman"/>
        </w:rPr>
        <w:t>Základní východiska, principy a cíle Strategie</w:t>
      </w:r>
      <w:bookmarkEnd w:id="0"/>
    </w:p>
    <w:p w:rsidR="005C2C3C" w:rsidRPr="00662E08" w:rsidRDefault="005C2C3C" w:rsidP="005C2C3C">
      <w:pPr>
        <w:pStyle w:val="StylNadpis1ZarovnatdoblokuVlevo0cmPedsazen076"/>
        <w:numPr>
          <w:ilvl w:val="0"/>
          <w:numId w:val="0"/>
        </w:numPr>
        <w:spacing w:before="0" w:after="0" w:line="276" w:lineRule="auto"/>
        <w:ind w:left="360"/>
        <w:rPr>
          <w:rFonts w:ascii="Times New Roman" w:hAnsi="Times New Roman"/>
        </w:rPr>
      </w:pPr>
    </w:p>
    <w:p w:rsidR="005C2C3C" w:rsidRPr="00662E08" w:rsidRDefault="005C2C3C" w:rsidP="005C2C3C">
      <w:pPr>
        <w:pStyle w:val="StylNadpis2ZarovnatdoblokuVlevo0cmPedsazen1021"/>
        <w:tabs>
          <w:tab w:val="clear" w:pos="360"/>
          <w:tab w:val="num" w:pos="964"/>
        </w:tabs>
        <w:spacing w:before="0" w:after="0" w:line="276" w:lineRule="auto"/>
        <w:ind w:left="964" w:hanging="964"/>
        <w:rPr>
          <w:rFonts w:ascii="Times New Roman" w:hAnsi="Times New Roman"/>
        </w:rPr>
      </w:pPr>
      <w:bookmarkStart w:id="1" w:name="_Toc350694107"/>
      <w:r w:rsidRPr="00662E08">
        <w:rPr>
          <w:rFonts w:ascii="Times New Roman" w:hAnsi="Times New Roman"/>
        </w:rPr>
        <w:t xml:space="preserve">Východiska </w:t>
      </w:r>
      <w:r>
        <w:rPr>
          <w:rFonts w:ascii="Times New Roman" w:hAnsi="Times New Roman"/>
        </w:rPr>
        <w:t>strategie</w:t>
      </w:r>
      <w:bookmarkEnd w:id="1"/>
    </w:p>
    <w:p w:rsidR="005C2C3C" w:rsidRDefault="005C2C3C" w:rsidP="005C2C3C">
      <w:pPr>
        <w:spacing w:before="0" w:line="276" w:lineRule="auto"/>
        <w:ind w:firstLine="0"/>
        <w:jc w:val="both"/>
        <w:rPr>
          <w:rFonts w:ascii="Times New Roman" w:hAnsi="Times New Roman"/>
        </w:rPr>
      </w:pPr>
      <w:r>
        <w:rPr>
          <w:rFonts w:ascii="Times New Roman" w:hAnsi="Times New Roman"/>
        </w:rPr>
        <w:t>MŠMT</w:t>
      </w:r>
      <w:r w:rsidRPr="00662E08">
        <w:rPr>
          <w:rFonts w:ascii="Times New Roman" w:hAnsi="Times New Roman"/>
        </w:rPr>
        <w:t xml:space="preserve"> je resortem, který koordinuje v rámci ČR aktivity v oblasti primární prevence rizikového chování</w:t>
      </w:r>
      <w:r>
        <w:rPr>
          <w:rFonts w:ascii="Times New Roman" w:hAnsi="Times New Roman"/>
        </w:rPr>
        <w:t xml:space="preserve"> u dětí a mládeže</w:t>
      </w:r>
      <w:r w:rsidRPr="00662E08">
        <w:rPr>
          <w:rFonts w:ascii="Times New Roman" w:hAnsi="Times New Roman"/>
        </w:rPr>
        <w:t>. Tuto koordinaci zabezpečuje ve spolupráci s k</w:t>
      </w:r>
      <w:r>
        <w:rPr>
          <w:rFonts w:ascii="Times New Roman" w:hAnsi="Times New Roman"/>
        </w:rPr>
        <w:t xml:space="preserve">rajskou institucionální úrovní - </w:t>
      </w:r>
      <w:r w:rsidRPr="00662E08">
        <w:rPr>
          <w:rFonts w:ascii="Times New Roman" w:hAnsi="Times New Roman"/>
        </w:rPr>
        <w:t xml:space="preserve">krajskými </w:t>
      </w:r>
      <w:r>
        <w:rPr>
          <w:rFonts w:ascii="Times New Roman" w:hAnsi="Times New Roman"/>
        </w:rPr>
        <w:t>školskými koordinátory prevence</w:t>
      </w:r>
      <w:r w:rsidRPr="00662E08">
        <w:rPr>
          <w:rFonts w:ascii="Times New Roman" w:hAnsi="Times New Roman"/>
        </w:rPr>
        <w:t xml:space="preserve">, na úrovni bývalých okresů prostřednictvím pedagogicko-psychologických poraden </w:t>
      </w:r>
      <w:r>
        <w:rPr>
          <w:rFonts w:ascii="Times New Roman" w:hAnsi="Times New Roman"/>
        </w:rPr>
        <w:t>- metodiků prevence</w:t>
      </w:r>
      <w:r w:rsidRPr="00662E08">
        <w:rPr>
          <w:rFonts w:ascii="Times New Roman" w:hAnsi="Times New Roman"/>
        </w:rPr>
        <w:t xml:space="preserve"> a zároveň v úzké vazbě na činnost samotných primárních uživatelů a realizátorů programů primární prevence rizikového cho</w:t>
      </w:r>
      <w:r>
        <w:rPr>
          <w:rFonts w:ascii="Times New Roman" w:hAnsi="Times New Roman"/>
        </w:rPr>
        <w:t>vání škol a školských zařízení - školních metodiků prevence</w:t>
      </w:r>
      <w:r w:rsidRPr="00662E08">
        <w:rPr>
          <w:rFonts w:ascii="Times New Roman" w:hAnsi="Times New Roman"/>
        </w:rPr>
        <w:t xml:space="preserve">. Díky takto nastavenému vertikálnímu systému vedení </w:t>
      </w:r>
      <w:r>
        <w:rPr>
          <w:rFonts w:ascii="Times New Roman" w:hAnsi="Times New Roman"/>
        </w:rPr>
        <w:t>má</w:t>
      </w:r>
      <w:r w:rsidRPr="00662E08">
        <w:rPr>
          <w:rFonts w:ascii="Times New Roman" w:hAnsi="Times New Roman"/>
        </w:rPr>
        <w:t xml:space="preserve"> MŠMT vytvořen stabilní systém koordinace a řízení od úrovně státní, přes samosprávní, až po úroveň místní.</w:t>
      </w:r>
    </w:p>
    <w:p w:rsidR="005C2C3C" w:rsidRPr="00662E08" w:rsidRDefault="005C2C3C" w:rsidP="005C2C3C">
      <w:pPr>
        <w:spacing w:before="0" w:line="276" w:lineRule="auto"/>
        <w:ind w:firstLine="0"/>
        <w:jc w:val="both"/>
        <w:rPr>
          <w:i/>
          <w:sz w:val="24"/>
          <w:szCs w:val="24"/>
        </w:rPr>
      </w:pPr>
      <w:r>
        <w:rPr>
          <w:rFonts w:ascii="Times New Roman" w:hAnsi="Times New Roman"/>
        </w:rPr>
        <w:t xml:space="preserve">V rámci celé ČR má ve spolupráci s kraji vytvořeny koordinační a metodické články na krajské, bývalé okresní a místní (školní) úrovni.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lastRenderedPageBreak/>
        <w:t>Při své činnosti primárně vychází z dokumentů národní povahy, a to zejména platné legislativy a národních strategií – Národní strategie protidrogové politiky na příslušná období a Strategie prevence kriminality taktéž na příslušná období.</w:t>
      </w:r>
    </w:p>
    <w:p w:rsidR="005C2C3C" w:rsidRDefault="005C2C3C"/>
    <w:p w:rsidR="005C2C3C" w:rsidRDefault="005C2C3C"/>
    <w:p w:rsidR="005C2C3C" w:rsidRPr="00662E08" w:rsidRDefault="005C2C3C" w:rsidP="005C2C3C">
      <w:pPr>
        <w:pStyle w:val="StylNadpis2ZarovnatdoblokuVlevo0cmPedsazen1021"/>
        <w:tabs>
          <w:tab w:val="clear" w:pos="360"/>
          <w:tab w:val="num" w:pos="964"/>
        </w:tabs>
        <w:spacing w:before="0" w:after="0" w:line="276" w:lineRule="auto"/>
        <w:ind w:left="964" w:hanging="964"/>
        <w:rPr>
          <w:rFonts w:ascii="Times New Roman" w:hAnsi="Times New Roman"/>
        </w:rPr>
      </w:pPr>
      <w:bookmarkStart w:id="2" w:name="_Toc350694108"/>
      <w:r w:rsidRPr="00662E08">
        <w:rPr>
          <w:rFonts w:ascii="Times New Roman" w:hAnsi="Times New Roman"/>
        </w:rPr>
        <w:t>Principy Strategie</w:t>
      </w:r>
      <w:bookmarkEnd w:id="2"/>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lang w:eastAsia="cs-CZ"/>
        </w:rPr>
        <w:t>Strategie prevence rizikového chování dětí a mládeže na období 2013 – 2018 vychází ze zkušeností z minulých let, opírá se o současné trendy na poli primární prevence. Strategie se z</w:t>
      </w:r>
      <w:r w:rsidRPr="00662E08">
        <w:rPr>
          <w:rFonts w:ascii="Times New Roman" w:hAnsi="Times New Roman"/>
        </w:rPr>
        <w:t xml:space="preserve">akládá na níže popsaných principech. Jedná se o principy, které vzešly z výzkumných zjištění a praktických zkušeností, které můžeme označit jako zásady efektivní primární prevence.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Tyto zásady již byly popsány v dříve publikované odborné literatuře (</w:t>
      </w:r>
      <w:r>
        <w:rPr>
          <w:rFonts w:ascii="Times New Roman" w:hAnsi="Times New Roman"/>
        </w:rPr>
        <w:t>viz Seznam použité literatury a zdrojů)</w:t>
      </w:r>
      <w:r w:rsidRPr="00662E08">
        <w:rPr>
          <w:rFonts w:ascii="Times New Roman" w:hAnsi="Times New Roman"/>
        </w:rPr>
        <w:t>.</w:t>
      </w:r>
    </w:p>
    <w:p w:rsidR="005C2C3C" w:rsidRPr="00662E08" w:rsidRDefault="005C2C3C" w:rsidP="005C2C3C">
      <w:pPr>
        <w:spacing w:before="0" w:line="276" w:lineRule="auto"/>
        <w:jc w:val="both"/>
        <w:rPr>
          <w:rFonts w:ascii="Times New Roman" w:hAnsi="Times New Roman"/>
          <w:lang w:eastAsia="cs-CZ"/>
        </w:rPr>
      </w:pPr>
    </w:p>
    <w:p w:rsidR="005C2C3C" w:rsidRPr="00662E08" w:rsidRDefault="005C2C3C" w:rsidP="005C2C3C">
      <w:pPr>
        <w:pStyle w:val="Seznamsodrkami"/>
        <w:spacing w:before="0" w:line="276" w:lineRule="auto"/>
        <w:ind w:left="641" w:hanging="357"/>
        <w:rPr>
          <w:rFonts w:ascii="Times New Roman" w:hAnsi="Times New Roman"/>
          <w:b/>
          <w:bCs/>
        </w:rPr>
      </w:pPr>
      <w:r w:rsidRPr="00662E08">
        <w:rPr>
          <w:rFonts w:ascii="Times New Roman" w:hAnsi="Times New Roman"/>
          <w:b/>
          <w:bCs/>
        </w:rPr>
        <w:t xml:space="preserve">Partnerství a společný postup </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 xml:space="preserve">Strategie podporuje partnerství a širokou spolupráci na všech úrovních při respektování kompetencí. Společný koordinovaný postup všech článků v systému prevence </w:t>
      </w:r>
      <w:r>
        <w:rPr>
          <w:rFonts w:ascii="Times New Roman" w:hAnsi="Times New Roman"/>
        </w:rPr>
        <w:t xml:space="preserve">v rámci resortu školství </w:t>
      </w:r>
      <w:r w:rsidRPr="00662E08">
        <w:rPr>
          <w:rFonts w:ascii="Times New Roman" w:hAnsi="Times New Roman"/>
        </w:rPr>
        <w:t xml:space="preserve">zvyšuje pravděpodobnost účinnosti působení a úspěchu při dosahování stanovených cílů. </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Komplexní řešení problematiky primární prevence rizikového chování</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 xml:space="preserve">Preventivní programy je nutné koncipovat komplexně </w:t>
      </w:r>
      <w:r>
        <w:rPr>
          <w:rFonts w:ascii="Times New Roman" w:hAnsi="Times New Roman"/>
        </w:rPr>
        <w:t>v koordinované</w:t>
      </w:r>
      <w:r w:rsidRPr="00662E08">
        <w:rPr>
          <w:rFonts w:ascii="Times New Roman" w:hAnsi="Times New Roman"/>
        </w:rPr>
        <w:t xml:space="preserve"> spolupráci různých institucí. Strategie se zabývá definicí vzájemného propojení všech subjektů v rámci primární prevence a koordinací řešení problémů souvisejících s rizikovým chováním.</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Kontinuita působení a systematičnost plánování</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 xml:space="preserve">Preventivní působení musí být systematické a dlouhodobé. Jednorázové aktivity, bez ohledu na rozsah a náklady nejsou příliš efektivní. Pozitivních změn nelze dosáhnout dílčími ani izolovanými opatřeními, ale dlouhodobým a komplexním úsilím a Strategiemi. </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 xml:space="preserve">Uplatňování ověřených dat a hodnocení efektivity </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 xml:space="preserve">Aktivity realizované v rámci primární prevence jsou založené na analýze současné situace, identifikovaných problémech, potřebách a prioritách, tedy na vědecky ověřených faktech a datech, nikoli na předpokladech a domněnkách. Jednotlivá opatření jsou důsledně monitorována, je vyhodnocována jejich účinnost a případně jsou modifikovány realizované aktivity. Strategie je strukturována tak, aby se usnadnilo hodnocení její realizace a efektivity, její cíle jsou realistické (tj. dosažitelné) a měřitelné (tj. hodnotitelné). </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 xml:space="preserve">Racionální financování a garance kvality služeb </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Financování je nástrojem naplnění</w:t>
      </w:r>
      <w:r>
        <w:rPr>
          <w:rFonts w:ascii="Times New Roman" w:hAnsi="Times New Roman"/>
        </w:rPr>
        <w:t>m</w:t>
      </w:r>
      <w:r w:rsidRPr="00662E08">
        <w:rPr>
          <w:rFonts w:ascii="Times New Roman" w:hAnsi="Times New Roman"/>
        </w:rPr>
        <w:t xml:space="preserve"> cílů Strategie. Účinná opatření primární prevence není možno uskutečnit bez adekvátního zabezpečení finančních zdrojů k jejich realizaci. Financované aktivity musí splňovat kritéria kvality (certifikace) a efektivity (cena/výkon).</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bCs/>
        </w:rPr>
        <w:t>Cílenost a adekvátnost informací i forem působení</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Realizované preventivní aktivity musí odpovídat cílové skupině a jejím</w:t>
      </w:r>
      <w:r>
        <w:rPr>
          <w:rFonts w:ascii="Times New Roman" w:hAnsi="Times New Roman"/>
        </w:rPr>
        <w:t xml:space="preserve"> </w:t>
      </w:r>
      <w:r w:rsidRPr="00662E08">
        <w:rPr>
          <w:rFonts w:ascii="Times New Roman" w:hAnsi="Times New Roman"/>
        </w:rPr>
        <w:t>věkovým</w:t>
      </w:r>
      <w:r>
        <w:rPr>
          <w:rFonts w:ascii="Times New Roman" w:hAnsi="Times New Roman"/>
        </w:rPr>
        <w:t>,</w:t>
      </w:r>
      <w:r w:rsidRPr="00662E08">
        <w:rPr>
          <w:rFonts w:ascii="Times New Roman" w:hAnsi="Times New Roman"/>
        </w:rPr>
        <w:t xml:space="preserve"> demografickým a sociokulturním charakteristikám</w:t>
      </w:r>
      <w:r>
        <w:rPr>
          <w:rFonts w:ascii="Times New Roman" w:hAnsi="Times New Roman"/>
        </w:rPr>
        <w:t xml:space="preserve"> a potřebám</w:t>
      </w:r>
      <w:r w:rsidRPr="00662E08">
        <w:rPr>
          <w:rFonts w:ascii="Times New Roman" w:hAnsi="Times New Roman"/>
        </w:rPr>
        <w:t>. U každého preventivního programu je třeba definovat</w:t>
      </w:r>
      <w:r>
        <w:rPr>
          <w:rFonts w:ascii="Times New Roman" w:hAnsi="Times New Roman"/>
        </w:rPr>
        <w:t>,</w:t>
      </w:r>
      <w:r w:rsidRPr="00662E08">
        <w:rPr>
          <w:rFonts w:ascii="Times New Roman" w:hAnsi="Times New Roman"/>
        </w:rPr>
        <w:t xml:space="preserve"> pro jakou cílovou skupinu je určen.</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Včasný začátek preventivních aktivit, ideálně již v předškolním věku</w:t>
      </w:r>
    </w:p>
    <w:p w:rsidR="005C2C3C" w:rsidRPr="00662E08" w:rsidRDefault="005C2C3C" w:rsidP="005C2C3C">
      <w:pPr>
        <w:spacing w:before="0" w:line="276" w:lineRule="auto"/>
        <w:ind w:left="641" w:firstLine="0"/>
        <w:jc w:val="both"/>
        <w:rPr>
          <w:rFonts w:ascii="Times New Roman" w:hAnsi="Times New Roman"/>
        </w:rPr>
      </w:pPr>
      <w:r w:rsidRPr="00662E08">
        <w:rPr>
          <w:rFonts w:ascii="Times New Roman" w:hAnsi="Times New Roman"/>
        </w:rPr>
        <w:t xml:space="preserve">Čím dříve prevence začíná, tím je ve výsledku efektivnější. Osobnostní </w:t>
      </w:r>
      <w:r>
        <w:rPr>
          <w:rFonts w:ascii="Times New Roman" w:hAnsi="Times New Roman"/>
        </w:rPr>
        <w:t>zaměření</w:t>
      </w:r>
      <w:r w:rsidRPr="00662E08">
        <w:rPr>
          <w:rFonts w:ascii="Times New Roman" w:hAnsi="Times New Roman"/>
        </w:rPr>
        <w:t>, názor</w:t>
      </w:r>
      <w:r>
        <w:rPr>
          <w:rFonts w:ascii="Times New Roman" w:hAnsi="Times New Roman"/>
        </w:rPr>
        <w:t>y</w:t>
      </w:r>
      <w:r w:rsidRPr="00662E08">
        <w:rPr>
          <w:rFonts w:ascii="Times New Roman" w:hAnsi="Times New Roman"/>
        </w:rPr>
        <w:t xml:space="preserve"> a postoje se formují již v nejranějším věku. Formy působení musí být přizpůsobeny věku a možnostem dětí. </w:t>
      </w:r>
    </w:p>
    <w:p w:rsidR="005C2C3C" w:rsidRPr="008418D1" w:rsidRDefault="005C2C3C" w:rsidP="005C2C3C">
      <w:pPr>
        <w:pStyle w:val="Seznamsodrkami"/>
        <w:spacing w:before="0" w:line="276" w:lineRule="auto"/>
        <w:ind w:left="641" w:hanging="357"/>
        <w:jc w:val="both"/>
      </w:pPr>
      <w:r w:rsidRPr="008418D1">
        <w:rPr>
          <w:b/>
          <w:bCs/>
        </w:rPr>
        <w:t xml:space="preserve">Pozitivní orientace primární </w:t>
      </w:r>
      <w:r w:rsidRPr="008418D1">
        <w:rPr>
          <w:rFonts w:ascii="Times New Roman" w:hAnsi="Times New Roman"/>
          <w:b/>
          <w:bCs/>
        </w:rPr>
        <w:t>prevence</w:t>
      </w:r>
      <w:r w:rsidRPr="008418D1">
        <w:rPr>
          <w:b/>
          <w:bCs/>
        </w:rPr>
        <w:t xml:space="preserve"> </w:t>
      </w:r>
    </w:p>
    <w:p w:rsidR="005C2C3C" w:rsidRPr="008418D1" w:rsidRDefault="005C2C3C" w:rsidP="005C2C3C">
      <w:pPr>
        <w:pStyle w:val="Seznamsodrkami"/>
        <w:numPr>
          <w:ilvl w:val="0"/>
          <w:numId w:val="0"/>
        </w:numPr>
        <w:spacing w:before="0"/>
        <w:ind w:left="643"/>
        <w:jc w:val="both"/>
      </w:pPr>
      <w:r w:rsidRPr="008418D1">
        <w:rPr>
          <w:rFonts w:ascii="Times New Roman" w:hAnsi="Times New Roman"/>
        </w:rPr>
        <w:lastRenderedPageBreak/>
        <w:t xml:space="preserve">Nabídka pozitivních alternativ a využívání pozitivních modelů vykazují větší efektivitu než používání negativních příkladů v preventivních aktivitách.  </w:t>
      </w:r>
    </w:p>
    <w:p w:rsidR="005C2C3C" w:rsidRPr="00662E08" w:rsidRDefault="005C2C3C" w:rsidP="005C2C3C">
      <w:pPr>
        <w:pStyle w:val="Seznamsodrkami"/>
        <w:spacing w:before="0" w:line="276" w:lineRule="auto"/>
        <w:ind w:left="641" w:hanging="357"/>
        <w:jc w:val="both"/>
        <w:rPr>
          <w:rFonts w:ascii="Times New Roman" w:hAnsi="Times New Roman"/>
          <w:b/>
          <w:bCs/>
        </w:rPr>
      </w:pPr>
      <w:r w:rsidRPr="00662E08">
        <w:rPr>
          <w:rFonts w:ascii="Times New Roman" w:hAnsi="Times New Roman"/>
          <w:b/>
          <w:bCs/>
        </w:rPr>
        <w:t>Orientace na kvalitu postojů a změnu chování</w:t>
      </w:r>
    </w:p>
    <w:p w:rsidR="005C2C3C" w:rsidRPr="00662E08" w:rsidRDefault="005C2C3C" w:rsidP="005C2C3C">
      <w:pPr>
        <w:spacing w:before="0" w:line="276" w:lineRule="auto"/>
        <w:ind w:left="641" w:firstLine="0"/>
        <w:jc w:val="both"/>
        <w:rPr>
          <w:rFonts w:ascii="Times New Roman" w:hAnsi="Times New Roman"/>
        </w:rPr>
      </w:pPr>
      <w:r>
        <w:rPr>
          <w:rFonts w:ascii="Times New Roman" w:hAnsi="Times New Roman"/>
        </w:rPr>
        <w:t>Každé primárně preventivní působení si klade za cíl mít pozitivní vliv na změnu postojů a chování daného jedince.</w:t>
      </w:r>
      <w:r w:rsidRPr="00662E08">
        <w:rPr>
          <w:rFonts w:ascii="Times New Roman" w:hAnsi="Times New Roman"/>
        </w:rPr>
        <w:t xml:space="preserve"> Součástí preventivních programů by proto mělo být získání relevantních sociálních dovedností</w:t>
      </w:r>
      <w:r>
        <w:rPr>
          <w:rFonts w:ascii="Times New Roman" w:hAnsi="Times New Roman"/>
        </w:rPr>
        <w:t>, relevantních znalostí</w:t>
      </w:r>
      <w:r w:rsidRPr="00662E08">
        <w:rPr>
          <w:rFonts w:ascii="Times New Roman" w:hAnsi="Times New Roman"/>
        </w:rPr>
        <w:t xml:space="preserve"> a dovedností potřebných pro život.</w:t>
      </w:r>
    </w:p>
    <w:p w:rsidR="005C2C3C" w:rsidRPr="00662E08" w:rsidRDefault="005C2C3C" w:rsidP="005C2C3C">
      <w:pPr>
        <w:spacing w:before="0" w:line="276" w:lineRule="auto"/>
        <w:ind w:left="641" w:firstLine="0"/>
        <w:jc w:val="both"/>
        <w:rPr>
          <w:rFonts w:ascii="Times New Roman" w:hAnsi="Times New Roman"/>
        </w:rPr>
      </w:pPr>
    </w:p>
    <w:p w:rsidR="005C2C3C" w:rsidRDefault="005C2C3C"/>
    <w:p w:rsidR="005C2C3C" w:rsidRDefault="005C2C3C"/>
    <w:p w:rsidR="005C2C3C" w:rsidRPr="00662E08" w:rsidRDefault="005C2C3C" w:rsidP="005C2C3C">
      <w:pPr>
        <w:pStyle w:val="StylNadpis2ZarovnatdoblokuVlevo0cmPedsazen1021"/>
        <w:tabs>
          <w:tab w:val="clear" w:pos="360"/>
          <w:tab w:val="num" w:pos="964"/>
        </w:tabs>
        <w:spacing w:before="0" w:after="0" w:line="276" w:lineRule="auto"/>
        <w:ind w:left="964" w:hanging="964"/>
        <w:rPr>
          <w:rFonts w:ascii="Times New Roman" w:hAnsi="Times New Roman"/>
        </w:rPr>
      </w:pPr>
      <w:bookmarkStart w:id="3" w:name="_Toc350694109"/>
      <w:r w:rsidRPr="00662E08">
        <w:rPr>
          <w:rFonts w:ascii="Times New Roman" w:hAnsi="Times New Roman"/>
        </w:rPr>
        <w:t>Základní cíle Strategie</w:t>
      </w:r>
      <w:bookmarkEnd w:id="3"/>
    </w:p>
    <w:p w:rsidR="005C2C3C" w:rsidRPr="00662E08" w:rsidRDefault="005C2C3C" w:rsidP="005C2C3C">
      <w:pPr>
        <w:pStyle w:val="Nadpis4"/>
        <w:spacing w:before="0" w:line="276" w:lineRule="auto"/>
        <w:rPr>
          <w:rFonts w:ascii="Times New Roman" w:hAnsi="Times New Roman"/>
          <w:sz w:val="24"/>
          <w:szCs w:val="24"/>
          <w:lang w:eastAsia="cs-CZ"/>
        </w:rPr>
      </w:pPr>
      <w:r w:rsidRPr="00662E08">
        <w:rPr>
          <w:rFonts w:ascii="Times New Roman" w:hAnsi="Times New Roman"/>
        </w:rPr>
        <w:t>Hlavní cíl</w:t>
      </w:r>
      <w:r w:rsidRPr="00662E08">
        <w:rPr>
          <w:rFonts w:ascii="Times New Roman" w:hAnsi="Times New Roman"/>
          <w:sz w:val="24"/>
          <w:szCs w:val="24"/>
          <w:lang w:eastAsia="cs-CZ"/>
        </w:rPr>
        <w:t xml:space="preserve">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lang w:eastAsia="cs-CZ"/>
        </w:rPr>
        <w:t>Hlavním cílem Strategie prevence rizikového chování dětí a mládeže na období 2013 – 2018 je p</w:t>
      </w:r>
      <w:r w:rsidRPr="00662E08">
        <w:rPr>
          <w:rFonts w:ascii="Times New Roman" w:hAnsi="Times New Roman"/>
        </w:rPr>
        <w:t>rostřednictvím efektivního systému prevence, fungujícího na základě komplexního působení všech na sebe vzájemně navazujících subjektů, minimalizovat vznik a snížit míru rizikového chování u dětí a mládeže.</w:t>
      </w:r>
    </w:p>
    <w:p w:rsidR="005C2C3C" w:rsidRPr="00662E08" w:rsidRDefault="005C2C3C" w:rsidP="005C2C3C">
      <w:pPr>
        <w:pStyle w:val="Nadpis4"/>
        <w:spacing w:before="0" w:line="276" w:lineRule="auto"/>
        <w:jc w:val="both"/>
        <w:rPr>
          <w:rFonts w:ascii="Times New Roman" w:hAnsi="Times New Roman"/>
        </w:rPr>
      </w:pPr>
      <w:r w:rsidRPr="00662E08">
        <w:rPr>
          <w:rFonts w:ascii="Times New Roman" w:hAnsi="Times New Roman"/>
        </w:rPr>
        <w:t>Obecn</w:t>
      </w:r>
      <w:r>
        <w:rPr>
          <w:rFonts w:ascii="Times New Roman" w:hAnsi="Times New Roman"/>
        </w:rPr>
        <w:t>ý</w:t>
      </w:r>
      <w:r w:rsidRPr="00662E08">
        <w:rPr>
          <w:rFonts w:ascii="Times New Roman" w:hAnsi="Times New Roman"/>
        </w:rPr>
        <w:t xml:space="preserve"> cíl: </w:t>
      </w:r>
    </w:p>
    <w:p w:rsidR="005C2C3C" w:rsidRPr="00376239" w:rsidRDefault="005C2C3C" w:rsidP="005C2C3C">
      <w:pPr>
        <w:pStyle w:val="Seznamsodrkami"/>
        <w:numPr>
          <w:ilvl w:val="0"/>
          <w:numId w:val="0"/>
        </w:numPr>
        <w:spacing w:before="60" w:after="60" w:line="288" w:lineRule="auto"/>
        <w:jc w:val="both"/>
      </w:pPr>
      <w:r w:rsidRPr="00EF41A0">
        <w:rPr>
          <w:rFonts w:ascii="Times New Roman" w:hAnsi="Times New Roman"/>
        </w:rPr>
        <w:t>Výchova k předcházení, minimalizaci či oddálení rizikových projevů chování, ke zdravému životnímu stylu, k rozvoji pozitivního sociálního chování a rozvoji psychosociálních dovedností a zvládání zátěžových situací osobnosti jako standardní součást výchovně vzdělávacího procesu v prostředí českých škol zabezpečovaná kvalifikovanými a kompetentními osobami a institucemi a dále pak motivace k opuštění rizikového chování, pokud již nastalo a ochra</w:t>
      </w:r>
      <w:r w:rsidRPr="00376239">
        <w:t>na před dopady rizikového chování, pokud již nastalo ve výrazné formě</w:t>
      </w:r>
      <w:r>
        <w:t>.</w:t>
      </w:r>
    </w:p>
    <w:p w:rsidR="005C2C3C" w:rsidRPr="00662E08" w:rsidRDefault="005C2C3C" w:rsidP="005C2C3C">
      <w:pPr>
        <w:pStyle w:val="Nadpis4"/>
        <w:spacing w:before="0" w:line="276" w:lineRule="auto"/>
        <w:jc w:val="both"/>
        <w:rPr>
          <w:rFonts w:ascii="Times New Roman" w:hAnsi="Times New Roman"/>
        </w:rPr>
      </w:pPr>
      <w:r w:rsidRPr="00662E08">
        <w:rPr>
          <w:rFonts w:ascii="Times New Roman" w:hAnsi="Times New Roman"/>
        </w:rPr>
        <w:t>Specifické cíle:</w:t>
      </w:r>
    </w:p>
    <w:p w:rsidR="005C2C3C" w:rsidRPr="00842D33" w:rsidRDefault="005C2C3C" w:rsidP="005C2C3C">
      <w:pPr>
        <w:pStyle w:val="Seznamsodrkami"/>
        <w:jc w:val="both"/>
        <w:rPr>
          <w:rFonts w:ascii="Times New Roman" w:hAnsi="Times New Roman"/>
        </w:rPr>
      </w:pPr>
      <w:r w:rsidRPr="00842D33">
        <w:rPr>
          <w:rFonts w:ascii="Times New Roman" w:hAnsi="Times New Roman"/>
        </w:rPr>
        <w:t xml:space="preserve">Fungující systém koordinace primární prevence na horizontální i vertikální úrovni, kde jsou jasně dány koordinační mechanismy, role, kompetence jednotlivých orgánů a institucí včetně stanovení pravidel komunikace mezi nimi. </w:t>
      </w:r>
    </w:p>
    <w:p w:rsidR="005C2C3C" w:rsidRPr="00842D33" w:rsidRDefault="005C2C3C" w:rsidP="005C2C3C">
      <w:pPr>
        <w:pStyle w:val="Seznamsodrkami"/>
        <w:jc w:val="both"/>
        <w:rPr>
          <w:rFonts w:ascii="Times New Roman" w:hAnsi="Times New Roman"/>
        </w:rPr>
      </w:pPr>
      <w:r w:rsidRPr="00842D33">
        <w:rPr>
          <w:rFonts w:ascii="Times New Roman" w:hAnsi="Times New Roman"/>
        </w:rPr>
        <w:t xml:space="preserve">Fungující systém primární prevence na horizontální i vertikální úrovni, kde jsou jasně a transparentně legislativně vymezeny koordinační mechanismy, role, kompetence jednotlivých orgánů a institucí a jejich činnost. </w:t>
      </w:r>
    </w:p>
    <w:p w:rsidR="005C2C3C" w:rsidRPr="00842D33" w:rsidRDefault="005C2C3C" w:rsidP="005C2C3C">
      <w:pPr>
        <w:pStyle w:val="Seznamsodrkami"/>
        <w:jc w:val="both"/>
        <w:rPr>
          <w:rFonts w:ascii="Times New Roman" w:hAnsi="Times New Roman"/>
        </w:rPr>
      </w:pPr>
      <w:r w:rsidRPr="00842D33">
        <w:rPr>
          <w:rFonts w:ascii="Times New Roman" w:hAnsi="Times New Roman"/>
        </w:rPr>
        <w:t>Nastavení efektivního systému vzdělávání pro oblast primární prevence rizikového chování pro všechny subjekty, které na oblasti primární prevence participují při využití, ověření a následné implementaci výstupů projektu VYNSPI.</w:t>
      </w:r>
    </w:p>
    <w:p w:rsidR="005C2C3C" w:rsidRPr="00842D33" w:rsidRDefault="005C2C3C" w:rsidP="005C2C3C">
      <w:pPr>
        <w:pStyle w:val="Seznamsodrkami"/>
        <w:jc w:val="both"/>
        <w:rPr>
          <w:rFonts w:ascii="Times New Roman" w:hAnsi="Times New Roman"/>
        </w:rPr>
      </w:pPr>
      <w:r w:rsidRPr="00842D33">
        <w:rPr>
          <w:rFonts w:ascii="Times New Roman" w:hAnsi="Times New Roman"/>
        </w:rPr>
        <w:t>Finanční zajištění oblasti primární prevence, udržení stabilního dotačního systému</w:t>
      </w:r>
    </w:p>
    <w:p w:rsidR="005C2C3C" w:rsidRPr="00842D33" w:rsidRDefault="005C2C3C" w:rsidP="005C2C3C">
      <w:pPr>
        <w:pStyle w:val="Seznamsodrkami"/>
        <w:jc w:val="both"/>
        <w:rPr>
          <w:rFonts w:ascii="Times New Roman" w:hAnsi="Times New Roman"/>
        </w:rPr>
      </w:pPr>
      <w:r w:rsidRPr="00842D33">
        <w:rPr>
          <w:rFonts w:ascii="Times New Roman" w:hAnsi="Times New Roman"/>
        </w:rPr>
        <w:t>Zavedení národního systému hodnocení kvality programů primární prevence (certifikací) pro všechny typy rizikového chování, který je určen všem poskytovatelům těchto programů a který zajišťuje srovnatelnou úroveň těchto programů na celém území České republiky.</w:t>
      </w:r>
    </w:p>
    <w:p w:rsidR="005C2C3C" w:rsidRPr="00662E08" w:rsidRDefault="005C2C3C" w:rsidP="005C2C3C">
      <w:pPr>
        <w:pStyle w:val="Seznamsodrkami"/>
        <w:numPr>
          <w:ilvl w:val="0"/>
          <w:numId w:val="0"/>
        </w:numPr>
        <w:spacing w:before="0" w:line="276" w:lineRule="auto"/>
        <w:ind w:left="641"/>
        <w:jc w:val="both"/>
        <w:rPr>
          <w:rFonts w:ascii="Times New Roman" w:hAnsi="Times New Roman"/>
        </w:rPr>
      </w:pPr>
    </w:p>
    <w:p w:rsidR="005C2C3C" w:rsidRPr="00662E08" w:rsidRDefault="005C2C3C" w:rsidP="005C2C3C">
      <w:pPr>
        <w:pStyle w:val="StylNadpis2ZarovnatdoblokuVlevo0cmPedsazen1021"/>
        <w:tabs>
          <w:tab w:val="clear" w:pos="360"/>
          <w:tab w:val="num" w:pos="964"/>
        </w:tabs>
        <w:spacing w:before="0" w:after="0" w:line="276" w:lineRule="auto"/>
        <w:ind w:left="964" w:hanging="964"/>
        <w:jc w:val="both"/>
        <w:rPr>
          <w:rFonts w:ascii="Times New Roman" w:hAnsi="Times New Roman"/>
        </w:rPr>
      </w:pPr>
      <w:bookmarkStart w:id="4" w:name="_Toc350694110"/>
      <w:r w:rsidRPr="00662E08">
        <w:rPr>
          <w:rFonts w:ascii="Times New Roman" w:hAnsi="Times New Roman"/>
        </w:rPr>
        <w:t>Cílové skupiny</w:t>
      </w:r>
      <w:bookmarkEnd w:id="4"/>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Strategie primární prevence rizikového chování je zaměřena zejména na níže uvedené skupiny populace. Diferencované působení na jednotlivé cílové skupiny je naplňováno v opatřeních, které ministerstvo realizuje v koordinační a metodické činnosti, při podpoře vzdělávacích aktivit a financováním preventivních programů pro jednotlivé cílové skupiny prostřednictvím své dotační politiky.</w:t>
      </w:r>
    </w:p>
    <w:p w:rsidR="005C2C3C" w:rsidRPr="00662E08" w:rsidRDefault="005C2C3C" w:rsidP="005C2C3C">
      <w:pPr>
        <w:spacing w:before="0" w:line="276" w:lineRule="auto"/>
        <w:jc w:val="both"/>
        <w:rPr>
          <w:rFonts w:ascii="Times New Roman" w:hAnsi="Times New Roman"/>
        </w:rPr>
      </w:pPr>
    </w:p>
    <w:p w:rsidR="005C2C3C" w:rsidRPr="00662E08" w:rsidRDefault="005C2C3C" w:rsidP="005C2C3C">
      <w:pPr>
        <w:pStyle w:val="StylNadpis3ZarovnatdoblokuVlevo0cmPedsazen127"/>
        <w:tabs>
          <w:tab w:val="clear" w:pos="360"/>
          <w:tab w:val="num" w:pos="1440"/>
        </w:tabs>
        <w:spacing w:before="0" w:after="0" w:line="276" w:lineRule="auto"/>
        <w:ind w:left="1224" w:hanging="1224"/>
        <w:rPr>
          <w:rFonts w:ascii="Times New Roman" w:hAnsi="Times New Roman"/>
        </w:rPr>
      </w:pPr>
      <w:bookmarkStart w:id="5" w:name="_Toc350694111"/>
      <w:r w:rsidRPr="00662E08">
        <w:rPr>
          <w:rFonts w:ascii="Times New Roman" w:hAnsi="Times New Roman"/>
        </w:rPr>
        <w:t>Primární cílové skupiny</w:t>
      </w:r>
      <w:bookmarkEnd w:id="5"/>
    </w:p>
    <w:p w:rsidR="005C2C3C" w:rsidRPr="00662E08" w:rsidRDefault="005C2C3C" w:rsidP="005C2C3C">
      <w:pPr>
        <w:pStyle w:val="Nadpis4"/>
        <w:spacing w:before="0" w:line="276" w:lineRule="auto"/>
        <w:rPr>
          <w:rFonts w:ascii="Times New Roman" w:hAnsi="Times New Roman"/>
        </w:rPr>
      </w:pPr>
      <w:r w:rsidRPr="00662E08">
        <w:rPr>
          <w:rFonts w:ascii="Times New Roman" w:hAnsi="Times New Roman"/>
        </w:rPr>
        <w:t>Děti a mládež</w:t>
      </w:r>
    </w:p>
    <w:p w:rsidR="005C2C3C" w:rsidRPr="00662E08" w:rsidRDefault="005C2C3C" w:rsidP="005C2C3C">
      <w:pPr>
        <w:spacing w:before="0" w:line="276" w:lineRule="auto"/>
        <w:rPr>
          <w:rFonts w:ascii="Times New Roman" w:hAnsi="Times New Roman"/>
          <w:b/>
          <w:bCs/>
        </w:rPr>
      </w:pPr>
      <w:r w:rsidRPr="00662E08">
        <w:rPr>
          <w:rFonts w:ascii="Times New Roman" w:hAnsi="Times New Roman"/>
          <w:b/>
          <w:bCs/>
        </w:rPr>
        <w:t>Obecná populace děti a mládeže</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lastRenderedPageBreak/>
        <w:t>Jedná se o cílovou skupinu, která není identifikována podle individuálních rizikových faktorů.</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 xml:space="preserve">Věkové </w:t>
      </w:r>
      <w:proofErr w:type="spellStart"/>
      <w:r w:rsidRPr="00662E08">
        <w:rPr>
          <w:rFonts w:ascii="Times New Roman" w:hAnsi="Times New Roman"/>
        </w:rPr>
        <w:t>kriterium</w:t>
      </w:r>
      <w:proofErr w:type="spellEnd"/>
      <w:r w:rsidRPr="00662E08">
        <w:rPr>
          <w:rFonts w:ascii="Times New Roman" w:hAnsi="Times New Roman"/>
        </w:rPr>
        <w:t xml:space="preserve"> definuje populaci dětí a mládeže do pěti cílových skupin:</w:t>
      </w:r>
    </w:p>
    <w:p w:rsidR="005C2C3C" w:rsidRPr="00662E08" w:rsidRDefault="005C2C3C" w:rsidP="005C2C3C">
      <w:pPr>
        <w:pStyle w:val="Seznamsodrkami2"/>
        <w:tabs>
          <w:tab w:val="clear" w:pos="643"/>
          <w:tab w:val="num" w:pos="0"/>
        </w:tabs>
        <w:spacing w:before="0" w:line="276" w:lineRule="auto"/>
        <w:ind w:left="991" w:hanging="283"/>
        <w:contextualSpacing w:val="0"/>
        <w:jc w:val="both"/>
        <w:rPr>
          <w:rFonts w:ascii="Times New Roman" w:hAnsi="Times New Roman"/>
        </w:rPr>
      </w:pPr>
      <w:r w:rsidRPr="00662E08">
        <w:rPr>
          <w:rFonts w:ascii="Times New Roman" w:hAnsi="Times New Roman"/>
        </w:rPr>
        <w:t>Předškolní věk (3-6 let)</w:t>
      </w:r>
    </w:p>
    <w:p w:rsidR="005C2C3C" w:rsidRPr="00662E08" w:rsidRDefault="005C2C3C" w:rsidP="005C2C3C">
      <w:pPr>
        <w:pStyle w:val="Seznamsodrkami2"/>
        <w:tabs>
          <w:tab w:val="clear" w:pos="643"/>
          <w:tab w:val="num" w:pos="0"/>
        </w:tabs>
        <w:spacing w:before="0" w:line="276" w:lineRule="auto"/>
        <w:ind w:left="991" w:hanging="283"/>
        <w:contextualSpacing w:val="0"/>
        <w:jc w:val="both"/>
        <w:rPr>
          <w:rFonts w:ascii="Times New Roman" w:hAnsi="Times New Roman"/>
        </w:rPr>
      </w:pPr>
      <w:r w:rsidRPr="00662E08">
        <w:rPr>
          <w:rFonts w:ascii="Times New Roman" w:hAnsi="Times New Roman"/>
        </w:rPr>
        <w:t>Mladší školní věk (6-12 let)</w:t>
      </w:r>
    </w:p>
    <w:p w:rsidR="005C2C3C" w:rsidRPr="00662E08" w:rsidRDefault="005C2C3C" w:rsidP="005C2C3C">
      <w:pPr>
        <w:pStyle w:val="Seznamsodrkami2"/>
        <w:tabs>
          <w:tab w:val="clear" w:pos="643"/>
          <w:tab w:val="num" w:pos="0"/>
        </w:tabs>
        <w:spacing w:before="0" w:line="276" w:lineRule="auto"/>
        <w:ind w:left="991" w:hanging="283"/>
        <w:contextualSpacing w:val="0"/>
        <w:jc w:val="both"/>
        <w:rPr>
          <w:rFonts w:ascii="Times New Roman" w:hAnsi="Times New Roman"/>
        </w:rPr>
      </w:pPr>
      <w:r w:rsidRPr="00662E08">
        <w:rPr>
          <w:rFonts w:ascii="Times New Roman" w:hAnsi="Times New Roman"/>
        </w:rPr>
        <w:t>Starší školní věk (12-15 let)</w:t>
      </w:r>
    </w:p>
    <w:p w:rsidR="005C2C3C" w:rsidRPr="00662E08" w:rsidRDefault="005C2C3C" w:rsidP="005C2C3C">
      <w:pPr>
        <w:pStyle w:val="Seznamsodrkami2"/>
        <w:tabs>
          <w:tab w:val="clear" w:pos="643"/>
          <w:tab w:val="num" w:pos="0"/>
        </w:tabs>
        <w:spacing w:before="0" w:line="276" w:lineRule="auto"/>
        <w:ind w:left="991" w:hanging="283"/>
        <w:contextualSpacing w:val="0"/>
        <w:jc w:val="both"/>
        <w:rPr>
          <w:rFonts w:ascii="Times New Roman" w:hAnsi="Times New Roman"/>
        </w:rPr>
      </w:pPr>
      <w:r w:rsidRPr="00662E08">
        <w:rPr>
          <w:rFonts w:ascii="Times New Roman" w:hAnsi="Times New Roman"/>
        </w:rPr>
        <w:t>Mládež (15-18 let)</w:t>
      </w:r>
    </w:p>
    <w:p w:rsidR="005C2C3C" w:rsidRPr="00662E08" w:rsidRDefault="005C2C3C" w:rsidP="005C2C3C">
      <w:pPr>
        <w:pStyle w:val="Seznamsodrkami2"/>
        <w:tabs>
          <w:tab w:val="clear" w:pos="643"/>
          <w:tab w:val="num" w:pos="0"/>
        </w:tabs>
        <w:spacing w:before="0" w:line="276" w:lineRule="auto"/>
        <w:ind w:left="991" w:hanging="283"/>
        <w:contextualSpacing w:val="0"/>
        <w:jc w:val="both"/>
        <w:rPr>
          <w:rFonts w:ascii="Times New Roman" w:hAnsi="Times New Roman"/>
        </w:rPr>
      </w:pPr>
      <w:r w:rsidRPr="00662E08">
        <w:rPr>
          <w:rFonts w:ascii="Times New Roman" w:hAnsi="Times New Roman"/>
        </w:rPr>
        <w:t>Mladí dospělí (18-26 let)</w:t>
      </w:r>
    </w:p>
    <w:p w:rsidR="005C2C3C" w:rsidRPr="00662E08" w:rsidRDefault="005C2C3C" w:rsidP="005C2C3C">
      <w:pPr>
        <w:spacing w:before="0" w:line="276" w:lineRule="auto"/>
        <w:ind w:left="170" w:firstLine="0"/>
        <w:jc w:val="both"/>
        <w:rPr>
          <w:rFonts w:ascii="Times New Roman" w:hAnsi="Times New Roman"/>
        </w:rPr>
      </w:pPr>
      <w:r w:rsidRPr="00662E08">
        <w:rPr>
          <w:rFonts w:ascii="Times New Roman" w:hAnsi="Times New Roman"/>
        </w:rPr>
        <w:t>Na tuto skupinu se zaměřují programy všeobecné primární p</w:t>
      </w:r>
      <w:r>
        <w:rPr>
          <w:rFonts w:ascii="Times New Roman" w:hAnsi="Times New Roman"/>
        </w:rPr>
        <w:t>revence, podrobněji v kapitole 2</w:t>
      </w:r>
      <w:r w:rsidRPr="00662E08">
        <w:rPr>
          <w:rFonts w:ascii="Times New Roman" w:hAnsi="Times New Roman"/>
        </w:rPr>
        <w:t>.2 Úrovně specifické primární prevence.</w:t>
      </w:r>
    </w:p>
    <w:p w:rsidR="005C2C3C" w:rsidRPr="00662E08" w:rsidRDefault="005C2C3C" w:rsidP="005C2C3C">
      <w:pPr>
        <w:spacing w:before="0" w:line="276" w:lineRule="auto"/>
        <w:jc w:val="both"/>
        <w:rPr>
          <w:rFonts w:ascii="Times New Roman" w:hAnsi="Times New Roman"/>
          <w:b/>
          <w:bCs/>
        </w:rPr>
      </w:pPr>
    </w:p>
    <w:p w:rsidR="005C2C3C" w:rsidRPr="00662E08" w:rsidRDefault="005C2C3C" w:rsidP="005C2C3C">
      <w:pPr>
        <w:spacing w:before="0" w:line="276" w:lineRule="auto"/>
        <w:jc w:val="both"/>
        <w:rPr>
          <w:rFonts w:ascii="Times New Roman" w:hAnsi="Times New Roman"/>
          <w:b/>
          <w:bCs/>
        </w:rPr>
      </w:pPr>
      <w:r w:rsidRPr="00662E08">
        <w:rPr>
          <w:rFonts w:ascii="Times New Roman" w:hAnsi="Times New Roman"/>
          <w:b/>
          <w:bCs/>
        </w:rPr>
        <w:t xml:space="preserve">Specifické skupiny dětí a mládeže </w:t>
      </w:r>
    </w:p>
    <w:p w:rsidR="005C2C3C" w:rsidRPr="00662E08" w:rsidRDefault="005C2C3C" w:rsidP="005C2C3C">
      <w:pPr>
        <w:spacing w:before="0" w:line="276" w:lineRule="auto"/>
        <w:ind w:left="170" w:firstLine="0"/>
        <w:jc w:val="both"/>
        <w:rPr>
          <w:rFonts w:ascii="Times New Roman" w:hAnsi="Times New Roman"/>
        </w:rPr>
      </w:pPr>
      <w:r w:rsidRPr="00662E08">
        <w:rPr>
          <w:rFonts w:ascii="Times New Roman" w:hAnsi="Times New Roman"/>
        </w:rPr>
        <w:t xml:space="preserve">Jedná se o skupiny dětí a mládeže se zvýšeným rizikem problémů s chováním (např. děti z rodin, kde je páchána trestná činnost, se závislostí na alkoholu apod.). Na tuto skupinu se zaměřují programy selektivní primární prevence, podrobněji v kapitole </w:t>
      </w:r>
      <w:r>
        <w:rPr>
          <w:rFonts w:ascii="Times New Roman" w:hAnsi="Times New Roman"/>
        </w:rPr>
        <w:t>2</w:t>
      </w:r>
      <w:r w:rsidRPr="00662E08">
        <w:rPr>
          <w:rFonts w:ascii="Times New Roman" w:hAnsi="Times New Roman"/>
        </w:rPr>
        <w:t>.2 Úrovně specifické primární prevence.</w:t>
      </w:r>
    </w:p>
    <w:p w:rsidR="005C2C3C" w:rsidRPr="00662E08" w:rsidRDefault="005C2C3C" w:rsidP="005C2C3C">
      <w:pPr>
        <w:spacing w:before="0" w:line="276" w:lineRule="auto"/>
        <w:jc w:val="both"/>
        <w:rPr>
          <w:rFonts w:ascii="Times New Roman" w:hAnsi="Times New Roman"/>
          <w:b/>
          <w:bCs/>
        </w:rPr>
      </w:pPr>
    </w:p>
    <w:p w:rsidR="005C2C3C" w:rsidRPr="00662E08" w:rsidRDefault="005C2C3C" w:rsidP="005C2C3C">
      <w:pPr>
        <w:spacing w:before="0" w:line="276" w:lineRule="auto"/>
        <w:jc w:val="both"/>
        <w:rPr>
          <w:rFonts w:ascii="Times New Roman" w:hAnsi="Times New Roman"/>
          <w:b/>
          <w:bCs/>
        </w:rPr>
      </w:pPr>
      <w:r w:rsidRPr="00662E08">
        <w:rPr>
          <w:rFonts w:ascii="Times New Roman" w:hAnsi="Times New Roman"/>
          <w:b/>
          <w:bCs/>
        </w:rPr>
        <w:t>Jednotlivci vykazující rysy rizikového chování</w:t>
      </w:r>
    </w:p>
    <w:p w:rsidR="005C2C3C" w:rsidRPr="00662E08" w:rsidRDefault="005C2C3C" w:rsidP="005C2C3C">
      <w:pPr>
        <w:spacing w:before="0" w:line="276" w:lineRule="auto"/>
        <w:ind w:left="170" w:firstLine="0"/>
        <w:jc w:val="both"/>
        <w:rPr>
          <w:rFonts w:ascii="Times New Roman" w:hAnsi="Times New Roman"/>
        </w:rPr>
      </w:pPr>
      <w:r w:rsidRPr="00662E08">
        <w:rPr>
          <w:rFonts w:ascii="Times New Roman" w:hAnsi="Times New Roman"/>
        </w:rPr>
        <w:t>Jedná se o jednotlivce, kte</w:t>
      </w:r>
      <w:r>
        <w:rPr>
          <w:rFonts w:ascii="Times New Roman" w:hAnsi="Times New Roman"/>
        </w:rPr>
        <w:t>ří svým chováním vykazují určité</w:t>
      </w:r>
      <w:r w:rsidRPr="00662E08">
        <w:rPr>
          <w:rFonts w:ascii="Times New Roman" w:hAnsi="Times New Roman"/>
        </w:rPr>
        <w:t xml:space="preserve"> rysy rizikového chování (např. mladí experimentátoři s drogami, záškoláci apod.) Na tuto skupinu se zaměřují programy indikované primární prevence, podrobněji v kapitole </w:t>
      </w:r>
      <w:r>
        <w:rPr>
          <w:rFonts w:ascii="Times New Roman" w:hAnsi="Times New Roman"/>
        </w:rPr>
        <w:t>2</w:t>
      </w:r>
      <w:r w:rsidRPr="00662E08">
        <w:rPr>
          <w:rFonts w:ascii="Times New Roman" w:hAnsi="Times New Roman"/>
        </w:rPr>
        <w:t>.2 Úrovně specifické primární prevence.</w:t>
      </w:r>
    </w:p>
    <w:p w:rsidR="005C2C3C" w:rsidRPr="00662E08" w:rsidRDefault="005C2C3C" w:rsidP="005C2C3C">
      <w:pPr>
        <w:spacing w:before="0" w:line="276" w:lineRule="auto"/>
        <w:ind w:left="170" w:firstLine="0"/>
        <w:jc w:val="both"/>
        <w:rPr>
          <w:rFonts w:ascii="Times New Roman" w:hAnsi="Times New Roman"/>
        </w:rPr>
      </w:pPr>
    </w:p>
    <w:p w:rsidR="005C2C3C" w:rsidRPr="00662E08" w:rsidRDefault="005C2C3C" w:rsidP="005C2C3C">
      <w:pPr>
        <w:pStyle w:val="StylNadpis3ZarovnatdoblokuVlevo0cmPedsazen127"/>
        <w:tabs>
          <w:tab w:val="clear" w:pos="360"/>
          <w:tab w:val="num" w:pos="1440"/>
        </w:tabs>
        <w:spacing w:before="0" w:after="0" w:line="276" w:lineRule="auto"/>
        <w:ind w:left="1224" w:hanging="1082"/>
        <w:rPr>
          <w:rFonts w:ascii="Times New Roman" w:hAnsi="Times New Roman"/>
        </w:rPr>
      </w:pPr>
      <w:bookmarkStart w:id="6" w:name="_Toc350694112"/>
      <w:r w:rsidRPr="00662E08">
        <w:rPr>
          <w:rFonts w:ascii="Times New Roman" w:hAnsi="Times New Roman"/>
        </w:rPr>
        <w:t>Další cílové skupiny</w:t>
      </w:r>
      <w:bookmarkEnd w:id="6"/>
    </w:p>
    <w:p w:rsidR="005C2C3C" w:rsidRPr="00662E08" w:rsidRDefault="005C2C3C" w:rsidP="005C2C3C">
      <w:pPr>
        <w:spacing w:before="0" w:line="276" w:lineRule="auto"/>
        <w:rPr>
          <w:rFonts w:ascii="Times New Roman" w:hAnsi="Times New Roman"/>
          <w:b/>
          <w:bCs/>
        </w:rPr>
      </w:pPr>
      <w:r w:rsidRPr="00662E08">
        <w:rPr>
          <w:rFonts w:ascii="Times New Roman" w:hAnsi="Times New Roman"/>
          <w:b/>
          <w:bCs/>
        </w:rPr>
        <w:t xml:space="preserve">Rodiče </w:t>
      </w:r>
    </w:p>
    <w:p w:rsidR="005C2C3C" w:rsidRPr="00662E08" w:rsidRDefault="005C2C3C" w:rsidP="005C2C3C">
      <w:pPr>
        <w:spacing w:before="0" w:line="276" w:lineRule="auto"/>
        <w:ind w:left="170" w:firstLine="0"/>
        <w:jc w:val="both"/>
        <w:rPr>
          <w:rFonts w:ascii="Times New Roman" w:hAnsi="Times New Roman"/>
          <w:bCs/>
        </w:rPr>
      </w:pPr>
      <w:r w:rsidRPr="00662E08">
        <w:rPr>
          <w:rFonts w:ascii="Times New Roman" w:hAnsi="Times New Roman"/>
          <w:bCs/>
        </w:rPr>
        <w:t xml:space="preserve">Zejména rodina s rizikovými faktory – děti pocházející z rodin, kde se vyskytují rizikové faktory jako např. užívání alkoholu a jiných </w:t>
      </w:r>
      <w:r>
        <w:rPr>
          <w:rFonts w:ascii="Times New Roman" w:hAnsi="Times New Roman"/>
          <w:bCs/>
        </w:rPr>
        <w:t>omamných a psychotropních</w:t>
      </w:r>
      <w:r w:rsidRPr="00662E08">
        <w:rPr>
          <w:rFonts w:ascii="Times New Roman" w:hAnsi="Times New Roman"/>
          <w:bCs/>
        </w:rPr>
        <w:t xml:space="preserve"> látek, domácí násilí, trestná činnost</w:t>
      </w:r>
      <w:r>
        <w:rPr>
          <w:rFonts w:ascii="Times New Roman" w:hAnsi="Times New Roman"/>
          <w:bCs/>
        </w:rPr>
        <w:t>,</w:t>
      </w:r>
      <w:r w:rsidRPr="00662E08">
        <w:rPr>
          <w:rFonts w:ascii="Times New Roman" w:hAnsi="Times New Roman"/>
          <w:bCs/>
        </w:rPr>
        <w:t xml:space="preserve"> jsou ve svém vývoji více ohroženy vznikem rizikového chování. </w:t>
      </w:r>
      <w:r>
        <w:rPr>
          <w:rFonts w:ascii="Times New Roman" w:hAnsi="Times New Roman"/>
          <w:bCs/>
        </w:rPr>
        <w:t>Existuje též řada různých typů p</w:t>
      </w:r>
      <w:r w:rsidRPr="00662E08">
        <w:rPr>
          <w:rFonts w:ascii="Times New Roman" w:hAnsi="Times New Roman"/>
          <w:bCs/>
        </w:rPr>
        <w:t>rogram</w:t>
      </w:r>
      <w:r>
        <w:rPr>
          <w:rFonts w:ascii="Times New Roman" w:hAnsi="Times New Roman"/>
          <w:bCs/>
        </w:rPr>
        <w:t>ů</w:t>
      </w:r>
      <w:r w:rsidRPr="00662E08">
        <w:rPr>
          <w:rFonts w:ascii="Times New Roman" w:hAnsi="Times New Roman"/>
          <w:bCs/>
        </w:rPr>
        <w:t xml:space="preserve"> pro rodiče</w:t>
      </w:r>
      <w:r>
        <w:rPr>
          <w:rFonts w:ascii="Times New Roman" w:hAnsi="Times New Roman"/>
          <w:bCs/>
        </w:rPr>
        <w:t>, jejichž c</w:t>
      </w:r>
      <w:r w:rsidRPr="00662E08">
        <w:rPr>
          <w:rFonts w:ascii="Times New Roman" w:hAnsi="Times New Roman"/>
          <w:bCs/>
        </w:rPr>
        <w:t xml:space="preserve">ílem </w:t>
      </w:r>
      <w:r>
        <w:rPr>
          <w:rFonts w:ascii="Times New Roman" w:hAnsi="Times New Roman"/>
          <w:bCs/>
        </w:rPr>
        <w:t xml:space="preserve">je </w:t>
      </w:r>
      <w:r w:rsidRPr="00662E08">
        <w:rPr>
          <w:rFonts w:ascii="Times New Roman" w:hAnsi="Times New Roman"/>
          <w:bCs/>
        </w:rPr>
        <w:t>změna riziko</w:t>
      </w:r>
      <w:r>
        <w:rPr>
          <w:rFonts w:ascii="Times New Roman" w:hAnsi="Times New Roman"/>
          <w:bCs/>
        </w:rPr>
        <w:t>vého prostředí a vztahů, v nich</w:t>
      </w:r>
      <w:r w:rsidRPr="00662E08">
        <w:rPr>
          <w:rFonts w:ascii="Times New Roman" w:hAnsi="Times New Roman"/>
          <w:bCs/>
        </w:rPr>
        <w:t>ž vyrůstají jejich děti.</w:t>
      </w:r>
    </w:p>
    <w:p w:rsidR="005C2C3C" w:rsidRPr="00662E08" w:rsidRDefault="005C2C3C" w:rsidP="005C2C3C">
      <w:pPr>
        <w:spacing w:before="0" w:line="276" w:lineRule="auto"/>
        <w:ind w:firstLine="0"/>
        <w:jc w:val="both"/>
        <w:rPr>
          <w:rFonts w:ascii="Times New Roman" w:hAnsi="Times New Roman"/>
          <w:b/>
          <w:bCs/>
        </w:rPr>
      </w:pPr>
    </w:p>
    <w:p w:rsidR="005C2C3C" w:rsidRPr="00662E08" w:rsidRDefault="005C2C3C" w:rsidP="005C2C3C">
      <w:pPr>
        <w:spacing w:before="0" w:line="276" w:lineRule="auto"/>
        <w:jc w:val="both"/>
        <w:rPr>
          <w:rFonts w:ascii="Times New Roman" w:hAnsi="Times New Roman"/>
          <w:b/>
          <w:bCs/>
        </w:rPr>
      </w:pPr>
      <w:r w:rsidRPr="00662E08">
        <w:rPr>
          <w:rFonts w:ascii="Times New Roman" w:hAnsi="Times New Roman"/>
          <w:b/>
          <w:bCs/>
        </w:rPr>
        <w:t>Veřejnost</w:t>
      </w:r>
    </w:p>
    <w:p w:rsidR="005C2C3C" w:rsidRPr="00662E08" w:rsidRDefault="005C2C3C" w:rsidP="005C2C3C">
      <w:pPr>
        <w:spacing w:before="0" w:line="276" w:lineRule="auto"/>
        <w:ind w:left="170" w:firstLine="0"/>
        <w:jc w:val="both"/>
        <w:rPr>
          <w:rFonts w:ascii="Times New Roman" w:hAnsi="Times New Roman"/>
        </w:rPr>
      </w:pPr>
      <w:r>
        <w:rPr>
          <w:rFonts w:ascii="Times New Roman" w:hAnsi="Times New Roman"/>
        </w:rPr>
        <w:t>Laická i odborná veřejnost má nepochybně vliv na vývoj jedince a je proto nezbytné</w:t>
      </w:r>
      <w:r w:rsidRPr="00662E08">
        <w:rPr>
          <w:rFonts w:ascii="Times New Roman" w:hAnsi="Times New Roman"/>
        </w:rPr>
        <w:t xml:space="preserve"> aktivní zapojení veřejnosti do prevence rizikových projevů chování, a to prostřednictvím dostatečného informování a aktivitami specificky zaměřenými na tuto cílovou skupinu.</w:t>
      </w:r>
    </w:p>
    <w:p w:rsidR="005C2C3C" w:rsidRPr="00662E08" w:rsidRDefault="005C2C3C" w:rsidP="005C2C3C">
      <w:pPr>
        <w:spacing w:before="0" w:line="276" w:lineRule="auto"/>
        <w:jc w:val="both"/>
        <w:rPr>
          <w:rFonts w:ascii="Times New Roman" w:hAnsi="Times New Roman"/>
          <w:b/>
          <w:bCs/>
        </w:rPr>
      </w:pPr>
    </w:p>
    <w:p w:rsidR="005C2C3C" w:rsidRPr="00662E08" w:rsidRDefault="005C2C3C" w:rsidP="005C2C3C">
      <w:pPr>
        <w:spacing w:before="0" w:line="276" w:lineRule="auto"/>
        <w:jc w:val="both"/>
        <w:rPr>
          <w:rFonts w:ascii="Times New Roman" w:hAnsi="Times New Roman"/>
          <w:b/>
          <w:bCs/>
        </w:rPr>
      </w:pPr>
      <w:r w:rsidRPr="00662E08">
        <w:rPr>
          <w:rFonts w:ascii="Times New Roman" w:hAnsi="Times New Roman"/>
          <w:b/>
          <w:bCs/>
        </w:rPr>
        <w:t>Pracovníci v primární prevenci rizikového chování</w:t>
      </w:r>
    </w:p>
    <w:p w:rsidR="005C2C3C" w:rsidRDefault="005C2C3C" w:rsidP="005C2C3C">
      <w:pPr>
        <w:spacing w:before="0" w:line="276" w:lineRule="auto"/>
        <w:ind w:left="170" w:firstLine="0"/>
        <w:jc w:val="both"/>
        <w:rPr>
          <w:rFonts w:ascii="Times New Roman" w:hAnsi="Times New Roman"/>
        </w:rPr>
      </w:pPr>
      <w:r w:rsidRPr="00662E08">
        <w:rPr>
          <w:rFonts w:ascii="Times New Roman" w:hAnsi="Times New Roman"/>
        </w:rPr>
        <w:t xml:space="preserve">Předpokladem naplňování cílů v oblasti prevence a úspěšnosti primárně preventivních programů jsou vzdělaní a kvalifikovaní pracovníci v primární prevenci rizikového chování, kteří jsou vybaveni odpovídajícími znalostmi, dovednostmi a způsobilostmi podle úrovně, kterou v primární prevenci zajišťují. </w:t>
      </w:r>
    </w:p>
    <w:p w:rsidR="005C2C3C" w:rsidRDefault="005C2C3C" w:rsidP="005C2C3C">
      <w:pPr>
        <w:spacing w:before="0" w:line="276" w:lineRule="auto"/>
        <w:ind w:left="170" w:firstLine="0"/>
        <w:jc w:val="both"/>
        <w:rPr>
          <w:rFonts w:ascii="Times New Roman" w:hAnsi="Times New Roman"/>
        </w:rPr>
      </w:pPr>
      <w:r w:rsidRPr="00662E08">
        <w:rPr>
          <w:rFonts w:ascii="Times New Roman" w:hAnsi="Times New Roman"/>
        </w:rPr>
        <w:t xml:space="preserve">Na úrovni školy se jedná především o </w:t>
      </w:r>
      <w:r>
        <w:rPr>
          <w:rFonts w:ascii="Times New Roman" w:hAnsi="Times New Roman"/>
        </w:rPr>
        <w:t xml:space="preserve">ředitele škol, dále pak </w:t>
      </w:r>
      <w:r w:rsidRPr="00662E08">
        <w:rPr>
          <w:rFonts w:ascii="Times New Roman" w:hAnsi="Times New Roman"/>
        </w:rPr>
        <w:t>pedagogy, kteří jsou nositeli preventivního a výchovného potenciálu – školní metodiky prevence, výchovné poradce, školní psychology, učitele etické výchovy, učitele výchovy k občanství a ke zdraví, multikulturní výchovy, osobnostní a sociální výchovy apod.</w:t>
      </w:r>
      <w:r>
        <w:rPr>
          <w:rFonts w:ascii="Times New Roman" w:hAnsi="Times New Roman"/>
        </w:rPr>
        <w:t xml:space="preserve"> </w:t>
      </w:r>
    </w:p>
    <w:p w:rsidR="005C2C3C" w:rsidRPr="00662E08" w:rsidRDefault="005C2C3C" w:rsidP="005C2C3C">
      <w:pPr>
        <w:spacing w:before="0" w:line="276" w:lineRule="auto"/>
        <w:ind w:left="170" w:firstLine="0"/>
        <w:jc w:val="both"/>
        <w:rPr>
          <w:rFonts w:ascii="Times New Roman" w:hAnsi="Times New Roman"/>
        </w:rPr>
      </w:pPr>
      <w:r>
        <w:rPr>
          <w:rFonts w:ascii="Times New Roman" w:hAnsi="Times New Roman"/>
        </w:rPr>
        <w:t>Mimo školu jsou to pracovníci z dalších subjektů a institucí, které ve školském prostředí primární prevenci realizují.</w:t>
      </w:r>
    </w:p>
    <w:p w:rsidR="005C2C3C" w:rsidRDefault="005C2C3C"/>
    <w:p w:rsidR="005C2C3C" w:rsidRDefault="005C2C3C"/>
    <w:p w:rsidR="005C2C3C" w:rsidRPr="00662E08" w:rsidRDefault="005C2C3C" w:rsidP="005C2C3C">
      <w:pPr>
        <w:pStyle w:val="Nadpis4"/>
        <w:spacing w:before="0" w:line="276" w:lineRule="auto"/>
        <w:jc w:val="both"/>
        <w:rPr>
          <w:rFonts w:ascii="Times New Roman" w:hAnsi="Times New Roman"/>
        </w:rPr>
      </w:pPr>
      <w:r w:rsidRPr="00662E08">
        <w:rPr>
          <w:rFonts w:ascii="Times New Roman" w:hAnsi="Times New Roman"/>
        </w:rPr>
        <w:lastRenderedPageBreak/>
        <w:t>Hlavní funkce Strategie</w:t>
      </w:r>
    </w:p>
    <w:p w:rsidR="005C2C3C" w:rsidRPr="00662E08" w:rsidRDefault="005C2C3C" w:rsidP="005C2C3C">
      <w:pPr>
        <w:pStyle w:val="Seznamsodrkami"/>
        <w:spacing w:before="0" w:line="276" w:lineRule="auto"/>
        <w:ind w:left="641" w:hanging="357"/>
        <w:jc w:val="both"/>
        <w:rPr>
          <w:rFonts w:ascii="Times New Roman" w:hAnsi="Times New Roman"/>
        </w:rPr>
      </w:pPr>
      <w:r>
        <w:rPr>
          <w:rFonts w:ascii="Times New Roman" w:hAnsi="Times New Roman"/>
        </w:rPr>
        <w:t xml:space="preserve">Stanovit </w:t>
      </w:r>
      <w:r w:rsidRPr="00662E08">
        <w:rPr>
          <w:rFonts w:ascii="Times New Roman" w:hAnsi="Times New Roman"/>
        </w:rPr>
        <w:t>hlavní cíle v oblasti primární prevence rizikového chování pro klíčové subjekty v primární prevenci</w:t>
      </w:r>
    </w:p>
    <w:p w:rsidR="005C2C3C" w:rsidRPr="00662E08" w:rsidRDefault="005C2C3C" w:rsidP="005C2C3C">
      <w:pPr>
        <w:pStyle w:val="Seznamsodrkami"/>
        <w:spacing w:before="0" w:line="276" w:lineRule="auto"/>
        <w:ind w:left="641" w:hanging="357"/>
        <w:jc w:val="both"/>
        <w:rPr>
          <w:rFonts w:ascii="Times New Roman" w:hAnsi="Times New Roman"/>
        </w:rPr>
      </w:pPr>
      <w:r>
        <w:rPr>
          <w:rFonts w:ascii="Times New Roman" w:hAnsi="Times New Roman"/>
        </w:rPr>
        <w:t xml:space="preserve"> Rozvíjet</w:t>
      </w:r>
      <w:r w:rsidRPr="00662E08">
        <w:rPr>
          <w:rFonts w:ascii="Times New Roman" w:hAnsi="Times New Roman"/>
        </w:rPr>
        <w:t xml:space="preserve"> systém koordinace v primární prevenci včetně jasného vymezení organizačního rámce, kompetencí a odpovědností jednotlivých subjektů </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rPr>
        <w:t>Sjednotit terminologii v oblasti primární prevence s </w:t>
      </w:r>
      <w:r>
        <w:rPr>
          <w:rFonts w:ascii="Times New Roman" w:hAnsi="Times New Roman"/>
        </w:rPr>
        <w:t>ohledem</w:t>
      </w:r>
      <w:r w:rsidRPr="00662E08">
        <w:rPr>
          <w:rFonts w:ascii="Times New Roman" w:hAnsi="Times New Roman"/>
        </w:rPr>
        <w:t xml:space="preserve"> na mezioborový a mezirezortní charakter prevence rizikového chování</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rPr>
        <w:t xml:space="preserve">Informovat odbornou a laickou veřejnost o problematice primární prevence rizikového chování </w:t>
      </w:r>
      <w:r>
        <w:rPr>
          <w:rFonts w:ascii="Times New Roman" w:hAnsi="Times New Roman"/>
        </w:rPr>
        <w:t xml:space="preserve">u dětí a mládeže </w:t>
      </w:r>
    </w:p>
    <w:p w:rsidR="005C2C3C" w:rsidRDefault="005C2C3C"/>
    <w:p w:rsidR="005C2C3C" w:rsidRDefault="005C2C3C"/>
    <w:p w:rsidR="005C2C3C" w:rsidRDefault="005C2C3C" w:rsidP="005C2C3C">
      <w:pPr>
        <w:pStyle w:val="StylNadpis1ZarovnatdoblokuVlevo0cmPedsazen076"/>
        <w:spacing w:before="0" w:after="0" w:line="276" w:lineRule="auto"/>
        <w:ind w:left="360" w:hanging="360"/>
        <w:jc w:val="both"/>
        <w:rPr>
          <w:rFonts w:ascii="Times New Roman" w:hAnsi="Times New Roman"/>
        </w:rPr>
      </w:pPr>
      <w:bookmarkStart w:id="7" w:name="_Toc350694114"/>
      <w:r w:rsidRPr="00662E08">
        <w:rPr>
          <w:rFonts w:ascii="Times New Roman" w:hAnsi="Times New Roman"/>
        </w:rPr>
        <w:t>Systém primární prevence rizikového chování v České republice</w:t>
      </w:r>
      <w:bookmarkEnd w:id="7"/>
    </w:p>
    <w:p w:rsidR="005C2C3C" w:rsidRPr="00662E08" w:rsidRDefault="005C2C3C" w:rsidP="005C2C3C">
      <w:pPr>
        <w:pStyle w:val="StylNadpis1ZarovnatdoblokuVlevo0cmPedsazen076"/>
        <w:numPr>
          <w:ilvl w:val="0"/>
          <w:numId w:val="0"/>
        </w:numPr>
        <w:spacing w:before="0" w:after="0" w:line="276" w:lineRule="auto"/>
        <w:ind w:left="360"/>
        <w:jc w:val="both"/>
        <w:rPr>
          <w:rFonts w:ascii="Times New Roman" w:hAnsi="Times New Roman"/>
        </w:rPr>
      </w:pPr>
    </w:p>
    <w:p w:rsidR="005C2C3C" w:rsidRPr="00662E08" w:rsidRDefault="005C2C3C" w:rsidP="005C2C3C">
      <w:pPr>
        <w:pStyle w:val="StylNadpis2ZarovnatdoblokuVlevo0cmPedsazen1021"/>
        <w:tabs>
          <w:tab w:val="clear" w:pos="360"/>
          <w:tab w:val="num" w:pos="964"/>
        </w:tabs>
        <w:spacing w:before="0" w:after="0" w:line="276" w:lineRule="auto"/>
        <w:ind w:left="964" w:hanging="964"/>
        <w:rPr>
          <w:rFonts w:ascii="Times New Roman" w:hAnsi="Times New Roman"/>
        </w:rPr>
      </w:pPr>
      <w:bookmarkStart w:id="8" w:name="_Toc350694115"/>
      <w:r w:rsidRPr="00662E08">
        <w:rPr>
          <w:rFonts w:ascii="Times New Roman" w:hAnsi="Times New Roman"/>
        </w:rPr>
        <w:t>Základní terminologie</w:t>
      </w:r>
      <w:bookmarkEnd w:id="8"/>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Vzhledem k tomu, že jednou z hlavních funkcí Strategie je sjednotit terminologii v oblasti primární prevence s důrazem na mezioborový a mezirezortní charakter prevence rizikového chování, je v celém dokumentu používána terminologie v souladu s nově vytvořenými materiály v rámci projektu VYNSPI</w:t>
      </w:r>
      <w:r w:rsidRPr="00662E08">
        <w:rPr>
          <w:rStyle w:val="Znakapoznpodarou"/>
          <w:rFonts w:ascii="Times New Roman" w:hAnsi="Times New Roman"/>
        </w:rPr>
        <w:footnoteReference w:id="1"/>
      </w:r>
      <w:r w:rsidRPr="00662E08">
        <w:rPr>
          <w:rFonts w:ascii="Times New Roman" w:hAnsi="Times New Roman"/>
        </w:rPr>
        <w:t xml:space="preserve"> (zejména Výkladový slovník základních pojmů školské prevence rizikového chování, uče</w:t>
      </w:r>
      <w:r>
        <w:rPr>
          <w:rFonts w:ascii="Times New Roman" w:hAnsi="Times New Roman"/>
        </w:rPr>
        <w:t>b</w:t>
      </w:r>
      <w:r w:rsidRPr="00662E08">
        <w:rPr>
          <w:rFonts w:ascii="Times New Roman" w:hAnsi="Times New Roman"/>
        </w:rPr>
        <w:t xml:space="preserve">nice Primární prevence rizikového chování ve školství).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Celkový seznam zdrojů použitých termínů je pak uveden v příloze (Zdroje). Základními pojmy Strategie jsou pojmy primární prevence a rizikové chování.</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rPr>
        <w:t xml:space="preserve">Pojmem </w:t>
      </w:r>
      <w:r w:rsidRPr="00662E08">
        <w:rPr>
          <w:rFonts w:ascii="Times New Roman" w:hAnsi="Times New Roman"/>
          <w:b/>
          <w:i/>
        </w:rPr>
        <w:t>prevence</w:t>
      </w:r>
      <w:r w:rsidRPr="00662E08">
        <w:rPr>
          <w:rFonts w:ascii="Times New Roman" w:hAnsi="Times New Roman"/>
        </w:rPr>
        <w:t xml:space="preserve"> rozumíme všechna opatření směřujíc</w:t>
      </w:r>
      <w:r>
        <w:rPr>
          <w:rFonts w:ascii="Times New Roman" w:hAnsi="Times New Roman"/>
        </w:rPr>
        <w:t>í k předcházení a minimalizace</w:t>
      </w:r>
      <w:r w:rsidRPr="00662E08">
        <w:rPr>
          <w:rFonts w:ascii="Times New Roman" w:hAnsi="Times New Roman"/>
        </w:rPr>
        <w:t xml:space="preserve"> jevů spojených s ri</w:t>
      </w:r>
      <w:r>
        <w:rPr>
          <w:rFonts w:ascii="Times New Roman" w:hAnsi="Times New Roman"/>
        </w:rPr>
        <w:t>zikovým chováním a jeho důsledky</w:t>
      </w:r>
      <w:r w:rsidRPr="00662E08">
        <w:rPr>
          <w:rFonts w:ascii="Times New Roman" w:hAnsi="Times New Roman"/>
        </w:rPr>
        <w:t>. Prevencí může být jakýkoliv typ výchovné, vzdělávací, zdravotní, sociální či jiné intervence směřující k předcházení výskytu rizikového chování, zamezující jeho další progresi, zmírňující již existující formy a projevy rizikového chování nebo pomáhající řešit jeho důsledky.</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rPr>
        <w:t xml:space="preserve">Pojem </w:t>
      </w:r>
      <w:r w:rsidRPr="00662E08">
        <w:rPr>
          <w:rFonts w:ascii="Times New Roman" w:hAnsi="Times New Roman"/>
          <w:b/>
          <w:i/>
        </w:rPr>
        <w:t>rizikové chování</w:t>
      </w:r>
      <w:r w:rsidRPr="00662E08">
        <w:rPr>
          <w:rFonts w:ascii="Times New Roman" w:hAnsi="Times New Roman"/>
        </w:rPr>
        <w:t xml:space="preserve"> zahrnuje rozmanité formy chování, které mají negativní dopady na zdraví, sociální nebo psychologické fungování jedince a/nebo ohrožují jeho sociální okolí. Rizikové chování představuje různé typy chování, které se pohybují na škále od extrémních projevů chování „běžného“ (např. provozování adrenalinových sportů) až po projevy chování na hranici patologie (např. nadměrné užívání alkoholu</w:t>
      </w:r>
      <w:r>
        <w:rPr>
          <w:rFonts w:ascii="Times New Roman" w:hAnsi="Times New Roman"/>
        </w:rPr>
        <w:t>, cigaret, kofeinu</w:t>
      </w:r>
      <w:r w:rsidRPr="00662E08">
        <w:rPr>
          <w:rFonts w:ascii="Times New Roman" w:hAnsi="Times New Roman"/>
        </w:rPr>
        <w:t xml:space="preserve"> či nelegálních drog, násilí).</w:t>
      </w:r>
    </w:p>
    <w:p w:rsidR="005C2C3C" w:rsidRPr="00662E08" w:rsidRDefault="005C2C3C" w:rsidP="005C2C3C">
      <w:pPr>
        <w:pStyle w:val="Seznamsodrkami"/>
        <w:numPr>
          <w:ilvl w:val="0"/>
          <w:numId w:val="0"/>
        </w:numPr>
        <w:spacing w:before="0" w:line="276" w:lineRule="auto"/>
        <w:ind w:left="641"/>
        <w:jc w:val="both"/>
        <w:rPr>
          <w:rFonts w:ascii="Times New Roman" w:hAnsi="Times New Roman"/>
        </w:rPr>
      </w:pPr>
    </w:p>
    <w:p w:rsidR="005C2C3C" w:rsidRPr="00662E08" w:rsidRDefault="005C2C3C" w:rsidP="005C2C3C">
      <w:pPr>
        <w:pStyle w:val="StylNadpis2ZarovnatdoblokuVlevo0cmPedsazen1021"/>
        <w:tabs>
          <w:tab w:val="clear" w:pos="360"/>
          <w:tab w:val="num" w:pos="964"/>
          <w:tab w:val="left" w:pos="993"/>
        </w:tabs>
        <w:spacing w:before="0" w:after="0" w:line="276" w:lineRule="auto"/>
        <w:ind w:left="964" w:hanging="964"/>
        <w:rPr>
          <w:rFonts w:ascii="Times New Roman" w:hAnsi="Times New Roman"/>
        </w:rPr>
      </w:pPr>
      <w:bookmarkStart w:id="9" w:name="_Toc350694116"/>
      <w:r w:rsidRPr="00662E08">
        <w:rPr>
          <w:rFonts w:ascii="Times New Roman" w:hAnsi="Times New Roman"/>
        </w:rPr>
        <w:t>Úrovně specifické primární prevence</w:t>
      </w:r>
      <w:bookmarkEnd w:id="9"/>
      <w:r w:rsidRPr="00662E08">
        <w:rPr>
          <w:rFonts w:ascii="Times New Roman" w:hAnsi="Times New Roman"/>
        </w:rPr>
        <w:t xml:space="preserve"> </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Základní charakteristikou efektivní primární prevence rizikového je dlouhodobá a kontinuální práce s dětmi a mládeží, která je prováděna v menších skupinách a za aktivní účasti cílové skupiny. Specifickou primární prevenci lze rozdělit podle cílové skupiny, intenzity programu, podle prostředků a nástrojů, které program využívá a na jaké úrovni je zapojení cílové skupiny</w:t>
      </w:r>
      <w:r>
        <w:rPr>
          <w:rFonts w:ascii="Times New Roman" w:hAnsi="Times New Roman"/>
        </w:rPr>
        <w:t>, a to</w:t>
      </w:r>
      <w:r w:rsidRPr="00662E08">
        <w:rPr>
          <w:rFonts w:ascii="Times New Roman" w:hAnsi="Times New Roman"/>
        </w:rPr>
        <w:t xml:space="preserve"> do tří úrovní:</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Všeobecná primární prevence</w:t>
      </w:r>
      <w:r w:rsidRPr="00662E08">
        <w:rPr>
          <w:rFonts w:ascii="Times New Roman" w:hAnsi="Times New Roman"/>
        </w:rPr>
        <w:t xml:space="preserve"> – se zaměřuje na běžnou populaci dětí a mládeže, zohledňuje pouze věková </w:t>
      </w:r>
      <w:proofErr w:type="spellStart"/>
      <w:r w:rsidRPr="00662E08">
        <w:rPr>
          <w:rFonts w:ascii="Times New Roman" w:hAnsi="Times New Roman"/>
        </w:rPr>
        <w:t>kriteria</w:t>
      </w:r>
      <w:proofErr w:type="spellEnd"/>
      <w:r w:rsidRPr="00662E08">
        <w:rPr>
          <w:rFonts w:ascii="Times New Roman" w:hAnsi="Times New Roman"/>
        </w:rPr>
        <w:t xml:space="preserve"> (viz kapitola </w:t>
      </w:r>
      <w:r>
        <w:rPr>
          <w:rFonts w:ascii="Times New Roman" w:hAnsi="Times New Roman"/>
        </w:rPr>
        <w:t>1.4.1.</w:t>
      </w:r>
      <w:r w:rsidRPr="00662E08">
        <w:rPr>
          <w:rFonts w:ascii="Times New Roman" w:hAnsi="Times New Roman"/>
        </w:rPr>
        <w:t>). Jedná se většinou o programy pro větší počet účastníků (obvykle třída, skupiny do 30 účastníků).</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lastRenderedPageBreak/>
        <w:t>Selektivní primární prevence</w:t>
      </w:r>
      <w:r w:rsidRPr="00662E08">
        <w:rPr>
          <w:rFonts w:ascii="Times New Roman" w:hAnsi="Times New Roman"/>
        </w:rPr>
        <w:t xml:space="preserve"> – se zaměřuje na skupiny osob, u kterých jsou ve zvýšené míře přítomny rizikové faktory pro vznik a vývoj různých forem rizikového chování a jsou většinou více ohrožené než jiné skupiny populace. Pracujeme zde s menšími skupinami, případně i jednotlivci.</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Indikovaná primární prevence</w:t>
      </w:r>
      <w:r w:rsidRPr="00662E08">
        <w:rPr>
          <w:rFonts w:ascii="Times New Roman" w:hAnsi="Times New Roman"/>
        </w:rPr>
        <w:t xml:space="preserve"> – je zaměřena na jedince, u kterých se již vyskytly projevy rizikového chování.  Jedná se o práci s populací s výrazně zvýšeným rizikem výskytu či počínajících projevů rizikového chování. Jedná se o individuální práci s klientem.</w:t>
      </w:r>
    </w:p>
    <w:p w:rsidR="005C2C3C" w:rsidRPr="00662E08" w:rsidRDefault="005C2C3C" w:rsidP="005C2C3C">
      <w:pPr>
        <w:pStyle w:val="Seznamsodrkami"/>
        <w:numPr>
          <w:ilvl w:val="0"/>
          <w:numId w:val="0"/>
        </w:numPr>
        <w:spacing w:before="0" w:line="276" w:lineRule="auto"/>
        <w:ind w:left="641"/>
        <w:jc w:val="both"/>
        <w:rPr>
          <w:rFonts w:ascii="Times New Roman" w:hAnsi="Times New Roman"/>
        </w:rPr>
      </w:pPr>
    </w:p>
    <w:p w:rsidR="005C2C3C" w:rsidRPr="00662E08" w:rsidRDefault="005C2C3C" w:rsidP="005C2C3C">
      <w:pPr>
        <w:pStyle w:val="StylNadpis2ZarovnatdoblokuVlevo0cmPedsazen1021"/>
        <w:tabs>
          <w:tab w:val="clear" w:pos="360"/>
          <w:tab w:val="num" w:pos="964"/>
        </w:tabs>
        <w:spacing w:before="0" w:after="0" w:line="276" w:lineRule="auto"/>
        <w:ind w:left="964" w:hanging="964"/>
        <w:rPr>
          <w:rFonts w:ascii="Times New Roman" w:hAnsi="Times New Roman"/>
        </w:rPr>
      </w:pPr>
      <w:bookmarkStart w:id="10" w:name="_Toc350694117"/>
      <w:r w:rsidRPr="00662E08">
        <w:rPr>
          <w:rFonts w:ascii="Times New Roman" w:hAnsi="Times New Roman"/>
        </w:rPr>
        <w:t>Formy rizikového chování</w:t>
      </w:r>
      <w:bookmarkEnd w:id="10"/>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 xml:space="preserve">Primární prevence rizikového chování u žáků v  působnosti </w:t>
      </w:r>
      <w:r w:rsidRPr="00662E08">
        <w:rPr>
          <w:rFonts w:ascii="Times New Roman" w:hAnsi="Times New Roman"/>
          <w:color w:val="000000"/>
        </w:rPr>
        <w:t>MŠMT</w:t>
      </w:r>
      <w:r w:rsidRPr="00662E08">
        <w:rPr>
          <w:rFonts w:ascii="Times New Roman" w:hAnsi="Times New Roman"/>
        </w:rPr>
        <w:t xml:space="preserve"> se zaměřuje prioritně na předcházení rozvoje rizik, které směřují zejména k následujícím rizikovým projevům v chování dětí a mládeže: </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Interpersonální agresivní chování</w:t>
      </w:r>
      <w:r w:rsidRPr="00662E08">
        <w:rPr>
          <w:rFonts w:ascii="Times New Roman" w:hAnsi="Times New Roman"/>
        </w:rPr>
        <w:t xml:space="preserve"> - agrese, šikana, </w:t>
      </w:r>
      <w:proofErr w:type="spellStart"/>
      <w:r w:rsidRPr="00662E08">
        <w:rPr>
          <w:rFonts w:ascii="Times New Roman" w:hAnsi="Times New Roman"/>
        </w:rPr>
        <w:t>kyberšikana</w:t>
      </w:r>
      <w:proofErr w:type="spellEnd"/>
      <w:r w:rsidRPr="00662E08">
        <w:rPr>
          <w:rFonts w:ascii="Times New Roman" w:hAnsi="Times New Roman"/>
        </w:rPr>
        <w:t xml:space="preserve"> a další rizikové formy komunikace prostřednictvím </w:t>
      </w:r>
      <w:proofErr w:type="spellStart"/>
      <w:r w:rsidRPr="00662E08">
        <w:rPr>
          <w:rFonts w:ascii="Times New Roman" w:hAnsi="Times New Roman"/>
        </w:rPr>
        <w:t>multimedií</w:t>
      </w:r>
      <w:proofErr w:type="spellEnd"/>
      <w:r w:rsidRPr="00662E08">
        <w:rPr>
          <w:rFonts w:ascii="Times New Roman" w:hAnsi="Times New Roman"/>
        </w:rPr>
        <w:t>, násilí, intolerance, antisemitismus, extremismus, rasismus a xenofobie, homofobie</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Delikventní chování</w:t>
      </w:r>
      <w:r w:rsidRPr="00662E08">
        <w:rPr>
          <w:rFonts w:ascii="Times New Roman" w:hAnsi="Times New Roman"/>
        </w:rPr>
        <w:t xml:space="preserve"> ve vztahu k hmotným statkům – vandalismus, krádeže, sprejerství</w:t>
      </w:r>
      <w:r>
        <w:rPr>
          <w:rFonts w:ascii="Times New Roman" w:hAnsi="Times New Roman"/>
        </w:rPr>
        <w:t xml:space="preserve"> a další trestné činy a přečiny</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 xml:space="preserve">Záškoláctví </w:t>
      </w:r>
      <w:r w:rsidRPr="00662E08">
        <w:rPr>
          <w:rFonts w:ascii="Times New Roman" w:hAnsi="Times New Roman"/>
        </w:rPr>
        <w:t>a neplnění školních povinností</w:t>
      </w:r>
    </w:p>
    <w:p w:rsidR="005C2C3C" w:rsidRPr="00662E08" w:rsidRDefault="005C2C3C" w:rsidP="005C2C3C">
      <w:pPr>
        <w:pStyle w:val="Seznamsodrkami"/>
        <w:spacing w:before="0" w:line="276" w:lineRule="auto"/>
        <w:ind w:left="641" w:hanging="357"/>
        <w:jc w:val="both"/>
        <w:rPr>
          <w:rFonts w:ascii="Times New Roman" w:hAnsi="Times New Roman"/>
        </w:rPr>
      </w:pPr>
      <w:r w:rsidRPr="00662E08">
        <w:rPr>
          <w:rFonts w:ascii="Times New Roman" w:hAnsi="Times New Roman"/>
          <w:b/>
          <w:i/>
        </w:rPr>
        <w:t>Závislostní chování</w:t>
      </w:r>
      <w:r w:rsidRPr="00662E08">
        <w:rPr>
          <w:rFonts w:ascii="Times New Roman" w:hAnsi="Times New Roman"/>
        </w:rPr>
        <w:t xml:space="preserve"> - užívání všech návykových látek, </w:t>
      </w:r>
      <w:proofErr w:type="spellStart"/>
      <w:r w:rsidRPr="00662E08">
        <w:rPr>
          <w:rFonts w:ascii="Times New Roman" w:hAnsi="Times New Roman"/>
        </w:rPr>
        <w:t>netolismus</w:t>
      </w:r>
      <w:proofErr w:type="spellEnd"/>
      <w:r w:rsidRPr="00662E08">
        <w:rPr>
          <w:rFonts w:ascii="Times New Roman" w:hAnsi="Times New Roman"/>
        </w:rPr>
        <w:t xml:space="preserve">, </w:t>
      </w:r>
      <w:proofErr w:type="spellStart"/>
      <w:r w:rsidRPr="00662E08">
        <w:rPr>
          <w:rFonts w:ascii="Times New Roman" w:hAnsi="Times New Roman"/>
        </w:rPr>
        <w:t>gambling</w:t>
      </w:r>
      <w:proofErr w:type="spellEnd"/>
    </w:p>
    <w:p w:rsidR="005C2C3C" w:rsidRPr="00662E08" w:rsidRDefault="005C2C3C" w:rsidP="005C2C3C">
      <w:pPr>
        <w:pStyle w:val="Seznamsodrkami"/>
        <w:spacing w:before="0" w:line="276" w:lineRule="auto"/>
        <w:ind w:left="641" w:hanging="357"/>
        <w:jc w:val="both"/>
        <w:rPr>
          <w:rFonts w:ascii="Times New Roman" w:hAnsi="Times New Roman"/>
          <w:b/>
          <w:i/>
        </w:rPr>
      </w:pPr>
      <w:r>
        <w:rPr>
          <w:rFonts w:ascii="Times New Roman" w:hAnsi="Times New Roman"/>
          <w:b/>
          <w:i/>
        </w:rPr>
        <w:t>Rizikové sportovní aktivity, prevence úrazů</w:t>
      </w:r>
    </w:p>
    <w:p w:rsidR="005C2C3C" w:rsidRPr="00662E08" w:rsidRDefault="005C2C3C" w:rsidP="005C2C3C">
      <w:pPr>
        <w:pStyle w:val="Seznamsodrkami"/>
        <w:spacing w:before="0" w:line="276" w:lineRule="auto"/>
        <w:ind w:left="641" w:hanging="357"/>
        <w:jc w:val="both"/>
        <w:rPr>
          <w:rFonts w:ascii="Times New Roman" w:hAnsi="Times New Roman"/>
          <w:b/>
          <w:i/>
        </w:rPr>
      </w:pPr>
      <w:r w:rsidRPr="00662E08">
        <w:rPr>
          <w:rFonts w:ascii="Times New Roman" w:hAnsi="Times New Roman"/>
          <w:b/>
          <w:i/>
        </w:rPr>
        <w:t>Rizikové chování v dopravě, prevence úrazů</w:t>
      </w:r>
    </w:p>
    <w:p w:rsidR="005C2C3C" w:rsidRPr="00662E08" w:rsidRDefault="005C2C3C" w:rsidP="005C2C3C">
      <w:pPr>
        <w:pStyle w:val="Seznamsodrkami"/>
        <w:spacing w:before="0" w:line="276" w:lineRule="auto"/>
        <w:ind w:left="641" w:hanging="357"/>
        <w:jc w:val="both"/>
        <w:rPr>
          <w:rFonts w:ascii="Times New Roman" w:hAnsi="Times New Roman"/>
          <w:b/>
          <w:i/>
        </w:rPr>
      </w:pPr>
      <w:r w:rsidRPr="00662E08">
        <w:rPr>
          <w:rFonts w:ascii="Times New Roman" w:hAnsi="Times New Roman"/>
          <w:b/>
          <w:i/>
        </w:rPr>
        <w:t>Spektrum poruch příjmu potravy</w:t>
      </w:r>
    </w:p>
    <w:p w:rsidR="005C2C3C" w:rsidRPr="00662E08" w:rsidRDefault="005C2C3C" w:rsidP="005C2C3C">
      <w:pPr>
        <w:pStyle w:val="Seznamsodrkami"/>
        <w:spacing w:before="0" w:line="276" w:lineRule="auto"/>
        <w:ind w:left="641" w:hanging="357"/>
        <w:jc w:val="both"/>
        <w:rPr>
          <w:rFonts w:ascii="Times New Roman" w:hAnsi="Times New Roman"/>
          <w:b/>
          <w:i/>
        </w:rPr>
      </w:pPr>
      <w:r w:rsidRPr="00662E08">
        <w:rPr>
          <w:rFonts w:ascii="Times New Roman" w:hAnsi="Times New Roman"/>
          <w:b/>
          <w:i/>
        </w:rPr>
        <w:t>Negativní působení sekt</w:t>
      </w:r>
    </w:p>
    <w:p w:rsidR="005C2C3C" w:rsidRPr="00662E08" w:rsidRDefault="005C2C3C" w:rsidP="005C2C3C">
      <w:pPr>
        <w:pStyle w:val="Seznamsodrkami"/>
        <w:spacing w:before="0" w:line="276" w:lineRule="auto"/>
        <w:ind w:left="641" w:hanging="357"/>
        <w:jc w:val="both"/>
        <w:rPr>
          <w:rFonts w:ascii="Times New Roman" w:hAnsi="Times New Roman"/>
          <w:b/>
          <w:i/>
        </w:rPr>
      </w:pPr>
      <w:r w:rsidRPr="00662E08">
        <w:rPr>
          <w:rFonts w:ascii="Times New Roman" w:hAnsi="Times New Roman"/>
          <w:b/>
          <w:i/>
        </w:rPr>
        <w:t>Sexuální rizikové chování</w:t>
      </w:r>
    </w:p>
    <w:p w:rsidR="005C2C3C" w:rsidRDefault="005C2C3C" w:rsidP="005C2C3C">
      <w:pPr>
        <w:pStyle w:val="StylNadpis2ZarovnatdoblokuVlevo0cmPedsazen1021"/>
        <w:numPr>
          <w:ilvl w:val="0"/>
          <w:numId w:val="0"/>
        </w:numPr>
        <w:spacing w:before="0" w:after="0" w:line="276" w:lineRule="auto"/>
        <w:ind w:left="964"/>
        <w:jc w:val="both"/>
        <w:rPr>
          <w:rFonts w:ascii="Times New Roman" w:hAnsi="Times New Roman"/>
        </w:rPr>
      </w:pPr>
    </w:p>
    <w:p w:rsidR="005C2C3C" w:rsidRDefault="005C2C3C" w:rsidP="005C2C3C">
      <w:pPr>
        <w:pStyle w:val="StylNadpis2ZarovnatdoblokuVlevo0cmPedsazen1021"/>
        <w:tabs>
          <w:tab w:val="clear" w:pos="360"/>
          <w:tab w:val="num" w:pos="964"/>
        </w:tabs>
        <w:spacing w:before="0" w:after="0" w:line="276" w:lineRule="auto"/>
        <w:ind w:left="964" w:hanging="964"/>
        <w:jc w:val="both"/>
        <w:rPr>
          <w:rFonts w:ascii="Times New Roman" w:hAnsi="Times New Roman"/>
        </w:rPr>
      </w:pPr>
      <w:bookmarkStart w:id="11" w:name="_Toc350694118"/>
      <w:r>
        <w:rPr>
          <w:rFonts w:ascii="Times New Roman" w:hAnsi="Times New Roman"/>
        </w:rPr>
        <w:t>Prioritní oblasti Strategie na příští období</w:t>
      </w:r>
      <w:bookmarkEnd w:id="11"/>
    </w:p>
    <w:p w:rsidR="005C2C3C" w:rsidRDefault="005C2C3C" w:rsidP="005C2C3C">
      <w:pPr>
        <w:jc w:val="both"/>
        <w:rPr>
          <w:rFonts w:ascii="Times New Roman" w:hAnsi="Times New Roman"/>
        </w:rPr>
      </w:pPr>
      <w:r w:rsidRPr="00E8611C">
        <w:rPr>
          <w:rFonts w:ascii="Times New Roman" w:hAnsi="Times New Roman"/>
        </w:rPr>
        <w:t xml:space="preserve">Na základě </w:t>
      </w:r>
      <w:r>
        <w:rPr>
          <w:rFonts w:ascii="Times New Roman" w:hAnsi="Times New Roman"/>
        </w:rPr>
        <w:t>realizace primární prevence rizikového chování u dětí a mládeže v působnosti MŠMT v uplynulém období byly vytipovány následující klíčové oblasti, jimž se Strategie věnuje:</w:t>
      </w:r>
    </w:p>
    <w:p w:rsidR="005C2C3C" w:rsidRDefault="005C2C3C" w:rsidP="005C2C3C">
      <w:pPr>
        <w:numPr>
          <w:ilvl w:val="0"/>
          <w:numId w:val="4"/>
        </w:numPr>
        <w:rPr>
          <w:rFonts w:ascii="Times New Roman" w:hAnsi="Times New Roman"/>
        </w:rPr>
      </w:pPr>
      <w:r>
        <w:rPr>
          <w:rFonts w:ascii="Times New Roman" w:hAnsi="Times New Roman"/>
        </w:rPr>
        <w:t>Koordinace</w:t>
      </w:r>
    </w:p>
    <w:p w:rsidR="005C2C3C" w:rsidRDefault="005C2C3C" w:rsidP="005C2C3C">
      <w:pPr>
        <w:numPr>
          <w:ilvl w:val="0"/>
          <w:numId w:val="4"/>
        </w:numPr>
        <w:rPr>
          <w:rFonts w:ascii="Times New Roman" w:hAnsi="Times New Roman"/>
        </w:rPr>
      </w:pPr>
      <w:r>
        <w:rPr>
          <w:rFonts w:ascii="Times New Roman" w:hAnsi="Times New Roman"/>
        </w:rPr>
        <w:t>Legislativa</w:t>
      </w:r>
    </w:p>
    <w:p w:rsidR="005C2C3C" w:rsidRDefault="005C2C3C" w:rsidP="005C2C3C">
      <w:pPr>
        <w:numPr>
          <w:ilvl w:val="0"/>
          <w:numId w:val="4"/>
        </w:numPr>
        <w:jc w:val="both"/>
        <w:rPr>
          <w:rFonts w:ascii="Times New Roman" w:hAnsi="Times New Roman"/>
        </w:rPr>
      </w:pPr>
      <w:r>
        <w:rPr>
          <w:rFonts w:ascii="Times New Roman" w:hAnsi="Times New Roman"/>
        </w:rPr>
        <w:t>Vzdělávání</w:t>
      </w:r>
    </w:p>
    <w:p w:rsidR="005C2C3C" w:rsidRDefault="005C2C3C" w:rsidP="005C2C3C">
      <w:pPr>
        <w:numPr>
          <w:ilvl w:val="0"/>
          <w:numId w:val="4"/>
        </w:numPr>
        <w:rPr>
          <w:rFonts w:ascii="Times New Roman" w:hAnsi="Times New Roman"/>
        </w:rPr>
      </w:pPr>
      <w:r>
        <w:rPr>
          <w:rFonts w:ascii="Times New Roman" w:hAnsi="Times New Roman"/>
        </w:rPr>
        <w:t>Financování</w:t>
      </w:r>
    </w:p>
    <w:p w:rsidR="005C2C3C" w:rsidRDefault="005C2C3C" w:rsidP="005C2C3C">
      <w:pPr>
        <w:numPr>
          <w:ilvl w:val="0"/>
          <w:numId w:val="4"/>
        </w:numPr>
        <w:rPr>
          <w:rFonts w:ascii="Times New Roman" w:hAnsi="Times New Roman"/>
        </w:rPr>
      </w:pPr>
      <w:r>
        <w:rPr>
          <w:rFonts w:ascii="Times New Roman" w:hAnsi="Times New Roman"/>
        </w:rPr>
        <w:t>Evaluace primární prevence a certifikace programů primární prevence.</w:t>
      </w:r>
    </w:p>
    <w:p w:rsidR="005C2C3C" w:rsidRDefault="005C2C3C" w:rsidP="005C2C3C">
      <w:pPr>
        <w:jc w:val="both"/>
        <w:rPr>
          <w:rFonts w:ascii="Times New Roman" w:hAnsi="Times New Roman"/>
        </w:rPr>
      </w:pPr>
    </w:p>
    <w:p w:rsidR="005C2C3C" w:rsidRDefault="005C2C3C" w:rsidP="005C2C3C">
      <w:pPr>
        <w:jc w:val="both"/>
        <w:rPr>
          <w:rFonts w:ascii="Times New Roman" w:hAnsi="Times New Roman"/>
        </w:rPr>
      </w:pPr>
      <w:r>
        <w:rPr>
          <w:rFonts w:ascii="Times New Roman" w:hAnsi="Times New Roman"/>
        </w:rPr>
        <w:t>Při přípravě MŠMT oslovilo zástupce odborné veřejnosti, byly vytvořeny pracovní skupiny, které se scházely s cílem pojmenování aktuálního stavu v dané oblasti a vytyčení cílů na období příští.</w:t>
      </w:r>
    </w:p>
    <w:p w:rsidR="005C2C3C" w:rsidRDefault="005C2C3C"/>
    <w:p w:rsidR="005C2C3C" w:rsidRDefault="005C2C3C"/>
    <w:p w:rsidR="005C2C3C" w:rsidRPr="00662E08" w:rsidRDefault="005C2C3C" w:rsidP="005C2C3C">
      <w:pPr>
        <w:pStyle w:val="Nadpis3"/>
      </w:pPr>
      <w:bookmarkStart w:id="12" w:name="_Toc350694120"/>
      <w:r>
        <w:t xml:space="preserve">2.4.2. </w:t>
      </w:r>
      <w:r w:rsidRPr="00662E08">
        <w:t>Legislativa v oblasti primární prevence</w:t>
      </w:r>
      <w:bookmarkEnd w:id="12"/>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t xml:space="preserve">Do roku 2005 byl systém </w:t>
      </w:r>
      <w:r>
        <w:rPr>
          <w:rFonts w:ascii="Times New Roman" w:hAnsi="Times New Roman"/>
          <w:lang w:eastAsia="ar-SA"/>
        </w:rPr>
        <w:t xml:space="preserve">primární prevence </w:t>
      </w:r>
      <w:r w:rsidRPr="00662E08">
        <w:rPr>
          <w:rFonts w:ascii="Times New Roman" w:hAnsi="Times New Roman"/>
          <w:lang w:eastAsia="ar-SA"/>
        </w:rPr>
        <w:t>vymezen Metodickým pokynem MŠMT k prevenci sociálně patologických jevů č. j.: 14514 z roku 2001.</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t xml:space="preserve">Rok 2004 se stal přelomovým přijetím nového školského zákona </w:t>
      </w:r>
      <w:r w:rsidRPr="00662E08">
        <w:rPr>
          <w:rFonts w:ascii="Times New Roman" w:hAnsi="Times New Roman"/>
          <w:b/>
          <w:bCs/>
        </w:rPr>
        <w:t>č</w:t>
      </w:r>
      <w:r w:rsidRPr="00662E08">
        <w:rPr>
          <w:rFonts w:ascii="Times New Roman" w:hAnsi="Times New Roman"/>
          <w:lang w:eastAsia="ar-SA"/>
        </w:rPr>
        <w:t xml:space="preserve">. 561/2004 Sb., o předškolním, základním, středním, vyšším odborném a jiném vzdělávání, </w:t>
      </w:r>
      <w:r>
        <w:rPr>
          <w:rFonts w:ascii="Times New Roman" w:hAnsi="Times New Roman"/>
          <w:lang w:eastAsia="ar-SA"/>
        </w:rPr>
        <w:t>ve znění pozdějších předpisů</w:t>
      </w:r>
      <w:r w:rsidRPr="00662E08">
        <w:rPr>
          <w:rFonts w:ascii="Times New Roman" w:hAnsi="Times New Roman"/>
          <w:lang w:eastAsia="ar-SA"/>
        </w:rPr>
        <w:t xml:space="preserve"> i v oblasti prevence. Od tohoto roku lze hovořit o tom, že školy mají zákonnou povinnost prevenci realizovat, </w:t>
      </w:r>
      <w:r>
        <w:rPr>
          <w:rFonts w:ascii="Times New Roman" w:hAnsi="Times New Roman"/>
          <w:lang w:eastAsia="ar-SA"/>
        </w:rPr>
        <w:t xml:space="preserve">toto </w:t>
      </w:r>
      <w:r w:rsidRPr="00662E08">
        <w:rPr>
          <w:rFonts w:ascii="Times New Roman" w:hAnsi="Times New Roman"/>
          <w:lang w:eastAsia="ar-SA"/>
        </w:rPr>
        <w:t xml:space="preserve">je definováno ve vyhlášce č. 72/2005 Sb., o poskytování poradenských služeb ve školách a </w:t>
      </w:r>
      <w:r w:rsidRPr="00662E08">
        <w:rPr>
          <w:rFonts w:ascii="Times New Roman" w:hAnsi="Times New Roman"/>
          <w:lang w:eastAsia="ar-SA"/>
        </w:rPr>
        <w:lastRenderedPageBreak/>
        <w:t xml:space="preserve">školských poradenských zařízeních, </w:t>
      </w:r>
      <w:r>
        <w:rPr>
          <w:rFonts w:ascii="Times New Roman" w:hAnsi="Times New Roman"/>
          <w:lang w:eastAsia="ar-SA"/>
        </w:rPr>
        <w:t>ve znění pozdějších předpisů</w:t>
      </w:r>
      <w:r w:rsidRPr="00662E08">
        <w:rPr>
          <w:rFonts w:ascii="Times New Roman" w:hAnsi="Times New Roman"/>
          <w:lang w:eastAsia="ar-SA"/>
        </w:rPr>
        <w:t>, v jakém rozsahu, kdo je kompetentní osobou za oblast prevence, jakou musí mít tato osoba kvalifikaci apod.</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Pro efektivní realizaci primární prevence je nezbytné dostatečné legislativní ukotvení, které vymezuje zásady primární prevence, ukotvuje systém včetně nastavení kompetencí jednotlivých subjektů na primární prevenci participujících a současně stanovuje nezbytnou dokumentaci, která se s realizací pojí.</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 xml:space="preserve">Základním legislativním dokumentem, který upravuje oblast primární prevence rizikového chování ve školách a školských zařízeních je </w:t>
      </w:r>
      <w:r w:rsidRPr="00662E08">
        <w:rPr>
          <w:rFonts w:ascii="Times New Roman" w:hAnsi="Times New Roman"/>
          <w:b/>
        </w:rPr>
        <w:t xml:space="preserve">zákon </w:t>
      </w:r>
      <w:r w:rsidRPr="00662E08">
        <w:rPr>
          <w:rFonts w:ascii="Times New Roman" w:hAnsi="Times New Roman"/>
          <w:b/>
          <w:bCs/>
        </w:rPr>
        <w:t>č. 561/2004 Sb., o předškolním, základním, středním, vyšším odborném a jiném vzdělávání</w:t>
      </w:r>
      <w:r w:rsidRPr="00662E08">
        <w:rPr>
          <w:rFonts w:ascii="Times New Roman" w:hAnsi="Times New Roman"/>
          <w:bCs/>
        </w:rPr>
        <w:t>,</w:t>
      </w:r>
      <w:r w:rsidRPr="00662E08">
        <w:rPr>
          <w:rFonts w:ascii="Times New Roman" w:hAnsi="Times New Roman"/>
          <w:lang w:eastAsia="ar-SA"/>
        </w:rPr>
        <w:t xml:space="preserve"> </w:t>
      </w:r>
      <w:r>
        <w:rPr>
          <w:rFonts w:ascii="Times New Roman" w:hAnsi="Times New Roman"/>
          <w:lang w:eastAsia="ar-SA"/>
        </w:rPr>
        <w:t>ve znění pozdějších předpisů</w:t>
      </w:r>
      <w:r w:rsidRPr="00662E08">
        <w:rPr>
          <w:rFonts w:ascii="Times New Roman" w:hAnsi="Times New Roman"/>
          <w:lang w:eastAsia="ar-SA"/>
        </w:rPr>
        <w:t xml:space="preserve">, </w:t>
      </w:r>
      <w:r w:rsidRPr="00662E08">
        <w:rPr>
          <w:rFonts w:ascii="Times New Roman" w:hAnsi="Times New Roman"/>
          <w:bCs/>
        </w:rPr>
        <w:t xml:space="preserve">který ukládá povinnost </w:t>
      </w:r>
      <w:r w:rsidRPr="00662E08">
        <w:rPr>
          <w:rFonts w:ascii="Times New Roman" w:hAnsi="Times New Roman"/>
        </w:rPr>
        <w:t xml:space="preserve">vytvářet podmínky pro zdravý vývoj dětí, žáků a studentů a pro předcházení vzniku </w:t>
      </w:r>
      <w:r>
        <w:rPr>
          <w:rFonts w:ascii="Times New Roman" w:hAnsi="Times New Roman"/>
        </w:rPr>
        <w:t>rizikového chování.</w:t>
      </w:r>
    </w:p>
    <w:p w:rsidR="005C2C3C" w:rsidRPr="00662E08" w:rsidRDefault="005C2C3C" w:rsidP="005C2C3C">
      <w:pPr>
        <w:spacing w:before="0" w:line="276" w:lineRule="auto"/>
        <w:jc w:val="both"/>
        <w:rPr>
          <w:rFonts w:ascii="Times New Roman" w:hAnsi="Times New Roman"/>
          <w:b/>
        </w:rPr>
      </w:pPr>
      <w:r w:rsidRPr="00662E08">
        <w:rPr>
          <w:rFonts w:ascii="Times New Roman" w:hAnsi="Times New Roman"/>
          <w:b/>
          <w:bCs/>
        </w:rPr>
        <w:t xml:space="preserve">Zákon č. 109/2002 Sb., o zařízeních ústavní výchovy, ochranné výchovy a zařízeních preventivně výchovně péče, </w:t>
      </w:r>
      <w:r>
        <w:rPr>
          <w:rFonts w:ascii="Times New Roman" w:hAnsi="Times New Roman"/>
          <w:lang w:eastAsia="ar-SA"/>
        </w:rPr>
        <w:t>ve znění pozdějších předpisů</w:t>
      </w:r>
      <w:r w:rsidRPr="00662E08">
        <w:rPr>
          <w:rFonts w:ascii="Times New Roman" w:hAnsi="Times New Roman"/>
          <w:lang w:eastAsia="ar-SA"/>
        </w:rPr>
        <w:t>,</w:t>
      </w:r>
      <w:r w:rsidRPr="00662E08">
        <w:rPr>
          <w:rFonts w:ascii="Times New Roman" w:hAnsi="Times New Roman"/>
          <w:b/>
        </w:rPr>
        <w:t xml:space="preserve"> </w:t>
      </w:r>
      <w:r w:rsidRPr="00662E08">
        <w:rPr>
          <w:rFonts w:ascii="Times New Roman" w:hAnsi="Times New Roman"/>
          <w:bCs/>
        </w:rPr>
        <w:t>upravuje oblast preventivně výchovné péče.</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t xml:space="preserve">V roce 2005 byl přijat </w:t>
      </w:r>
      <w:r w:rsidRPr="00662E08">
        <w:rPr>
          <w:rFonts w:ascii="Times New Roman" w:hAnsi="Times New Roman"/>
          <w:b/>
          <w:bCs/>
          <w:lang w:eastAsia="ar-SA"/>
        </w:rPr>
        <w:t>Zákon č. 379/2005 Sb., o opatřeních k ochraně před škodami působenými tabákovými výrobky, alkoholem a jinými návykovými látkami a o změně souvisejících zákonů</w:t>
      </w:r>
      <w:r w:rsidRPr="00662E08">
        <w:rPr>
          <w:rFonts w:ascii="Times New Roman" w:hAnsi="Times New Roman"/>
          <w:lang w:eastAsia="ar-SA"/>
        </w:rPr>
        <w:t xml:space="preserve">, </w:t>
      </w:r>
      <w:r>
        <w:rPr>
          <w:rFonts w:ascii="Times New Roman" w:hAnsi="Times New Roman"/>
          <w:lang w:eastAsia="ar-SA"/>
        </w:rPr>
        <w:t>ve znění pozdějších předpisů</w:t>
      </w:r>
      <w:r w:rsidRPr="00662E08">
        <w:rPr>
          <w:rFonts w:ascii="Times New Roman" w:hAnsi="Times New Roman"/>
          <w:lang w:eastAsia="ar-SA"/>
        </w:rPr>
        <w:t>, který zpřísnil podmínky pro požívání alkoholu, tabákových výrobků a jiných návykových látek.</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Stávající legislativa z hlediska systému ukotvuje funkce i činnost školního metodika prevence a metodika prevence, který je zaměstnancem pedagogicko-psychologické poradny. Dosud se nepodařilo vymezení a ukotvení role krajského školského koordinátora prevence. Kraje v současnosti vykonávají činnost v oblasti primární prevence v přenesené působnosti a díky nastavenému systému vertikální koordinace Ministerstva školství, mládeže a tělovýchovy je realizována úzká spolupráce státní správy a samosprávy v otázkách primární prevence.</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b/>
          <w:bCs/>
          <w:lang w:eastAsia="ar-SA"/>
        </w:rPr>
        <w:t xml:space="preserve">Vyhláška č. 72/2005 Sb., o poskytování poradenských služeb ve školách a školských poradenských zařízeních, </w:t>
      </w:r>
      <w:r>
        <w:rPr>
          <w:rFonts w:ascii="Times New Roman" w:hAnsi="Times New Roman"/>
          <w:lang w:eastAsia="ar-SA"/>
        </w:rPr>
        <w:t>ve znění pozdějších předpisů</w:t>
      </w:r>
      <w:r w:rsidRPr="00662E08">
        <w:rPr>
          <w:rFonts w:ascii="Times New Roman" w:hAnsi="Times New Roman"/>
          <w:lang w:eastAsia="ar-SA"/>
        </w:rPr>
        <w:t>, je klíčovou pro funkci školního metodika prevence a metodika prevence, neboť poprvé zákonně ukotvuje tuto funkci. Vymezuje kompetence v rámci školy a současně stanovuje metodické řízení v systému poradna versus škola.</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t xml:space="preserve">Pro školy vyplývá jednoznačná povinnost v rámci školních řádů vydefinovat rizikové aspekty, které ve škole nemají místo. Stejně tak je zapotřebí, aby součástí školního řádu byl i </w:t>
      </w:r>
      <w:r>
        <w:rPr>
          <w:rFonts w:ascii="Times New Roman" w:hAnsi="Times New Roman"/>
          <w:lang w:eastAsia="ar-SA"/>
        </w:rPr>
        <w:t>deklarován systém výchovných opatření</w:t>
      </w:r>
      <w:r w:rsidRPr="00662E08">
        <w:rPr>
          <w:rFonts w:ascii="Times New Roman" w:hAnsi="Times New Roman"/>
          <w:lang w:eastAsia="ar-SA"/>
        </w:rPr>
        <w:t>. Tzn., jestliže dojde k porušení některého z bodů řádu, nastává nezbytné opatření. S těmito postupy jsou žáci, pedagogové i rodiče předem seznámeni a je možné tímto způsobem zamezit některým možným problémům již v zárodku.</w:t>
      </w:r>
    </w:p>
    <w:p w:rsidR="005C2C3C" w:rsidRPr="00662E08" w:rsidRDefault="005C2C3C" w:rsidP="005C2C3C">
      <w:pPr>
        <w:spacing w:before="0" w:line="276" w:lineRule="auto"/>
        <w:jc w:val="both"/>
        <w:rPr>
          <w:rFonts w:ascii="Times New Roman" w:hAnsi="Times New Roman"/>
        </w:rPr>
      </w:pPr>
      <w:r w:rsidRPr="00662E08">
        <w:rPr>
          <w:rFonts w:ascii="Times New Roman" w:hAnsi="Times New Roman"/>
        </w:rPr>
        <w:t xml:space="preserve">Školy oblast primární prevence rozpracovávají v rámci svých školních vzdělávacích programů. Většina z nich má zpracovaný samostatný dokument, který primární prevenci a její realizaci na škole popisuje z hlediska priorit a cílů – Minimální preventivní program. </w:t>
      </w:r>
    </w:p>
    <w:p w:rsidR="005C2C3C" w:rsidRPr="00662E08" w:rsidRDefault="005C2C3C" w:rsidP="005C2C3C">
      <w:pPr>
        <w:spacing w:before="0" w:line="276" w:lineRule="auto"/>
        <w:jc w:val="both"/>
        <w:rPr>
          <w:rFonts w:ascii="Times New Roman" w:hAnsi="Times New Roman"/>
          <w:i/>
          <w:lang w:eastAsia="ar-SA"/>
        </w:rPr>
      </w:pPr>
      <w:r w:rsidRPr="00662E08">
        <w:rPr>
          <w:rFonts w:ascii="Times New Roman" w:hAnsi="Times New Roman"/>
          <w:lang w:eastAsia="ar-SA"/>
        </w:rPr>
        <w:t xml:space="preserve">Pojem </w:t>
      </w:r>
      <w:r w:rsidRPr="00662E08">
        <w:rPr>
          <w:rFonts w:ascii="Times New Roman" w:hAnsi="Times New Roman"/>
          <w:b/>
          <w:bCs/>
          <w:lang w:eastAsia="ar-SA"/>
        </w:rPr>
        <w:t xml:space="preserve">Minimální preventivní program </w:t>
      </w:r>
      <w:r w:rsidRPr="00662E08">
        <w:rPr>
          <w:rFonts w:ascii="Times New Roman" w:hAnsi="Times New Roman"/>
          <w:lang w:eastAsia="ar-SA"/>
        </w:rPr>
        <w:t>byl poprvé použit v rámci Metodického pokynu č. j. 14514 uvedeného výše. Tento pojem je již velmi zažitý, byť jeho název může být zavádějící. Činnost škol v oblasti prevence v žádném případě nemůže být chápána jako minimální. Mnohdy je realizována s maximálním úsilím a je stejně tak i uchopována v celé šíři předmětné problematiky. Je třeba říci, že neexistuje právní závazný dokument, který školám realizaci Minimálních preventivních programů ukládá. Školy si v současné době problematiku prevence sociálně patologických jevů implementují právě do svých školních vzdělávacích programů.</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t>Stále sporným bodem problematiky spojené s návykovými látkami je testování v prostorách školy. Stávající legislativa vymezuje, za jakých podmínek testovat lze a kdo je osobou kompetentní k provádění testování. Je plně v kompetenci vedení škol</w:t>
      </w:r>
      <w:r>
        <w:rPr>
          <w:rFonts w:ascii="Times New Roman" w:hAnsi="Times New Roman"/>
          <w:lang w:eastAsia="ar-SA"/>
        </w:rPr>
        <w:t xml:space="preserve"> (v návaznosti na souhlas zákonných zástupců)</w:t>
      </w:r>
      <w:r w:rsidRPr="00662E08">
        <w:rPr>
          <w:rFonts w:ascii="Times New Roman" w:hAnsi="Times New Roman"/>
          <w:lang w:eastAsia="ar-SA"/>
        </w:rPr>
        <w:t>, zdali k testování přistoupí či nikoliv. Je třeba ale opakovaně zdůraznit, že se nejedná o primárně preventivní aktivitu školy.</w:t>
      </w:r>
    </w:p>
    <w:p w:rsidR="005C2C3C" w:rsidRPr="00662E08" w:rsidRDefault="005C2C3C" w:rsidP="005C2C3C">
      <w:pPr>
        <w:spacing w:before="0" w:line="276" w:lineRule="auto"/>
        <w:jc w:val="both"/>
        <w:rPr>
          <w:rFonts w:ascii="Times New Roman" w:hAnsi="Times New Roman"/>
          <w:lang w:eastAsia="ar-SA"/>
        </w:rPr>
      </w:pPr>
      <w:r w:rsidRPr="00662E08">
        <w:rPr>
          <w:rFonts w:ascii="Times New Roman" w:hAnsi="Times New Roman"/>
          <w:lang w:eastAsia="ar-SA"/>
        </w:rPr>
        <w:lastRenderedPageBreak/>
        <w:t xml:space="preserve">Dalším důležitým dokumentem legislativní povahy, který zasahuje do oblasti primární prevence, je </w:t>
      </w:r>
      <w:r w:rsidRPr="00662E08">
        <w:rPr>
          <w:rFonts w:ascii="Times New Roman" w:hAnsi="Times New Roman"/>
          <w:b/>
          <w:bCs/>
          <w:lang w:eastAsia="ar-SA"/>
        </w:rPr>
        <w:t>Vyhláška č. 317/2005 Sb., o dalším vzdělávání pedagogických pracovníků, akreditační komisi a kariérním systému pedagogických pracovníků</w:t>
      </w:r>
      <w:r w:rsidRPr="00662E08">
        <w:rPr>
          <w:rFonts w:ascii="Times New Roman" w:hAnsi="Times New Roman"/>
          <w:lang w:eastAsia="ar-SA"/>
        </w:rPr>
        <w:t xml:space="preserve">, </w:t>
      </w:r>
      <w:r>
        <w:rPr>
          <w:rFonts w:ascii="Times New Roman" w:hAnsi="Times New Roman"/>
          <w:lang w:eastAsia="ar-SA"/>
        </w:rPr>
        <w:t>ve znění pozdějších předpisů</w:t>
      </w:r>
      <w:r w:rsidRPr="00662E08">
        <w:rPr>
          <w:rFonts w:ascii="Times New Roman" w:hAnsi="Times New Roman"/>
          <w:lang w:eastAsia="ar-SA"/>
        </w:rPr>
        <w:t>. Tato stanovuje nezbytné kvalifikační předpoklady pro výkon specializovaných činností (mezi něž prevence rizikového chování patří).</w:t>
      </w:r>
    </w:p>
    <w:p w:rsidR="005C2C3C" w:rsidRDefault="005C2C3C" w:rsidP="005C2C3C">
      <w:pPr>
        <w:spacing w:before="0" w:line="276" w:lineRule="auto"/>
        <w:jc w:val="both"/>
        <w:rPr>
          <w:rFonts w:ascii="Times New Roman" w:hAnsi="Times New Roman"/>
          <w:lang w:eastAsia="ar-SA"/>
        </w:rPr>
      </w:pPr>
      <w:r w:rsidRPr="003663A0">
        <w:rPr>
          <w:rFonts w:ascii="Times New Roman" w:hAnsi="Times New Roman"/>
          <w:b/>
          <w:bCs/>
          <w:lang w:eastAsia="ar-SA"/>
        </w:rPr>
        <w:t>Zákon č. 563/2004 Sb., o pedagogických pracovnících a o změně některých zákonů,</w:t>
      </w:r>
      <w:r w:rsidRPr="00662E08">
        <w:rPr>
          <w:rFonts w:ascii="Times New Roman" w:hAnsi="Times New Roman"/>
          <w:lang w:eastAsia="ar-SA"/>
        </w:rPr>
        <w:t xml:space="preserve"> </w:t>
      </w:r>
      <w:r>
        <w:rPr>
          <w:rFonts w:ascii="Times New Roman" w:hAnsi="Times New Roman"/>
          <w:lang w:eastAsia="ar-SA"/>
        </w:rPr>
        <w:t>ve znění pozdějších předpisů</w:t>
      </w:r>
      <w:r w:rsidRPr="00662E08">
        <w:rPr>
          <w:rFonts w:ascii="Times New Roman" w:hAnsi="Times New Roman"/>
          <w:b/>
          <w:bCs/>
          <w:lang w:eastAsia="ar-SA"/>
        </w:rPr>
        <w:t xml:space="preserve"> </w:t>
      </w:r>
      <w:r w:rsidRPr="00662E08">
        <w:rPr>
          <w:rFonts w:ascii="Times New Roman" w:hAnsi="Times New Roman"/>
          <w:lang w:eastAsia="ar-SA"/>
        </w:rPr>
        <w:t>stanovuje, že metodik, který splňuje kvalifikační předpoklady, má nárok na příplatek za svou činnost.</w:t>
      </w:r>
    </w:p>
    <w:p w:rsidR="005C2C3C" w:rsidRPr="00845BED" w:rsidRDefault="005C2C3C" w:rsidP="005C2C3C">
      <w:pPr>
        <w:spacing w:before="0" w:line="276" w:lineRule="auto"/>
        <w:jc w:val="both"/>
        <w:rPr>
          <w:rFonts w:ascii="Times New Roman" w:hAnsi="Times New Roman"/>
          <w:lang w:eastAsia="ar-SA"/>
        </w:rPr>
      </w:pPr>
      <w:r>
        <w:rPr>
          <w:rFonts w:ascii="Times New Roman" w:hAnsi="Times New Roman"/>
          <w:b/>
          <w:bCs/>
          <w:lang w:eastAsia="ar-SA"/>
        </w:rPr>
        <w:t xml:space="preserve">Vyhláška č. 73/2005 Sb., </w:t>
      </w:r>
      <w:r w:rsidRPr="00845BED">
        <w:rPr>
          <w:rStyle w:val="st1"/>
          <w:rFonts w:ascii="Times New Roman" w:hAnsi="Times New Roman"/>
          <w:b/>
          <w:color w:val="222222"/>
        </w:rPr>
        <w:t xml:space="preserve">o vzdělávání dětí, žáků a studentů se speciálními </w:t>
      </w:r>
      <w:r w:rsidRPr="00845BED">
        <w:rPr>
          <w:rFonts w:ascii="Times New Roman" w:hAnsi="Times New Roman"/>
          <w:b/>
          <w:vanish/>
          <w:color w:val="222222"/>
        </w:rPr>
        <w:br/>
      </w:r>
      <w:r w:rsidRPr="00845BED">
        <w:rPr>
          <w:rStyle w:val="st1"/>
          <w:rFonts w:ascii="Times New Roman" w:hAnsi="Times New Roman"/>
          <w:b/>
          <w:color w:val="222222"/>
        </w:rPr>
        <w:t>vzdělávacími potřebami a dětí, žáků a studentů mimořádně nadaných</w:t>
      </w:r>
      <w:r w:rsidRPr="00845BED">
        <w:rPr>
          <w:rStyle w:val="st1"/>
          <w:rFonts w:ascii="Times New Roman" w:hAnsi="Times New Roman"/>
          <w:color w:val="222222"/>
        </w:rPr>
        <w:t>,</w:t>
      </w:r>
      <w:r>
        <w:rPr>
          <w:rStyle w:val="st1"/>
          <w:rFonts w:ascii="Arial" w:hAnsi="Arial" w:cs="Arial"/>
          <w:color w:val="222222"/>
          <w:sz w:val="20"/>
          <w:szCs w:val="20"/>
        </w:rPr>
        <w:t xml:space="preserve"> </w:t>
      </w:r>
      <w:r w:rsidRPr="00845BED">
        <w:rPr>
          <w:rFonts w:ascii="Times New Roman" w:hAnsi="Times New Roman"/>
          <w:lang w:eastAsia="ar-SA"/>
        </w:rPr>
        <w:t>ve znění pozdějších předpisů se zabývá problematikou dětí se speciálními vzdělávacími potřebami (ve vztahu k primární prevenci zejména oblast sociálního znevýhodnění).</w:t>
      </w:r>
    </w:p>
    <w:p w:rsidR="005C2C3C" w:rsidRPr="003663A0" w:rsidRDefault="005C2C3C" w:rsidP="005C2C3C">
      <w:pPr>
        <w:spacing w:before="0" w:line="276" w:lineRule="auto"/>
        <w:jc w:val="both"/>
        <w:rPr>
          <w:rFonts w:ascii="Times New Roman" w:hAnsi="Times New Roman"/>
          <w:b/>
          <w:lang w:eastAsia="ar-SA"/>
        </w:rPr>
      </w:pPr>
      <w:r w:rsidRPr="00662E08">
        <w:rPr>
          <w:rFonts w:ascii="Times New Roman" w:hAnsi="Times New Roman"/>
          <w:b/>
          <w:bCs/>
          <w:lang w:eastAsia="ar-SA"/>
        </w:rPr>
        <w:t>Vyh</w:t>
      </w:r>
      <w:r>
        <w:rPr>
          <w:rFonts w:ascii="Times New Roman" w:hAnsi="Times New Roman"/>
          <w:b/>
          <w:bCs/>
          <w:lang w:eastAsia="ar-SA"/>
        </w:rPr>
        <w:t>láška č. 74/2005 Sb., o zájmovém vzdělávání, ve znění pozdějších předpisů</w:t>
      </w:r>
      <w:r>
        <w:rPr>
          <w:rFonts w:ascii="Times New Roman" w:hAnsi="Times New Roman"/>
          <w:bCs/>
          <w:lang w:eastAsia="ar-SA"/>
        </w:rPr>
        <w:t>, která v §2 přímo stanovuje, že školská zařízení pro zájmové vzdělávání budou uskutečňovat formy činnost</w:t>
      </w:r>
      <w:r>
        <w:rPr>
          <w:rFonts w:ascii="Times New Roman" w:hAnsi="Times New Roman"/>
          <w:b/>
          <w:bCs/>
          <w:lang w:eastAsia="ar-SA"/>
        </w:rPr>
        <w:t>í v zájmovém vzdělávání vedoucí k prevenci rizikového chování dětí, žáků, studentů.</w:t>
      </w:r>
    </w:p>
    <w:p w:rsidR="005C2C3C" w:rsidRPr="00662E08" w:rsidRDefault="005C2C3C" w:rsidP="005C2C3C">
      <w:pPr>
        <w:spacing w:before="0" w:line="276" w:lineRule="auto"/>
        <w:jc w:val="both"/>
        <w:rPr>
          <w:rFonts w:ascii="Times New Roman" w:eastAsia="Times New Roman" w:hAnsi="Times New Roman"/>
          <w:i/>
          <w:color w:val="948A54"/>
          <w:sz w:val="24"/>
          <w:szCs w:val="24"/>
          <w:u w:val="single"/>
          <w:lang w:eastAsia="ar-SA"/>
        </w:rPr>
      </w:pPr>
    </w:p>
    <w:p w:rsidR="005C2C3C" w:rsidRDefault="005C2C3C">
      <w:bookmarkStart w:id="13" w:name="_GoBack"/>
      <w:bookmarkEnd w:id="13"/>
    </w:p>
    <w:sectPr w:rsidR="005C2C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3C" w:rsidRDefault="005C2C3C" w:rsidP="005C2C3C">
      <w:pPr>
        <w:spacing w:before="0"/>
      </w:pPr>
      <w:r>
        <w:separator/>
      </w:r>
    </w:p>
  </w:endnote>
  <w:endnote w:type="continuationSeparator" w:id="0">
    <w:p w:rsidR="005C2C3C" w:rsidRDefault="005C2C3C" w:rsidP="005C2C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3C" w:rsidRDefault="005C2C3C" w:rsidP="005C2C3C">
      <w:pPr>
        <w:spacing w:before="0"/>
      </w:pPr>
      <w:r>
        <w:separator/>
      </w:r>
    </w:p>
  </w:footnote>
  <w:footnote w:type="continuationSeparator" w:id="0">
    <w:p w:rsidR="005C2C3C" w:rsidRDefault="005C2C3C" w:rsidP="005C2C3C">
      <w:pPr>
        <w:spacing w:before="0"/>
      </w:pPr>
      <w:r>
        <w:continuationSeparator/>
      </w:r>
    </w:p>
  </w:footnote>
  <w:footnote w:id="1">
    <w:p w:rsidR="005C2C3C" w:rsidRDefault="005C2C3C" w:rsidP="005C2C3C">
      <w:pPr>
        <w:pStyle w:val="Textpoznpodarou"/>
        <w:jc w:val="both"/>
      </w:pPr>
      <w:r>
        <w:rPr>
          <w:rStyle w:val="Znakapoznpodarou"/>
        </w:rPr>
        <w:footnoteRef/>
      </w:r>
      <w:r>
        <w:t xml:space="preserve"> </w:t>
      </w:r>
      <w:r w:rsidRPr="00446CA2">
        <w:rPr>
          <w:sz w:val="16"/>
          <w:szCs w:val="16"/>
        </w:rPr>
        <w:t xml:space="preserve">ESF projekt VYNSPI, č. CZ.1.07/1,3,00/08.2005, celým názvem Tvorba systému modulárního vzdělávání v oblasti prevence sociálně patologických jevů pro pedagogické pracovníky škol a školských zařízení na celostátní úrovni, byl realizován Klinikou </w:t>
      </w:r>
      <w:proofErr w:type="spellStart"/>
      <w:r w:rsidRPr="00446CA2">
        <w:rPr>
          <w:sz w:val="16"/>
          <w:szCs w:val="16"/>
        </w:rPr>
        <w:t>adiktologie</w:t>
      </w:r>
      <w:proofErr w:type="spellEnd"/>
      <w:r w:rsidRPr="00446CA2">
        <w:rPr>
          <w:sz w:val="16"/>
          <w:szCs w:val="16"/>
        </w:rPr>
        <w:t xml:space="preserve"> (dřívější Centrum </w:t>
      </w:r>
      <w:proofErr w:type="spellStart"/>
      <w:r w:rsidRPr="00446CA2">
        <w:rPr>
          <w:sz w:val="16"/>
          <w:szCs w:val="16"/>
        </w:rPr>
        <w:t>adiktologie</w:t>
      </w:r>
      <w:proofErr w:type="spellEnd"/>
      <w:r w:rsidRPr="00446CA2">
        <w:rPr>
          <w:sz w:val="16"/>
          <w:szCs w:val="16"/>
        </w:rPr>
        <w:t>) a NÚV (dřívější IPPP) v letech 2009-2012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6pt;height:57.05pt" o:bullet="t">
        <v:imagedata r:id="rId1" o:title="logo"/>
      </v:shape>
    </w:pict>
  </w:numPicBullet>
  <w:abstractNum w:abstractNumId="0">
    <w:nsid w:val="FFFFFF83"/>
    <w:multiLevelType w:val="singleLevel"/>
    <w:tmpl w:val="F22071A6"/>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550C7362"/>
    <w:multiLevelType w:val="hybridMultilevel"/>
    <w:tmpl w:val="0B0AEC26"/>
    <w:lvl w:ilvl="0" w:tplc="AFA4B8E0">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2">
    <w:nsid w:val="57883265"/>
    <w:multiLevelType w:val="multilevel"/>
    <w:tmpl w:val="53F65D2A"/>
    <w:lvl w:ilvl="0">
      <w:start w:val="1"/>
      <w:numFmt w:val="decimal"/>
      <w:pStyle w:val="StylNadpis1ZarovnatdoblokuVlevo0cmPedsazen076"/>
      <w:lvlText w:val="%1."/>
      <w:lvlJc w:val="left"/>
      <w:pPr>
        <w:tabs>
          <w:tab w:val="num" w:pos="360"/>
        </w:tabs>
        <w:ind w:left="360" w:hanging="360"/>
      </w:pPr>
      <w:rPr>
        <w:rFonts w:hint="default"/>
      </w:rPr>
    </w:lvl>
    <w:lvl w:ilvl="1">
      <w:start w:val="1"/>
      <w:numFmt w:val="decimal"/>
      <w:pStyle w:val="StylNadpis2ZarovnatdoblokuVlevo0cmPedsazen1021"/>
      <w:lvlText w:val="%1.%2."/>
      <w:lvlJc w:val="left"/>
      <w:pPr>
        <w:tabs>
          <w:tab w:val="num" w:pos="964"/>
        </w:tabs>
        <w:ind w:left="964" w:hanging="604"/>
      </w:pPr>
      <w:rPr>
        <w:rFonts w:hint="default"/>
      </w:rPr>
    </w:lvl>
    <w:lvl w:ilvl="2">
      <w:start w:val="1"/>
      <w:numFmt w:val="decimal"/>
      <w:pStyle w:val="StylNadpis3ZarovnatdoblokuVlevo0cmPedsazen127"/>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9D859AB"/>
    <w:multiLevelType w:val="hybridMultilevel"/>
    <w:tmpl w:val="FE56EE5A"/>
    <w:lvl w:ilvl="0" w:tplc="FFFFFFFF">
      <w:start w:val="1"/>
      <w:numFmt w:val="bullet"/>
      <w:pStyle w:val="Seznamsodrkami"/>
      <w:lvlText w:val=""/>
      <w:lvlPicBulletId w:val="0"/>
      <w:lvlJc w:val="left"/>
      <w:pPr>
        <w:tabs>
          <w:tab w:val="num" w:pos="643"/>
        </w:tabs>
        <w:ind w:left="643" w:hanging="360"/>
      </w:pPr>
      <w:rPr>
        <w:rFonts w:ascii="Symbol" w:hAnsi="Symbol" w:hint="default"/>
        <w:color w:val="auto"/>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3C"/>
    <w:rsid w:val="0000427D"/>
    <w:rsid w:val="0000485E"/>
    <w:rsid w:val="00014929"/>
    <w:rsid w:val="000420D2"/>
    <w:rsid w:val="00042FD7"/>
    <w:rsid w:val="00045BCD"/>
    <w:rsid w:val="00064500"/>
    <w:rsid w:val="000A2C6D"/>
    <w:rsid w:val="000C0137"/>
    <w:rsid w:val="000E1B06"/>
    <w:rsid w:val="000E4478"/>
    <w:rsid w:val="000F0096"/>
    <w:rsid w:val="000F3A93"/>
    <w:rsid w:val="001056DE"/>
    <w:rsid w:val="00125533"/>
    <w:rsid w:val="00156FE4"/>
    <w:rsid w:val="001605AD"/>
    <w:rsid w:val="00173323"/>
    <w:rsid w:val="00195710"/>
    <w:rsid w:val="001C4897"/>
    <w:rsid w:val="001E52D3"/>
    <w:rsid w:val="001E5C8A"/>
    <w:rsid w:val="001F789E"/>
    <w:rsid w:val="00250A90"/>
    <w:rsid w:val="00257E12"/>
    <w:rsid w:val="00267F9D"/>
    <w:rsid w:val="002704CC"/>
    <w:rsid w:val="00271310"/>
    <w:rsid w:val="0027652C"/>
    <w:rsid w:val="00277071"/>
    <w:rsid w:val="002E13D9"/>
    <w:rsid w:val="002F1EDE"/>
    <w:rsid w:val="002F4FA6"/>
    <w:rsid w:val="00336F5A"/>
    <w:rsid w:val="0034661F"/>
    <w:rsid w:val="00353B9E"/>
    <w:rsid w:val="00357118"/>
    <w:rsid w:val="00365D2A"/>
    <w:rsid w:val="00371E0A"/>
    <w:rsid w:val="00373009"/>
    <w:rsid w:val="00374DAD"/>
    <w:rsid w:val="00391C27"/>
    <w:rsid w:val="00397D09"/>
    <w:rsid w:val="003A0BE9"/>
    <w:rsid w:val="003A6FC9"/>
    <w:rsid w:val="003B572D"/>
    <w:rsid w:val="003D3733"/>
    <w:rsid w:val="003E39E5"/>
    <w:rsid w:val="003E797B"/>
    <w:rsid w:val="003F2784"/>
    <w:rsid w:val="00400A44"/>
    <w:rsid w:val="00407AA0"/>
    <w:rsid w:val="0041193C"/>
    <w:rsid w:val="00411F77"/>
    <w:rsid w:val="00420228"/>
    <w:rsid w:val="00430CD7"/>
    <w:rsid w:val="004328DA"/>
    <w:rsid w:val="004519CE"/>
    <w:rsid w:val="00466FBB"/>
    <w:rsid w:val="0047539C"/>
    <w:rsid w:val="00483D99"/>
    <w:rsid w:val="004877D0"/>
    <w:rsid w:val="00493064"/>
    <w:rsid w:val="0049377C"/>
    <w:rsid w:val="004A2CAF"/>
    <w:rsid w:val="004A5A83"/>
    <w:rsid w:val="004C2282"/>
    <w:rsid w:val="004C28FA"/>
    <w:rsid w:val="00502185"/>
    <w:rsid w:val="005107F6"/>
    <w:rsid w:val="00513F2E"/>
    <w:rsid w:val="00515AE6"/>
    <w:rsid w:val="00530B71"/>
    <w:rsid w:val="00532A04"/>
    <w:rsid w:val="00533063"/>
    <w:rsid w:val="00536473"/>
    <w:rsid w:val="00566E62"/>
    <w:rsid w:val="00580321"/>
    <w:rsid w:val="005C2C3C"/>
    <w:rsid w:val="005F533A"/>
    <w:rsid w:val="00600751"/>
    <w:rsid w:val="00610C4C"/>
    <w:rsid w:val="00635120"/>
    <w:rsid w:val="00655EEC"/>
    <w:rsid w:val="00657558"/>
    <w:rsid w:val="006816E9"/>
    <w:rsid w:val="006913B8"/>
    <w:rsid w:val="006C14C4"/>
    <w:rsid w:val="006D29B1"/>
    <w:rsid w:val="006F1EE3"/>
    <w:rsid w:val="006F3FDA"/>
    <w:rsid w:val="0070341F"/>
    <w:rsid w:val="0071345E"/>
    <w:rsid w:val="0072194F"/>
    <w:rsid w:val="00725805"/>
    <w:rsid w:val="00762FE5"/>
    <w:rsid w:val="00790EE0"/>
    <w:rsid w:val="00796A94"/>
    <w:rsid w:val="007B4BCA"/>
    <w:rsid w:val="007C3F08"/>
    <w:rsid w:val="007D076D"/>
    <w:rsid w:val="008323F1"/>
    <w:rsid w:val="00843324"/>
    <w:rsid w:val="00850409"/>
    <w:rsid w:val="00872E71"/>
    <w:rsid w:val="0088189C"/>
    <w:rsid w:val="008902AB"/>
    <w:rsid w:val="008A09BE"/>
    <w:rsid w:val="008B218C"/>
    <w:rsid w:val="008B3680"/>
    <w:rsid w:val="008B7B89"/>
    <w:rsid w:val="008C10FA"/>
    <w:rsid w:val="008D08B5"/>
    <w:rsid w:val="008D1D3D"/>
    <w:rsid w:val="008D53AC"/>
    <w:rsid w:val="008E43A3"/>
    <w:rsid w:val="00910719"/>
    <w:rsid w:val="00915C4F"/>
    <w:rsid w:val="00927A51"/>
    <w:rsid w:val="009345F6"/>
    <w:rsid w:val="00962CCD"/>
    <w:rsid w:val="009633B6"/>
    <w:rsid w:val="00963E92"/>
    <w:rsid w:val="0096610F"/>
    <w:rsid w:val="00992C3A"/>
    <w:rsid w:val="009A027D"/>
    <w:rsid w:val="00A011D9"/>
    <w:rsid w:val="00A21351"/>
    <w:rsid w:val="00A360EA"/>
    <w:rsid w:val="00A50B40"/>
    <w:rsid w:val="00A642A9"/>
    <w:rsid w:val="00A669C6"/>
    <w:rsid w:val="00A7257D"/>
    <w:rsid w:val="00A909FB"/>
    <w:rsid w:val="00A92C57"/>
    <w:rsid w:val="00AA2485"/>
    <w:rsid w:val="00AC6422"/>
    <w:rsid w:val="00AE1B07"/>
    <w:rsid w:val="00B07A41"/>
    <w:rsid w:val="00B13D18"/>
    <w:rsid w:val="00B2487E"/>
    <w:rsid w:val="00B24EFA"/>
    <w:rsid w:val="00B3179E"/>
    <w:rsid w:val="00B3508B"/>
    <w:rsid w:val="00B35290"/>
    <w:rsid w:val="00B43C16"/>
    <w:rsid w:val="00B516AD"/>
    <w:rsid w:val="00B63C6D"/>
    <w:rsid w:val="00B7529B"/>
    <w:rsid w:val="00B77ACF"/>
    <w:rsid w:val="00BA23F7"/>
    <w:rsid w:val="00BB354A"/>
    <w:rsid w:val="00BC200D"/>
    <w:rsid w:val="00BD4164"/>
    <w:rsid w:val="00C0532A"/>
    <w:rsid w:val="00C13B61"/>
    <w:rsid w:val="00C3351D"/>
    <w:rsid w:val="00C4147D"/>
    <w:rsid w:val="00C42D4F"/>
    <w:rsid w:val="00C445E1"/>
    <w:rsid w:val="00C60A59"/>
    <w:rsid w:val="00C75005"/>
    <w:rsid w:val="00C94B79"/>
    <w:rsid w:val="00C95D6A"/>
    <w:rsid w:val="00CD10AF"/>
    <w:rsid w:val="00CE6F62"/>
    <w:rsid w:val="00CF5FAC"/>
    <w:rsid w:val="00D06F33"/>
    <w:rsid w:val="00D10DEF"/>
    <w:rsid w:val="00D110EF"/>
    <w:rsid w:val="00D36809"/>
    <w:rsid w:val="00D551AB"/>
    <w:rsid w:val="00D56EF1"/>
    <w:rsid w:val="00D83425"/>
    <w:rsid w:val="00D83725"/>
    <w:rsid w:val="00D8578A"/>
    <w:rsid w:val="00D85B97"/>
    <w:rsid w:val="00DE50A1"/>
    <w:rsid w:val="00DF5020"/>
    <w:rsid w:val="00DF698D"/>
    <w:rsid w:val="00E160F9"/>
    <w:rsid w:val="00E21C0C"/>
    <w:rsid w:val="00E337B5"/>
    <w:rsid w:val="00E404DD"/>
    <w:rsid w:val="00E42418"/>
    <w:rsid w:val="00E4357A"/>
    <w:rsid w:val="00E453BF"/>
    <w:rsid w:val="00E45F32"/>
    <w:rsid w:val="00E6275A"/>
    <w:rsid w:val="00E76090"/>
    <w:rsid w:val="00E83542"/>
    <w:rsid w:val="00E84954"/>
    <w:rsid w:val="00E87970"/>
    <w:rsid w:val="00E93761"/>
    <w:rsid w:val="00EA003C"/>
    <w:rsid w:val="00EB12FC"/>
    <w:rsid w:val="00EC084B"/>
    <w:rsid w:val="00EC65A4"/>
    <w:rsid w:val="00ED61E3"/>
    <w:rsid w:val="00EE7AA6"/>
    <w:rsid w:val="00EF2B46"/>
    <w:rsid w:val="00F00AB5"/>
    <w:rsid w:val="00F00E90"/>
    <w:rsid w:val="00F01913"/>
    <w:rsid w:val="00F267BC"/>
    <w:rsid w:val="00F27629"/>
    <w:rsid w:val="00F54DD1"/>
    <w:rsid w:val="00F55002"/>
    <w:rsid w:val="00F62660"/>
    <w:rsid w:val="00F62D97"/>
    <w:rsid w:val="00F670DA"/>
    <w:rsid w:val="00F872E6"/>
    <w:rsid w:val="00FA5DD7"/>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2C3C"/>
    <w:pPr>
      <w:spacing w:before="40" w:after="0" w:line="240" w:lineRule="auto"/>
      <w:ind w:firstLine="170"/>
    </w:pPr>
    <w:rPr>
      <w:rFonts w:ascii="Calibri" w:eastAsia="Calibri" w:hAnsi="Calibri" w:cs="Times New Roman"/>
    </w:rPr>
  </w:style>
  <w:style w:type="paragraph" w:styleId="Nadpis1">
    <w:name w:val="heading 1"/>
    <w:basedOn w:val="Normln"/>
    <w:next w:val="Normln"/>
    <w:link w:val="Nadpis1Char"/>
    <w:uiPriority w:val="9"/>
    <w:qFormat/>
    <w:rsid w:val="005C2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C2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C2C3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C2C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2ZarovnatdoblokuVlevo0cmPedsazen1021">
    <w:name w:val="Styl Nadpis 2 + Zarovnat do bloku Vlevo:  0 cm Předsazení:  102...1"/>
    <w:basedOn w:val="Nadpis2"/>
    <w:rsid w:val="005C2C3C"/>
    <w:pPr>
      <w:keepLines w:val="0"/>
      <w:numPr>
        <w:ilvl w:val="1"/>
        <w:numId w:val="1"/>
      </w:numPr>
      <w:tabs>
        <w:tab w:val="clear" w:pos="964"/>
        <w:tab w:val="num" w:pos="360"/>
      </w:tabs>
      <w:spacing w:before="120" w:after="60" w:line="288" w:lineRule="auto"/>
      <w:ind w:left="0" w:firstLine="170"/>
    </w:pPr>
    <w:rPr>
      <w:rFonts w:ascii="Arial" w:eastAsia="Times New Roman" w:hAnsi="Arial" w:cs="Times New Roman"/>
      <w:i/>
      <w:iCs/>
      <w:color w:val="800000"/>
      <w:sz w:val="28"/>
      <w:szCs w:val="20"/>
    </w:rPr>
  </w:style>
  <w:style w:type="paragraph" w:customStyle="1" w:styleId="StylNadpis1ZarovnatdoblokuVlevo0cmPedsazen076">
    <w:name w:val="Styl Nadpis 1 + Zarovnat do bloku Vlevo:  0 cm Předsazení:  076..."/>
    <w:basedOn w:val="Nadpis1"/>
    <w:rsid w:val="005C2C3C"/>
    <w:pPr>
      <w:keepLines w:val="0"/>
      <w:numPr>
        <w:numId w:val="1"/>
      </w:numPr>
      <w:suppressAutoHyphens/>
      <w:spacing w:before="240" w:after="60" w:line="288" w:lineRule="auto"/>
      <w:ind w:left="0" w:firstLine="170"/>
    </w:pPr>
    <w:rPr>
      <w:rFonts w:ascii="Arial" w:eastAsia="Times New Roman" w:hAnsi="Arial" w:cs="Times New Roman"/>
      <w:color w:val="FF6919"/>
      <w:kern w:val="28"/>
      <w:sz w:val="32"/>
      <w:szCs w:val="20"/>
      <w:lang w:eastAsia="ar-SA"/>
    </w:rPr>
  </w:style>
  <w:style w:type="paragraph" w:customStyle="1" w:styleId="StylNadpis3ZarovnatdoblokuVlevo0cmPedsazen127">
    <w:name w:val="Styl Nadpis 3 + Zarovnat do bloku Vlevo:  0 cm Předsazení:  127..."/>
    <w:basedOn w:val="Nadpis3"/>
    <w:rsid w:val="005C2C3C"/>
    <w:pPr>
      <w:keepLines w:val="0"/>
      <w:numPr>
        <w:ilvl w:val="2"/>
        <w:numId w:val="1"/>
      </w:numPr>
      <w:tabs>
        <w:tab w:val="clear" w:pos="1440"/>
        <w:tab w:val="num" w:pos="360"/>
      </w:tabs>
      <w:spacing w:before="120" w:after="60" w:line="288" w:lineRule="auto"/>
      <w:ind w:left="0" w:firstLine="170"/>
      <w:jc w:val="both"/>
    </w:pPr>
    <w:rPr>
      <w:rFonts w:ascii="Arial" w:eastAsia="Times New Roman" w:hAnsi="Arial" w:cs="Times New Roman"/>
      <w:b w:val="0"/>
      <w:bCs w:val="0"/>
      <w:color w:val="CC6600"/>
      <w:sz w:val="28"/>
      <w:szCs w:val="20"/>
    </w:rPr>
  </w:style>
  <w:style w:type="character" w:customStyle="1" w:styleId="Nadpis2Char">
    <w:name w:val="Nadpis 2 Char"/>
    <w:basedOn w:val="Standardnpsmoodstavce"/>
    <w:link w:val="Nadpis2"/>
    <w:uiPriority w:val="9"/>
    <w:semiHidden/>
    <w:rsid w:val="005C2C3C"/>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5C2C3C"/>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5C2C3C"/>
    <w:rPr>
      <w:rFonts w:asciiTheme="majorHAnsi" w:eastAsiaTheme="majorEastAsia" w:hAnsiTheme="majorHAnsi" w:cstheme="majorBidi"/>
      <w:b/>
      <w:bCs/>
      <w:color w:val="4F81BD" w:themeColor="accent1"/>
    </w:rPr>
  </w:style>
  <w:style w:type="paragraph" w:styleId="Seznamsodrkami">
    <w:name w:val="List Bullet"/>
    <w:basedOn w:val="Normln"/>
    <w:rsid w:val="005C2C3C"/>
    <w:pPr>
      <w:numPr>
        <w:numId w:val="2"/>
      </w:numPr>
    </w:pPr>
  </w:style>
  <w:style w:type="character" w:customStyle="1" w:styleId="Nadpis4Char">
    <w:name w:val="Nadpis 4 Char"/>
    <w:basedOn w:val="Standardnpsmoodstavce"/>
    <w:link w:val="Nadpis4"/>
    <w:uiPriority w:val="9"/>
    <w:semiHidden/>
    <w:rsid w:val="005C2C3C"/>
    <w:rPr>
      <w:rFonts w:asciiTheme="majorHAnsi" w:eastAsiaTheme="majorEastAsia" w:hAnsiTheme="majorHAnsi" w:cstheme="majorBidi"/>
      <w:b/>
      <w:bCs/>
      <w:i/>
      <w:iCs/>
      <w:color w:val="4F81BD" w:themeColor="accent1"/>
    </w:rPr>
  </w:style>
  <w:style w:type="paragraph" w:styleId="Seznamsodrkami2">
    <w:name w:val="List Bullet 2"/>
    <w:basedOn w:val="Normln"/>
    <w:uiPriority w:val="99"/>
    <w:semiHidden/>
    <w:unhideWhenUsed/>
    <w:rsid w:val="005C2C3C"/>
    <w:pPr>
      <w:numPr>
        <w:numId w:val="3"/>
      </w:numPr>
      <w:contextualSpacing/>
    </w:pPr>
  </w:style>
  <w:style w:type="paragraph" w:styleId="Textpoznpodarou">
    <w:name w:val="footnote text"/>
    <w:basedOn w:val="Normln"/>
    <w:link w:val="TextpoznpodarouChar"/>
    <w:rsid w:val="005C2C3C"/>
    <w:rPr>
      <w:sz w:val="20"/>
      <w:szCs w:val="20"/>
    </w:rPr>
  </w:style>
  <w:style w:type="character" w:customStyle="1" w:styleId="TextpoznpodarouChar">
    <w:name w:val="Text pozn. pod čarou Char"/>
    <w:basedOn w:val="Standardnpsmoodstavce"/>
    <w:link w:val="Textpoznpodarou"/>
    <w:rsid w:val="005C2C3C"/>
    <w:rPr>
      <w:rFonts w:ascii="Calibri" w:eastAsia="Calibri" w:hAnsi="Calibri" w:cs="Times New Roman"/>
      <w:sz w:val="20"/>
      <w:szCs w:val="20"/>
    </w:rPr>
  </w:style>
  <w:style w:type="character" w:styleId="Znakapoznpodarou">
    <w:name w:val="footnote reference"/>
    <w:rsid w:val="005C2C3C"/>
    <w:rPr>
      <w:vertAlign w:val="superscript"/>
    </w:rPr>
  </w:style>
  <w:style w:type="character" w:customStyle="1" w:styleId="st1">
    <w:name w:val="st1"/>
    <w:basedOn w:val="Standardnpsmoodstavce"/>
    <w:rsid w:val="005C2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2C3C"/>
    <w:pPr>
      <w:spacing w:before="40" w:after="0" w:line="240" w:lineRule="auto"/>
      <w:ind w:firstLine="170"/>
    </w:pPr>
    <w:rPr>
      <w:rFonts w:ascii="Calibri" w:eastAsia="Calibri" w:hAnsi="Calibri" w:cs="Times New Roman"/>
    </w:rPr>
  </w:style>
  <w:style w:type="paragraph" w:styleId="Nadpis1">
    <w:name w:val="heading 1"/>
    <w:basedOn w:val="Normln"/>
    <w:next w:val="Normln"/>
    <w:link w:val="Nadpis1Char"/>
    <w:uiPriority w:val="9"/>
    <w:qFormat/>
    <w:rsid w:val="005C2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C2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C2C3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C2C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2ZarovnatdoblokuVlevo0cmPedsazen1021">
    <w:name w:val="Styl Nadpis 2 + Zarovnat do bloku Vlevo:  0 cm Předsazení:  102...1"/>
    <w:basedOn w:val="Nadpis2"/>
    <w:rsid w:val="005C2C3C"/>
    <w:pPr>
      <w:keepLines w:val="0"/>
      <w:numPr>
        <w:ilvl w:val="1"/>
        <w:numId w:val="1"/>
      </w:numPr>
      <w:tabs>
        <w:tab w:val="clear" w:pos="964"/>
        <w:tab w:val="num" w:pos="360"/>
      </w:tabs>
      <w:spacing w:before="120" w:after="60" w:line="288" w:lineRule="auto"/>
      <w:ind w:left="0" w:firstLine="170"/>
    </w:pPr>
    <w:rPr>
      <w:rFonts w:ascii="Arial" w:eastAsia="Times New Roman" w:hAnsi="Arial" w:cs="Times New Roman"/>
      <w:i/>
      <w:iCs/>
      <w:color w:val="800000"/>
      <w:sz w:val="28"/>
      <w:szCs w:val="20"/>
    </w:rPr>
  </w:style>
  <w:style w:type="paragraph" w:customStyle="1" w:styleId="StylNadpis1ZarovnatdoblokuVlevo0cmPedsazen076">
    <w:name w:val="Styl Nadpis 1 + Zarovnat do bloku Vlevo:  0 cm Předsazení:  076..."/>
    <w:basedOn w:val="Nadpis1"/>
    <w:rsid w:val="005C2C3C"/>
    <w:pPr>
      <w:keepLines w:val="0"/>
      <w:numPr>
        <w:numId w:val="1"/>
      </w:numPr>
      <w:suppressAutoHyphens/>
      <w:spacing w:before="240" w:after="60" w:line="288" w:lineRule="auto"/>
      <w:ind w:left="0" w:firstLine="170"/>
    </w:pPr>
    <w:rPr>
      <w:rFonts w:ascii="Arial" w:eastAsia="Times New Roman" w:hAnsi="Arial" w:cs="Times New Roman"/>
      <w:color w:val="FF6919"/>
      <w:kern w:val="28"/>
      <w:sz w:val="32"/>
      <w:szCs w:val="20"/>
      <w:lang w:eastAsia="ar-SA"/>
    </w:rPr>
  </w:style>
  <w:style w:type="paragraph" w:customStyle="1" w:styleId="StylNadpis3ZarovnatdoblokuVlevo0cmPedsazen127">
    <w:name w:val="Styl Nadpis 3 + Zarovnat do bloku Vlevo:  0 cm Předsazení:  127..."/>
    <w:basedOn w:val="Nadpis3"/>
    <w:rsid w:val="005C2C3C"/>
    <w:pPr>
      <w:keepLines w:val="0"/>
      <w:numPr>
        <w:ilvl w:val="2"/>
        <w:numId w:val="1"/>
      </w:numPr>
      <w:tabs>
        <w:tab w:val="clear" w:pos="1440"/>
        <w:tab w:val="num" w:pos="360"/>
      </w:tabs>
      <w:spacing w:before="120" w:after="60" w:line="288" w:lineRule="auto"/>
      <w:ind w:left="0" w:firstLine="170"/>
      <w:jc w:val="both"/>
    </w:pPr>
    <w:rPr>
      <w:rFonts w:ascii="Arial" w:eastAsia="Times New Roman" w:hAnsi="Arial" w:cs="Times New Roman"/>
      <w:b w:val="0"/>
      <w:bCs w:val="0"/>
      <w:color w:val="CC6600"/>
      <w:sz w:val="28"/>
      <w:szCs w:val="20"/>
    </w:rPr>
  </w:style>
  <w:style w:type="character" w:customStyle="1" w:styleId="Nadpis2Char">
    <w:name w:val="Nadpis 2 Char"/>
    <w:basedOn w:val="Standardnpsmoodstavce"/>
    <w:link w:val="Nadpis2"/>
    <w:uiPriority w:val="9"/>
    <w:semiHidden/>
    <w:rsid w:val="005C2C3C"/>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5C2C3C"/>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5C2C3C"/>
    <w:rPr>
      <w:rFonts w:asciiTheme="majorHAnsi" w:eastAsiaTheme="majorEastAsia" w:hAnsiTheme="majorHAnsi" w:cstheme="majorBidi"/>
      <w:b/>
      <w:bCs/>
      <w:color w:val="4F81BD" w:themeColor="accent1"/>
    </w:rPr>
  </w:style>
  <w:style w:type="paragraph" w:styleId="Seznamsodrkami">
    <w:name w:val="List Bullet"/>
    <w:basedOn w:val="Normln"/>
    <w:rsid w:val="005C2C3C"/>
    <w:pPr>
      <w:numPr>
        <w:numId w:val="2"/>
      </w:numPr>
    </w:pPr>
  </w:style>
  <w:style w:type="character" w:customStyle="1" w:styleId="Nadpis4Char">
    <w:name w:val="Nadpis 4 Char"/>
    <w:basedOn w:val="Standardnpsmoodstavce"/>
    <w:link w:val="Nadpis4"/>
    <w:uiPriority w:val="9"/>
    <w:semiHidden/>
    <w:rsid w:val="005C2C3C"/>
    <w:rPr>
      <w:rFonts w:asciiTheme="majorHAnsi" w:eastAsiaTheme="majorEastAsia" w:hAnsiTheme="majorHAnsi" w:cstheme="majorBidi"/>
      <w:b/>
      <w:bCs/>
      <w:i/>
      <w:iCs/>
      <w:color w:val="4F81BD" w:themeColor="accent1"/>
    </w:rPr>
  </w:style>
  <w:style w:type="paragraph" w:styleId="Seznamsodrkami2">
    <w:name w:val="List Bullet 2"/>
    <w:basedOn w:val="Normln"/>
    <w:uiPriority w:val="99"/>
    <w:semiHidden/>
    <w:unhideWhenUsed/>
    <w:rsid w:val="005C2C3C"/>
    <w:pPr>
      <w:numPr>
        <w:numId w:val="3"/>
      </w:numPr>
      <w:contextualSpacing/>
    </w:pPr>
  </w:style>
  <w:style w:type="paragraph" w:styleId="Textpoznpodarou">
    <w:name w:val="footnote text"/>
    <w:basedOn w:val="Normln"/>
    <w:link w:val="TextpoznpodarouChar"/>
    <w:rsid w:val="005C2C3C"/>
    <w:rPr>
      <w:sz w:val="20"/>
      <w:szCs w:val="20"/>
    </w:rPr>
  </w:style>
  <w:style w:type="character" w:customStyle="1" w:styleId="TextpoznpodarouChar">
    <w:name w:val="Text pozn. pod čarou Char"/>
    <w:basedOn w:val="Standardnpsmoodstavce"/>
    <w:link w:val="Textpoznpodarou"/>
    <w:rsid w:val="005C2C3C"/>
    <w:rPr>
      <w:rFonts w:ascii="Calibri" w:eastAsia="Calibri" w:hAnsi="Calibri" w:cs="Times New Roman"/>
      <w:sz w:val="20"/>
      <w:szCs w:val="20"/>
    </w:rPr>
  </w:style>
  <w:style w:type="character" w:styleId="Znakapoznpodarou">
    <w:name w:val="footnote reference"/>
    <w:rsid w:val="005C2C3C"/>
    <w:rPr>
      <w:vertAlign w:val="superscript"/>
    </w:rPr>
  </w:style>
  <w:style w:type="character" w:customStyle="1" w:styleId="st1">
    <w:name w:val="st1"/>
    <w:basedOn w:val="Standardnpsmoodstavce"/>
    <w:rsid w:val="005C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3106</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1</cp:revision>
  <dcterms:created xsi:type="dcterms:W3CDTF">2015-03-20T14:23:00Z</dcterms:created>
  <dcterms:modified xsi:type="dcterms:W3CDTF">2015-03-20T14:30:00Z</dcterms:modified>
</cp:coreProperties>
</file>