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7CB1" w:rsidRDefault="00F16DA8">
      <w:pPr>
        <w:tabs>
          <w:tab w:val="left" w:pos="4111"/>
        </w:tabs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 xml:space="preserve">Pokyny pro výuku předmětu </w:t>
      </w:r>
      <w:proofErr w:type="spellStart"/>
      <w:r>
        <w:rPr>
          <w:sz w:val="32"/>
          <w:szCs w:val="32"/>
        </w:rPr>
        <w:t>Endodoncie</w:t>
      </w:r>
      <w:proofErr w:type="spellEnd"/>
      <w:r>
        <w:rPr>
          <w:sz w:val="32"/>
          <w:szCs w:val="32"/>
        </w:rPr>
        <w:t xml:space="preserve"> I.</w:t>
      </w:r>
    </w:p>
    <w:p w14:paraId="00000002" w14:textId="77777777" w:rsidR="00677CB1" w:rsidRDefault="00677CB1">
      <w:pPr>
        <w:tabs>
          <w:tab w:val="left" w:pos="4111"/>
        </w:tabs>
        <w:rPr>
          <w:b/>
        </w:rPr>
      </w:pPr>
    </w:p>
    <w:p w14:paraId="00000003" w14:textId="34B7B31B" w:rsidR="00677CB1" w:rsidRDefault="00F16DA8">
      <w:pPr>
        <w:tabs>
          <w:tab w:val="left" w:pos="4111"/>
        </w:tabs>
      </w:pPr>
      <w:r>
        <w:t xml:space="preserve">Výuka bude probíhat </w:t>
      </w:r>
      <w:proofErr w:type="gramStart"/>
      <w:r>
        <w:t>na  Stomatologické</w:t>
      </w:r>
      <w:proofErr w:type="gramEnd"/>
      <w:r>
        <w:t xml:space="preserve"> klinice </w:t>
      </w:r>
      <w:proofErr w:type="spellStart"/>
      <w:r>
        <w:t>FNuSA</w:t>
      </w:r>
      <w:proofErr w:type="spellEnd"/>
      <w:r>
        <w:t xml:space="preserve"> na 1. výukovém sále a v SIMU.   Pacienty si studenti objednávají podle objednávací knihy. Výuka začíná v 7:30 dle rozpisu. Pondělí a čtvrtek se skupiny půlí, v úterý a středu jsou všichni v SIMU (2.patro) a v pátek všichni na </w:t>
      </w:r>
      <w:r w:rsidR="007834E4">
        <w:t>S</w:t>
      </w:r>
      <w:r>
        <w:t xml:space="preserve">tomatologické klinice. </w:t>
      </w:r>
    </w:p>
    <w:p w14:paraId="00000004" w14:textId="3888254C" w:rsidR="00677CB1" w:rsidRDefault="00F16DA8">
      <w:pPr>
        <w:tabs>
          <w:tab w:val="left" w:pos="4111"/>
        </w:tabs>
        <w:rPr>
          <w:b/>
        </w:rPr>
      </w:pPr>
      <w:r>
        <w:t xml:space="preserve"> </w:t>
      </w:r>
      <w:r>
        <w:rPr>
          <w:b/>
        </w:rPr>
        <w:t>V 7:30 jsou již studenti připraveni k </w:t>
      </w:r>
      <w:proofErr w:type="gramStart"/>
      <w:r>
        <w:rPr>
          <w:b/>
        </w:rPr>
        <w:t>práci  -</w:t>
      </w:r>
      <w:proofErr w:type="gramEnd"/>
      <w:r>
        <w:rPr>
          <w:b/>
        </w:rPr>
        <w:t xml:space="preserve"> převlečeni a na svých místech.  </w:t>
      </w:r>
      <w:proofErr w:type="spellStart"/>
      <w:r w:rsidR="00B77EF6">
        <w:rPr>
          <w:b/>
        </w:rPr>
        <w:t>Dopporučujeme</w:t>
      </w:r>
      <w:proofErr w:type="spellEnd"/>
      <w:r w:rsidR="00B77EF6">
        <w:rPr>
          <w:b/>
        </w:rPr>
        <w:t xml:space="preserve"> rukavice, popř. </w:t>
      </w:r>
      <w:proofErr w:type="gramStart"/>
      <w:r w:rsidR="00B77EF6">
        <w:rPr>
          <w:b/>
        </w:rPr>
        <w:t>respirátory</w:t>
      </w:r>
      <w:r>
        <w:rPr>
          <w:b/>
        </w:rPr>
        <w:t xml:space="preserve"> </w:t>
      </w:r>
      <w:r w:rsidR="00B77EF6">
        <w:rPr>
          <w:b/>
        </w:rPr>
        <w:t>.</w:t>
      </w:r>
      <w:proofErr w:type="gramEnd"/>
    </w:p>
    <w:p w14:paraId="00000005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 xml:space="preserve">Je nutné si vytisknout pracovní protokol. Ten bude svázán do složky Záznamník praktické výuky a předložen při zápočtu nebo kdykoli na požádání vyučujícího. </w:t>
      </w:r>
    </w:p>
    <w:p w14:paraId="00000006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 xml:space="preserve">Klinická výuka </w:t>
      </w:r>
    </w:p>
    <w:p w14:paraId="00000007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Na výukovém sále budete provádět ošetření objednaných pacientů. Objednáváte na prohlídky a výplně, na endodontické ošetření po domluvě s vyučujícím. Krátký úvod s opakováním je od 7.30 do 8.00. V 8.00 začíná ošetření prvního pacienta. Studenti, kteří neošetřují pacienta a neasistují plní další zadání vyučujících (</w:t>
      </w:r>
      <w:proofErr w:type="gramStart"/>
      <w:r>
        <w:rPr>
          <w:color w:val="000000"/>
        </w:rPr>
        <w:t>řeší</w:t>
      </w:r>
      <w:proofErr w:type="gramEnd"/>
      <w:r>
        <w:rPr>
          <w:color w:val="000000"/>
        </w:rPr>
        <w:t xml:space="preserve"> případové studie, popisují RTG snímky apod.). Chovají se podle zásad pobytu na výukovém sále.</w:t>
      </w:r>
    </w:p>
    <w:p w14:paraId="00000008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 xml:space="preserve">Simulovaná výuka </w:t>
      </w:r>
    </w:p>
    <w:p w14:paraId="00000009" w14:textId="3167DB75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1" w:name="_heading=h.30j0zll" w:colFirst="0" w:colLast="0"/>
      <w:bookmarkEnd w:id="1"/>
      <w:r>
        <w:rPr>
          <w:color w:val="000000"/>
        </w:rPr>
        <w:t xml:space="preserve">Od p. </w:t>
      </w:r>
      <w:proofErr w:type="spellStart"/>
      <w:proofErr w:type="gramStart"/>
      <w:r>
        <w:rPr>
          <w:color w:val="000000"/>
        </w:rPr>
        <w:t>Chvílové</w:t>
      </w:r>
      <w:proofErr w:type="spellEnd"/>
      <w:r>
        <w:rPr>
          <w:color w:val="000000"/>
        </w:rPr>
        <w:t xml:space="preserve"> </w:t>
      </w:r>
      <w:r w:rsidR="00B77EF6">
        <w:rPr>
          <w:color w:val="000000"/>
        </w:rPr>
        <w:t xml:space="preserve"> v</w:t>
      </w:r>
      <w:proofErr w:type="gramEnd"/>
      <w:r w:rsidR="00B77EF6">
        <w:rPr>
          <w:color w:val="000000"/>
        </w:rPr>
        <w:t xml:space="preserve"> prodejně knihy </w:t>
      </w:r>
      <w:r>
        <w:rPr>
          <w:color w:val="000000"/>
        </w:rPr>
        <w:t>si můžete zakoupit kořenové nástroje a gutaperčové čepy</w:t>
      </w:r>
      <w:r>
        <w:t xml:space="preserve">. Naléhavě doporučujeme, abyste si zakoupili nové endodontické nástroje, původní nástroje, které jste si zakoupili pro výuku v preklinickém zubním lékařství jsou opotřebené, a hrozí zalomení nástroje, které je důvodem pro opakování cvičení. </w:t>
      </w:r>
    </w:p>
    <w:p w14:paraId="0000000A" w14:textId="0C29C03E" w:rsidR="00677CB1" w:rsidRPr="00C40D7F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2" w:name="_heading=h.4oqh9qc8ipxh" w:colFirst="0" w:colLast="0"/>
      <w:bookmarkEnd w:id="2"/>
      <w:r>
        <w:t>Dále je třeba z</w:t>
      </w:r>
      <w:r>
        <w:rPr>
          <w:color w:val="000000"/>
        </w:rPr>
        <w:t>akoupit zuby, které potřebujete na cvičení. Zuby zakoupíte dle od f</w:t>
      </w:r>
      <w:r>
        <w:t>i</w:t>
      </w:r>
      <w:r>
        <w:rPr>
          <w:color w:val="000000"/>
        </w:rPr>
        <w:t>rmy</w:t>
      </w:r>
      <w:r>
        <w:t xml:space="preserve"> </w:t>
      </w:r>
      <w:proofErr w:type="spellStart"/>
      <w:r>
        <w:t>Biovoxel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14, 16, 46, 14</w:t>
      </w:r>
      <w:r w:rsidR="00B77EF6">
        <w:rPr>
          <w:rFonts w:ascii="Times New Roman" w:eastAsia="Times New Roman" w:hAnsi="Times New Roman" w:cs="Times New Roman"/>
          <w:b/>
          <w:sz w:val="24"/>
          <w:szCs w:val="24"/>
        </w:rPr>
        <w:t xml:space="preserve"> – odkaz níže. </w:t>
      </w:r>
    </w:p>
    <w:p w14:paraId="3AB191FF" w14:textId="05A320CD" w:rsidR="00C40D7F" w:rsidRDefault="00C40D7F" w:rsidP="00C40D7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/>
      </w:pPr>
      <w:r w:rsidRPr="00C40D7F">
        <w:t xml:space="preserve"> </w:t>
      </w:r>
      <w:hyperlink r:id="rId6" w:history="1">
        <w:r>
          <w:rPr>
            <w:rStyle w:val="Hypertextovodkaz"/>
          </w:rPr>
          <w:t>Balí</w:t>
        </w:r>
        <w:r>
          <w:rPr>
            <w:rStyle w:val="Hypertextovodkaz"/>
          </w:rPr>
          <w:t>k</w:t>
        </w:r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EndoTooth</w:t>
        </w:r>
        <w:proofErr w:type="spellEnd"/>
        <w:r>
          <w:rPr>
            <w:rStyle w:val="Hypertextovodkaz"/>
          </w:rPr>
          <w:t xml:space="preserve"> 3.ročník LF Brn</w:t>
        </w:r>
        <w:r>
          <w:rPr>
            <w:rStyle w:val="Hypertextovodkaz"/>
          </w:rPr>
          <w:t>o</w:t>
        </w:r>
        <w:r>
          <w:rPr>
            <w:rStyle w:val="Hypertextovodkaz"/>
          </w:rPr>
          <w:t xml:space="preserve"> | </w:t>
        </w:r>
        <w:proofErr w:type="spellStart"/>
        <w:r>
          <w:rPr>
            <w:rStyle w:val="Hypertextovodkaz"/>
          </w:rPr>
          <w:t>BioVoxel</w:t>
        </w:r>
        <w:proofErr w:type="spellEnd"/>
        <w:r>
          <w:rPr>
            <w:rStyle w:val="Hypertextovodkaz"/>
          </w:rPr>
          <w:t xml:space="preserve"> Tech</w:t>
        </w:r>
        <w:r>
          <w:rPr>
            <w:rStyle w:val="Hypertextovodkaz"/>
          </w:rPr>
          <w:t>n</w:t>
        </w:r>
        <w:r>
          <w:rPr>
            <w:rStyle w:val="Hypertextovodkaz"/>
          </w:rPr>
          <w:t>ologies</w:t>
        </w:r>
      </w:hyperlink>
    </w:p>
    <w:p w14:paraId="0000000B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3" w:name="_heading=h.rg0tqdc2ujua" w:colFirst="0" w:colLast="0"/>
      <w:bookmarkEnd w:id="3"/>
      <w:r>
        <w:rPr>
          <w:color w:val="000000"/>
        </w:rPr>
        <w:t xml:space="preserve">Po krátké instruktáži budete provádět endodontické ošetření na modelových zubech. Začnete nákresem, provedete preparaci přístupové kavity (trepanaci dřeňové dutiny) a opracování kořenových kanálků pomocí </w:t>
      </w:r>
      <w:proofErr w:type="gramStart"/>
      <w:r>
        <w:rPr>
          <w:color w:val="000000"/>
        </w:rPr>
        <w:t xml:space="preserve">K- </w:t>
      </w:r>
      <w:proofErr w:type="spellStart"/>
      <w:r>
        <w:rPr>
          <w:color w:val="000000"/>
        </w:rPr>
        <w:t>filů</w:t>
      </w:r>
      <w:proofErr w:type="spellEnd"/>
      <w:proofErr w:type="gramEnd"/>
      <w:r>
        <w:rPr>
          <w:color w:val="000000"/>
        </w:rPr>
        <w:t xml:space="preserve"> a H- 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na ISO nejméně 35 – 40 podle pokynů vyučujících. Kanálky poté zaplníte metodou laterální kondenzace  </w:t>
      </w:r>
    </w:p>
    <w:p w14:paraId="0000000C" w14:textId="7428D920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4" w:name="_heading=h.7bluageilr9l" w:colFirst="0" w:colLast="0"/>
      <w:bookmarkEnd w:id="4"/>
      <w:r>
        <w:t xml:space="preserve">Jeden den (středa) bude věnován základům strojového opracování kořenových kanálků. Budete pracovat na zubu 46, popř. ještě na </w:t>
      </w:r>
      <w:proofErr w:type="spellStart"/>
      <w:r>
        <w:t>endobločku</w:t>
      </w:r>
      <w:proofErr w:type="spellEnd"/>
      <w:r>
        <w:t xml:space="preserve">. </w:t>
      </w:r>
      <w:r w:rsidR="00B77EF6">
        <w:t xml:space="preserve">Zub 46 trepanujte předem. </w:t>
      </w:r>
      <w:r>
        <w:t>Nástroje pro strojové opracování</w:t>
      </w:r>
      <w:r w:rsidR="00B77EF6">
        <w:t xml:space="preserve">. </w:t>
      </w:r>
      <w:r>
        <w:t xml:space="preserve"> </w:t>
      </w:r>
      <w:r w:rsidR="00B77EF6">
        <w:t xml:space="preserve">Nástroje pro strojové opracování vám budou v prakticích poskytnuty.  </w:t>
      </w:r>
      <w:r>
        <w:t xml:space="preserve">Seznámíte se i s plněním rozehřátou gutaperčou. </w:t>
      </w:r>
    </w:p>
    <w:p w14:paraId="0000000D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0E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Pomůcky pro cvičení: Vezměte si s sebou neprůhlednou lepící pásku, ideálně kobercovou. </w:t>
      </w:r>
    </w:p>
    <w:p w14:paraId="0000000F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0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Samozřejmostí jsou přezůvky, plášť, nástroje (</w:t>
      </w:r>
      <w:proofErr w:type="spellStart"/>
      <w:r>
        <w:rPr>
          <w:color w:val="000000"/>
        </w:rPr>
        <w:t>vrtáčky</w:t>
      </w:r>
      <w:proofErr w:type="spellEnd"/>
      <w:r>
        <w:rPr>
          <w:color w:val="000000"/>
        </w:rPr>
        <w:t xml:space="preserve">, ruční nástroje, endodontické nástroje) psací potřeby, obyčejná tužka, rukavice, </w:t>
      </w:r>
      <w:proofErr w:type="gramStart"/>
      <w:r>
        <w:rPr>
          <w:color w:val="000000"/>
        </w:rPr>
        <w:t xml:space="preserve">pravítko - </w:t>
      </w:r>
      <w:proofErr w:type="spellStart"/>
      <w:r>
        <w:rPr>
          <w:color w:val="000000"/>
        </w:rPr>
        <w:t>endoměrka</w:t>
      </w:r>
      <w:proofErr w:type="spellEnd"/>
      <w:proofErr w:type="gramEnd"/>
      <w:r>
        <w:rPr>
          <w:color w:val="000000"/>
        </w:rPr>
        <w:t>.</w:t>
      </w:r>
    </w:p>
    <w:p w14:paraId="00000011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</w:p>
    <w:p w14:paraId="00000012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Dbejte dalších pokynů vyučujících a instruktorů. </w:t>
      </w:r>
    </w:p>
    <w:p w14:paraId="00000013" w14:textId="77777777" w:rsidR="00677CB1" w:rsidRDefault="00677CB1">
      <w:pPr>
        <w:tabs>
          <w:tab w:val="left" w:pos="4111"/>
        </w:tabs>
        <w:rPr>
          <w:b/>
        </w:rPr>
      </w:pPr>
    </w:p>
    <w:p w14:paraId="00000014" w14:textId="77777777" w:rsidR="00677CB1" w:rsidRDefault="00F16DA8">
      <w:pPr>
        <w:tabs>
          <w:tab w:val="left" w:pos="4111"/>
        </w:tabs>
      </w:pPr>
      <w:r>
        <w:rPr>
          <w:b/>
        </w:rPr>
        <w:t xml:space="preserve">Ukončení předmětu: </w:t>
      </w:r>
    </w:p>
    <w:p w14:paraId="00000015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lastRenderedPageBreak/>
        <w:t>Podmínkou zápočtu je 100% účast na cvičení, splněný počet výkonů (</w:t>
      </w:r>
      <w:r>
        <w:rPr>
          <w:i/>
        </w:rPr>
        <w:t>2</w:t>
      </w:r>
      <w:r>
        <w:rPr>
          <w:i/>
          <w:color w:val="000000"/>
        </w:rPr>
        <w:t xml:space="preserve"> výkony a 2 prohlídky + asistence u 2 výkonů a 2 prohlídek</w:t>
      </w:r>
      <w:r>
        <w:rPr>
          <w:color w:val="000000"/>
        </w:rPr>
        <w:t xml:space="preserve">). O průběhu cvičení je veden záznam – protokol. </w:t>
      </w:r>
    </w:p>
    <w:p w14:paraId="00000016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7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i/>
          <w:color w:val="000000"/>
        </w:rPr>
      </w:pPr>
      <w:r>
        <w:rPr>
          <w:color w:val="000000"/>
        </w:rPr>
        <w:t xml:space="preserve">Protokoly jsou studenti povinni si vytisknout před zahájením cvičení. První stranu – záznam o simulované výuce odevzdají vyučujícímu simulované výuky, ve středu odevzdají také preparované zuby. Druhou stranu </w:t>
      </w:r>
      <w:proofErr w:type="gramStart"/>
      <w:r>
        <w:rPr>
          <w:color w:val="000000"/>
        </w:rPr>
        <w:t>-  protokol</w:t>
      </w:r>
      <w:proofErr w:type="gramEnd"/>
      <w:r>
        <w:rPr>
          <w:color w:val="000000"/>
        </w:rPr>
        <w:t xml:space="preserve"> klinické výuky (tabulka) potvrzují vyučující na výukovém sále každý den a studenti předloží při zápočtu. </w:t>
      </w:r>
      <w:r>
        <w:rPr>
          <w:i/>
          <w:color w:val="000000"/>
          <w:u w:val="single"/>
        </w:rPr>
        <w:t>Asistence budou značeny červeným písmenem A před jménem pacienta.</w:t>
      </w:r>
    </w:p>
    <w:p w14:paraId="00000018" w14:textId="77777777" w:rsidR="00677CB1" w:rsidRDefault="00F16DA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00000019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Protokoly a preparované zuby jsou archivovány po dobu, než student </w:t>
      </w:r>
      <w:proofErr w:type="gramStart"/>
      <w:r>
        <w:rPr>
          <w:color w:val="000000"/>
        </w:rPr>
        <w:t>složí</w:t>
      </w:r>
      <w:proofErr w:type="gramEnd"/>
      <w:r>
        <w:rPr>
          <w:color w:val="000000"/>
        </w:rPr>
        <w:t xml:space="preserve"> úspěšně zkoušku. </w:t>
      </w:r>
    </w:p>
    <w:p w14:paraId="0000001A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B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14:paraId="0000001C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D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b/>
        </w:rPr>
        <w:t>Kontrola splnění povinností k zápočtu</w:t>
      </w:r>
    </w:p>
    <w:p w14:paraId="0000001E" w14:textId="66D378BA" w:rsidR="00677CB1" w:rsidRDefault="00F16D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Kontrola se provádí prostřednictvím </w:t>
      </w:r>
      <w:proofErr w:type="spellStart"/>
      <w:proofErr w:type="gramStart"/>
      <w:r>
        <w:rPr>
          <w:color w:val="000000"/>
        </w:rPr>
        <w:t>is.muni</w:t>
      </w:r>
      <w:proofErr w:type="spellEnd"/>
      <w:proofErr w:type="gramEnd"/>
      <w:r>
        <w:rPr>
          <w:color w:val="000000"/>
        </w:rPr>
        <w:t xml:space="preserve">, kam studenti ukládají </w:t>
      </w:r>
      <w:r w:rsidR="00B77EF6">
        <w:rPr>
          <w:color w:val="000000"/>
        </w:rPr>
        <w:t>fotokopie</w:t>
      </w:r>
      <w:r>
        <w:rPr>
          <w:color w:val="000000"/>
        </w:rPr>
        <w:t xml:space="preserve"> protokolů do odevzdávárny. </w:t>
      </w:r>
    </w:p>
    <w:p w14:paraId="00000020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</w:pPr>
    </w:p>
    <w:p w14:paraId="00000021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14:paraId="00000022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14:paraId="00000023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4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  </w:t>
      </w:r>
    </w:p>
    <w:p w14:paraId="00000025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6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Vyučující může rovněž v odůvodněných případech uložit studentovi mimořádný úkol – např. zpracování písemné práce v rozsahu 3 stran A4 (normostran) nebo opakování preparace na modelu. </w:t>
      </w:r>
    </w:p>
    <w:p w14:paraId="00000027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8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O mimořádných úkolech a vyloučeních z praktických cvičení je vždy informován garant předmětu. </w:t>
      </w:r>
    </w:p>
    <w:p w14:paraId="00000029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A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Náhrada cvičení je možná v </w:t>
      </w:r>
      <w:r>
        <w:t xml:space="preserve">ve vybraném týdnu na konci semestru popř. v jiném termínu, </w:t>
      </w:r>
      <w:proofErr w:type="gramStart"/>
      <w:r>
        <w:t xml:space="preserve">vždy </w:t>
      </w:r>
      <w:r>
        <w:rPr>
          <w:color w:val="000000"/>
        </w:rPr>
        <w:t xml:space="preserve"> pouze</w:t>
      </w:r>
      <w:proofErr w:type="gramEnd"/>
      <w:r>
        <w:rPr>
          <w:color w:val="000000"/>
        </w:rPr>
        <w:t xml:space="preserve"> po domluvě s vyučujícím a s vědomím garanta předmětu. </w:t>
      </w:r>
    </w:p>
    <w:p w14:paraId="0000002B" w14:textId="77777777" w:rsidR="00677CB1" w:rsidRDefault="00677CB1">
      <w:pPr>
        <w:tabs>
          <w:tab w:val="left" w:pos="4111"/>
        </w:tabs>
      </w:pPr>
    </w:p>
    <w:p w14:paraId="0000002C" w14:textId="77777777" w:rsidR="00677CB1" w:rsidRDefault="00677CB1">
      <w:pPr>
        <w:tabs>
          <w:tab w:val="left" w:pos="4111"/>
        </w:tabs>
      </w:pPr>
    </w:p>
    <w:p w14:paraId="0000002D" w14:textId="77777777" w:rsidR="00677CB1" w:rsidRDefault="00677CB1">
      <w:pPr>
        <w:tabs>
          <w:tab w:val="left" w:pos="4111"/>
        </w:tabs>
      </w:pPr>
    </w:p>
    <w:p w14:paraId="0000002E" w14:textId="77777777" w:rsidR="00677CB1" w:rsidRDefault="00677CB1">
      <w:pPr>
        <w:tabs>
          <w:tab w:val="left" w:pos="4111"/>
        </w:tabs>
      </w:pPr>
    </w:p>
    <w:p w14:paraId="0000002F" w14:textId="77777777" w:rsidR="00677CB1" w:rsidRDefault="00677CB1">
      <w:pPr>
        <w:tabs>
          <w:tab w:val="left" w:pos="4111"/>
        </w:tabs>
      </w:pPr>
    </w:p>
    <w:p w14:paraId="00000030" w14:textId="77777777" w:rsidR="00677CB1" w:rsidRDefault="00677CB1">
      <w:pPr>
        <w:tabs>
          <w:tab w:val="left" w:pos="4111"/>
        </w:tabs>
      </w:pPr>
    </w:p>
    <w:p w14:paraId="00000031" w14:textId="77777777" w:rsidR="00677CB1" w:rsidRDefault="00677CB1">
      <w:pPr>
        <w:tabs>
          <w:tab w:val="left" w:pos="4111"/>
        </w:tabs>
      </w:pPr>
    </w:p>
    <w:p w14:paraId="00000032" w14:textId="77777777" w:rsidR="00677CB1" w:rsidRDefault="00677CB1">
      <w:pPr>
        <w:tabs>
          <w:tab w:val="left" w:pos="4111"/>
        </w:tabs>
      </w:pPr>
    </w:p>
    <w:p w14:paraId="00000033" w14:textId="77777777" w:rsidR="00677CB1" w:rsidRDefault="00677CB1">
      <w:pPr>
        <w:tabs>
          <w:tab w:val="left" w:pos="4111"/>
        </w:tabs>
      </w:pPr>
    </w:p>
    <w:p w14:paraId="00000034" w14:textId="77777777" w:rsidR="00677CB1" w:rsidRDefault="00677CB1">
      <w:pPr>
        <w:tabs>
          <w:tab w:val="left" w:pos="4111"/>
        </w:tabs>
      </w:pPr>
    </w:p>
    <w:p w14:paraId="00000035" w14:textId="77777777" w:rsidR="00677CB1" w:rsidRDefault="00677CB1">
      <w:pPr>
        <w:tabs>
          <w:tab w:val="left" w:pos="4111"/>
        </w:tabs>
      </w:pPr>
    </w:p>
    <w:p w14:paraId="00000036" w14:textId="77777777" w:rsidR="00677CB1" w:rsidRDefault="00677CB1"/>
    <w:sectPr w:rsidR="00677CB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B6A"/>
    <w:multiLevelType w:val="multilevel"/>
    <w:tmpl w:val="0024A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0107EB"/>
    <w:multiLevelType w:val="multilevel"/>
    <w:tmpl w:val="D458D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AD3E40"/>
    <w:multiLevelType w:val="multilevel"/>
    <w:tmpl w:val="B0A63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9194027">
    <w:abstractNumId w:val="2"/>
  </w:num>
  <w:num w:numId="2" w16cid:durableId="1446387821">
    <w:abstractNumId w:val="1"/>
  </w:num>
  <w:num w:numId="3" w16cid:durableId="16177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B1"/>
    <w:rsid w:val="00677CB1"/>
    <w:rsid w:val="007834E4"/>
    <w:rsid w:val="00B77EF6"/>
    <w:rsid w:val="00C40D7F"/>
    <w:rsid w:val="00F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145"/>
  <w15:docId w15:val="{821172ED-FBD7-4170-BC6D-15400975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8D71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08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40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voxel.tech/shop/balik-endotooth-3-rocnik-lf-br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tFlKe6VI+gwC5vbHThdZeMm6A==">AMUW2mVDdnMxitUqNKdhqzInwOm7wAIbdwohSufRoDZ0DGPGSM+5Kikl6QC7tvbi8bYiXbBC5/6DzcZh2lS53nLQQcmDci12AFfBzQXO22Xb0qxE8r2hA/DZgKj50hAYXPPCCl9UV2c5+5X+Aji/3xMUbRSXTeAKYB9ITLS4ehdZKXlarwGcjZGVhE1A8H8TGXgH8PZqT2OG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2023-02-01T12:07:00Z</dcterms:created>
  <dcterms:modified xsi:type="dcterms:W3CDTF">2023-02-01T12:07:00Z</dcterms:modified>
</cp:coreProperties>
</file>