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0D" w:rsidRDefault="00947E5A">
      <w:r>
        <w:rPr>
          <w:noProof/>
          <w:lang w:eastAsia="cs-CZ"/>
        </w:rPr>
        <w:drawing>
          <wp:inline distT="0" distB="0" distL="0" distR="0">
            <wp:extent cx="4829175" cy="6438900"/>
            <wp:effectExtent l="19050" t="0" r="9525" b="0"/>
            <wp:docPr id="1" name="obrázek 1" descr="fig8Upra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ig8Uprav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1E" w:rsidRDefault="003D691E"/>
    <w:p w:rsidR="003D691E" w:rsidRDefault="003D691E"/>
    <w:p w:rsidR="003D691E" w:rsidRDefault="00947E5A">
      <w:r>
        <w:rPr>
          <w:noProof/>
          <w:lang w:eastAsia="cs-CZ"/>
        </w:rPr>
        <w:lastRenderedPageBreak/>
        <w:drawing>
          <wp:inline distT="0" distB="0" distL="0" distR="0">
            <wp:extent cx="3714750" cy="7572375"/>
            <wp:effectExtent l="0" t="0" r="0" b="0"/>
            <wp:docPr id="2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14750" cy="7570788"/>
                      <a:chOff x="4857750" y="285750"/>
                      <a:chExt cx="3714750" cy="7570788"/>
                    </a:xfrm>
                  </a:grpSpPr>
                  <a:sp>
                    <a:nvSpPr>
                      <a:cNvPr id="2051" name="TextovéPole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57750" y="285750"/>
                        <a:ext cx="3714750" cy="7570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III.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IV.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VI.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XII.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VII.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V. (</a:t>
                          </a:r>
                          <a:r>
                            <a:rPr lang="cs-CZ" dirty="0" err="1"/>
                            <a:t>masticatorius</a:t>
                          </a:r>
                          <a:r>
                            <a:rPr lang="cs-CZ" dirty="0"/>
                            <a:t>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motorius</a:t>
                          </a:r>
                          <a:r>
                            <a:rPr lang="cs-CZ" dirty="0"/>
                            <a:t> (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) n. IX, X, XI, (</a:t>
                          </a: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ambiguus</a:t>
                          </a:r>
                          <a:r>
                            <a:rPr lang="cs-CZ" dirty="0"/>
                            <a:t>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 </a:t>
                          </a:r>
                          <a:r>
                            <a:rPr lang="cs-CZ" dirty="0" err="1"/>
                            <a:t>parasympathicus</a:t>
                          </a:r>
                          <a:r>
                            <a:rPr lang="cs-CZ" dirty="0"/>
                            <a:t> n. III (</a:t>
                          </a: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E.W.)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 </a:t>
                          </a:r>
                          <a:r>
                            <a:rPr lang="cs-CZ" dirty="0" err="1"/>
                            <a:t>parasympathicus</a:t>
                          </a:r>
                          <a:r>
                            <a:rPr lang="cs-CZ" dirty="0"/>
                            <a:t> n. VII (</a:t>
                          </a:r>
                          <a:r>
                            <a:rPr lang="cs-CZ" dirty="0" err="1"/>
                            <a:t>salivatorius</a:t>
                          </a:r>
                          <a:r>
                            <a:rPr lang="cs-CZ" dirty="0"/>
                            <a:t> sup.)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 </a:t>
                          </a:r>
                          <a:r>
                            <a:rPr lang="cs-CZ" dirty="0" err="1"/>
                            <a:t>parasympathicus</a:t>
                          </a:r>
                          <a:r>
                            <a:rPr lang="cs-CZ" dirty="0"/>
                            <a:t> n. IX. (</a:t>
                          </a:r>
                          <a:r>
                            <a:rPr lang="cs-CZ" dirty="0" err="1"/>
                            <a:t>salivatorius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inf</a:t>
                          </a:r>
                          <a:r>
                            <a:rPr lang="cs-CZ" dirty="0"/>
                            <a:t>.)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parasympathicus</a:t>
                          </a:r>
                          <a:r>
                            <a:rPr lang="cs-CZ" dirty="0"/>
                            <a:t> n. X (</a:t>
                          </a: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originis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dorsalis</a:t>
                          </a:r>
                          <a:r>
                            <a:rPr lang="cs-CZ" dirty="0"/>
                            <a:t>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solitarius</a:t>
                          </a:r>
                          <a:r>
                            <a:rPr lang="cs-CZ" dirty="0"/>
                            <a:t>  (</a:t>
                          </a:r>
                          <a:r>
                            <a:rPr lang="cs-CZ" dirty="0" err="1"/>
                            <a:t>upper</a:t>
                          </a:r>
                          <a:r>
                            <a:rPr lang="cs-CZ" dirty="0"/>
                            <a:t> part </a:t>
                          </a:r>
                          <a:r>
                            <a:rPr lang="cs-CZ" dirty="0" err="1"/>
                            <a:t>nucl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gustatorius</a:t>
                          </a:r>
                          <a:r>
                            <a:rPr lang="cs-CZ" dirty="0"/>
                            <a:t>)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spinalis</a:t>
                          </a:r>
                          <a:r>
                            <a:rPr lang="cs-CZ" dirty="0"/>
                            <a:t> n. V.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principalis</a:t>
                          </a:r>
                          <a:r>
                            <a:rPr lang="cs-CZ" dirty="0"/>
                            <a:t> n. V.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</a:t>
                          </a:r>
                          <a:r>
                            <a:rPr lang="cs-CZ" dirty="0"/>
                            <a:t>. </a:t>
                          </a:r>
                          <a:r>
                            <a:rPr lang="cs-CZ" dirty="0" err="1"/>
                            <a:t>mesencephalicus</a:t>
                          </a:r>
                          <a:r>
                            <a:rPr lang="cs-CZ" dirty="0"/>
                            <a:t> n. V.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r>
                            <a:rPr lang="cs-CZ" dirty="0" err="1"/>
                            <a:t>ncll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cochleares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et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dirty="0" err="1"/>
                            <a:t>vestibulares</a:t>
                          </a:r>
                          <a:endParaRPr lang="cs-CZ" dirty="0"/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endParaRPr lang="cs-CZ" dirty="0"/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endParaRPr lang="cs-CZ" dirty="0"/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endParaRPr lang="cs-CZ" dirty="0"/>
                        </a:p>
                        <a:p>
                          <a:pPr marL="342900" indent="-342900">
                            <a:buFontTx/>
                            <a:buAutoNum type="arabicPeriod"/>
                          </a:pP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D691E" w:rsidSect="0015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691E"/>
    <w:rsid w:val="00156E0D"/>
    <w:rsid w:val="003D691E"/>
    <w:rsid w:val="005A0E1B"/>
    <w:rsid w:val="0094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Račanská</dc:creator>
  <cp:lastModifiedBy>Michaela Račanská</cp:lastModifiedBy>
  <cp:revision>2</cp:revision>
  <dcterms:created xsi:type="dcterms:W3CDTF">2013-09-24T19:13:00Z</dcterms:created>
  <dcterms:modified xsi:type="dcterms:W3CDTF">2013-09-24T19:13:00Z</dcterms:modified>
</cp:coreProperties>
</file>