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B" w:rsidRDefault="002F59CB" w:rsidP="000C492D">
      <w:pPr>
        <w:pStyle w:val="Nadpis4"/>
        <w:rPr>
          <w:rStyle w:val="Siln"/>
          <w:rFonts w:ascii="Times New Roman" w:hAnsi="Times New Roman"/>
          <w:b/>
          <w:sz w:val="24"/>
          <w:szCs w:val="24"/>
        </w:rPr>
      </w:pPr>
      <w:r>
        <w:rPr>
          <w:rStyle w:val="Siln"/>
          <w:rFonts w:ascii="Times New Roman" w:hAnsi="Times New Roman"/>
          <w:b/>
          <w:sz w:val="24"/>
          <w:szCs w:val="24"/>
        </w:rPr>
        <w:t>Zdroje energie a zdraví</w:t>
      </w:r>
    </w:p>
    <w:p w:rsidR="002F59CB" w:rsidRDefault="002F59CB" w:rsidP="002F59CB">
      <w:r>
        <w:t xml:space="preserve">Prof. MUDr. Jaroslav </w:t>
      </w:r>
      <w:proofErr w:type="spellStart"/>
      <w:r>
        <w:t>Kotulán</w:t>
      </w:r>
      <w:proofErr w:type="spellEnd"/>
      <w:r>
        <w:t>, CSc.</w:t>
      </w:r>
    </w:p>
    <w:p w:rsidR="002F59CB" w:rsidRPr="002F59CB" w:rsidRDefault="002F59CB" w:rsidP="002F59CB">
      <w:pPr>
        <w:jc w:val="center"/>
      </w:pPr>
      <w:bookmarkStart w:id="0" w:name="_GoBack"/>
      <w:r>
        <w:t>ANOTACE</w:t>
      </w:r>
    </w:p>
    <w:bookmarkEnd w:id="0"/>
    <w:p w:rsidR="000C492D" w:rsidRPr="000C492D" w:rsidRDefault="000C492D" w:rsidP="000C492D">
      <w:pPr>
        <w:pStyle w:val="Nadpis4"/>
        <w:rPr>
          <w:rStyle w:val="Siln"/>
          <w:rFonts w:ascii="Times New Roman" w:hAnsi="Times New Roman"/>
          <w:b/>
          <w:sz w:val="24"/>
          <w:szCs w:val="24"/>
        </w:rPr>
      </w:pPr>
      <w:r w:rsidRPr="000C492D">
        <w:rPr>
          <w:rStyle w:val="Siln"/>
          <w:rFonts w:ascii="Times New Roman" w:hAnsi="Times New Roman"/>
          <w:b/>
          <w:sz w:val="24"/>
          <w:szCs w:val="24"/>
        </w:rPr>
        <w:t>Výroba energie</w:t>
      </w:r>
    </w:p>
    <w:p w:rsidR="000C492D" w:rsidRPr="000C492D" w:rsidRDefault="000C492D" w:rsidP="000C492D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0C492D">
        <w:rPr>
          <w:rStyle w:val="Siln"/>
          <w:rFonts w:ascii="Times New Roman" w:hAnsi="Times New Roman"/>
          <w:b w:val="0"/>
          <w:sz w:val="24"/>
          <w:szCs w:val="24"/>
        </w:rPr>
        <w:t>Zásobování energií je nezbytnou podmínkou uchování a rozvíjení technické a ekonomické úrovně dnešní společnosti. Potřeba energie soustavně roste a s ní i zařízení k její výrobě a transportu.</w:t>
      </w:r>
    </w:p>
    <w:p w:rsidR="000C492D" w:rsidRPr="000C492D" w:rsidRDefault="000C492D" w:rsidP="000C492D">
      <w:pPr>
        <w:outlineLvl w:val="0"/>
        <w:rPr>
          <w:rStyle w:val="Siln"/>
          <w:rFonts w:ascii="Times New Roman" w:hAnsi="Times New Roman"/>
          <w:b w:val="0"/>
          <w:sz w:val="24"/>
          <w:szCs w:val="24"/>
        </w:rPr>
      </w:pPr>
      <w:r w:rsidRPr="000C492D">
        <w:rPr>
          <w:rStyle w:val="Siln"/>
          <w:rFonts w:ascii="Times New Roman" w:hAnsi="Times New Roman"/>
          <w:sz w:val="24"/>
          <w:szCs w:val="24"/>
        </w:rPr>
        <w:t>Hlavní zdroje</w:t>
      </w:r>
      <w:r w:rsidRPr="000C492D">
        <w:rPr>
          <w:rStyle w:val="Siln"/>
          <w:rFonts w:ascii="Times New Roman" w:hAnsi="Times New Roman"/>
          <w:b w:val="0"/>
          <w:sz w:val="24"/>
          <w:szCs w:val="24"/>
        </w:rPr>
        <w:t xml:space="preserve"> vyráběné energie</w:t>
      </w:r>
    </w:p>
    <w:p w:rsidR="000C492D" w:rsidRPr="000C492D" w:rsidRDefault="000C492D" w:rsidP="000C492D">
      <w:pPr>
        <w:numPr>
          <w:ilvl w:val="0"/>
          <w:numId w:val="1"/>
        </w:numPr>
        <w:spacing w:after="0" w:line="240" w:lineRule="auto"/>
        <w:rPr>
          <w:rStyle w:val="Siln"/>
          <w:rFonts w:ascii="Times New Roman" w:hAnsi="Times New Roman"/>
          <w:b w:val="0"/>
          <w:sz w:val="24"/>
          <w:szCs w:val="24"/>
        </w:rPr>
      </w:pPr>
      <w:r w:rsidRPr="000C492D">
        <w:rPr>
          <w:rStyle w:val="Siln"/>
          <w:rFonts w:ascii="Times New Roman" w:hAnsi="Times New Roman"/>
          <w:b w:val="0"/>
          <w:sz w:val="24"/>
          <w:szCs w:val="24"/>
        </w:rPr>
        <w:t>Neobnovitelné</w:t>
      </w:r>
    </w:p>
    <w:p w:rsidR="000C492D" w:rsidRPr="000C492D" w:rsidRDefault="000C492D" w:rsidP="000C49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Uhelné elektrárny</w:t>
      </w:r>
    </w:p>
    <w:p w:rsidR="000C492D" w:rsidRPr="000C492D" w:rsidRDefault="000C492D" w:rsidP="000C49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Nukleární (atomové) elektrárny</w:t>
      </w:r>
    </w:p>
    <w:p w:rsidR="000C492D" w:rsidRPr="000C492D" w:rsidRDefault="000C492D" w:rsidP="000C49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Obnovitelné</w:t>
      </w:r>
    </w:p>
    <w:p w:rsidR="000C492D" w:rsidRPr="000C492D" w:rsidRDefault="000C492D" w:rsidP="000C492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Vodní elektrárny (v přímořských státech i slapové)</w:t>
      </w:r>
    </w:p>
    <w:p w:rsidR="000C492D" w:rsidRPr="000C492D" w:rsidRDefault="000C492D" w:rsidP="000C492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Využití solární energie</w:t>
      </w:r>
    </w:p>
    <w:p w:rsidR="000C492D" w:rsidRPr="000C492D" w:rsidRDefault="000C492D" w:rsidP="000C492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Větrné elektrárny</w:t>
      </w:r>
    </w:p>
    <w:p w:rsidR="000C492D" w:rsidRPr="000C492D" w:rsidRDefault="000C492D" w:rsidP="000C492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Spalování biomasy</w:t>
      </w:r>
    </w:p>
    <w:p w:rsidR="000C492D" w:rsidRPr="000C492D" w:rsidRDefault="000C492D" w:rsidP="000C492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Geotermické vrty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Z obnovitelných zdrojů může mít zdravotní význam pouze využití větrné energie a spalování biomasy.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Potenciální vlivy na zdraví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Uhelné elektrárny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Zdrojem energie je zde spalování uhlí. </w:t>
      </w:r>
      <w:proofErr w:type="spellStart"/>
      <w:r w:rsidRPr="000C492D">
        <w:rPr>
          <w:rFonts w:ascii="Times New Roman" w:hAnsi="Times New Roman"/>
          <w:sz w:val="24"/>
          <w:szCs w:val="24"/>
        </w:rPr>
        <w:t>Hlavím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rizikem je znečišťování prostředí zdravotně škodlivými produkty, a) suspendovanými částicemi v ovzduší (prachem, b) plynnými exhalacemi. Při spalování uhlí je produkováno značné množství popele, který většinou zůstává na roštu a je odtud odstraňován, zčásti však v částicích tak jemných, že uletují do komína. V dnešních uhelných elektrárnách je jemný popel zachycován elektrostatickými filtry s vysokou účinností (nad 99%), zbytek je emitován do zevního prostředí jako aerosol velmi jemných částic, tzv. popílek. Zachycovány jsou i toxické plyny, zčásti však rovněž unikají do ovzduší. Ze zdravotně významných je to především oxid siřičitý, neboť každé uhlí obsahuje příměs síry, která se při spalování oxiduje na SO</w:t>
      </w:r>
      <w:r w:rsidRPr="000C492D">
        <w:rPr>
          <w:rFonts w:ascii="Times New Roman" w:hAnsi="Times New Roman"/>
          <w:sz w:val="24"/>
          <w:szCs w:val="24"/>
          <w:vertAlign w:val="subscript"/>
        </w:rPr>
        <w:t>2</w:t>
      </w:r>
      <w:r w:rsidRPr="000C492D">
        <w:rPr>
          <w:rFonts w:ascii="Times New Roman" w:hAnsi="Times New Roman"/>
          <w:sz w:val="24"/>
          <w:szCs w:val="24"/>
        </w:rPr>
        <w:t>, a oxidy dusíku. O uvedených škodlivinách pevných i plynných blíže pojednává výuková jednotka Znečištění ovzduší a zdraví.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Nukleární elektrárny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Zdrojem energie je v nukleárních elektrárnách štěpení těžkých jader atomů uranu ostřelovaných neutrony. Štěpné produkty vyletují s obrovskou kinetickou energií, která se při jejich zbrzdění ve vhodném materiálu (moderátoru) mění na energii tepelnou. Ta je využívána k výrobě páry vedené do turbín, na něž jsou napojeny generátory elektrické energie. Jde o řízenou řetězovou štěpnou reakci, jejíž intenzita je podle potřeby dobře regulovatelná. Moderátorem i chladivem je u většiny dnešních elektráren, včetně českých, obyčejná voda. Zbytkové teplo je odváděno z chladících věží do ovzduší v podobě čisté vodní páry. Palivem je přírodní uran (oxid uraničitý s převažujícím izotopem </w:t>
      </w:r>
      <w:r w:rsidRPr="000C492D">
        <w:rPr>
          <w:rFonts w:ascii="Times New Roman" w:hAnsi="Times New Roman"/>
          <w:sz w:val="24"/>
          <w:szCs w:val="24"/>
          <w:vertAlign w:val="superscript"/>
        </w:rPr>
        <w:t>238</w:t>
      </w:r>
      <w:r w:rsidRPr="000C492D">
        <w:rPr>
          <w:rFonts w:ascii="Times New Roman" w:hAnsi="Times New Roman"/>
          <w:sz w:val="24"/>
          <w:szCs w:val="24"/>
        </w:rPr>
        <w:t xml:space="preserve">U) obohacený o štěpitelný izotop </w:t>
      </w:r>
      <w:r w:rsidRPr="000C492D">
        <w:rPr>
          <w:rFonts w:ascii="Times New Roman" w:hAnsi="Times New Roman"/>
          <w:sz w:val="24"/>
          <w:szCs w:val="24"/>
          <w:vertAlign w:val="superscript"/>
        </w:rPr>
        <w:t>235</w:t>
      </w:r>
      <w:r w:rsidRPr="000C492D">
        <w:rPr>
          <w:rFonts w:ascii="Times New Roman" w:hAnsi="Times New Roman"/>
          <w:sz w:val="24"/>
          <w:szCs w:val="24"/>
        </w:rPr>
        <w:t xml:space="preserve">U (na 2-4% celkového množství U).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lastRenderedPageBreak/>
        <w:t xml:space="preserve">U nukleárních elektráren není ovzduší zatěžováno skleníkovými nebo toxickými plyny. Přítomné radioizotopy jsou sofistikovanými filtračními a jinými zařízeními téměř úplně zachycovány, a jen zcela nepatrné stopy unikají do ovzduší (tzv. vzdušné výpustě) a do odpadní vody (vodní výpustě). Nukleární elektrárna tak za normálního provozu nepatrně zvyšuje dávkové zátěže v okolním životním prostředí. K nejvýznamnějším radionuklidům, které vznikají při provozu jaderné elektrárny, patří jednak štěpné produkty (vzácné plyny </w:t>
      </w:r>
      <w:r w:rsidRPr="000C492D">
        <w:rPr>
          <w:rFonts w:ascii="Times New Roman" w:hAnsi="Times New Roman"/>
          <w:sz w:val="24"/>
          <w:szCs w:val="24"/>
          <w:vertAlign w:val="superscript"/>
        </w:rPr>
        <w:t>85</w:t>
      </w:r>
      <w:r w:rsidRPr="000C492D">
        <w:rPr>
          <w:rFonts w:ascii="Times New Roman" w:hAnsi="Times New Roman"/>
          <w:sz w:val="24"/>
          <w:szCs w:val="24"/>
        </w:rPr>
        <w:t xml:space="preserve">Kr a </w:t>
      </w:r>
      <w:r w:rsidRPr="000C492D">
        <w:rPr>
          <w:rFonts w:ascii="Times New Roman" w:hAnsi="Times New Roman"/>
          <w:sz w:val="24"/>
          <w:szCs w:val="24"/>
          <w:vertAlign w:val="superscript"/>
        </w:rPr>
        <w:t>133</w:t>
      </w:r>
      <w:r w:rsidRPr="000C492D">
        <w:rPr>
          <w:rFonts w:ascii="Times New Roman" w:hAnsi="Times New Roman"/>
          <w:sz w:val="24"/>
          <w:szCs w:val="24"/>
        </w:rPr>
        <w:t xml:space="preserve">Xe, dále </w:t>
      </w:r>
      <w:r w:rsidRPr="000C492D">
        <w:rPr>
          <w:rFonts w:ascii="Times New Roman" w:hAnsi="Times New Roman"/>
          <w:sz w:val="24"/>
          <w:szCs w:val="24"/>
          <w:vertAlign w:val="superscript"/>
        </w:rPr>
        <w:t>131</w:t>
      </w:r>
      <w:r w:rsidRPr="000C492D">
        <w:rPr>
          <w:rFonts w:ascii="Times New Roman" w:hAnsi="Times New Roman"/>
          <w:sz w:val="24"/>
          <w:szCs w:val="24"/>
        </w:rPr>
        <w:t xml:space="preserve">I,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133</w:t>
      </w:r>
      <w:r w:rsidRPr="000C492D">
        <w:rPr>
          <w:rFonts w:ascii="Times New Roman" w:hAnsi="Times New Roman"/>
          <w:sz w:val="24"/>
          <w:szCs w:val="24"/>
        </w:rPr>
        <w:t xml:space="preserve">I,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134</w:t>
      </w:r>
      <w:r w:rsidRPr="000C492D">
        <w:rPr>
          <w:rFonts w:ascii="Times New Roman" w:hAnsi="Times New Roman"/>
          <w:sz w:val="24"/>
          <w:szCs w:val="24"/>
        </w:rPr>
        <w:t xml:space="preserve">Cs,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137</w:t>
      </w:r>
      <w:r w:rsidRPr="000C492D">
        <w:rPr>
          <w:rFonts w:ascii="Times New Roman" w:hAnsi="Times New Roman"/>
          <w:sz w:val="24"/>
          <w:szCs w:val="24"/>
        </w:rPr>
        <w:t>Cs), jednak aktivační korozní produkty (</w:t>
      </w:r>
      <w:r w:rsidRPr="000C492D">
        <w:rPr>
          <w:rFonts w:ascii="Times New Roman" w:hAnsi="Times New Roman"/>
          <w:sz w:val="24"/>
          <w:szCs w:val="24"/>
          <w:vertAlign w:val="superscript"/>
        </w:rPr>
        <w:t>51</w:t>
      </w:r>
      <w:r w:rsidRPr="000C492D">
        <w:rPr>
          <w:rFonts w:ascii="Times New Roman" w:hAnsi="Times New Roman"/>
          <w:sz w:val="24"/>
          <w:szCs w:val="24"/>
        </w:rPr>
        <w:t xml:space="preserve">Cr,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55</w:t>
      </w:r>
      <w:r w:rsidRPr="000C492D">
        <w:rPr>
          <w:rFonts w:ascii="Times New Roman" w:hAnsi="Times New Roman"/>
          <w:sz w:val="24"/>
          <w:szCs w:val="24"/>
        </w:rPr>
        <w:t xml:space="preserve">Fe,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57</w:t>
      </w:r>
      <w:r w:rsidRPr="000C492D">
        <w:rPr>
          <w:rFonts w:ascii="Times New Roman" w:hAnsi="Times New Roman"/>
          <w:sz w:val="24"/>
          <w:szCs w:val="24"/>
        </w:rPr>
        <w:t xml:space="preserve">Mn,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60</w:t>
      </w:r>
      <w:r w:rsidRPr="000C492D">
        <w:rPr>
          <w:rFonts w:ascii="Times New Roman" w:hAnsi="Times New Roman"/>
          <w:sz w:val="24"/>
          <w:szCs w:val="24"/>
        </w:rPr>
        <w:t xml:space="preserve">Co,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59</w:t>
      </w:r>
      <w:r w:rsidRPr="000C492D">
        <w:rPr>
          <w:rFonts w:ascii="Times New Roman" w:hAnsi="Times New Roman"/>
          <w:sz w:val="24"/>
          <w:szCs w:val="24"/>
        </w:rPr>
        <w:t xml:space="preserve">Ni,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65</w:t>
      </w:r>
      <w:r w:rsidRPr="000C492D">
        <w:rPr>
          <w:rFonts w:ascii="Times New Roman" w:hAnsi="Times New Roman"/>
          <w:sz w:val="24"/>
          <w:szCs w:val="24"/>
        </w:rPr>
        <w:t xml:space="preserve">Zn, </w:t>
      </w:r>
      <w:r w:rsidRPr="000C492D">
        <w:rPr>
          <w:rFonts w:ascii="Times New Roman" w:hAnsi="Times New Roman"/>
          <w:sz w:val="24"/>
          <w:szCs w:val="24"/>
          <w:vertAlign w:val="superscript"/>
        </w:rPr>
        <w:t>110m</w:t>
      </w:r>
      <w:r w:rsidRPr="000C492D">
        <w:rPr>
          <w:rFonts w:ascii="Times New Roman" w:hAnsi="Times New Roman"/>
          <w:sz w:val="24"/>
          <w:szCs w:val="24"/>
        </w:rPr>
        <w:t>Ag), a také aktivační produkty chladiva (</w:t>
      </w:r>
      <w:r w:rsidRPr="000C492D">
        <w:rPr>
          <w:rFonts w:ascii="Times New Roman" w:hAnsi="Times New Roman"/>
          <w:sz w:val="24"/>
          <w:szCs w:val="24"/>
          <w:vertAlign w:val="superscript"/>
        </w:rPr>
        <w:t>3</w:t>
      </w:r>
      <w:r w:rsidRPr="000C492D">
        <w:rPr>
          <w:rFonts w:ascii="Times New Roman" w:hAnsi="Times New Roman"/>
          <w:sz w:val="24"/>
          <w:szCs w:val="24"/>
        </w:rPr>
        <w:t xml:space="preserve">H, </w:t>
      </w:r>
      <w:smartTag w:uri="urn:schemas-microsoft-com:office:smarttags" w:element="metricconverter">
        <w:smartTagPr>
          <w:attr w:name="ProductID" w:val="14C"/>
        </w:smartTagPr>
        <w:r w:rsidRPr="000C492D">
          <w:rPr>
            <w:rFonts w:ascii="Times New Roman" w:hAnsi="Times New Roman"/>
            <w:sz w:val="24"/>
            <w:szCs w:val="24"/>
            <w:vertAlign w:val="superscript"/>
          </w:rPr>
          <w:t>14</w:t>
        </w:r>
        <w:r w:rsidRPr="000C492D">
          <w:rPr>
            <w:rFonts w:ascii="Times New Roman" w:hAnsi="Times New Roman"/>
            <w:sz w:val="24"/>
            <w:szCs w:val="24"/>
          </w:rPr>
          <w:t>C</w:t>
        </w:r>
      </w:smartTag>
      <w:r w:rsidRPr="000C492D">
        <w:rPr>
          <w:rFonts w:ascii="Times New Roman" w:hAnsi="Times New Roman"/>
          <w:sz w:val="24"/>
          <w:szCs w:val="24"/>
        </w:rPr>
        <w:t xml:space="preserve">) a transurany (zejména </w:t>
      </w:r>
      <w:r w:rsidRPr="000C492D">
        <w:rPr>
          <w:rFonts w:ascii="Times New Roman" w:hAnsi="Times New Roman"/>
          <w:sz w:val="24"/>
          <w:szCs w:val="24"/>
          <w:vertAlign w:val="superscript"/>
        </w:rPr>
        <w:t>241</w:t>
      </w:r>
      <w:r w:rsidRPr="000C492D">
        <w:rPr>
          <w:rFonts w:ascii="Times New Roman" w:hAnsi="Times New Roman"/>
          <w:sz w:val="24"/>
          <w:szCs w:val="24"/>
        </w:rPr>
        <w:t>Am).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Expozice obyvatel v okolí </w:t>
      </w:r>
      <w:proofErr w:type="spellStart"/>
      <w:r w:rsidRPr="000C492D">
        <w:rPr>
          <w:rFonts w:ascii="Times New Roman" w:hAnsi="Times New Roman"/>
          <w:sz w:val="24"/>
          <w:szCs w:val="24"/>
        </w:rPr>
        <w:t>nukleaární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elektrárny je možná šesti základními cestami: a) vdechováním ovzduší s imisemi radionuklidů, b) požíváním potravin v místě vypěstovaných, do nichž mohou být radionuklidy inkorporovány, c) zevním ozářením „z mraku“ („oblaku“), tj. z kontaminovaného ovzduší, d) zevním ozářením z depozitu na povrchu terénu, e) vdechováním </w:t>
      </w:r>
      <w:proofErr w:type="spellStart"/>
      <w:r w:rsidRPr="000C492D">
        <w:rPr>
          <w:rFonts w:ascii="Times New Roman" w:hAnsi="Times New Roman"/>
          <w:sz w:val="24"/>
          <w:szCs w:val="24"/>
        </w:rPr>
        <w:t>resuspendovaných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nuklidů z depozitu, f) užíváním kontaminované vody.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Zátěže exponovaného obyvatelstva se počítají jednak jako efektivní dávky E vyjadřované v </w:t>
      </w:r>
      <w:proofErr w:type="spellStart"/>
      <w:proofErr w:type="gramStart"/>
      <w:r w:rsidRPr="000C492D">
        <w:rPr>
          <w:rFonts w:ascii="Times New Roman" w:hAnsi="Times New Roman"/>
          <w:sz w:val="24"/>
          <w:szCs w:val="24"/>
        </w:rPr>
        <w:t>sievertech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0C492D">
        <w:rPr>
          <w:rFonts w:ascii="Times New Roman" w:hAnsi="Times New Roman"/>
          <w:sz w:val="24"/>
          <w:szCs w:val="24"/>
        </w:rPr>
        <w:t>Sv</w:t>
      </w:r>
      <w:proofErr w:type="spellEnd"/>
      <w:proofErr w:type="gramEnd"/>
      <w:r w:rsidRPr="000C492D">
        <w:rPr>
          <w:rFonts w:ascii="Times New Roman" w:hAnsi="Times New Roman"/>
          <w:sz w:val="24"/>
          <w:szCs w:val="24"/>
        </w:rPr>
        <w:t xml:space="preserve">), resp. obvykle v jejich dílech, </w:t>
      </w:r>
      <w:proofErr w:type="spellStart"/>
      <w:r w:rsidRPr="000C492D">
        <w:rPr>
          <w:rFonts w:ascii="Times New Roman" w:hAnsi="Times New Roman"/>
          <w:sz w:val="24"/>
          <w:szCs w:val="24"/>
        </w:rPr>
        <w:t>mSv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nebo µSv. Kromě vlivu bezprostřední expozice se počítá i úvazek efektivní </w:t>
      </w:r>
      <w:proofErr w:type="gramStart"/>
      <w:r w:rsidRPr="000C492D">
        <w:rPr>
          <w:rFonts w:ascii="Times New Roman" w:hAnsi="Times New Roman"/>
          <w:sz w:val="24"/>
          <w:szCs w:val="24"/>
        </w:rPr>
        <w:t>dávky E(τ), obvykle</w:t>
      </w:r>
      <w:proofErr w:type="gramEnd"/>
      <w:r w:rsidRPr="000C492D">
        <w:rPr>
          <w:rFonts w:ascii="Times New Roman" w:hAnsi="Times New Roman"/>
          <w:sz w:val="24"/>
          <w:szCs w:val="24"/>
        </w:rPr>
        <w:t xml:space="preserve"> na dalších 50 let, vyjadřující následné účinky radionuklidů </w:t>
      </w:r>
      <w:proofErr w:type="spellStart"/>
      <w:r w:rsidRPr="000C492D">
        <w:rPr>
          <w:rFonts w:ascii="Times New Roman" w:hAnsi="Times New Roman"/>
          <w:sz w:val="24"/>
          <w:szCs w:val="24"/>
        </w:rPr>
        <w:t>déledobě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deponovaných v organismu.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V obecné problematice vlivu ionizujícího záření na organismus odkazujeme na výukovou jednotku Ionizující záření.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Východiskem k výpočtu efektivních dávek resp. úvazků efektivních dávek z ovzduší jsou údaje o naměřených o aktivitách přízemních koncentrací radionuklidů v ovzduší (Bq.m</w:t>
      </w:r>
      <w:r w:rsidRPr="000C492D">
        <w:rPr>
          <w:rFonts w:ascii="Times New Roman" w:hAnsi="Times New Roman"/>
          <w:sz w:val="24"/>
          <w:szCs w:val="24"/>
          <w:vertAlign w:val="superscript"/>
        </w:rPr>
        <w:t>-3</w:t>
      </w:r>
      <w:r w:rsidRPr="000C492D">
        <w:rPr>
          <w:rFonts w:ascii="Times New Roman" w:hAnsi="Times New Roman"/>
          <w:sz w:val="24"/>
          <w:szCs w:val="24"/>
        </w:rPr>
        <w:t>), depozicích (Bq.m</w:t>
      </w:r>
      <w:r w:rsidRPr="000C492D">
        <w:rPr>
          <w:rFonts w:ascii="Times New Roman" w:hAnsi="Times New Roman"/>
          <w:sz w:val="24"/>
          <w:szCs w:val="24"/>
          <w:vertAlign w:val="superscript"/>
        </w:rPr>
        <w:t>2</w:t>
      </w:r>
      <w:r w:rsidRPr="000C492D">
        <w:rPr>
          <w:rFonts w:ascii="Times New Roman" w:hAnsi="Times New Roman"/>
          <w:sz w:val="24"/>
          <w:szCs w:val="24"/>
        </w:rPr>
        <w:t>) a depozičních příkonech (Bq.m</w:t>
      </w:r>
      <w:r w:rsidRPr="000C492D">
        <w:rPr>
          <w:rFonts w:ascii="Times New Roman" w:hAnsi="Times New Roman"/>
          <w:sz w:val="24"/>
          <w:szCs w:val="24"/>
          <w:vertAlign w:val="superscript"/>
        </w:rPr>
        <w:t>-2</w:t>
      </w:r>
      <w:r w:rsidRPr="000C492D">
        <w:rPr>
          <w:rFonts w:ascii="Times New Roman" w:hAnsi="Times New Roman"/>
          <w:sz w:val="24"/>
          <w:szCs w:val="24"/>
        </w:rPr>
        <w:t>.s</w:t>
      </w:r>
      <w:r w:rsidRPr="000C492D">
        <w:rPr>
          <w:rFonts w:ascii="Times New Roman" w:hAnsi="Times New Roman"/>
          <w:sz w:val="24"/>
          <w:szCs w:val="24"/>
          <w:vertAlign w:val="superscript"/>
        </w:rPr>
        <w:t>-1</w:t>
      </w:r>
      <w:r w:rsidRPr="000C492D">
        <w:rPr>
          <w:rFonts w:ascii="Times New Roman" w:hAnsi="Times New Roman"/>
          <w:sz w:val="24"/>
          <w:szCs w:val="24"/>
        </w:rPr>
        <w:t>).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Vědeckými podklady, z nichž jsou odvozována rizika plynoucí z ozáření člověka ionizujícím zářením, jsou jednak humánní studie (především osob přeživších výbuchy jaderných zbraní v Hirošimě a Nagasaki a jejich potomků, a také další speciální epidemiologické studie), jednak experimentální studie na zvířatech, zejména myších.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Podle nejnovějšího doporučení ICRP (</w:t>
      </w:r>
      <w:proofErr w:type="spellStart"/>
      <w:r w:rsidRPr="000C492D">
        <w:rPr>
          <w:rFonts w:ascii="Times New Roman" w:hAnsi="Times New Roman"/>
          <w:sz w:val="24"/>
          <w:szCs w:val="24"/>
        </w:rPr>
        <w:t>The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0C492D">
        <w:rPr>
          <w:rFonts w:ascii="Times New Roman" w:hAnsi="Times New Roman"/>
          <w:sz w:val="24"/>
          <w:szCs w:val="24"/>
        </w:rPr>
        <w:t>Commission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0C492D">
        <w:rPr>
          <w:rFonts w:ascii="Times New Roman" w:hAnsi="Times New Roman"/>
          <w:sz w:val="24"/>
          <w:szCs w:val="24"/>
        </w:rPr>
        <w:t>Radiological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92D">
        <w:rPr>
          <w:rFonts w:ascii="Times New Roman" w:hAnsi="Times New Roman"/>
          <w:sz w:val="24"/>
          <w:szCs w:val="24"/>
        </w:rPr>
        <w:t>Protection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) se riziko vyjadřuje odhadem tzv. zdravotní újmy. Tento termín zohledňuje souborně potenciální riziko smrtelných i léčitelných zhoubných novotvarů, poškození potomstva i efekt na zkrácení života. Pro běžnou populaci (mimo pracovníky profesionálně exponované) uvádí koeficient 0,057. Sv-1. To by při celoživotní expozici ročním dávkám 1 </w:t>
      </w:r>
      <w:proofErr w:type="spellStart"/>
      <w:r w:rsidRPr="000C492D">
        <w:rPr>
          <w:rFonts w:ascii="Times New Roman" w:hAnsi="Times New Roman"/>
          <w:sz w:val="24"/>
          <w:szCs w:val="24"/>
        </w:rPr>
        <w:t>Sv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znamenalo postižení 5,7 osob ze sta; poněvadž v praxi se roční dávky pohybují v hodnotách o tři řády nižších, vychází zde riziko újmy při dávce 1 </w:t>
      </w:r>
      <w:proofErr w:type="spellStart"/>
      <w:r w:rsidRPr="000C492D">
        <w:rPr>
          <w:rFonts w:ascii="Times New Roman" w:hAnsi="Times New Roman"/>
          <w:sz w:val="24"/>
          <w:szCs w:val="24"/>
        </w:rPr>
        <w:t>mSv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újmy v úrovni 5,7 obyvatel ze 100 tisíc.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Pokud jde o limity, jedna z hlavních zásad radiační ochrany stanoví, že všechny expozice musí být udržovány tak nízké, jak je možno s uvážením ekonomických a společenských hledisek dosáhnout (princip optimalizace ozáření). Usiluje se tedy o to, aby ozáření lidí bylo udržováno na nejnižší možné, avšak rozumně dosažitelné úrovni.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Takto vyhodnocené riziko z nukleárních elektráren je za normálního provozu jen stopové a prakticky zanedbatelné. Můžeme to ukázat na naší často diskutované jaderné elektrárně v Temelíně. V nejbližším okolí Temelína se riziko zdravotní újmy pohybuje v řádu 10</w:t>
      </w:r>
      <w:r w:rsidRPr="000C492D">
        <w:rPr>
          <w:rFonts w:ascii="Times New Roman" w:hAnsi="Times New Roman"/>
          <w:sz w:val="24"/>
          <w:szCs w:val="24"/>
          <w:vertAlign w:val="superscript"/>
        </w:rPr>
        <w:t>-6</w:t>
      </w:r>
      <w:r w:rsidRPr="000C492D">
        <w:rPr>
          <w:rFonts w:ascii="Times New Roman" w:hAnsi="Times New Roman"/>
          <w:sz w:val="24"/>
          <w:szCs w:val="24"/>
        </w:rPr>
        <w:t xml:space="preserve">, tj. při celoživotní expozici postižení jednoho člověka z milionu, a se vzdalováním od elektrárny dále </w:t>
      </w:r>
      <w:r w:rsidRPr="000C492D">
        <w:rPr>
          <w:rFonts w:ascii="Times New Roman" w:hAnsi="Times New Roman"/>
          <w:sz w:val="24"/>
          <w:szCs w:val="24"/>
        </w:rPr>
        <w:lastRenderedPageBreak/>
        <w:t xml:space="preserve">klesá. Jde o matematickou abstrakci, která nemá žádný praktický význam, neboť jen na zhoubné novotvary umírá z milionu cca 250 tisíc obyvatel.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Přitom jde o výpočet silně přeceňující reálnou životní situaci obyvatel, neboť předpokládá, že by posuzovaná osoba celou dobu pobývala v daném místě na otevřeném prostranství (bez korekce na odstínění budovami) a konzumovala jen lokálně vypěstované produkty.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Pozoruhodný pohled na roli vzdušných výpustí NJZ v radiačních zátěžích obyvatelstva může poskytnout i jejich srovnání s vlivy radiačního pozadí. Sečteme-li v oblasti Temelína dávkový příkon z hornin (tzv. terestriální záření), z kosmického záření, z radonu v domech a lékařského ozařování (</w:t>
      </w:r>
      <w:proofErr w:type="spellStart"/>
      <w:r w:rsidRPr="000C492D">
        <w:rPr>
          <w:rFonts w:ascii="Times New Roman" w:hAnsi="Times New Roman"/>
          <w:sz w:val="24"/>
          <w:szCs w:val="24"/>
        </w:rPr>
        <w:t>rtg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, radioizotopy), vychází celková efektivní dávka v celkové střední hodnotě 4,2 </w:t>
      </w:r>
      <w:proofErr w:type="spellStart"/>
      <w:r w:rsidRPr="000C492D">
        <w:rPr>
          <w:rFonts w:ascii="Times New Roman" w:hAnsi="Times New Roman"/>
          <w:sz w:val="24"/>
          <w:szCs w:val="24"/>
        </w:rPr>
        <w:t>mSv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za rok, zatímco ze vzdušných výpustí jsou to nanejvýš hodnoty kolem jednotek µ</w:t>
      </w:r>
      <w:proofErr w:type="spellStart"/>
      <w:r w:rsidRPr="000C492D">
        <w:rPr>
          <w:rFonts w:ascii="Times New Roman" w:hAnsi="Times New Roman"/>
          <w:sz w:val="24"/>
          <w:szCs w:val="24"/>
        </w:rPr>
        <w:t>Sv</w:t>
      </w:r>
      <w:proofErr w:type="spellEnd"/>
      <w:r w:rsidRPr="000C492D">
        <w:rPr>
          <w:rFonts w:ascii="Times New Roman" w:hAnsi="Times New Roman"/>
          <w:sz w:val="24"/>
          <w:szCs w:val="24"/>
        </w:rPr>
        <w:t>, tedy tisíckrát nižší.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Přeprava jaderného paliva se na zvýšení kolektivní dávky pro obyvatele oblasti prakticky neodrazí.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Pokud jde o hodnocení výpustí do vodotečí, zahrnují výpočty rizika šíření radioaktivních látek ve vodním prostředí a z toho odhady vlivu koupání v kontaminované vodě, jízd na člunu, pobytu na nánosu, pobytu na zavlažované půdě, ingesce pitné vody, ingesce ryb žijících v kontaminované vodě, ingesce masa a mléka zvířat napájených kontaminovanou vodou a ingesce zemědělských produktů kontaminovaných závlahami touto vodou. Podle takto provedených výpočtů, vycházejících mj. úmyslně ze zcela nereálného předpokladu užívání říční vody jako pitné, zůstává vypočtené celkové riziko zdravotní újmy z kapalných výpustí přímo pod jejich vyústěním do Vltavy na úrovni řádu 10</w:t>
      </w:r>
      <w:r w:rsidRPr="000C492D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 a"/>
        </w:smartTagPr>
        <w:r w:rsidRPr="000C492D">
          <w:rPr>
            <w:rFonts w:ascii="Times New Roman" w:hAnsi="Times New Roman"/>
            <w:sz w:val="24"/>
            <w:szCs w:val="24"/>
            <w:vertAlign w:val="superscript"/>
          </w:rPr>
          <w:t>6</w:t>
        </w:r>
        <w:r w:rsidRPr="000C492D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0C492D">
        <w:rPr>
          <w:rFonts w:ascii="Times New Roman" w:hAnsi="Times New Roman"/>
          <w:sz w:val="24"/>
          <w:szCs w:val="24"/>
        </w:rPr>
        <w:t xml:space="preserve"> odpovídá tedy přísným mezinárodním kritériím. Vzhledem k tomu, že skutečné expozice jsou ve srovnání s užitým scénářem nepoměrně nižší, je reálné riziko pro obyvatele i v úseku nejvíce kontaminované části řeky ještě výrazně nižší a tudíž zcela zanedbatelné.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V odborné literatuře i ve veřejnosti vzbudily v posledních desetiletích značný zájem zprávy o zvýšeném počtu (nahromadění, „shlucích“) leukémií a některých dalších zhoubných novotvarů mízní soustavy (ne-</w:t>
      </w:r>
      <w:proofErr w:type="spellStart"/>
      <w:r w:rsidRPr="000C492D">
        <w:rPr>
          <w:rFonts w:ascii="Times New Roman" w:hAnsi="Times New Roman"/>
          <w:sz w:val="24"/>
          <w:szCs w:val="24"/>
        </w:rPr>
        <w:t>Hodgkinových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lymfomů) v okolí nukleárních zařízení u dětí, zejména 0 – 4letých, a v některých vzácných případech i mladých lidí do 25 let. Poprvé to bylo v roce 1983 v Anglii v blízkosti obrovského nukleárního konglomerátu v </w:t>
      </w:r>
      <w:proofErr w:type="spellStart"/>
      <w:r w:rsidRPr="000C492D">
        <w:rPr>
          <w:rFonts w:ascii="Times New Roman" w:hAnsi="Times New Roman"/>
          <w:sz w:val="24"/>
          <w:szCs w:val="24"/>
        </w:rPr>
        <w:t>Sellafieldu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a později i v blízkosti několika málo dalších nukleárních zařízení. Z nich poutá pozornost zejména okolí atomové elektrárny v </w:t>
      </w:r>
      <w:proofErr w:type="spellStart"/>
      <w:r w:rsidRPr="000C492D">
        <w:rPr>
          <w:rFonts w:ascii="Times New Roman" w:hAnsi="Times New Roman"/>
          <w:sz w:val="24"/>
          <w:szCs w:val="24"/>
        </w:rPr>
        <w:t>Krümmelu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v Německé spolkové republice. V žádném z uvedených případů však nebyla přes intenzivní snahy souvislost s činností nukleárních zařízení prokázána. U naprosté většiny ze stovek dalších existujících atomových elektráren nebylo přes četná a detailní šetření v nejrůznějších zemích nic obdobného zjištěno. To platí i o výskytu uvedených zhoubných novotvarů v ČR u dětí v okolí Dukovan a Temelína.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Všechno uvedené platí ovšem pro normální bezporuchový provoz jaderných zařízení. Havárie v Černobylu (1986) a </w:t>
      </w:r>
      <w:proofErr w:type="spellStart"/>
      <w:r w:rsidRPr="000C492D">
        <w:rPr>
          <w:rFonts w:ascii="Times New Roman" w:hAnsi="Times New Roman"/>
          <w:sz w:val="24"/>
          <w:szCs w:val="24"/>
        </w:rPr>
        <w:t>Fukušimě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(2011) vedly ovšem k výraznému šíření radionuklidů do okolí a způsobily bezprostřední i následné zdravotní škody. Příčiny těchto havárií jsou ovšem v ČR vyloučené (v Černobylu tuha jako moderátor a diletantské pokusnictví, ve </w:t>
      </w:r>
      <w:proofErr w:type="spellStart"/>
      <w:r w:rsidRPr="000C492D">
        <w:rPr>
          <w:rFonts w:ascii="Times New Roman" w:hAnsi="Times New Roman"/>
          <w:sz w:val="24"/>
          <w:szCs w:val="24"/>
        </w:rPr>
        <w:t>Fukušimě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enormně silné zemětřesení a vlna tsunami). 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lastRenderedPageBreak/>
        <w:t>Větrné elektrárny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Hlavním potenciálním zdravotním rizikem pro obyvatelstvo může být hluk produkovaný jednak strojním mechanismem elektrárny, uloženým uvnitř tzv. gondoly (strojovny) v horní části stožáru, jednak obtékáním větru kolem otáčejících se listů rotoru a uvolňováním vzduchových vírů za hranou listů. Jde ovšem o poměrně slabý hlukový zdroj, který by se mohl prakticky uplatnit jen v obytných domech situovaných ve velké blízkosti větrného parku. Může být snižován vhodným konstrukčním řešením.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V některých zahraničních pracích je uváděno i možné psychické rušení z infrazvuku, tedy ze zvukových hladin pod hranicí slyšitelnosti, které jsou u větrných elektráren poměrně silně zastoupeny a snad mohou mít nepříznivý rušivý účinek.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Víceméně jen teoretické je riziko úrazů z odpadající námrazy v zimním období. Námraza se uvolňuje při pomalých vibracích listů a k jejímu sesunutí dochází pod úhlem do 40° od kolmice k povrchu země. V žádném případě nedochází k odmršťování námrazy odstředivou silou do větších vzdáleností. Pozemky pod větrnými </w:t>
      </w:r>
      <w:proofErr w:type="spellStart"/>
      <w:r w:rsidRPr="000C492D">
        <w:rPr>
          <w:rFonts w:ascii="Times New Roman" w:hAnsi="Times New Roman"/>
          <w:sz w:val="24"/>
          <w:szCs w:val="24"/>
        </w:rPr>
        <w:t>elektzrárnami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jsou v zimním období navštěvovány minimálně. O potenciálním nebezpečí tohoto druhu by mělo být obyvatelstvo blízkých obcí informováno.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Spalování biomasy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Jako biomasa jsou v této souvislosti označovány materiály biologického původu, jako je rostlinná masa pěstovaná na půdě nebo ve vodě, živočišná biomasa, vedlejší organické produkty nebo organické odpady. Základem jsou rostliny, u nás zejména dřevní odpad, kůra, sláma, rychle rostoucí rostliny a dřeviny, zemědělské zbytky a exkrementy užitkových zvířat, odpady z jatek, mlékáren, lihovarů, energeticky využitelný komunální odpad nebo kaly či plynně produkty z provozu čistíren odpadních vod.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Z hlediska ochrany životního prostředí je zde velmi nízká produkce CO</w:t>
      </w:r>
      <w:r w:rsidRPr="000C492D">
        <w:rPr>
          <w:rFonts w:ascii="Times New Roman" w:hAnsi="Times New Roman"/>
          <w:sz w:val="24"/>
          <w:szCs w:val="24"/>
          <w:vertAlign w:val="subscript"/>
        </w:rPr>
        <w:t>2</w:t>
      </w:r>
      <w:r w:rsidRPr="000C492D">
        <w:rPr>
          <w:rFonts w:ascii="Times New Roman" w:hAnsi="Times New Roman"/>
          <w:sz w:val="24"/>
          <w:szCs w:val="24"/>
        </w:rPr>
        <w:t xml:space="preserve"> i SO</w:t>
      </w:r>
      <w:r w:rsidRPr="000C492D">
        <w:rPr>
          <w:rFonts w:ascii="Times New Roman" w:hAnsi="Times New Roman"/>
          <w:sz w:val="24"/>
          <w:szCs w:val="24"/>
          <w:vertAlign w:val="subscript"/>
        </w:rPr>
        <w:t>2</w:t>
      </w:r>
      <w:r w:rsidRPr="000C492D">
        <w:rPr>
          <w:rFonts w:ascii="Times New Roman" w:hAnsi="Times New Roman"/>
          <w:sz w:val="24"/>
          <w:szCs w:val="24"/>
        </w:rPr>
        <w:t>, významnější je produkce oxidů dusíku, které mohou míst ve vyšších koncentracích nepříznivé zdravotní účinky. Občasnou stížností v blízkém okolí spaloven biomasy bývá i obtěžování okolí zápachem.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Perspektivní zdroje energie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V mezinárodním měřítku se intenzívně pracuje na využití nových principů získávání energie. Je to především řízená termonukleární reakce (jaderná fúze), tj. slučování jader dvou izotopů vodíku, deuteria a tritia. Jednalo by se o mimořádně efektivní energetický zdroj. Je inspirován produkcí energie ve Slunci. Široké využití v praxi se očekává do poloviny 21. století.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Pro menší zdroje (automobily aj.) se vyvíjí vodíková energetika (spalování vodíku). Široké využití se předpokládá v příštích desetiletích.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Oba uvedené zdroje jsou pro životní prostředí a pro člověka zcela neškodné, u jaderné fúze je odpadním produktem neaktivní helium, ve vodíkové energetice čistá voda.</w:t>
      </w:r>
    </w:p>
    <w:p w:rsidR="000C492D" w:rsidRPr="000C492D" w:rsidRDefault="000C492D" w:rsidP="000C492D">
      <w:pPr>
        <w:pStyle w:val="Nadpis4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Transport energie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Místa spotřeby elektrické energie jsou většinou značně vzdálena od míst její výroby. Důsledkem je nutnost dopravy elektrické energie na velké vzdálenosti. K omezení ztrát během dopravy se v blízkosti elektráren produkovaný proud transformuje na vysoké voltáže a je veden krajinou v nadzemních vedeních velmi vysokého napětí (VVN, u nás 220 </w:t>
      </w:r>
      <w:proofErr w:type="spellStart"/>
      <w:r w:rsidRPr="000C492D">
        <w:rPr>
          <w:rFonts w:ascii="Times New Roman" w:hAnsi="Times New Roman"/>
          <w:sz w:val="24"/>
          <w:szCs w:val="24"/>
        </w:rPr>
        <w:t>kV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resp. 110 </w:t>
      </w:r>
      <w:proofErr w:type="spellStart"/>
      <w:r w:rsidRPr="000C492D">
        <w:rPr>
          <w:rFonts w:ascii="Times New Roman" w:hAnsi="Times New Roman"/>
          <w:sz w:val="24"/>
          <w:szCs w:val="24"/>
        </w:rPr>
        <w:t>kV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) </w:t>
      </w:r>
      <w:r w:rsidRPr="000C492D">
        <w:rPr>
          <w:rFonts w:ascii="Times New Roman" w:hAnsi="Times New Roman"/>
          <w:sz w:val="24"/>
          <w:szCs w:val="24"/>
        </w:rPr>
        <w:lastRenderedPageBreak/>
        <w:t>nebo zvláště vysokého napětí (ZVN, u nás 400 </w:t>
      </w:r>
      <w:proofErr w:type="spellStart"/>
      <w:r w:rsidRPr="000C492D">
        <w:rPr>
          <w:rFonts w:ascii="Times New Roman" w:hAnsi="Times New Roman"/>
          <w:sz w:val="24"/>
          <w:szCs w:val="24"/>
        </w:rPr>
        <w:t>kV</w:t>
      </w:r>
      <w:proofErr w:type="spellEnd"/>
      <w:r w:rsidRPr="000C492D">
        <w:rPr>
          <w:rFonts w:ascii="Times New Roman" w:hAnsi="Times New Roman"/>
          <w:sz w:val="24"/>
          <w:szCs w:val="24"/>
        </w:rPr>
        <w:t>). V okolí těchto vedení se vytváří elektromagnetické (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>) pole.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Nejrůznějším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polím je dnešní člověk soustavně exponován v souvislosti s rozvojem spotřeby elektřiny, technologickým pokrokem a změnami ve způsobu života, činností různých elektrických přístrojů v domácnostech, TV přijímačů a jejich obrazovek, obrazovek počítačů, mobilních telefonů a také vlivem radiových a televizních vysílačů a přenosové energetické sítě. Dalšími zdroji jsou tramvaje, vlaky, metro, bezpečnostní systémy v obchodech a na letištích (kontroly vstupu do budov, visačky na zboží detekované při východu z obchodů), radar a mnohé jiné.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pole jsou vyvolána elektromagnetickým zářením o různé vlnové délce, kmitočtu a s různým kvantem předávané energie. Čím vyšší je kmitočet, tím kratší je vlnová délka a tím vyšší je i kvantum energie v daném poli. Kmitočty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záření se vyskytují v mimořádně rozsáhlé škále zahrnující 14 řádů. V praxi jsou proto vedle základní jednotky Hz (1 Hertz = 1 kmit za vteřinu), užívány i jednotky vyšší: kHz (kilohertz, tj. 1000 Hz), MHz (megahertz, tj. 1000 kHz) a GHz (gigahertz, tj. 1000 MHz neboli 1 miliarda kmitů za vteřinu). S růstem kmitočtu rostou i biologické vlivy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pole.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Dnes je v medicínském výzkumu věnována největší pozornost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polím s vysokými kmitočty. Studují se především možné vlivy karcinogenní.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pole v okolí VVN a ZVN mají vzhledem k zavedené frekvenci střídavého proudu 50 Hz ve srovnání s 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zářením z jiných zdrojů extrémně nízkou frekvencí a jsou tedy nepoměrně slabší. Kvantum šířené energie je zde nepatrné. Energie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záření v okolí elektrického vedení je např. milionkrát nižší než u mobilních telefonů. Nejde již v pravém slova smyslu o pole elektromagnetické, jsou uvažována dvě vzájemně navazující pole, elektrické a magnetické. Od 70. let minulého století je však v laické i odborné veřejnosti opakovaně kladena a řešena otázka, zda i tato nízkofrekvenční pole mohou nepříznivě ovlivňovat zdraví.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Podnětem ke zkoumání možných zdravotních vlivů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záření z vedení VVN a ZVN byly v 70. letech minulého století některé epidemiologické studie </w:t>
      </w:r>
      <w:proofErr w:type="gramStart"/>
      <w:r w:rsidRPr="000C492D">
        <w:rPr>
          <w:rFonts w:ascii="Times New Roman" w:hAnsi="Times New Roman"/>
          <w:sz w:val="24"/>
          <w:szCs w:val="24"/>
        </w:rPr>
        <w:t>naznačující  možnou</w:t>
      </w:r>
      <w:proofErr w:type="gramEnd"/>
      <w:r w:rsidRPr="000C492D">
        <w:rPr>
          <w:rFonts w:ascii="Times New Roman" w:hAnsi="Times New Roman"/>
          <w:sz w:val="24"/>
          <w:szCs w:val="24"/>
        </w:rPr>
        <w:t xml:space="preserve"> souvislost blízkosti VVN s lehce zvýšeným výskytem dětských leukémií. Na to navázala dlouhá řada dalších výzkumů. Při nízkých expozicích, odpovídajících poměrům v okolí vedení VVN, byly provedeny tisíce laboratorních studií na pokusných zvířatech a tkáňových kulturách, a to bez jasných a jednoznačných závěrů. Efekty, pokud jsou, jsou zjevně malé a nekonzistentní.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 xml:space="preserve">Byly vyslovovány určité obavy i v souvislosti s možným rušením funkce implantovaných pacemakerů. Toto riziko bylo ověřováno výpočtem a z nich vyvozen závěr, že i když nelze vyloučit interferenci činností pacemakeru, životu nebezpečný vliv takové interference je nepravděpodobný.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bookmarkStart w:id="1" w:name="_Toc257844254"/>
      <w:bookmarkStart w:id="2" w:name="_Toc309071631"/>
      <w:r w:rsidRPr="000C492D">
        <w:rPr>
          <w:rFonts w:ascii="Times New Roman" w:hAnsi="Times New Roman"/>
          <w:sz w:val="24"/>
          <w:szCs w:val="24"/>
        </w:rPr>
        <w:t>V zájmu ochrany zdraví obyvatelstva jsou pro stavby VVN a ZVN stanoveny limity</w:t>
      </w:r>
      <w:bookmarkStart w:id="3" w:name="_Toc257844255"/>
      <w:bookmarkStart w:id="4" w:name="_Toc309071632"/>
      <w:bookmarkEnd w:id="1"/>
      <w:bookmarkEnd w:id="2"/>
      <w:r w:rsidRPr="000C492D">
        <w:rPr>
          <w:rFonts w:ascii="Times New Roman" w:hAnsi="Times New Roman"/>
          <w:sz w:val="24"/>
          <w:szCs w:val="24"/>
        </w:rPr>
        <w:t xml:space="preserve"> určující v přízemní vrstvě maximální intenzitu elektrického pole E (v kV.m</w:t>
      </w:r>
      <w:r w:rsidRPr="000C492D">
        <w:rPr>
          <w:rFonts w:ascii="Times New Roman" w:hAnsi="Times New Roman"/>
          <w:sz w:val="24"/>
          <w:szCs w:val="24"/>
          <w:vertAlign w:val="superscript"/>
        </w:rPr>
        <w:t>-1</w:t>
      </w:r>
      <w:r w:rsidRPr="000C492D">
        <w:rPr>
          <w:rFonts w:ascii="Times New Roman" w:hAnsi="Times New Roman"/>
          <w:sz w:val="24"/>
          <w:szCs w:val="24"/>
        </w:rPr>
        <w:t xml:space="preserve">) a maximální magnetickou indukci B v jednotkách </w:t>
      </w:r>
      <w:proofErr w:type="spellStart"/>
      <w:r w:rsidRPr="000C492D">
        <w:rPr>
          <w:rFonts w:ascii="Times New Roman" w:hAnsi="Times New Roman"/>
          <w:sz w:val="24"/>
          <w:szCs w:val="24"/>
        </w:rPr>
        <w:t>mT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492D">
        <w:rPr>
          <w:rFonts w:ascii="Times New Roman" w:hAnsi="Times New Roman"/>
          <w:sz w:val="24"/>
          <w:szCs w:val="24"/>
        </w:rPr>
        <w:t>mikrotesla</w:t>
      </w:r>
      <w:proofErr w:type="spellEnd"/>
      <w:r w:rsidRPr="000C492D">
        <w:rPr>
          <w:rFonts w:ascii="Times New Roman" w:hAnsi="Times New Roman"/>
          <w:sz w:val="24"/>
          <w:szCs w:val="24"/>
        </w:rPr>
        <w:t>).</w:t>
      </w:r>
    </w:p>
    <w:bookmarkEnd w:id="3"/>
    <w:bookmarkEnd w:id="4"/>
    <w:p w:rsidR="000C492D" w:rsidRPr="000C492D" w:rsidRDefault="000C492D" w:rsidP="000C492D">
      <w:pPr>
        <w:rPr>
          <w:rFonts w:ascii="Times New Roman" w:hAnsi="Times New Roman"/>
          <w:b/>
          <w:sz w:val="24"/>
          <w:szCs w:val="24"/>
        </w:rPr>
      </w:pPr>
      <w:r w:rsidRPr="000C492D">
        <w:rPr>
          <w:rFonts w:ascii="Times New Roman" w:hAnsi="Times New Roman"/>
          <w:b/>
          <w:sz w:val="24"/>
          <w:szCs w:val="24"/>
        </w:rPr>
        <w:t>Další zdravotní vlivy</w:t>
      </w:r>
    </w:p>
    <w:p w:rsidR="000C492D" w:rsidRPr="000C492D" w:rsidRDefault="000C492D" w:rsidP="000C492D">
      <w:pPr>
        <w:rPr>
          <w:rFonts w:ascii="Times New Roman" w:hAnsi="Times New Roman"/>
          <w:b/>
          <w:sz w:val="24"/>
          <w:szCs w:val="24"/>
        </w:rPr>
      </w:pPr>
      <w:bookmarkStart w:id="5" w:name="_Toc335945269"/>
      <w:bookmarkStart w:id="6" w:name="_Toc336259233"/>
      <w:bookmarkStart w:id="7" w:name="_Toc336260146"/>
      <w:bookmarkStart w:id="8" w:name="_Toc336260275"/>
      <w:r w:rsidRPr="000C492D">
        <w:rPr>
          <w:rFonts w:ascii="Times New Roman" w:hAnsi="Times New Roman"/>
          <w:b/>
          <w:sz w:val="24"/>
          <w:szCs w:val="24"/>
        </w:rPr>
        <w:t>Narušování psychické pohody</w:t>
      </w:r>
      <w:bookmarkEnd w:id="5"/>
      <w:bookmarkEnd w:id="6"/>
      <w:bookmarkEnd w:id="7"/>
      <w:bookmarkEnd w:id="8"/>
      <w:r w:rsidRPr="000C492D">
        <w:rPr>
          <w:rFonts w:ascii="Times New Roman" w:hAnsi="Times New Roman"/>
          <w:b/>
          <w:sz w:val="24"/>
          <w:szCs w:val="24"/>
        </w:rPr>
        <w:t xml:space="preserve"> </w:t>
      </w:r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lastRenderedPageBreak/>
        <w:t xml:space="preserve">Ve veřejnosti je dnes známo, že vedení vysokého napětí vyzařuje do okolí určité množství elektromagnetického záření. V povědomí jsou různé věcné i zkreslené představy o zdravotních účincích tohoto </w:t>
      </w:r>
      <w:proofErr w:type="spellStart"/>
      <w:r w:rsidRPr="000C492D">
        <w:rPr>
          <w:rFonts w:ascii="Times New Roman" w:hAnsi="Times New Roman"/>
          <w:sz w:val="24"/>
          <w:szCs w:val="24"/>
        </w:rPr>
        <w:t>elm</w:t>
      </w:r>
      <w:proofErr w:type="spellEnd"/>
      <w:r w:rsidRPr="000C492D">
        <w:rPr>
          <w:rFonts w:ascii="Times New Roman" w:hAnsi="Times New Roman"/>
          <w:sz w:val="24"/>
          <w:szCs w:val="24"/>
        </w:rPr>
        <w:t xml:space="preserve"> pole, šířené tiskem i dalšími komunikačními médii. Lidé bydlící v blízkosti podobného vedení se proto mnohdy cítí znepokojeni, nepříznivě ovlivněni resp. i ohroženi. </w:t>
      </w:r>
    </w:p>
    <w:p w:rsidR="000C492D" w:rsidRPr="000C492D" w:rsidRDefault="000C492D" w:rsidP="000C492D">
      <w:pPr>
        <w:rPr>
          <w:rFonts w:ascii="Times New Roman" w:hAnsi="Times New Roman"/>
          <w:b/>
          <w:sz w:val="24"/>
          <w:szCs w:val="24"/>
        </w:rPr>
      </w:pPr>
      <w:bookmarkStart w:id="9" w:name="_Toc336260148"/>
      <w:bookmarkStart w:id="10" w:name="_Toc336260277"/>
      <w:r w:rsidRPr="000C492D">
        <w:rPr>
          <w:rFonts w:ascii="Times New Roman" w:hAnsi="Times New Roman"/>
          <w:b/>
          <w:sz w:val="24"/>
          <w:szCs w:val="24"/>
        </w:rPr>
        <w:t>Sršivý zvuk vodičů</w:t>
      </w:r>
      <w:bookmarkEnd w:id="9"/>
      <w:bookmarkEnd w:id="10"/>
    </w:p>
    <w:p w:rsidR="000C492D" w:rsidRPr="000C492D" w:rsidRDefault="000C492D" w:rsidP="000C492D">
      <w:pPr>
        <w:pStyle w:val="Zkladntextmal"/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Za rušivý prvek by mohly být v některých případech považovány akustické jevy v okolí stožárů s izolátory („sršení“) resp. na vodičích („koróna“). Vznikají na vedení VVN za nepříznivého počasí s mlhami, jinovatkou apod. Za vlhka proto mohou na povrchu fázových vodičů probíhat drobné výboje, které jsou podkladem uvedených jevů</w:t>
      </w:r>
    </w:p>
    <w:p w:rsidR="000C492D" w:rsidRPr="000C492D" w:rsidRDefault="000C492D" w:rsidP="000C492D">
      <w:pPr>
        <w:rPr>
          <w:rFonts w:ascii="Times New Roman" w:hAnsi="Times New Roman"/>
          <w:b/>
          <w:sz w:val="24"/>
          <w:szCs w:val="24"/>
        </w:rPr>
      </w:pPr>
      <w:bookmarkStart w:id="11" w:name="_Toc336260279"/>
      <w:r w:rsidRPr="000C492D">
        <w:rPr>
          <w:rFonts w:ascii="Times New Roman" w:hAnsi="Times New Roman"/>
          <w:b/>
          <w:sz w:val="24"/>
          <w:szCs w:val="24"/>
        </w:rPr>
        <w:t>Úrazy elektrickým proudem</w:t>
      </w:r>
      <w:bookmarkEnd w:id="11"/>
    </w:p>
    <w:p w:rsidR="000C492D" w:rsidRPr="000C492D" w:rsidRDefault="000C492D" w:rsidP="000C492D">
      <w:pPr>
        <w:rPr>
          <w:rFonts w:ascii="Times New Roman" w:hAnsi="Times New Roman"/>
          <w:sz w:val="24"/>
          <w:szCs w:val="24"/>
        </w:rPr>
      </w:pPr>
      <w:r w:rsidRPr="000C492D">
        <w:rPr>
          <w:rFonts w:ascii="Times New Roman" w:hAnsi="Times New Roman"/>
          <w:sz w:val="24"/>
          <w:szCs w:val="24"/>
        </w:rPr>
        <w:t>Při haváriích vedení (přetržení vodičů, pád sloupů) v souvislosti s vichřicí, námrazou apod. by teoreticky mohlo dojít ke zranění nebo usmrcení osob pohybujících se v blízkosti. Toto riziko je při dodržení stávajících norem zanedbatelné.</w:t>
      </w:r>
    </w:p>
    <w:p w:rsidR="000C492D" w:rsidRPr="000C492D" w:rsidRDefault="000C492D" w:rsidP="000C492D">
      <w:pPr>
        <w:pStyle w:val="Zkladntext"/>
        <w:rPr>
          <w:rFonts w:ascii="Times New Roman" w:hAnsi="Times New Roman"/>
          <w:sz w:val="24"/>
          <w:szCs w:val="24"/>
        </w:rPr>
      </w:pPr>
    </w:p>
    <w:p w:rsidR="000C492D" w:rsidRPr="000C492D" w:rsidRDefault="000C492D" w:rsidP="002F59CB">
      <w:pPr>
        <w:spacing w:before="240"/>
        <w:rPr>
          <w:rStyle w:val="Zdraznnjemn"/>
          <w:rFonts w:ascii="Times New Roman" w:hAnsi="Times New Roman"/>
          <w:sz w:val="24"/>
          <w:szCs w:val="24"/>
        </w:rPr>
      </w:pPr>
      <w:r w:rsidRPr="000C492D">
        <w:rPr>
          <w:rStyle w:val="Zdraznnjemn"/>
          <w:rFonts w:ascii="Times New Roman" w:hAnsi="Times New Roman"/>
          <w:sz w:val="24"/>
          <w:szCs w:val="24"/>
        </w:rPr>
        <w:t xml:space="preserve"> </w:t>
      </w:r>
    </w:p>
    <w:p w:rsidR="000C492D" w:rsidRPr="000C492D" w:rsidRDefault="000C492D" w:rsidP="000C492D">
      <w:pPr>
        <w:ind w:firstLine="426"/>
        <w:rPr>
          <w:rStyle w:val="Zdraznnjemn"/>
          <w:rFonts w:ascii="Times New Roman" w:hAnsi="Times New Roman"/>
          <w:i w:val="0"/>
          <w:color w:val="C00000"/>
          <w:sz w:val="24"/>
          <w:szCs w:val="24"/>
        </w:rPr>
        <w:sectPr w:rsidR="000C492D" w:rsidRPr="000C492D" w:rsidSect="00F92F1D">
          <w:pgSz w:w="11906" w:h="16838"/>
          <w:pgMar w:top="1417" w:right="1274" w:bottom="426" w:left="1417" w:header="708" w:footer="708" w:gutter="0"/>
          <w:cols w:space="708"/>
          <w:docGrid w:linePitch="360"/>
        </w:sectPr>
      </w:pPr>
    </w:p>
    <w:p w:rsidR="000C492D" w:rsidRPr="000C492D" w:rsidRDefault="000C492D" w:rsidP="000C492D">
      <w:pPr>
        <w:spacing w:after="0"/>
        <w:ind w:firstLine="426"/>
        <w:rPr>
          <w:rStyle w:val="Zvraznn"/>
          <w:rFonts w:ascii="Times New Roman" w:hAnsi="Times New Roman"/>
          <w:sz w:val="24"/>
          <w:szCs w:val="24"/>
        </w:rPr>
      </w:pPr>
      <w:r w:rsidRPr="000C492D">
        <w:rPr>
          <w:rStyle w:val="Zvraznn"/>
          <w:rFonts w:ascii="Times New Roman" w:hAnsi="Times New Roman"/>
          <w:sz w:val="24"/>
          <w:szCs w:val="24"/>
        </w:rPr>
        <w:lastRenderedPageBreak/>
        <w:t xml:space="preserve">Zdroje energie neobnovitelné a obnovitelné </w:t>
      </w:r>
    </w:p>
    <w:p w:rsidR="000C492D" w:rsidRPr="000C492D" w:rsidRDefault="000C492D" w:rsidP="000C492D">
      <w:pPr>
        <w:spacing w:after="0"/>
        <w:ind w:firstLine="426"/>
        <w:rPr>
          <w:rStyle w:val="Zvraznn"/>
          <w:rFonts w:ascii="Times New Roman" w:hAnsi="Times New Roman"/>
          <w:sz w:val="24"/>
          <w:szCs w:val="24"/>
        </w:rPr>
      </w:pPr>
      <w:proofErr w:type="gramStart"/>
      <w:r w:rsidRPr="000C492D">
        <w:rPr>
          <w:rStyle w:val="Zvraznn"/>
          <w:rFonts w:ascii="Times New Roman" w:hAnsi="Times New Roman"/>
          <w:sz w:val="24"/>
          <w:szCs w:val="24"/>
        </w:rPr>
        <w:t>nukleární  elektrárny</w:t>
      </w:r>
      <w:proofErr w:type="gramEnd"/>
    </w:p>
    <w:p w:rsidR="000C492D" w:rsidRPr="000C492D" w:rsidRDefault="000C492D" w:rsidP="000C492D">
      <w:pPr>
        <w:spacing w:after="0"/>
        <w:ind w:firstLine="426"/>
        <w:rPr>
          <w:rStyle w:val="Zvraznn"/>
          <w:rFonts w:ascii="Times New Roman" w:hAnsi="Times New Roman"/>
          <w:sz w:val="24"/>
          <w:szCs w:val="24"/>
        </w:rPr>
      </w:pPr>
      <w:r w:rsidRPr="000C492D">
        <w:rPr>
          <w:rStyle w:val="Zvraznn"/>
          <w:rFonts w:ascii="Times New Roman" w:hAnsi="Times New Roman"/>
          <w:sz w:val="24"/>
          <w:szCs w:val="24"/>
        </w:rPr>
        <w:t>transport energie</w:t>
      </w:r>
    </w:p>
    <w:p w:rsidR="00922F14" w:rsidRDefault="00922F14"/>
    <w:sectPr w:rsidR="0092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2D0"/>
    <w:multiLevelType w:val="hybridMultilevel"/>
    <w:tmpl w:val="0032E2B4"/>
    <w:lvl w:ilvl="0" w:tplc="9A5A1D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E7BC4"/>
    <w:multiLevelType w:val="hybridMultilevel"/>
    <w:tmpl w:val="D518954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D"/>
    <w:rsid w:val="000C492D"/>
    <w:rsid w:val="002F59CB"/>
    <w:rsid w:val="009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2D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49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0C492D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rsid w:val="000C492D"/>
    <w:rPr>
      <w:b/>
      <w:bCs/>
    </w:rPr>
  </w:style>
  <w:style w:type="character" w:styleId="Zdraznnjemn">
    <w:name w:val="Subtle Emphasis"/>
    <w:uiPriority w:val="19"/>
    <w:qFormat/>
    <w:rsid w:val="000C492D"/>
    <w:rPr>
      <w:i/>
      <w:iCs/>
      <w:color w:val="808080"/>
      <w:sz w:val="18"/>
    </w:rPr>
  </w:style>
  <w:style w:type="character" w:styleId="Zvraznn">
    <w:name w:val="Emphasis"/>
    <w:uiPriority w:val="20"/>
    <w:qFormat/>
    <w:rsid w:val="000C492D"/>
    <w:rPr>
      <w:i/>
      <w:iCs/>
      <w:color w:val="C00000"/>
      <w:sz w:val="20"/>
    </w:rPr>
  </w:style>
  <w:style w:type="paragraph" w:styleId="Zkladntext">
    <w:name w:val="Body Text"/>
    <w:basedOn w:val="Normln"/>
    <w:link w:val="ZkladntextChar"/>
    <w:autoRedefine/>
    <w:rsid w:val="000C492D"/>
    <w:pPr>
      <w:widowControl w:val="0"/>
      <w:spacing w:after="120" w:line="240" w:lineRule="auto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492D"/>
    <w:rPr>
      <w:rFonts w:ascii="Arial" w:eastAsia="Times New Roman" w:hAnsi="Arial" w:cs="Times New Roman"/>
      <w:szCs w:val="20"/>
      <w:lang w:eastAsia="cs-CZ"/>
    </w:rPr>
  </w:style>
  <w:style w:type="paragraph" w:customStyle="1" w:styleId="Zkladntextmal">
    <w:name w:val="Základní text malý"/>
    <w:basedOn w:val="Zkladntext"/>
    <w:rsid w:val="000C492D"/>
    <w:pPr>
      <w:widowControl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2D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49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0C492D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rsid w:val="000C492D"/>
    <w:rPr>
      <w:b/>
      <w:bCs/>
    </w:rPr>
  </w:style>
  <w:style w:type="character" w:styleId="Zdraznnjemn">
    <w:name w:val="Subtle Emphasis"/>
    <w:uiPriority w:val="19"/>
    <w:qFormat/>
    <w:rsid w:val="000C492D"/>
    <w:rPr>
      <w:i/>
      <w:iCs/>
      <w:color w:val="808080"/>
      <w:sz w:val="18"/>
    </w:rPr>
  </w:style>
  <w:style w:type="character" w:styleId="Zvraznn">
    <w:name w:val="Emphasis"/>
    <w:uiPriority w:val="20"/>
    <w:qFormat/>
    <w:rsid w:val="000C492D"/>
    <w:rPr>
      <w:i/>
      <w:iCs/>
      <w:color w:val="C00000"/>
      <w:sz w:val="20"/>
    </w:rPr>
  </w:style>
  <w:style w:type="paragraph" w:styleId="Zkladntext">
    <w:name w:val="Body Text"/>
    <w:basedOn w:val="Normln"/>
    <w:link w:val="ZkladntextChar"/>
    <w:autoRedefine/>
    <w:rsid w:val="000C492D"/>
    <w:pPr>
      <w:widowControl w:val="0"/>
      <w:spacing w:after="120" w:line="240" w:lineRule="auto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492D"/>
    <w:rPr>
      <w:rFonts w:ascii="Arial" w:eastAsia="Times New Roman" w:hAnsi="Arial" w:cs="Times New Roman"/>
      <w:szCs w:val="20"/>
      <w:lang w:eastAsia="cs-CZ"/>
    </w:rPr>
  </w:style>
  <w:style w:type="paragraph" w:customStyle="1" w:styleId="Zkladntextmal">
    <w:name w:val="Základní text malý"/>
    <w:basedOn w:val="Zkladntext"/>
    <w:rsid w:val="000C492D"/>
    <w:pPr>
      <w:widowControl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2358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Derflerová Brázdová</dc:creator>
  <cp:lastModifiedBy>prof. Derflerová Brázdová</cp:lastModifiedBy>
  <cp:revision>1</cp:revision>
  <cp:lastPrinted>2013-01-08T10:19:00Z</cp:lastPrinted>
  <dcterms:created xsi:type="dcterms:W3CDTF">2013-01-08T10:17:00Z</dcterms:created>
  <dcterms:modified xsi:type="dcterms:W3CDTF">2013-01-08T10:51:00Z</dcterms:modified>
</cp:coreProperties>
</file>