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D9" w:rsidRDefault="0018726B"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bookmarkStart w:id="0" w:name="_GoBack"/>
      <w:bookmarkEnd w:id="0"/>
      <w:proofErr w:type="spellStart"/>
      <w:r w:rsidRPr="0018726B">
        <w:rPr>
          <w:rFonts w:ascii="Arial Black" w:eastAsia="Times New Roman" w:hAnsi="Arial Black" w:cs="Times New Roman"/>
          <w:bCs/>
          <w:color w:val="000000"/>
          <w:sz w:val="28"/>
          <w:szCs w:val="28"/>
          <w:lang w:eastAsia="cs-CZ"/>
        </w:rPr>
        <w:t>Reading</w:t>
      </w:r>
      <w:proofErr w:type="spellEnd"/>
    </w:p>
    <w:p w:rsidR="0018726B" w:rsidRDefault="0018726B" w:rsidP="00AD17B5">
      <w:pPr>
        <w:shd w:val="clear" w:color="auto" w:fill="FFFFFF"/>
        <w:spacing w:after="0" w:line="240" w:lineRule="auto"/>
        <w:jc w:val="both"/>
        <w:rPr>
          <w:rFonts w:ascii="Arial Black" w:eastAsia="Times New Roman" w:hAnsi="Arial Black" w:cs="Times New Roman"/>
          <w:bCs/>
          <w:color w:val="000000"/>
          <w:sz w:val="28"/>
          <w:szCs w:val="28"/>
          <w:lang w:eastAsia="cs-CZ"/>
        </w:rPr>
      </w:pPr>
    </w:p>
    <w:p w:rsidR="0018726B" w:rsidRPr="0018726B" w:rsidRDefault="0018726B" w:rsidP="00AD17B5">
      <w:pPr>
        <w:shd w:val="clear" w:color="auto" w:fill="FFFFFF"/>
        <w:spacing w:after="0" w:line="240" w:lineRule="auto"/>
        <w:jc w:val="both"/>
        <w:rPr>
          <w:rFonts w:eastAsia="Times New Roman" w:cs="Times New Roman"/>
          <w:b/>
          <w:bCs/>
          <w:color w:val="000000"/>
          <w:sz w:val="24"/>
          <w:szCs w:val="24"/>
          <w:lang w:eastAsia="cs-CZ"/>
        </w:rPr>
      </w:pPr>
      <w:r w:rsidRPr="0018726B">
        <w:rPr>
          <w:rFonts w:eastAsia="Times New Roman" w:cs="Times New Roman"/>
          <w:b/>
          <w:bCs/>
          <w:color w:val="000000"/>
          <w:sz w:val="24"/>
          <w:szCs w:val="24"/>
          <w:lang w:eastAsia="cs-CZ"/>
        </w:rPr>
        <w:t>Úkoly před čtením</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Které zajímavé stavby v Brně znáte?</w:t>
      </w:r>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 xml:space="preserve">Byli jste už ve vile </w:t>
      </w:r>
      <w:proofErr w:type="spellStart"/>
      <w:proofErr w:type="gramStart"/>
      <w:r w:rsidRPr="0018726B">
        <w:rPr>
          <w:rFonts w:eastAsia="Times New Roman" w:cs="Times New Roman"/>
          <w:bCs/>
          <w:color w:val="000000"/>
          <w:sz w:val="24"/>
          <w:szCs w:val="24"/>
          <w:lang w:eastAsia="cs-CZ"/>
        </w:rPr>
        <w:t>Tugendhat</w:t>
      </w:r>
      <w:proofErr w:type="spellEnd"/>
      <w:r w:rsidRPr="0018726B">
        <w:rPr>
          <w:rFonts w:eastAsia="Times New Roman" w:cs="Times New Roman"/>
          <w:bCs/>
          <w:color w:val="000000"/>
          <w:sz w:val="24"/>
          <w:szCs w:val="24"/>
          <w:lang w:eastAsia="cs-CZ"/>
        </w:rPr>
        <w:t>?¨</w:t>
      </w:r>
      <w:proofErr w:type="gramEnd"/>
    </w:p>
    <w:p w:rsidR="0018726B" w:rsidRPr="0018726B" w:rsidRDefault="0018726B" w:rsidP="0018726B">
      <w:pPr>
        <w:pStyle w:val="Odstavecseseznamem"/>
        <w:numPr>
          <w:ilvl w:val="0"/>
          <w:numId w:val="1"/>
        </w:numPr>
        <w:shd w:val="clear" w:color="auto" w:fill="FFFFFF"/>
        <w:spacing w:after="0" w:line="240" w:lineRule="auto"/>
        <w:jc w:val="both"/>
        <w:rPr>
          <w:rFonts w:eastAsia="Times New Roman" w:cs="Times New Roman"/>
          <w:bCs/>
          <w:color w:val="000000"/>
          <w:sz w:val="24"/>
          <w:szCs w:val="24"/>
          <w:lang w:eastAsia="cs-CZ"/>
        </w:rPr>
      </w:pPr>
      <w:r w:rsidRPr="0018726B">
        <w:rPr>
          <w:rFonts w:eastAsia="Times New Roman" w:cs="Times New Roman"/>
          <w:bCs/>
          <w:color w:val="000000"/>
          <w:sz w:val="24"/>
          <w:szCs w:val="24"/>
          <w:lang w:eastAsia="cs-CZ"/>
        </w:rPr>
        <w:t>Co o ní víte?</w:t>
      </w:r>
    </w:p>
    <w:p w:rsidR="0018726B" w:rsidRDefault="0018726B" w:rsidP="00AD17B5">
      <w:pPr>
        <w:shd w:val="clear" w:color="auto" w:fill="FFFFFF"/>
        <w:spacing w:after="0" w:line="240" w:lineRule="auto"/>
        <w:jc w:val="both"/>
        <w:rPr>
          <w:rFonts w:eastAsia="Times New Roman" w:cs="Times New Roman"/>
          <w:bCs/>
          <w:color w:val="000000"/>
          <w:sz w:val="24"/>
          <w:szCs w:val="24"/>
          <w:lang w:eastAsia="cs-CZ"/>
        </w:rPr>
      </w:pPr>
    </w:p>
    <w:p w:rsidR="00743DD9" w:rsidRPr="0018726B" w:rsidRDefault="00743DD9" w:rsidP="00AD17B5">
      <w:pPr>
        <w:shd w:val="clear" w:color="auto" w:fill="FFFFFF"/>
        <w:spacing w:after="0" w:line="240" w:lineRule="auto"/>
        <w:jc w:val="both"/>
        <w:rPr>
          <w:rFonts w:ascii="Arial Black" w:eastAsia="Times New Roman" w:hAnsi="Arial Black" w:cs="Times New Roman"/>
          <w:b/>
          <w:bCs/>
          <w:color w:val="000000"/>
          <w:sz w:val="24"/>
          <w:szCs w:val="24"/>
          <w:lang w:eastAsia="cs-CZ"/>
        </w:rPr>
      </w:pPr>
      <w:r w:rsidRPr="0018726B">
        <w:rPr>
          <w:rFonts w:ascii="Arial Black" w:eastAsia="Times New Roman" w:hAnsi="Arial Black" w:cs="Times New Roman"/>
          <w:b/>
          <w:bCs/>
          <w:color w:val="000000"/>
          <w:sz w:val="24"/>
          <w:szCs w:val="24"/>
          <w:lang w:eastAsia="cs-CZ"/>
        </w:rPr>
        <w:t xml:space="preserve">Vila </w:t>
      </w:r>
      <w:proofErr w:type="spellStart"/>
      <w:r w:rsidRPr="0018726B">
        <w:rPr>
          <w:rFonts w:ascii="Arial Black" w:eastAsia="Times New Roman" w:hAnsi="Arial Black" w:cs="Times New Roman"/>
          <w:b/>
          <w:bCs/>
          <w:color w:val="000000"/>
          <w:sz w:val="24"/>
          <w:szCs w:val="24"/>
          <w:lang w:eastAsia="cs-CZ"/>
        </w:rPr>
        <w:t>Tugendhat</w:t>
      </w:r>
      <w:proofErr w:type="spellEnd"/>
    </w:p>
    <w:p w:rsidR="00AD17B5" w:rsidRDefault="00AD17B5" w:rsidP="00AD17B5">
      <w:pPr>
        <w:shd w:val="clear" w:color="auto" w:fill="FFFFFF"/>
        <w:spacing w:after="0" w:line="240" w:lineRule="auto"/>
        <w:jc w:val="both"/>
        <w:rPr>
          <w:rFonts w:eastAsia="Times New Roman" w:cs="Times New Roman"/>
          <w:bCs/>
          <w:color w:val="000000"/>
          <w:sz w:val="24"/>
          <w:szCs w:val="24"/>
          <w:lang w:eastAsia="cs-CZ"/>
        </w:rPr>
      </w:pPr>
      <w:r w:rsidRPr="00AD17B5">
        <w:rPr>
          <w:rFonts w:eastAsia="Times New Roman" w:cs="Times New Roman"/>
          <w:bCs/>
          <w:color w:val="000000"/>
          <w:sz w:val="24"/>
          <w:szCs w:val="24"/>
          <w:lang w:eastAsia="cs-CZ"/>
        </w:rPr>
        <w:t>Moderní Brno vznikalo prakticky již od třicátých let 19. století, kdy se postupně začaly bourat hradby</w:t>
      </w:r>
      <w:r w:rsidR="0018726B">
        <w:rPr>
          <w:rFonts w:eastAsia="Times New Roman" w:cs="Times New Roman"/>
          <w:bCs/>
          <w:color w:val="000000"/>
          <w:sz w:val="24"/>
          <w:szCs w:val="24"/>
          <w:lang w:eastAsia="cs-CZ"/>
        </w:rPr>
        <w:t xml:space="preserve"> </w:t>
      </w:r>
      <w:r w:rsidR="0018726B" w:rsidRPr="0018726B">
        <w:rPr>
          <w:rFonts w:eastAsia="Times New Roman" w:cs="Times New Roman"/>
          <w:bCs/>
          <w:i/>
          <w:color w:val="000000"/>
          <w:sz w:val="24"/>
          <w:szCs w:val="24"/>
          <w:lang w:eastAsia="cs-CZ"/>
        </w:rPr>
        <w:t>(</w:t>
      </w:r>
      <w:proofErr w:type="spellStart"/>
      <w:r w:rsidR="0018726B" w:rsidRPr="0018726B">
        <w:rPr>
          <w:rFonts w:eastAsia="Times New Roman" w:cs="Times New Roman"/>
          <w:bCs/>
          <w:i/>
          <w:color w:val="000000"/>
          <w:sz w:val="24"/>
          <w:szCs w:val="24"/>
          <w:lang w:eastAsia="cs-CZ"/>
        </w:rPr>
        <w:t>demolish</w:t>
      </w:r>
      <w:proofErr w:type="spellEnd"/>
      <w:r w:rsidR="0018726B" w:rsidRPr="0018726B">
        <w:rPr>
          <w:rFonts w:eastAsia="Times New Roman" w:cs="Times New Roman"/>
          <w:bCs/>
          <w:i/>
          <w:color w:val="000000"/>
          <w:sz w:val="24"/>
          <w:szCs w:val="24"/>
          <w:lang w:eastAsia="cs-CZ"/>
        </w:rPr>
        <w:t xml:space="preserve"> </w:t>
      </w:r>
      <w:proofErr w:type="spellStart"/>
      <w:r w:rsidR="0018726B" w:rsidRPr="0018726B">
        <w:rPr>
          <w:rFonts w:eastAsia="Times New Roman" w:cs="Times New Roman"/>
          <w:bCs/>
          <w:i/>
          <w:color w:val="000000"/>
          <w:sz w:val="24"/>
          <w:szCs w:val="24"/>
          <w:lang w:eastAsia="cs-CZ"/>
        </w:rPr>
        <w:t>fortification</w:t>
      </w:r>
      <w:proofErr w:type="spellEnd"/>
      <w:r w:rsidR="0018726B">
        <w:rPr>
          <w:rFonts w:eastAsia="Times New Roman" w:cs="Times New Roman"/>
          <w:bCs/>
          <w:color w:val="000000"/>
          <w:sz w:val="24"/>
          <w:szCs w:val="24"/>
          <w:lang w:eastAsia="cs-CZ"/>
        </w:rPr>
        <w:t>)</w:t>
      </w:r>
      <w:r w:rsidRPr="00AD17B5">
        <w:rPr>
          <w:rFonts w:eastAsia="Times New Roman" w:cs="Times New Roman"/>
          <w:bCs/>
          <w:color w:val="000000"/>
          <w:sz w:val="24"/>
          <w:szCs w:val="24"/>
          <w:lang w:eastAsia="cs-CZ"/>
        </w:rPr>
        <w:t xml:space="preserve">. Město se rychle rozrůstalo a nové stavební aktivity, spojené především s budováním zdejší okružní třídy, vtiskly Brnu typický výraz města 19. století „vídeňského střihu“. Urbanizace průmyslové metropole Moravy, nazývané díky převaze textilní výroby rakouský Manchester, se přesouvala dále mimo centrum. Vznikala dělnická předměstí a rezidenční obytné čtvrti. Na přelomu 19. a 20. století se Brno začalo měnit v moderní velkoměsto. </w:t>
      </w:r>
    </w:p>
    <w:p w:rsidR="00452932" w:rsidRPr="00AD17B5" w:rsidRDefault="00452932" w:rsidP="00AD17B5">
      <w:pPr>
        <w:shd w:val="clear" w:color="auto" w:fill="FFFFFF"/>
        <w:spacing w:after="0" w:line="240" w:lineRule="auto"/>
        <w:jc w:val="both"/>
        <w:rPr>
          <w:rFonts w:eastAsia="Times New Roman" w:cs="Times New Roman"/>
          <w:color w:val="000000"/>
          <w:sz w:val="24"/>
          <w:szCs w:val="24"/>
          <w:lang w:eastAsia="cs-CZ"/>
        </w:rPr>
      </w:pPr>
    </w:p>
    <w:tbl>
      <w:tblPr>
        <w:tblW w:w="5000" w:type="pct"/>
        <w:tblCellSpacing w:w="15" w:type="dxa"/>
        <w:tblBorders>
          <w:bottom w:val="single" w:sz="6" w:space="0" w:color="CACACA"/>
        </w:tblBorders>
        <w:tblCellMar>
          <w:left w:w="0" w:type="dxa"/>
          <w:bottom w:w="300" w:type="dxa"/>
          <w:right w:w="0" w:type="dxa"/>
        </w:tblCellMar>
        <w:tblLook w:val="04A0" w:firstRow="1" w:lastRow="0" w:firstColumn="1" w:lastColumn="0" w:noHBand="0" w:noVBand="1"/>
      </w:tblPr>
      <w:tblGrid>
        <w:gridCol w:w="9357"/>
      </w:tblGrid>
      <w:tr w:rsidR="00AD17B5" w:rsidRPr="00AD17B5" w:rsidTr="00743DD9">
        <w:trPr>
          <w:tblCellSpacing w:w="15" w:type="dxa"/>
        </w:trPr>
        <w:tc>
          <w:tcPr>
            <w:tcW w:w="4968" w:type="pct"/>
            <w:tcBorders>
              <w:top w:val="nil"/>
              <w:left w:val="nil"/>
              <w:bottom w:val="nil"/>
              <w:right w:val="nil"/>
            </w:tcBorders>
            <w:tcMar>
              <w:top w:w="0" w:type="dxa"/>
              <w:left w:w="0" w:type="dxa"/>
              <w:bottom w:w="150" w:type="dxa"/>
              <w:right w:w="225" w:type="dxa"/>
            </w:tcMar>
            <w:hideMark/>
          </w:tcPr>
          <w:p w:rsidR="00AD17B5" w:rsidRPr="00AD17B5" w:rsidRDefault="00AD17B5" w:rsidP="00AD17B5">
            <w:pPr>
              <w:spacing w:after="255" w:line="240" w:lineRule="auto"/>
              <w:jc w:val="both"/>
              <w:rPr>
                <w:rFonts w:eastAsia="Times New Roman" w:cs="Times New Roman"/>
                <w:i/>
                <w:color w:val="000000"/>
                <w:sz w:val="24"/>
                <w:szCs w:val="24"/>
                <w:lang w:eastAsia="cs-CZ"/>
              </w:rPr>
            </w:pPr>
            <w:r w:rsidRPr="00AD17B5">
              <w:rPr>
                <w:rFonts w:eastAsia="Times New Roman" w:cs="Times New Roman"/>
                <w:i/>
                <w:color w:val="000000"/>
                <w:sz w:val="24"/>
                <w:szCs w:val="24"/>
                <w:lang w:eastAsia="cs-CZ"/>
              </w:rPr>
              <w:t xml:space="preserve">Současně s budováním brněnské okružní třídy začala urbanizace Černých Polí. Na vinicemi osázených svazích nad parkem Lužánky byla v roce 1860 založena první vilová kolonie v Brně. Prostor mezi ulicemi Drobného (původně </w:t>
            </w:r>
            <w:proofErr w:type="spellStart"/>
            <w:r w:rsidRPr="00AD17B5">
              <w:rPr>
                <w:rFonts w:eastAsia="Times New Roman" w:cs="Times New Roman"/>
                <w:i/>
                <w:color w:val="000000"/>
                <w:sz w:val="24"/>
                <w:szCs w:val="24"/>
                <w:lang w:eastAsia="cs-CZ"/>
              </w:rPr>
              <w:t>Hutterova-Huttergasse</w:t>
            </w:r>
            <w:proofErr w:type="spellEnd"/>
            <w:r w:rsidRPr="00AD17B5">
              <w:rPr>
                <w:rFonts w:eastAsia="Times New Roman" w:cs="Times New Roman"/>
                <w:i/>
                <w:color w:val="000000"/>
                <w:sz w:val="24"/>
                <w:szCs w:val="24"/>
                <w:lang w:eastAsia="cs-CZ"/>
              </w:rPr>
              <w:t>, později Sadová-</w:t>
            </w:r>
            <w:proofErr w:type="spellStart"/>
            <w:r w:rsidRPr="00AD17B5">
              <w:rPr>
                <w:rFonts w:eastAsia="Times New Roman" w:cs="Times New Roman"/>
                <w:i/>
                <w:color w:val="000000"/>
                <w:sz w:val="24"/>
                <w:szCs w:val="24"/>
                <w:lang w:eastAsia="cs-CZ"/>
              </w:rPr>
              <w:t>Parkstrasse</w:t>
            </w:r>
            <w:proofErr w:type="spellEnd"/>
            <w:r w:rsidRPr="00AD17B5">
              <w:rPr>
                <w:rFonts w:eastAsia="Times New Roman" w:cs="Times New Roman"/>
                <w:i/>
                <w:color w:val="000000"/>
                <w:sz w:val="24"/>
                <w:szCs w:val="24"/>
                <w:lang w:eastAsia="cs-CZ"/>
              </w:rPr>
              <w:t>) a Černopolní (</w:t>
            </w:r>
            <w:proofErr w:type="spellStart"/>
            <w:r w:rsidRPr="00AD17B5">
              <w:rPr>
                <w:rFonts w:eastAsia="Times New Roman" w:cs="Times New Roman"/>
                <w:i/>
                <w:color w:val="000000"/>
                <w:sz w:val="24"/>
                <w:szCs w:val="24"/>
                <w:lang w:eastAsia="cs-CZ"/>
              </w:rPr>
              <w:t>Schwarzfeldgasse</w:t>
            </w:r>
            <w:proofErr w:type="spellEnd"/>
            <w:r w:rsidRPr="00AD17B5">
              <w:rPr>
                <w:rFonts w:eastAsia="Times New Roman" w:cs="Times New Roman"/>
                <w:i/>
                <w:color w:val="000000"/>
                <w:sz w:val="24"/>
                <w:szCs w:val="24"/>
                <w:lang w:eastAsia="cs-CZ"/>
              </w:rPr>
              <w:t>) býval až do druhé poloviny 19. století součástí lužáneckého parku a veřejná zeleň zde plynule</w:t>
            </w:r>
            <w:r w:rsidR="0018726B">
              <w:rPr>
                <w:rFonts w:eastAsia="Times New Roman" w:cs="Times New Roman"/>
                <w:i/>
                <w:color w:val="000000"/>
                <w:sz w:val="24"/>
                <w:szCs w:val="24"/>
                <w:lang w:eastAsia="cs-CZ"/>
              </w:rPr>
              <w:t xml:space="preserve"> (</w:t>
            </w:r>
            <w:r w:rsidR="0018726B" w:rsidRPr="0018726B">
              <w:rPr>
                <w:rStyle w:val="hps"/>
                <w:rFonts w:ascii="Arial" w:hAnsi="Arial" w:cs="Arial"/>
                <w:i/>
                <w:color w:val="222222"/>
                <w:lang w:val="en"/>
              </w:rPr>
              <w:t>smoothly)</w:t>
            </w:r>
            <w:r w:rsidR="0018726B">
              <w:rPr>
                <w:rStyle w:val="hps"/>
                <w:rFonts w:ascii="Arial" w:hAnsi="Arial" w:cs="Arial"/>
                <w:color w:val="222222"/>
                <w:lang w:val="en"/>
              </w:rPr>
              <w:t xml:space="preserve"> </w:t>
            </w:r>
            <w:r w:rsidRPr="00AD17B5">
              <w:rPr>
                <w:rFonts w:eastAsia="Times New Roman" w:cs="Times New Roman"/>
                <w:i/>
                <w:color w:val="000000"/>
                <w:sz w:val="24"/>
                <w:szCs w:val="24"/>
                <w:lang w:eastAsia="cs-CZ"/>
              </w:rPr>
              <w:t xml:space="preserve">přecházela do soukromých zahrad. </w:t>
            </w:r>
            <w:r w:rsidRPr="00452932">
              <w:rPr>
                <w:i/>
                <w:color w:val="000000"/>
                <w:sz w:val="24"/>
                <w:szCs w:val="24"/>
              </w:rPr>
              <w:t>Černá Pole se stala jednou z nejprestižnějších brněnských rezidenčních čtvrtí.</w:t>
            </w:r>
          </w:p>
        </w:tc>
      </w:tr>
    </w:tbl>
    <w:p w:rsidR="00743DD9" w:rsidRPr="00743DD9" w:rsidRDefault="00743DD9" w:rsidP="00743DD9">
      <w:pPr>
        <w:rPr>
          <w:sz w:val="24"/>
          <w:szCs w:val="24"/>
        </w:rPr>
      </w:pPr>
      <w:r w:rsidRPr="00452932">
        <w:rPr>
          <w:rStyle w:val="Siln"/>
          <w:i/>
          <w:color w:val="000000"/>
          <w:sz w:val="24"/>
          <w:szCs w:val="24"/>
        </w:rPr>
        <w:t>Fritz</w:t>
      </w:r>
      <w:r w:rsidRPr="00452932">
        <w:rPr>
          <w:rStyle w:val="Siln"/>
          <w:color w:val="000000"/>
          <w:sz w:val="24"/>
          <w:szCs w:val="24"/>
        </w:rPr>
        <w:t xml:space="preserve"> </w:t>
      </w:r>
      <w:proofErr w:type="spellStart"/>
      <w:r w:rsidRPr="00452932">
        <w:rPr>
          <w:rStyle w:val="Siln"/>
          <w:color w:val="000000"/>
          <w:sz w:val="24"/>
          <w:szCs w:val="24"/>
        </w:rPr>
        <w:t>Tugendhat</w:t>
      </w:r>
      <w:proofErr w:type="spellEnd"/>
      <w:r w:rsidRPr="00743DD9">
        <w:rPr>
          <w:rStyle w:val="Siln"/>
          <w:b w:val="0"/>
          <w:color w:val="000000"/>
          <w:sz w:val="24"/>
          <w:szCs w:val="24"/>
        </w:rPr>
        <w:t xml:space="preserve"> (1895-1958) a jeho žena </w:t>
      </w:r>
      <w:r w:rsidRPr="00452932">
        <w:rPr>
          <w:rStyle w:val="Siln"/>
          <w:i/>
          <w:color w:val="000000"/>
          <w:sz w:val="24"/>
          <w:szCs w:val="24"/>
        </w:rPr>
        <w:t>Greta</w:t>
      </w:r>
      <w:r w:rsidRPr="00743DD9">
        <w:rPr>
          <w:rStyle w:val="Siln"/>
          <w:b w:val="0"/>
          <w:color w:val="000000"/>
          <w:sz w:val="24"/>
          <w:szCs w:val="24"/>
        </w:rPr>
        <w:t xml:space="preserve">, rozená </w:t>
      </w:r>
      <w:proofErr w:type="spellStart"/>
      <w:r w:rsidRPr="00743DD9">
        <w:rPr>
          <w:rStyle w:val="Siln"/>
          <w:b w:val="0"/>
          <w:color w:val="000000"/>
          <w:sz w:val="24"/>
          <w:szCs w:val="24"/>
        </w:rPr>
        <w:t>Löw</w:t>
      </w:r>
      <w:proofErr w:type="spellEnd"/>
      <w:r w:rsidRPr="00743DD9">
        <w:rPr>
          <w:rStyle w:val="Siln"/>
          <w:b w:val="0"/>
          <w:color w:val="000000"/>
          <w:sz w:val="24"/>
          <w:szCs w:val="24"/>
        </w:rPr>
        <w:t>-Beerová (1903-1970), pocházeli z židovských německých rodin průmyslníků a obchodníků, kteří v Brně žili již po několikátou generaci.</w:t>
      </w:r>
      <w:r w:rsidRPr="00743DD9">
        <w:rPr>
          <w:b/>
          <w:color w:val="000000"/>
          <w:sz w:val="24"/>
          <w:szCs w:val="24"/>
        </w:rPr>
        <w:t xml:space="preserve">  </w:t>
      </w:r>
      <w:r w:rsidRPr="00743DD9">
        <w:rPr>
          <w:color w:val="000000"/>
          <w:sz w:val="24"/>
          <w:szCs w:val="24"/>
        </w:rPr>
        <w:t xml:space="preserve">Ještě před sňatkem </w:t>
      </w:r>
      <w:proofErr w:type="gramStart"/>
      <w:r w:rsidRPr="00743DD9">
        <w:rPr>
          <w:color w:val="000000"/>
          <w:sz w:val="24"/>
          <w:szCs w:val="24"/>
        </w:rPr>
        <w:t>požádali  německého</w:t>
      </w:r>
      <w:proofErr w:type="gramEnd"/>
      <w:r w:rsidRPr="00743DD9">
        <w:rPr>
          <w:color w:val="000000"/>
          <w:sz w:val="24"/>
          <w:szCs w:val="24"/>
        </w:rPr>
        <w:t xml:space="preserve"> architekta </w:t>
      </w:r>
      <w:r w:rsidRPr="00452932">
        <w:rPr>
          <w:b/>
          <w:i/>
          <w:color w:val="000000"/>
          <w:sz w:val="24"/>
          <w:szCs w:val="24"/>
        </w:rPr>
        <w:t xml:space="preserve">Ludwiga </w:t>
      </w:r>
      <w:proofErr w:type="spellStart"/>
      <w:r w:rsidRPr="00452932">
        <w:rPr>
          <w:b/>
          <w:i/>
          <w:color w:val="000000"/>
          <w:sz w:val="24"/>
          <w:szCs w:val="24"/>
        </w:rPr>
        <w:t>Miese</w:t>
      </w:r>
      <w:proofErr w:type="spellEnd"/>
      <w:r w:rsidRPr="00452932">
        <w:rPr>
          <w:b/>
          <w:i/>
          <w:color w:val="000000"/>
          <w:sz w:val="24"/>
          <w:szCs w:val="24"/>
        </w:rPr>
        <w:t xml:space="preserve"> van der </w:t>
      </w:r>
      <w:proofErr w:type="spellStart"/>
      <w:r w:rsidRPr="00452932">
        <w:rPr>
          <w:b/>
          <w:i/>
          <w:color w:val="000000"/>
          <w:sz w:val="24"/>
          <w:szCs w:val="24"/>
        </w:rPr>
        <w:t>Rohe</w:t>
      </w:r>
      <w:proofErr w:type="spellEnd"/>
      <w:r w:rsidRPr="00743DD9">
        <w:rPr>
          <w:color w:val="000000"/>
          <w:sz w:val="24"/>
          <w:szCs w:val="24"/>
        </w:rPr>
        <w:t xml:space="preserve"> o projekt rodinného domu.</w:t>
      </w:r>
      <w:r w:rsidRPr="00743DD9">
        <w:rPr>
          <w:b/>
          <w:bCs/>
          <w:color w:val="000000"/>
          <w:sz w:val="24"/>
          <w:szCs w:val="24"/>
        </w:rPr>
        <w:t xml:space="preserve"> </w:t>
      </w:r>
      <w:proofErr w:type="spellStart"/>
      <w:r w:rsidRPr="00743DD9">
        <w:rPr>
          <w:color w:val="000000"/>
          <w:sz w:val="24"/>
          <w:szCs w:val="24"/>
        </w:rPr>
        <w:t>Mies</w:t>
      </w:r>
      <w:proofErr w:type="spellEnd"/>
      <w:r w:rsidRPr="00743DD9">
        <w:rPr>
          <w:color w:val="000000"/>
          <w:sz w:val="24"/>
          <w:szCs w:val="24"/>
        </w:rPr>
        <w:t xml:space="preserve"> přijel do Brna v září 1928 a okouzlen exkluzivní stavební parcelou, která skýtala nádherný výhled na historické panorama Brna, zakázku </w:t>
      </w:r>
      <w:r w:rsidR="00452932">
        <w:rPr>
          <w:color w:val="000000"/>
          <w:sz w:val="24"/>
          <w:szCs w:val="24"/>
        </w:rPr>
        <w:t>(</w:t>
      </w:r>
      <w:proofErr w:type="spellStart"/>
      <w:r w:rsidR="00452932" w:rsidRPr="00452932">
        <w:rPr>
          <w:i/>
          <w:color w:val="000000"/>
          <w:sz w:val="24"/>
          <w:szCs w:val="24"/>
        </w:rPr>
        <w:t>commision</w:t>
      </w:r>
      <w:proofErr w:type="spellEnd"/>
      <w:r w:rsidR="00452932">
        <w:rPr>
          <w:color w:val="000000"/>
          <w:sz w:val="24"/>
          <w:szCs w:val="24"/>
        </w:rPr>
        <w:t xml:space="preserve">) </w:t>
      </w:r>
      <w:r w:rsidRPr="00743DD9">
        <w:rPr>
          <w:color w:val="000000"/>
          <w:sz w:val="24"/>
          <w:szCs w:val="24"/>
        </w:rPr>
        <w:t xml:space="preserve">přijal.  </w:t>
      </w:r>
      <w:proofErr w:type="spellStart"/>
      <w:r w:rsidRPr="00743DD9">
        <w:rPr>
          <w:color w:val="000000"/>
          <w:sz w:val="24"/>
          <w:szCs w:val="24"/>
        </w:rPr>
        <w:t>Miesův</w:t>
      </w:r>
      <w:proofErr w:type="spellEnd"/>
      <w:r w:rsidRPr="00743DD9">
        <w:rPr>
          <w:color w:val="000000"/>
          <w:sz w:val="24"/>
          <w:szCs w:val="24"/>
        </w:rPr>
        <w:t xml:space="preserve"> výrok „méně je více“ je příznačný pro jeho čisté formy a práci s materiálem. Sklo, ocel </w:t>
      </w:r>
      <w:r w:rsidR="00452932">
        <w:rPr>
          <w:color w:val="000000"/>
          <w:sz w:val="24"/>
          <w:szCs w:val="24"/>
        </w:rPr>
        <w:t>(</w:t>
      </w:r>
      <w:proofErr w:type="spellStart"/>
      <w:r w:rsidR="00452932" w:rsidRPr="00683206">
        <w:rPr>
          <w:i/>
          <w:color w:val="000000"/>
          <w:sz w:val="24"/>
          <w:szCs w:val="24"/>
        </w:rPr>
        <w:t>stee</w:t>
      </w:r>
      <w:r w:rsidR="00452932">
        <w:rPr>
          <w:color w:val="000000"/>
          <w:sz w:val="24"/>
          <w:szCs w:val="24"/>
        </w:rPr>
        <w:t>l</w:t>
      </w:r>
      <w:proofErr w:type="spellEnd"/>
      <w:r w:rsidR="00452932">
        <w:rPr>
          <w:color w:val="000000"/>
          <w:sz w:val="24"/>
          <w:szCs w:val="24"/>
        </w:rPr>
        <w:t>)</w:t>
      </w:r>
      <w:r w:rsidRPr="00743DD9">
        <w:rPr>
          <w:color w:val="000000"/>
          <w:sz w:val="24"/>
          <w:szCs w:val="24"/>
        </w:rPr>
        <w:t>a beton</w:t>
      </w:r>
      <w:r w:rsidR="00452932">
        <w:rPr>
          <w:color w:val="000000"/>
          <w:sz w:val="24"/>
          <w:szCs w:val="24"/>
        </w:rPr>
        <w:t xml:space="preserve"> (</w:t>
      </w:r>
      <w:proofErr w:type="spellStart"/>
      <w:r w:rsidR="00452932" w:rsidRPr="00683206">
        <w:rPr>
          <w:i/>
          <w:color w:val="000000"/>
          <w:sz w:val="24"/>
          <w:szCs w:val="24"/>
        </w:rPr>
        <w:t>concret</w:t>
      </w:r>
      <w:r w:rsidR="00452932">
        <w:rPr>
          <w:color w:val="000000"/>
          <w:sz w:val="24"/>
          <w:szCs w:val="24"/>
        </w:rPr>
        <w:t>e</w:t>
      </w:r>
      <w:proofErr w:type="spellEnd"/>
      <w:r w:rsidR="00452932">
        <w:rPr>
          <w:color w:val="000000"/>
          <w:sz w:val="24"/>
          <w:szCs w:val="24"/>
        </w:rPr>
        <w:t>)</w:t>
      </w:r>
      <w:r w:rsidRPr="00743DD9">
        <w:rPr>
          <w:color w:val="000000"/>
          <w:sz w:val="24"/>
          <w:szCs w:val="24"/>
        </w:rPr>
        <w:t xml:space="preserve"> jsou atributy jeho osobitého „internacionálního stylu“, který ovlivňuje architekturu až do současnosti.</w:t>
      </w:r>
    </w:p>
    <w:p w:rsidR="00743DD9" w:rsidRPr="00743DD9" w:rsidRDefault="00743DD9" w:rsidP="00743DD9">
      <w:pPr>
        <w:rPr>
          <w:color w:val="000000"/>
          <w:sz w:val="24"/>
          <w:szCs w:val="24"/>
        </w:rPr>
      </w:pPr>
      <w:r w:rsidRPr="00743DD9">
        <w:rPr>
          <w:color w:val="000000"/>
          <w:sz w:val="24"/>
          <w:szCs w:val="24"/>
        </w:rPr>
        <w:t>Architekt byl překvapen vysokou úrovní brněnské architektury a </w:t>
      </w:r>
      <w:proofErr w:type="gramStart"/>
      <w:r w:rsidRPr="00743DD9">
        <w:rPr>
          <w:color w:val="000000"/>
          <w:sz w:val="24"/>
          <w:szCs w:val="24"/>
        </w:rPr>
        <w:t>stavitelství a  neváhal</w:t>
      </w:r>
      <w:proofErr w:type="gramEnd"/>
      <w:r w:rsidRPr="00743DD9">
        <w:rPr>
          <w:color w:val="000000"/>
          <w:sz w:val="24"/>
          <w:szCs w:val="24"/>
        </w:rPr>
        <w:t xml:space="preserve"> realizaci svěřit do rukou zdejší stavební firmy. Lokalita v brněnské rezidenční čtvrti Černá Pole byla předem daná, neboť pozemek</w:t>
      </w:r>
      <w:r w:rsidR="00452932">
        <w:rPr>
          <w:color w:val="000000"/>
          <w:sz w:val="24"/>
          <w:szCs w:val="24"/>
        </w:rPr>
        <w:t xml:space="preserve"> (</w:t>
      </w:r>
      <w:proofErr w:type="gramStart"/>
      <w:r w:rsidR="00452932" w:rsidRPr="00683206">
        <w:rPr>
          <w:i/>
          <w:color w:val="000000"/>
          <w:sz w:val="24"/>
          <w:szCs w:val="24"/>
        </w:rPr>
        <w:t>parcel</w:t>
      </w:r>
      <w:r w:rsidR="00452932">
        <w:rPr>
          <w:color w:val="000000"/>
          <w:sz w:val="24"/>
          <w:szCs w:val="24"/>
        </w:rPr>
        <w:t xml:space="preserve">) </w:t>
      </w:r>
      <w:r w:rsidRPr="00743DD9">
        <w:rPr>
          <w:color w:val="000000"/>
          <w:sz w:val="24"/>
          <w:szCs w:val="24"/>
        </w:rPr>
        <w:t xml:space="preserve"> byl</w:t>
      </w:r>
      <w:proofErr w:type="gramEnd"/>
      <w:r w:rsidRPr="00743DD9">
        <w:rPr>
          <w:color w:val="000000"/>
          <w:sz w:val="24"/>
          <w:szCs w:val="24"/>
        </w:rPr>
        <w:t xml:space="preserve"> součástí </w:t>
      </w:r>
      <w:proofErr w:type="spellStart"/>
      <w:r w:rsidRPr="00743DD9">
        <w:rPr>
          <w:color w:val="000000"/>
          <w:sz w:val="24"/>
          <w:szCs w:val="24"/>
        </w:rPr>
        <w:t>Gretiny</w:t>
      </w:r>
      <w:proofErr w:type="spellEnd"/>
      <w:r w:rsidRPr="00743DD9">
        <w:rPr>
          <w:color w:val="000000"/>
          <w:sz w:val="24"/>
          <w:szCs w:val="24"/>
        </w:rPr>
        <w:t xml:space="preserve"> rodičovské, tzv. </w:t>
      </w:r>
      <w:proofErr w:type="spellStart"/>
      <w:r w:rsidRPr="00743DD9">
        <w:rPr>
          <w:color w:val="000000"/>
          <w:sz w:val="24"/>
          <w:szCs w:val="24"/>
        </w:rPr>
        <w:t>Löw</w:t>
      </w:r>
      <w:proofErr w:type="spellEnd"/>
      <w:r w:rsidRPr="00743DD9">
        <w:rPr>
          <w:color w:val="000000"/>
          <w:sz w:val="24"/>
          <w:szCs w:val="24"/>
        </w:rPr>
        <w:t xml:space="preserve">-Beerovy vily. Otec jej dceři daroval v březnu 1929 a stavbu jejího nového domu také financoval. </w:t>
      </w:r>
    </w:p>
    <w:p w:rsidR="0018726B" w:rsidRPr="00AD17B5" w:rsidRDefault="00743DD9" w:rsidP="00743DD9">
      <w:pPr>
        <w:rPr>
          <w:rFonts w:eastAsia="Times New Roman" w:cs="Times New Roman"/>
          <w:iCs/>
          <w:color w:val="000000"/>
          <w:sz w:val="24"/>
          <w:szCs w:val="24"/>
          <w:lang w:eastAsia="cs-CZ"/>
        </w:rPr>
      </w:pPr>
      <w:r w:rsidRPr="00743DD9">
        <w:rPr>
          <w:color w:val="000000"/>
          <w:sz w:val="24"/>
          <w:szCs w:val="24"/>
        </w:rPr>
        <w:t xml:space="preserve">V létě 1929 však brněnská stavitelská firma bratří Artura a Mořice </w:t>
      </w:r>
      <w:proofErr w:type="spellStart"/>
      <w:r w:rsidRPr="00743DD9">
        <w:rPr>
          <w:color w:val="000000"/>
          <w:sz w:val="24"/>
          <w:szCs w:val="24"/>
        </w:rPr>
        <w:t>Eislerových</w:t>
      </w:r>
      <w:proofErr w:type="spellEnd"/>
      <w:r w:rsidRPr="00743DD9">
        <w:rPr>
          <w:color w:val="000000"/>
          <w:sz w:val="24"/>
          <w:szCs w:val="24"/>
        </w:rPr>
        <w:t xml:space="preserve"> začala se stavbou domu, která byla hotova za čtrnáct měsíců. Po dokončení interiérů se rodina v prosinci 1930 mohla nastěhovat. </w:t>
      </w:r>
      <w:r w:rsidRPr="00743DD9">
        <w:rPr>
          <w:rFonts w:eastAsia="Times New Roman" w:cs="Times New Roman"/>
          <w:i/>
          <w:iCs/>
          <w:color w:val="000000"/>
          <w:sz w:val="24"/>
          <w:szCs w:val="24"/>
          <w:lang w:eastAsia="cs-CZ"/>
        </w:rPr>
        <w:t xml:space="preserve">„Od prvního okamžiku jsme si dům velice oblíbili. (…) Když jsme byli sami, tak jsme seděli v knihovně, ale s přáteli jsme rádi trávili večery před skleněnou stěnou zezadu osvětlenou, která vrhala jemné a pěkné světlo. Mnohem více jsme si užívali </w:t>
      </w:r>
      <w:r w:rsidRPr="00743DD9">
        <w:rPr>
          <w:rFonts w:eastAsia="Times New Roman" w:cs="Times New Roman"/>
          <w:i/>
          <w:iCs/>
          <w:color w:val="000000"/>
          <w:sz w:val="24"/>
          <w:szCs w:val="24"/>
          <w:lang w:eastAsia="cs-CZ"/>
        </w:rPr>
        <w:lastRenderedPageBreak/>
        <w:t>domu na jaře a v létě. Pokud byly děti malé, žili jsme s nimi stále na terase. Měly tam svoji vaničku na šplouchání a ve stínu rozrostlého polygonu bednu s pískem. Jezdily po celé terase</w:t>
      </w:r>
      <w:r w:rsidR="0018726B">
        <w:rPr>
          <w:rFonts w:eastAsia="Times New Roman" w:cs="Times New Roman"/>
          <w:i/>
          <w:iCs/>
          <w:color w:val="000000"/>
          <w:sz w:val="24"/>
          <w:szCs w:val="24"/>
          <w:lang w:eastAsia="cs-CZ"/>
        </w:rPr>
        <w:t xml:space="preserve"> na svých kolečkách a autíčkách“, </w:t>
      </w:r>
      <w:r w:rsidR="0018726B" w:rsidRPr="0018726B">
        <w:rPr>
          <w:rFonts w:eastAsia="Times New Roman" w:cs="Times New Roman"/>
          <w:iCs/>
          <w:color w:val="000000"/>
          <w:sz w:val="24"/>
          <w:szCs w:val="24"/>
          <w:lang w:eastAsia="cs-CZ"/>
        </w:rPr>
        <w:t xml:space="preserve">vzpomínala při své první poválečné návštěvě Brna </w:t>
      </w:r>
      <w:proofErr w:type="spellStart"/>
      <w:r w:rsidR="0018726B" w:rsidRPr="0018726B">
        <w:rPr>
          <w:rFonts w:eastAsia="Times New Roman" w:cs="Times New Roman"/>
          <w:iCs/>
          <w:color w:val="000000"/>
          <w:sz w:val="24"/>
          <w:szCs w:val="24"/>
          <w:lang w:eastAsia="cs-CZ"/>
        </w:rPr>
        <w:t>Grrta</w:t>
      </w:r>
      <w:proofErr w:type="spellEnd"/>
      <w:r w:rsidR="0018726B" w:rsidRPr="0018726B">
        <w:rPr>
          <w:rFonts w:eastAsia="Times New Roman" w:cs="Times New Roman"/>
          <w:iCs/>
          <w:color w:val="000000"/>
          <w:sz w:val="24"/>
          <w:szCs w:val="24"/>
          <w:lang w:eastAsia="cs-CZ"/>
        </w:rPr>
        <w:t xml:space="preserve"> </w:t>
      </w:r>
      <w:proofErr w:type="spellStart"/>
      <w:r w:rsidR="0018726B" w:rsidRPr="0018726B">
        <w:rPr>
          <w:rFonts w:eastAsia="Times New Roman" w:cs="Times New Roman"/>
          <w:iCs/>
          <w:color w:val="000000"/>
          <w:sz w:val="24"/>
          <w:szCs w:val="24"/>
          <w:lang w:eastAsia="cs-CZ"/>
        </w:rPr>
        <w:t>Tugendhatová</w:t>
      </w:r>
      <w:proofErr w:type="spellEnd"/>
      <w:r w:rsidR="0018726B" w:rsidRPr="0018726B">
        <w:rPr>
          <w:rFonts w:eastAsia="Times New Roman" w:cs="Times New Roman"/>
          <w:iCs/>
          <w:color w:val="000000"/>
          <w:sz w:val="24"/>
          <w:szCs w:val="24"/>
          <w:lang w:eastAsia="cs-CZ"/>
        </w:rPr>
        <w:t xml:space="preserve"> v roce 1969.</w:t>
      </w:r>
    </w:p>
    <w:p w:rsidR="00743DD9" w:rsidRPr="00743DD9" w:rsidRDefault="00743DD9">
      <w:pPr>
        <w:rPr>
          <w:color w:val="000000"/>
          <w:sz w:val="24"/>
          <w:szCs w:val="24"/>
        </w:rPr>
      </w:pPr>
      <w:r w:rsidRPr="00743DD9">
        <w:rPr>
          <w:rStyle w:val="Zdraznn"/>
          <w:sz w:val="24"/>
          <w:szCs w:val="24"/>
        </w:rPr>
        <w:t>„Velké prostory osvobozují</w:t>
      </w:r>
      <w:r w:rsidR="00452932">
        <w:rPr>
          <w:rStyle w:val="Zdraznn"/>
          <w:color w:val="000000"/>
          <w:sz w:val="24"/>
          <w:szCs w:val="24"/>
        </w:rPr>
        <w:t xml:space="preserve"> (</w:t>
      </w:r>
      <w:r w:rsidR="0018726B">
        <w:rPr>
          <w:rStyle w:val="Zdraznn"/>
          <w:color w:val="000000"/>
          <w:sz w:val="24"/>
          <w:szCs w:val="24"/>
        </w:rPr>
        <w:t xml:space="preserve">set free, </w:t>
      </w:r>
      <w:proofErr w:type="spellStart"/>
      <w:r w:rsidR="0018726B">
        <w:rPr>
          <w:rStyle w:val="Zdraznn"/>
          <w:color w:val="000000"/>
          <w:sz w:val="24"/>
          <w:szCs w:val="24"/>
        </w:rPr>
        <w:t>liberate</w:t>
      </w:r>
      <w:proofErr w:type="spellEnd"/>
      <w:r w:rsidR="0018726B">
        <w:rPr>
          <w:rStyle w:val="Zdraznn"/>
          <w:color w:val="000000"/>
          <w:sz w:val="24"/>
          <w:szCs w:val="24"/>
        </w:rPr>
        <w:t>)</w:t>
      </w:r>
      <w:r w:rsidRPr="00743DD9">
        <w:rPr>
          <w:rStyle w:val="Zdraznn"/>
          <w:sz w:val="24"/>
          <w:szCs w:val="24"/>
        </w:rPr>
        <w:t>. Prostor má ve svém rytmu zcela zvláštní klid, který nemůže poskytnout uzavřená místnost.“</w:t>
      </w:r>
      <w:r w:rsidRPr="00743DD9">
        <w:rPr>
          <w:color w:val="000000"/>
          <w:sz w:val="24"/>
          <w:szCs w:val="24"/>
        </w:rPr>
        <w:t xml:space="preserve"> </w:t>
      </w:r>
      <w:r w:rsidR="00452932">
        <w:rPr>
          <w:color w:val="000000"/>
          <w:sz w:val="24"/>
          <w:szCs w:val="24"/>
        </w:rPr>
        <w:t xml:space="preserve">Fritze </w:t>
      </w:r>
      <w:proofErr w:type="spellStart"/>
      <w:r w:rsidR="00452932">
        <w:rPr>
          <w:color w:val="000000"/>
          <w:sz w:val="24"/>
          <w:szCs w:val="24"/>
        </w:rPr>
        <w:t>Tugendhat</w:t>
      </w:r>
      <w:proofErr w:type="spellEnd"/>
      <w:r w:rsidR="00452932">
        <w:rPr>
          <w:color w:val="000000"/>
          <w:sz w:val="24"/>
          <w:szCs w:val="24"/>
        </w:rPr>
        <w:t xml:space="preserve"> rád a nadšeně fotografoval a díky němu máme možnost vidět vilu očima jejích majitelů</w:t>
      </w:r>
      <w:r w:rsidRPr="00743DD9">
        <w:rPr>
          <w:color w:val="000000"/>
          <w:sz w:val="24"/>
          <w:szCs w:val="24"/>
        </w:rPr>
        <w:t xml:space="preserve">. </w:t>
      </w:r>
      <w:r w:rsidRPr="00743DD9">
        <w:rPr>
          <w:rStyle w:val="Zdraznn"/>
          <w:sz w:val="24"/>
          <w:szCs w:val="24"/>
        </w:rPr>
        <w:t>„Když tyto prostory a vše, co je uvnitř, nechám na sebe působit jako celek, pak jasně cítím: to je krása – to je pravda.“</w:t>
      </w:r>
    </w:p>
    <w:p w:rsidR="00743DD9" w:rsidRPr="00743DD9" w:rsidRDefault="00743DD9">
      <w:pPr>
        <w:rPr>
          <w:color w:val="000000"/>
          <w:sz w:val="24"/>
          <w:szCs w:val="24"/>
        </w:rPr>
      </w:pPr>
      <w:proofErr w:type="spellStart"/>
      <w:r w:rsidRPr="00743DD9">
        <w:rPr>
          <w:color w:val="000000"/>
          <w:sz w:val="24"/>
          <w:szCs w:val="24"/>
        </w:rPr>
        <w:t>Tugendhatovi</w:t>
      </w:r>
      <w:proofErr w:type="spellEnd"/>
      <w:r w:rsidRPr="00743DD9">
        <w:rPr>
          <w:color w:val="000000"/>
          <w:sz w:val="24"/>
          <w:szCs w:val="24"/>
        </w:rPr>
        <w:t xml:space="preserve"> žili v domě se třemi dětmi, Hanou (</w:t>
      </w:r>
      <w:proofErr w:type="spellStart"/>
      <w:r w:rsidRPr="00743DD9">
        <w:rPr>
          <w:color w:val="000000"/>
          <w:sz w:val="24"/>
          <w:szCs w:val="24"/>
        </w:rPr>
        <w:t>Gretina</w:t>
      </w:r>
      <w:proofErr w:type="spellEnd"/>
      <w:r w:rsidRPr="00743DD9">
        <w:rPr>
          <w:color w:val="000000"/>
          <w:sz w:val="24"/>
          <w:szCs w:val="24"/>
        </w:rPr>
        <w:t xml:space="preserve"> dcera z prvního manželství), Ernstem a Herbertem do května 1938. Před hrozbou vypuknutí války</w:t>
      </w:r>
      <w:r w:rsidR="00452932">
        <w:rPr>
          <w:color w:val="000000"/>
          <w:sz w:val="24"/>
          <w:szCs w:val="24"/>
        </w:rPr>
        <w:t xml:space="preserve"> </w:t>
      </w:r>
      <w:r w:rsidR="00452932" w:rsidRPr="00452932">
        <w:rPr>
          <w:i/>
          <w:color w:val="000000"/>
          <w:sz w:val="24"/>
          <w:szCs w:val="24"/>
        </w:rPr>
        <w:t>(</w:t>
      </w:r>
      <w:proofErr w:type="spellStart"/>
      <w:r w:rsidR="00452932" w:rsidRPr="00452932">
        <w:rPr>
          <w:i/>
          <w:color w:val="000000"/>
          <w:sz w:val="24"/>
          <w:szCs w:val="24"/>
        </w:rPr>
        <w:t>outbreak</w:t>
      </w:r>
      <w:proofErr w:type="spellEnd"/>
      <w:r w:rsidR="00452932" w:rsidRPr="00452932">
        <w:rPr>
          <w:i/>
          <w:color w:val="000000"/>
          <w:sz w:val="24"/>
          <w:szCs w:val="24"/>
        </w:rPr>
        <w:t xml:space="preserve"> </w:t>
      </w:r>
      <w:proofErr w:type="spellStart"/>
      <w:r w:rsidR="00452932" w:rsidRPr="00452932">
        <w:rPr>
          <w:i/>
          <w:color w:val="000000"/>
          <w:sz w:val="24"/>
          <w:szCs w:val="24"/>
        </w:rPr>
        <w:t>of</w:t>
      </w:r>
      <w:proofErr w:type="spellEnd"/>
      <w:r w:rsidR="00452932" w:rsidRPr="00452932">
        <w:rPr>
          <w:i/>
          <w:color w:val="000000"/>
          <w:sz w:val="24"/>
          <w:szCs w:val="24"/>
        </w:rPr>
        <w:t xml:space="preserve"> </w:t>
      </w:r>
      <w:proofErr w:type="spellStart"/>
      <w:r w:rsidR="00452932" w:rsidRPr="00452932">
        <w:rPr>
          <w:i/>
          <w:color w:val="000000"/>
          <w:sz w:val="24"/>
          <w:szCs w:val="24"/>
        </w:rPr>
        <w:t>war</w:t>
      </w:r>
      <w:proofErr w:type="spellEnd"/>
      <w:r w:rsidR="00452932">
        <w:rPr>
          <w:color w:val="000000"/>
          <w:sz w:val="24"/>
          <w:szCs w:val="24"/>
        </w:rPr>
        <w:t>)</w:t>
      </w:r>
      <w:r w:rsidRPr="00743DD9">
        <w:rPr>
          <w:color w:val="000000"/>
          <w:sz w:val="24"/>
          <w:szCs w:val="24"/>
        </w:rPr>
        <w:t xml:space="preserve"> odjeli do Švýcarska a v lednu 1941 pak do Venezuely, kde se v Caracasu narodily dcery Ruth a Marie-Daniela.</w:t>
      </w:r>
    </w:p>
    <w:p w:rsidR="00AD17B5" w:rsidRDefault="00AD17B5">
      <w:pPr>
        <w:rPr>
          <w:rStyle w:val="Siln"/>
          <w:b w:val="0"/>
          <w:color w:val="000000"/>
          <w:sz w:val="24"/>
          <w:szCs w:val="24"/>
        </w:rPr>
      </w:pPr>
      <w:r w:rsidRPr="00743DD9">
        <w:rPr>
          <w:rStyle w:val="Siln"/>
          <w:b w:val="0"/>
          <w:color w:val="000000"/>
          <w:sz w:val="24"/>
          <w:szCs w:val="24"/>
        </w:rPr>
        <w:t>Volně stojící třípodlažní vila je zasazena ve svažitém</w:t>
      </w:r>
      <w:r w:rsidR="00452932">
        <w:rPr>
          <w:rStyle w:val="Siln"/>
          <w:b w:val="0"/>
          <w:color w:val="000000"/>
          <w:sz w:val="24"/>
          <w:szCs w:val="24"/>
        </w:rPr>
        <w:t xml:space="preserve"> (</w:t>
      </w:r>
      <w:proofErr w:type="gramStart"/>
      <w:r w:rsidR="00452932" w:rsidRPr="00452932">
        <w:rPr>
          <w:rStyle w:val="Siln"/>
          <w:b w:val="0"/>
          <w:i/>
          <w:color w:val="000000"/>
          <w:sz w:val="24"/>
          <w:szCs w:val="24"/>
        </w:rPr>
        <w:t>svah=</w:t>
      </w:r>
      <w:proofErr w:type="spellStart"/>
      <w:r w:rsidR="00452932" w:rsidRPr="00452932">
        <w:rPr>
          <w:rStyle w:val="Siln"/>
          <w:b w:val="0"/>
          <w:i/>
          <w:color w:val="000000"/>
          <w:sz w:val="24"/>
          <w:szCs w:val="24"/>
        </w:rPr>
        <w:t>hillside</w:t>
      </w:r>
      <w:proofErr w:type="spellEnd"/>
      <w:r w:rsidR="00452932">
        <w:rPr>
          <w:rStyle w:val="Siln"/>
          <w:b w:val="0"/>
          <w:color w:val="000000"/>
          <w:sz w:val="24"/>
          <w:szCs w:val="24"/>
        </w:rPr>
        <w:t xml:space="preserve">) </w:t>
      </w:r>
      <w:r w:rsidRPr="00743DD9">
        <w:rPr>
          <w:rStyle w:val="Siln"/>
          <w:b w:val="0"/>
          <w:color w:val="000000"/>
          <w:sz w:val="24"/>
          <w:szCs w:val="24"/>
        </w:rPr>
        <w:t xml:space="preserve"> terénu</w:t>
      </w:r>
      <w:proofErr w:type="gramEnd"/>
      <w:r w:rsidRPr="00743DD9">
        <w:rPr>
          <w:rStyle w:val="Siln"/>
          <w:b w:val="0"/>
          <w:color w:val="000000"/>
          <w:sz w:val="24"/>
          <w:szCs w:val="24"/>
        </w:rPr>
        <w:t xml:space="preserve"> a je orientována na jihozápad. V prvním podlaží (suterén) je technické zázemí. Druhé podlaží (přízemí) tvoří především hlavní obytný a společenský prostor se zimní zahradou a terasou a dále kuchyně s</w:t>
      </w:r>
      <w:r w:rsidR="00743DD9">
        <w:rPr>
          <w:rStyle w:val="Siln"/>
          <w:b w:val="0"/>
          <w:color w:val="000000"/>
          <w:sz w:val="24"/>
          <w:szCs w:val="24"/>
        </w:rPr>
        <w:t> </w:t>
      </w:r>
      <w:r w:rsidRPr="00743DD9">
        <w:rPr>
          <w:rStyle w:val="Siln"/>
          <w:b w:val="0"/>
          <w:color w:val="000000"/>
          <w:sz w:val="24"/>
          <w:szCs w:val="24"/>
        </w:rPr>
        <w:t xml:space="preserve">příslušenstvím </w:t>
      </w:r>
      <w:r w:rsidR="00452932">
        <w:rPr>
          <w:rStyle w:val="Siln"/>
          <w:b w:val="0"/>
          <w:color w:val="000000"/>
          <w:sz w:val="24"/>
          <w:szCs w:val="24"/>
        </w:rPr>
        <w:t>(</w:t>
      </w:r>
      <w:r w:rsidR="00452932" w:rsidRPr="00452932">
        <w:rPr>
          <w:rStyle w:val="hps"/>
          <w:rFonts w:ascii="Arial" w:hAnsi="Arial" w:cs="Arial"/>
          <w:i/>
          <w:color w:val="222222"/>
          <w:lang w:val="en"/>
        </w:rPr>
        <w:t>accessories</w:t>
      </w:r>
      <w:r w:rsidR="00452932">
        <w:rPr>
          <w:rStyle w:val="hps"/>
          <w:rFonts w:ascii="Arial" w:hAnsi="Arial" w:cs="Arial"/>
          <w:color w:val="222222"/>
          <w:lang w:val="en"/>
        </w:rPr>
        <w:t xml:space="preserve">) </w:t>
      </w:r>
      <w:r w:rsidRPr="00743DD9">
        <w:rPr>
          <w:rStyle w:val="Siln"/>
          <w:b w:val="0"/>
          <w:color w:val="000000"/>
          <w:sz w:val="24"/>
          <w:szCs w:val="24"/>
        </w:rPr>
        <w:t>a místnostmi pro per</w:t>
      </w:r>
      <w:r w:rsidR="00743DD9">
        <w:rPr>
          <w:rStyle w:val="Siln"/>
          <w:b w:val="0"/>
          <w:color w:val="000000"/>
          <w:sz w:val="24"/>
          <w:szCs w:val="24"/>
        </w:rPr>
        <w:t>sonál. Ve třetím podlaží (1. patro)</w:t>
      </w:r>
      <w:r w:rsidRPr="00743DD9">
        <w:rPr>
          <w:rStyle w:val="Siln"/>
          <w:b w:val="0"/>
          <w:color w:val="000000"/>
          <w:sz w:val="24"/>
          <w:szCs w:val="24"/>
        </w:rPr>
        <w:t xml:space="preserve"> je hlavní vstup z ulice s průchodem na terasu, vstupní hala, pokoje rodičů, dětí a vychovatelky s příslušenstvím. Samostatně přístupný je byt šoféra s garáží a terasa.</w:t>
      </w:r>
    </w:p>
    <w:p w:rsidR="00412C59" w:rsidRPr="00412C59" w:rsidRDefault="00412C59" w:rsidP="00412C59">
      <w:pPr>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Jako jediná památka moderní architektury v České republice je zapsána na Seznamu světového kulturního dědictví UNESCO. </w:t>
      </w:r>
    </w:p>
    <w:p w:rsidR="00412C59" w:rsidRDefault="00412C59" w:rsidP="00412C59">
      <w:pPr>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 xml:space="preserve">V letech 2010–2012 prošla vila </w:t>
      </w:r>
      <w:proofErr w:type="spellStart"/>
      <w:r w:rsidRPr="00412C59">
        <w:rPr>
          <w:rFonts w:eastAsia="Times New Roman" w:cs="Times New Roman"/>
          <w:color w:val="000000"/>
          <w:sz w:val="24"/>
          <w:szCs w:val="24"/>
          <w:lang w:eastAsia="cs-CZ"/>
        </w:rPr>
        <w:t>Tugendhat</w:t>
      </w:r>
      <w:proofErr w:type="spellEnd"/>
      <w:r w:rsidRPr="00412C59">
        <w:rPr>
          <w:rFonts w:eastAsia="Times New Roman" w:cs="Times New Roman"/>
          <w:color w:val="000000"/>
          <w:sz w:val="24"/>
          <w:szCs w:val="24"/>
          <w:lang w:eastAsia="cs-CZ"/>
        </w:rPr>
        <w:t xml:space="preserve"> </w:t>
      </w:r>
      <w:hyperlink r:id="rId7" w:tgtFrame="_self" w:history="1">
        <w:r w:rsidRPr="00412C59">
          <w:rPr>
            <w:rFonts w:eastAsia="Times New Roman" w:cs="Times New Roman"/>
            <w:color w:val="000000"/>
            <w:sz w:val="24"/>
            <w:szCs w:val="24"/>
            <w:lang w:eastAsia="cs-CZ"/>
          </w:rPr>
          <w:t>památkovou obnovou a restaurací</w:t>
        </w:r>
      </w:hyperlink>
      <w:r w:rsidRPr="00412C59">
        <w:rPr>
          <w:rFonts w:eastAsia="Times New Roman" w:cs="Times New Roman"/>
          <w:color w:val="000000"/>
          <w:sz w:val="24"/>
          <w:szCs w:val="24"/>
          <w:lang w:eastAsia="cs-CZ"/>
        </w:rPr>
        <w:t>. Stavba i s přilehlou zahradou byla restaurována do podoby v době jejího dokončení v roce 1930. Interiéry jsou vybaveny exaktními replikami původního mobiliáře</w:t>
      </w:r>
      <w:r>
        <w:rPr>
          <w:rFonts w:eastAsia="Times New Roman" w:cs="Times New Roman"/>
          <w:color w:val="000000"/>
          <w:sz w:val="24"/>
          <w:szCs w:val="24"/>
          <w:lang w:eastAsia="cs-CZ"/>
        </w:rPr>
        <w:t xml:space="preserve">. </w:t>
      </w:r>
    </w:p>
    <w:p w:rsidR="00412C59" w:rsidRDefault="00412C59" w:rsidP="00412C59">
      <w:pPr>
        <w:shd w:val="clear" w:color="auto" w:fill="FFFFFF"/>
        <w:spacing w:after="0" w:line="336" w:lineRule="atLeast"/>
        <w:jc w:val="both"/>
        <w:rPr>
          <w:rFonts w:ascii="DINWebPro" w:eastAsia="Times New Roman" w:hAnsi="DINWebPro" w:cs="Times New Roman"/>
          <w:color w:val="000000"/>
          <w:sz w:val="24"/>
          <w:szCs w:val="24"/>
          <w:lang w:eastAsia="cs-CZ"/>
        </w:rPr>
      </w:pPr>
    </w:p>
    <w:p w:rsidR="00412C59" w:rsidRPr="00412C59" w:rsidRDefault="00412C59" w:rsidP="00412C59">
      <w:pPr>
        <w:shd w:val="clear" w:color="auto" w:fill="FFFFFF"/>
        <w:spacing w:after="0" w:line="336" w:lineRule="atLeast"/>
        <w:jc w:val="both"/>
        <w:rPr>
          <w:rFonts w:eastAsia="Times New Roman" w:cs="Times New Roman"/>
          <w:color w:val="000000"/>
          <w:sz w:val="24"/>
          <w:szCs w:val="24"/>
          <w:lang w:eastAsia="cs-CZ"/>
        </w:rPr>
      </w:pPr>
      <w:r w:rsidRPr="00412C59">
        <w:rPr>
          <w:rFonts w:eastAsia="Times New Roman" w:cs="Times New Roman"/>
          <w:color w:val="000000"/>
          <w:sz w:val="24"/>
          <w:szCs w:val="24"/>
          <w:lang w:eastAsia="cs-CZ"/>
        </w:rPr>
        <w:t xml:space="preserve">Pondělí 26. Října 2015 bylo pro vilu </w:t>
      </w:r>
      <w:proofErr w:type="spellStart"/>
      <w:r w:rsidRPr="00412C59">
        <w:rPr>
          <w:rFonts w:eastAsia="Times New Roman" w:cs="Times New Roman"/>
          <w:color w:val="000000"/>
          <w:sz w:val="24"/>
          <w:szCs w:val="24"/>
          <w:lang w:eastAsia="cs-CZ"/>
        </w:rPr>
        <w:t>Tugendhat</w:t>
      </w:r>
      <w:proofErr w:type="spellEnd"/>
      <w:r w:rsidRPr="00412C59">
        <w:rPr>
          <w:rFonts w:eastAsia="Times New Roman" w:cs="Times New Roman"/>
          <w:color w:val="000000"/>
          <w:sz w:val="24"/>
          <w:szCs w:val="24"/>
          <w:lang w:eastAsia="cs-CZ"/>
        </w:rPr>
        <w:t xml:space="preserve"> významným dnem, </w:t>
      </w:r>
      <w:r>
        <w:rPr>
          <w:rFonts w:eastAsia="Times New Roman" w:cs="Times New Roman"/>
          <w:color w:val="000000"/>
          <w:sz w:val="24"/>
          <w:szCs w:val="24"/>
          <w:lang w:eastAsia="cs-CZ"/>
        </w:rPr>
        <w:t>kdy se přímo do expozice vrátila</w:t>
      </w:r>
      <w:r w:rsidRPr="00412C59">
        <w:rPr>
          <w:rFonts w:eastAsia="Times New Roman" w:cs="Times New Roman"/>
          <w:color w:val="000000"/>
          <w:sz w:val="24"/>
          <w:szCs w:val="24"/>
          <w:lang w:eastAsia="cs-CZ"/>
        </w:rPr>
        <w:t xml:space="preserve"> část historie vily v podobě několika kusů originálního nábytku z 30. let. </w:t>
      </w:r>
      <w:r>
        <w:rPr>
          <w:rFonts w:eastAsia="Times New Roman" w:cs="Times New Roman"/>
          <w:color w:val="000000"/>
          <w:sz w:val="24"/>
          <w:szCs w:val="24"/>
          <w:lang w:eastAsia="cs-CZ"/>
        </w:rPr>
        <w:t xml:space="preserve"> </w:t>
      </w:r>
      <w:r w:rsidRPr="00412C59">
        <w:rPr>
          <w:rFonts w:eastAsia="Times New Roman" w:cs="Times New Roman"/>
          <w:color w:val="000000"/>
          <w:sz w:val="24"/>
          <w:szCs w:val="24"/>
          <w:lang w:eastAsia="cs-CZ"/>
        </w:rPr>
        <w:t xml:space="preserve">Statutární město Brno zakoupilo v loňském roce do sbírek Muzea města Brna od dědiců stavebníků vily </w:t>
      </w:r>
      <w:proofErr w:type="spellStart"/>
      <w:r w:rsidRPr="00412C59">
        <w:rPr>
          <w:rFonts w:eastAsia="Times New Roman" w:cs="Times New Roman"/>
          <w:color w:val="000000"/>
          <w:sz w:val="24"/>
          <w:szCs w:val="24"/>
          <w:lang w:eastAsia="cs-CZ"/>
        </w:rPr>
        <w:t>Tugendhat</w:t>
      </w:r>
      <w:proofErr w:type="spellEnd"/>
      <w:r w:rsidRPr="00412C59">
        <w:rPr>
          <w:rFonts w:eastAsia="Times New Roman" w:cs="Times New Roman"/>
          <w:color w:val="000000"/>
          <w:sz w:val="24"/>
          <w:szCs w:val="24"/>
          <w:lang w:eastAsia="cs-CZ"/>
        </w:rPr>
        <w:t xml:space="preserve"> čtyři originální kusy nábytku z původního zařízení domu, jimiž jsou bufet, lavice, stolek (</w:t>
      </w:r>
      <w:proofErr w:type="spellStart"/>
      <w:r w:rsidRPr="00412C59">
        <w:rPr>
          <w:rFonts w:eastAsia="Times New Roman" w:cs="Times New Roman"/>
          <w:color w:val="000000"/>
          <w:sz w:val="24"/>
          <w:szCs w:val="24"/>
          <w:lang w:eastAsia="cs-CZ"/>
        </w:rPr>
        <w:t>coffee</w:t>
      </w:r>
      <w:proofErr w:type="spellEnd"/>
      <w:r w:rsidRPr="00412C59">
        <w:rPr>
          <w:rFonts w:eastAsia="Times New Roman" w:cs="Times New Roman"/>
          <w:color w:val="000000"/>
          <w:sz w:val="24"/>
          <w:szCs w:val="24"/>
          <w:lang w:eastAsia="cs-CZ"/>
        </w:rPr>
        <w:t xml:space="preserve"> table)</w:t>
      </w:r>
      <w:r w:rsidRPr="00412C59">
        <w:rPr>
          <w:rFonts w:ascii="DINWebPro" w:hAnsi="DINWebPro"/>
          <w:color w:val="000000"/>
          <w:sz w:val="24"/>
          <w:szCs w:val="24"/>
        </w:rPr>
        <w:t xml:space="preserve"> a lehátko (</w:t>
      </w:r>
      <w:proofErr w:type="spellStart"/>
      <w:r w:rsidRPr="00412C59">
        <w:rPr>
          <w:rFonts w:ascii="DINWebPro" w:hAnsi="DINWebPro"/>
          <w:color w:val="000000"/>
          <w:sz w:val="24"/>
          <w:szCs w:val="24"/>
        </w:rPr>
        <w:t>chaise</w:t>
      </w:r>
      <w:proofErr w:type="spellEnd"/>
      <w:r w:rsidRPr="00412C59">
        <w:rPr>
          <w:rFonts w:ascii="DINWebPro" w:hAnsi="DINWebPro"/>
          <w:color w:val="000000"/>
          <w:sz w:val="24"/>
          <w:szCs w:val="24"/>
        </w:rPr>
        <w:t xml:space="preserve"> </w:t>
      </w:r>
      <w:proofErr w:type="spellStart"/>
      <w:r w:rsidRPr="00412C59">
        <w:rPr>
          <w:rFonts w:ascii="DINWebPro" w:hAnsi="DINWebPro"/>
          <w:color w:val="000000"/>
          <w:sz w:val="24"/>
          <w:szCs w:val="24"/>
        </w:rPr>
        <w:t>longue</w:t>
      </w:r>
      <w:proofErr w:type="spellEnd"/>
      <w:r w:rsidRPr="00412C59">
        <w:rPr>
          <w:rFonts w:ascii="DINWebPro" w:hAnsi="DINWebPro"/>
          <w:color w:val="000000"/>
          <w:sz w:val="24"/>
          <w:szCs w:val="24"/>
        </w:rPr>
        <w:t>). Tato kolekce nábytku byla v roce 2008 prohlášena kulturní památkou.</w:t>
      </w:r>
    </w:p>
    <w:p w:rsidR="00412C59" w:rsidRPr="00412C59" w:rsidRDefault="00412C59" w:rsidP="00412C59">
      <w:pPr>
        <w:spacing w:after="0" w:line="336" w:lineRule="atLeast"/>
        <w:jc w:val="both"/>
        <w:rPr>
          <w:rFonts w:eastAsia="Times New Roman" w:cs="Times New Roman"/>
          <w:color w:val="000000"/>
          <w:sz w:val="24"/>
          <w:szCs w:val="24"/>
          <w:lang w:eastAsia="cs-CZ"/>
        </w:rPr>
      </w:pPr>
    </w:p>
    <w:p w:rsidR="00452932" w:rsidRPr="00412C59" w:rsidRDefault="00452932">
      <w:pPr>
        <w:rPr>
          <w:rStyle w:val="Siln"/>
          <w:b w:val="0"/>
          <w:color w:val="000000"/>
          <w:sz w:val="24"/>
          <w:szCs w:val="24"/>
        </w:rPr>
      </w:pPr>
    </w:p>
    <w:p w:rsidR="00452932" w:rsidRPr="00743DD9" w:rsidRDefault="00452932">
      <w:pPr>
        <w:rPr>
          <w:rStyle w:val="Siln"/>
          <w:b w:val="0"/>
          <w:color w:val="000000"/>
          <w:sz w:val="24"/>
          <w:szCs w:val="24"/>
        </w:rPr>
      </w:pPr>
      <w:r w:rsidRPr="00452932">
        <w:rPr>
          <w:rStyle w:val="Siln"/>
          <w:b w:val="0"/>
          <w:color w:val="000000"/>
          <w:sz w:val="24"/>
          <w:szCs w:val="24"/>
        </w:rPr>
        <w:t>http://www.tugendhat.</w:t>
      </w:r>
      <w:proofErr w:type="gramStart"/>
      <w:r w:rsidRPr="00452932">
        <w:rPr>
          <w:rStyle w:val="Siln"/>
          <w:b w:val="0"/>
          <w:color w:val="000000"/>
          <w:sz w:val="24"/>
          <w:szCs w:val="24"/>
        </w:rPr>
        <w:t>eu/cz/dum/filozofie-bydleni.html</w:t>
      </w:r>
      <w:proofErr w:type="gramEnd"/>
    </w:p>
    <w:sectPr w:rsidR="00452932" w:rsidRPr="00743D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CF" w:rsidRDefault="007767CF" w:rsidP="002F5ADF">
      <w:pPr>
        <w:spacing w:after="0" w:line="240" w:lineRule="auto"/>
      </w:pPr>
      <w:r>
        <w:separator/>
      </w:r>
    </w:p>
  </w:endnote>
  <w:endnote w:type="continuationSeparator" w:id="0">
    <w:p w:rsidR="007767CF" w:rsidRDefault="007767CF" w:rsidP="002F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DINWeb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CF" w:rsidRDefault="007767CF" w:rsidP="002F5ADF">
      <w:pPr>
        <w:spacing w:after="0" w:line="240" w:lineRule="auto"/>
      </w:pPr>
      <w:r>
        <w:separator/>
      </w:r>
    </w:p>
  </w:footnote>
  <w:footnote w:type="continuationSeparator" w:id="0">
    <w:p w:rsidR="007767CF" w:rsidRDefault="007767CF" w:rsidP="002F5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DF" w:rsidRPr="002F5ADF" w:rsidRDefault="002F5ADF" w:rsidP="002F5ADF">
    <w:pPr>
      <w:shd w:val="clear" w:color="auto" w:fill="FFFFFF"/>
      <w:spacing w:after="0" w:line="240" w:lineRule="auto"/>
      <w:jc w:val="both"/>
      <w:rPr>
        <w:rFonts w:eastAsia="Times New Roman" w:cs="Times New Roman"/>
        <w:bCs/>
        <w:color w:val="000000"/>
        <w:sz w:val="24"/>
        <w:szCs w:val="24"/>
        <w:lang w:eastAsia="cs-CZ"/>
      </w:rPr>
    </w:pPr>
    <w:r w:rsidRPr="002F5ADF">
      <w:rPr>
        <w:rFonts w:eastAsia="Times New Roman" w:cs="Times New Roman"/>
        <w:bCs/>
        <w:color w:val="000000"/>
        <w:sz w:val="24"/>
        <w:szCs w:val="24"/>
        <w:lang w:eastAsia="cs-CZ"/>
      </w:rPr>
      <w:t xml:space="preserve">ADVANCED CZECH FOR MEDICAL STUDENTS </w:t>
    </w:r>
    <w:proofErr w:type="spellStart"/>
    <w:r w:rsidRPr="002F5ADF">
      <w:rPr>
        <w:rFonts w:eastAsia="Times New Roman" w:cs="Times New Roman"/>
        <w:bCs/>
        <w:color w:val="000000"/>
        <w:sz w:val="24"/>
        <w:szCs w:val="24"/>
        <w:lang w:eastAsia="cs-CZ"/>
      </w:rPr>
      <w:t>I</w:t>
    </w:r>
    <w:r w:rsidR="00195513">
      <w:rPr>
        <w:rFonts w:eastAsia="Times New Roman" w:cs="Times New Roman"/>
        <w:bCs/>
        <w:color w:val="000000"/>
        <w:sz w:val="24"/>
        <w:szCs w:val="24"/>
        <w:lang w:eastAsia="cs-CZ"/>
      </w:rPr>
      <w:t>_©Ivana</w:t>
    </w:r>
    <w:proofErr w:type="spellEnd"/>
    <w:r w:rsidR="00195513">
      <w:rPr>
        <w:rFonts w:eastAsia="Times New Roman" w:cs="Times New Roman"/>
        <w:bCs/>
        <w:color w:val="000000"/>
        <w:sz w:val="24"/>
        <w:szCs w:val="24"/>
        <w:lang w:eastAsia="cs-CZ"/>
      </w:rPr>
      <w:t xml:space="preserve"> </w:t>
    </w:r>
    <w:proofErr w:type="spellStart"/>
    <w:r w:rsidR="00195513">
      <w:rPr>
        <w:rFonts w:eastAsia="Times New Roman" w:cs="Times New Roman"/>
        <w:bCs/>
        <w:color w:val="000000"/>
        <w:sz w:val="24"/>
        <w:szCs w:val="24"/>
        <w:lang w:eastAsia="cs-CZ"/>
      </w:rPr>
      <w:t>Rešková</w:t>
    </w:r>
    <w:proofErr w:type="spellEnd"/>
    <w:r w:rsidR="00195513">
      <w:rPr>
        <w:rFonts w:eastAsia="Times New Roman" w:cs="Times New Roman"/>
        <w:bCs/>
        <w:color w:val="000000"/>
        <w:sz w:val="24"/>
        <w:szCs w:val="24"/>
        <w:lang w:eastAsia="cs-CZ"/>
      </w:rPr>
      <w:t xml:space="preserve"> 2018</w:t>
    </w:r>
  </w:p>
  <w:p w:rsidR="002F5ADF" w:rsidRDefault="002F5ADF">
    <w:pPr>
      <w:pStyle w:val="Zhlav"/>
    </w:pPr>
  </w:p>
  <w:p w:rsidR="002F5ADF" w:rsidRDefault="002F5A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BC6"/>
    <w:multiLevelType w:val="hybridMultilevel"/>
    <w:tmpl w:val="CCB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B5"/>
    <w:rsid w:val="0018726B"/>
    <w:rsid w:val="00195513"/>
    <w:rsid w:val="002F5ADF"/>
    <w:rsid w:val="00412C59"/>
    <w:rsid w:val="004351B4"/>
    <w:rsid w:val="00452932"/>
    <w:rsid w:val="00683206"/>
    <w:rsid w:val="00743DD9"/>
    <w:rsid w:val="007767CF"/>
    <w:rsid w:val="00A00977"/>
    <w:rsid w:val="00AD17B5"/>
    <w:rsid w:val="00B73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02BF"/>
  <w15:docId w15:val="{F0A0E507-084C-409A-989D-C82FFD9D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D17B5"/>
    <w:rPr>
      <w:b/>
      <w:bCs/>
    </w:rPr>
  </w:style>
  <w:style w:type="character" w:styleId="Zdraznn">
    <w:name w:val="Emphasis"/>
    <w:basedOn w:val="Standardnpsmoodstavce"/>
    <w:uiPriority w:val="20"/>
    <w:qFormat/>
    <w:rsid w:val="00AD17B5"/>
    <w:rPr>
      <w:b w:val="0"/>
      <w:bCs w:val="0"/>
      <w:i/>
      <w:iCs/>
    </w:rPr>
  </w:style>
  <w:style w:type="character" w:customStyle="1" w:styleId="hps">
    <w:name w:val="hps"/>
    <w:basedOn w:val="Standardnpsmoodstavce"/>
    <w:rsid w:val="00452932"/>
  </w:style>
  <w:style w:type="paragraph" w:styleId="Odstavecseseznamem">
    <w:name w:val="List Paragraph"/>
    <w:basedOn w:val="Normln"/>
    <w:uiPriority w:val="34"/>
    <w:qFormat/>
    <w:rsid w:val="0018726B"/>
    <w:pPr>
      <w:ind w:left="720"/>
      <w:contextualSpacing/>
    </w:pPr>
  </w:style>
  <w:style w:type="character" w:styleId="Hypertextovodkaz">
    <w:name w:val="Hyperlink"/>
    <w:basedOn w:val="Standardnpsmoodstavce"/>
    <w:uiPriority w:val="99"/>
    <w:semiHidden/>
    <w:unhideWhenUsed/>
    <w:rsid w:val="00412C59"/>
    <w:rPr>
      <w:color w:val="000000"/>
      <w:u w:val="single"/>
    </w:rPr>
  </w:style>
  <w:style w:type="paragraph" w:styleId="Zhlav">
    <w:name w:val="header"/>
    <w:basedOn w:val="Normln"/>
    <w:link w:val="ZhlavChar"/>
    <w:uiPriority w:val="99"/>
    <w:unhideWhenUsed/>
    <w:rsid w:val="002F5A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ADF"/>
  </w:style>
  <w:style w:type="paragraph" w:styleId="Zpat">
    <w:name w:val="footer"/>
    <w:basedOn w:val="Normln"/>
    <w:link w:val="ZpatChar"/>
    <w:uiPriority w:val="99"/>
    <w:unhideWhenUsed/>
    <w:rsid w:val="002F5A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ADF"/>
  </w:style>
  <w:style w:type="paragraph" w:styleId="Textbubliny">
    <w:name w:val="Balloon Text"/>
    <w:basedOn w:val="Normln"/>
    <w:link w:val="TextbublinyChar"/>
    <w:uiPriority w:val="99"/>
    <w:semiHidden/>
    <w:unhideWhenUsed/>
    <w:rsid w:val="002F5A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3075">
      <w:bodyDiv w:val="1"/>
      <w:marLeft w:val="0"/>
      <w:marRight w:val="0"/>
      <w:marTop w:val="0"/>
      <w:marBottom w:val="0"/>
      <w:divBdr>
        <w:top w:val="none" w:sz="0" w:space="0" w:color="auto"/>
        <w:left w:val="none" w:sz="0" w:space="0" w:color="auto"/>
        <w:bottom w:val="none" w:sz="0" w:space="0" w:color="auto"/>
        <w:right w:val="none" w:sz="0" w:space="0" w:color="auto"/>
      </w:divBdr>
      <w:divsChild>
        <w:div w:id="1033112027">
          <w:marLeft w:val="0"/>
          <w:marRight w:val="0"/>
          <w:marTop w:val="300"/>
          <w:marBottom w:val="0"/>
          <w:divBdr>
            <w:top w:val="none" w:sz="0" w:space="0" w:color="auto"/>
            <w:left w:val="none" w:sz="0" w:space="0" w:color="auto"/>
            <w:bottom w:val="none" w:sz="0" w:space="0" w:color="auto"/>
            <w:right w:val="none" w:sz="0" w:space="0" w:color="auto"/>
          </w:divBdr>
          <w:divsChild>
            <w:div w:id="1241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151">
      <w:bodyDiv w:val="1"/>
      <w:marLeft w:val="0"/>
      <w:marRight w:val="0"/>
      <w:marTop w:val="0"/>
      <w:marBottom w:val="0"/>
      <w:divBdr>
        <w:top w:val="none" w:sz="0" w:space="0" w:color="auto"/>
        <w:left w:val="none" w:sz="0" w:space="0" w:color="auto"/>
        <w:bottom w:val="none" w:sz="0" w:space="0" w:color="auto"/>
        <w:right w:val="none" w:sz="0" w:space="0" w:color="auto"/>
      </w:divBdr>
      <w:divsChild>
        <w:div w:id="1196382248">
          <w:marLeft w:val="0"/>
          <w:marRight w:val="0"/>
          <w:marTop w:val="300"/>
          <w:marBottom w:val="0"/>
          <w:divBdr>
            <w:top w:val="none" w:sz="0" w:space="0" w:color="auto"/>
            <w:left w:val="none" w:sz="0" w:space="0" w:color="auto"/>
            <w:bottom w:val="none" w:sz="0" w:space="0" w:color="auto"/>
            <w:right w:val="none" w:sz="0" w:space="0" w:color="auto"/>
          </w:divBdr>
          <w:divsChild>
            <w:div w:id="20946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93">
      <w:bodyDiv w:val="1"/>
      <w:marLeft w:val="0"/>
      <w:marRight w:val="0"/>
      <w:marTop w:val="0"/>
      <w:marBottom w:val="0"/>
      <w:divBdr>
        <w:top w:val="none" w:sz="0" w:space="0" w:color="auto"/>
        <w:left w:val="none" w:sz="0" w:space="0" w:color="auto"/>
        <w:bottom w:val="none" w:sz="0" w:space="0" w:color="auto"/>
        <w:right w:val="none" w:sz="0" w:space="0" w:color="auto"/>
      </w:divBdr>
      <w:divsChild>
        <w:div w:id="425463979">
          <w:marLeft w:val="0"/>
          <w:marRight w:val="0"/>
          <w:marTop w:val="300"/>
          <w:marBottom w:val="0"/>
          <w:divBdr>
            <w:top w:val="none" w:sz="0" w:space="0" w:color="auto"/>
            <w:left w:val="none" w:sz="0" w:space="0" w:color="auto"/>
            <w:bottom w:val="none" w:sz="0" w:space="0" w:color="auto"/>
            <w:right w:val="none" w:sz="0" w:space="0" w:color="auto"/>
          </w:divBdr>
          <w:divsChild>
            <w:div w:id="1503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gendhat.eu/cz/sdc/prubeh-pamatkove-obnov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747</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Rešková</dc:creator>
  <cp:lastModifiedBy>Magdalena Pintarová</cp:lastModifiedBy>
  <cp:revision>5</cp:revision>
  <cp:lastPrinted>2018-12-05T12:48:00Z</cp:lastPrinted>
  <dcterms:created xsi:type="dcterms:W3CDTF">2015-11-04T11:05:00Z</dcterms:created>
  <dcterms:modified xsi:type="dcterms:W3CDTF">2018-12-05T12:48:00Z</dcterms:modified>
</cp:coreProperties>
</file>