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AA" w:rsidRPr="00D35CA4" w:rsidRDefault="00DC5909" w:rsidP="005807AA">
      <w:pPr>
        <w:pStyle w:val="Nadpis1"/>
      </w:pPr>
      <w:bookmarkStart w:id="0" w:name="_Toc298937962"/>
      <w:bookmarkStart w:id="1" w:name="_Toc298940643"/>
      <w:r>
        <w:t xml:space="preserve">16 </w:t>
      </w:r>
      <w:r w:rsidR="005807AA">
        <w:t>PRINCIPY GERIATRICKÉ PÉČE</w:t>
      </w:r>
      <w:bookmarkEnd w:id="0"/>
      <w:bookmarkEnd w:id="1"/>
      <w:r w:rsidR="005807AA" w:rsidRPr="00D35CA4">
        <w:t xml:space="preserve"> </w:t>
      </w:r>
    </w:p>
    <w:p w:rsidR="005807AA" w:rsidRDefault="005807AA" w:rsidP="005807AA"/>
    <w:p w:rsidR="005807AA" w:rsidRDefault="005807AA" w:rsidP="005807AA"/>
    <w:p w:rsidR="005807AA" w:rsidRPr="00D35CA4" w:rsidRDefault="005807AA" w:rsidP="005807AA">
      <w:pPr>
        <w:pStyle w:val="Zkladntextodsazen"/>
        <w:ind w:left="0"/>
        <w:jc w:val="both"/>
        <w:rPr>
          <w:b/>
        </w:rPr>
      </w:pPr>
      <w:r w:rsidRPr="00D35CA4">
        <w:rPr>
          <w:b/>
        </w:rPr>
        <w:t>Po prostudování kapitoly byste měli být schopni:</w:t>
      </w:r>
      <w:r w:rsidR="00845AD7">
        <w:rPr>
          <w:b/>
        </w:rPr>
        <w:t xml:space="preserve">                                  </w:t>
      </w:r>
      <w:r w:rsidR="00845AD7">
        <w:rPr>
          <w:b/>
          <w:noProof/>
        </w:rPr>
        <w:drawing>
          <wp:inline distT="0" distB="0" distL="0" distR="0" wp14:anchorId="47734395" wp14:editId="2BF48C8A">
            <wp:extent cx="446227" cy="435984"/>
            <wp:effectExtent l="114300" t="114300" r="106680" b="116840"/>
            <wp:docPr id="16" name="Obrázek 16" descr="C:\Users\Hana\Documents\NAP\e-learning\kom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na\Documents\NAP\e-learning\kompa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" cy="44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5807AA" w:rsidRPr="00C251D7" w:rsidRDefault="005807AA" w:rsidP="005807AA">
      <w:pPr>
        <w:pStyle w:val="Zkladntextodsazen"/>
        <w:numPr>
          <w:ilvl w:val="0"/>
          <w:numId w:val="1"/>
        </w:numPr>
        <w:spacing w:after="0"/>
        <w:jc w:val="both"/>
      </w:pPr>
      <w:r w:rsidRPr="00C251D7">
        <w:t>vysvětlit obecné zásady péče o rizikové klienty</w:t>
      </w:r>
    </w:p>
    <w:p w:rsidR="005807AA" w:rsidRPr="00C251D7" w:rsidRDefault="005807AA" w:rsidP="00F83288">
      <w:pPr>
        <w:pStyle w:val="Zkladntextodsazen"/>
        <w:numPr>
          <w:ilvl w:val="0"/>
          <w:numId w:val="1"/>
        </w:numPr>
        <w:spacing w:after="0"/>
        <w:jc w:val="both"/>
      </w:pPr>
      <w:r w:rsidRPr="00C251D7">
        <w:t>charakterizovat</w:t>
      </w:r>
      <w:r w:rsidR="00F83288">
        <w:t xml:space="preserve"> jednotlivá zařízení pro </w:t>
      </w:r>
      <w:proofErr w:type="gramStart"/>
      <w:r w:rsidR="00F83288">
        <w:t>senior</w:t>
      </w:r>
      <w:proofErr w:type="gramEnd"/>
    </w:p>
    <w:p w:rsidR="005807AA" w:rsidRPr="00C251D7" w:rsidRDefault="00F83288" w:rsidP="005807AA">
      <w:pPr>
        <w:pStyle w:val="Zkladntextodsazen"/>
        <w:numPr>
          <w:ilvl w:val="0"/>
          <w:numId w:val="1"/>
        </w:numPr>
        <w:spacing w:after="0"/>
        <w:jc w:val="both"/>
      </w:pPr>
      <w:r>
        <w:t>specifikovat aktivity</w:t>
      </w:r>
      <w:r w:rsidR="005807AA" w:rsidRPr="00C251D7">
        <w:t xml:space="preserve"> v domácí péči</w:t>
      </w:r>
    </w:p>
    <w:p w:rsidR="005807AA" w:rsidRPr="00D35CA4" w:rsidRDefault="005807AA" w:rsidP="005807AA">
      <w:pPr>
        <w:pStyle w:val="Nadpis2"/>
        <w:rPr>
          <w:sz w:val="24"/>
          <w:szCs w:val="24"/>
        </w:rPr>
      </w:pPr>
    </w:p>
    <w:p w:rsidR="005807AA" w:rsidRPr="00D35CA4" w:rsidRDefault="005807AA" w:rsidP="005807AA">
      <w:pPr>
        <w:pStyle w:val="Nadpis2"/>
        <w:rPr>
          <w:sz w:val="24"/>
          <w:szCs w:val="24"/>
        </w:rPr>
      </w:pPr>
    </w:p>
    <w:p w:rsidR="005807AA" w:rsidRDefault="005807AA" w:rsidP="005807AA">
      <w:r>
        <w:rPr>
          <w:b/>
          <w:bCs/>
        </w:rPr>
        <w:t>Klíčová slova této kapitoly:</w:t>
      </w:r>
      <w:r>
        <w:t xml:space="preserve"> </w:t>
      </w:r>
      <w:r w:rsidR="00845AD7">
        <w:t xml:space="preserve">                                                                     </w:t>
      </w:r>
      <w:r w:rsidR="00845AD7">
        <w:rPr>
          <w:b/>
          <w:noProof/>
        </w:rPr>
        <w:drawing>
          <wp:inline distT="0" distB="0" distL="0" distR="0" wp14:anchorId="6C7C14D9" wp14:editId="6F38A896">
            <wp:extent cx="494861" cy="475488"/>
            <wp:effectExtent l="114300" t="114300" r="114935" b="115570"/>
            <wp:docPr id="8" name="Obrázek 8" descr="C:\Users\Hana\Documents\NAP\e-learning\klí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\Documents\NAP\e-learning\klíč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79" cy="47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5807AA" w:rsidRPr="00D35CA4" w:rsidRDefault="005807AA" w:rsidP="005807AA">
      <w:pPr>
        <w:jc w:val="both"/>
      </w:pPr>
      <w:r w:rsidRPr="00D35CA4">
        <w:t>institucionální péče, intermediární péče, terénní péče, historie péče o seniory, zdravotní péče, sociální péče, domácí péče</w:t>
      </w:r>
    </w:p>
    <w:p w:rsidR="005807AA" w:rsidRDefault="005807AA" w:rsidP="005807AA">
      <w:pPr>
        <w:pStyle w:val="Nadpis2"/>
      </w:pPr>
    </w:p>
    <w:p w:rsidR="005807AA" w:rsidRDefault="005807AA" w:rsidP="005807AA">
      <w:pPr>
        <w:jc w:val="both"/>
        <w:rPr>
          <w:bCs/>
        </w:rPr>
      </w:pPr>
    </w:p>
    <w:p w:rsidR="005807AA" w:rsidRDefault="005807AA" w:rsidP="005807AA"/>
    <w:p w:rsidR="005807AA" w:rsidRPr="00C0075B" w:rsidRDefault="00DD4544" w:rsidP="005807AA">
      <w:r>
        <w:rPr>
          <w:noProof/>
        </w:rPr>
        <w:drawing>
          <wp:anchor distT="0" distB="0" distL="114300" distR="114300" simplePos="0" relativeHeight="251688960" behindDoc="0" locked="0" layoutInCell="0" allowOverlap="0" wp14:anchorId="695E675F" wp14:editId="65B08B9D">
            <wp:simplePos x="0" y="0"/>
            <wp:positionH relativeFrom="margin">
              <wp:posOffset>5034280</wp:posOffset>
            </wp:positionH>
            <wp:positionV relativeFrom="line">
              <wp:posOffset>120015</wp:posOffset>
            </wp:positionV>
            <wp:extent cx="514350" cy="447675"/>
            <wp:effectExtent l="114300" t="114300" r="114300" b="123825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7AA" w:rsidRDefault="005807AA" w:rsidP="005807AA"/>
    <w:p w:rsidR="005807AA" w:rsidRPr="0091051C" w:rsidRDefault="00DC5909" w:rsidP="005807AA">
      <w:pPr>
        <w:pStyle w:val="Nadpis2"/>
      </w:pPr>
      <w:bookmarkStart w:id="2" w:name="_Toc298940644"/>
      <w:r>
        <w:t xml:space="preserve">16.1 </w:t>
      </w:r>
      <w:r w:rsidR="005807AA" w:rsidRPr="0091051C">
        <w:t>Primární péče, ambulantní péče specialistů</w:t>
      </w:r>
      <w:bookmarkEnd w:id="2"/>
      <w:r w:rsidR="00DD4544">
        <w:t xml:space="preserve">                                      </w:t>
      </w:r>
    </w:p>
    <w:p w:rsidR="005807AA" w:rsidRPr="0091051C" w:rsidRDefault="005807AA" w:rsidP="005807AA">
      <w:pPr>
        <w:jc w:val="both"/>
        <w:rPr>
          <w:b/>
        </w:rPr>
      </w:pPr>
      <w:r w:rsidRPr="0091051C">
        <w:rPr>
          <w:b/>
        </w:rPr>
        <w:t xml:space="preserve">     </w:t>
      </w:r>
    </w:p>
    <w:p w:rsidR="005807AA" w:rsidRPr="0091051C" w:rsidRDefault="005807AA" w:rsidP="005807AA">
      <w:pPr>
        <w:jc w:val="both"/>
      </w:pPr>
      <w:r w:rsidRPr="0091051C">
        <w:t>Vlivem stárnutí populace dochází k zvyšování zastoupení nemocných vyššího věku jak v ordinacích praktických lékařů, tak v ambulancích specialistů. Za současné situace, kdy p</w:t>
      </w:r>
      <w:r w:rsidR="00291564">
        <w:t>opulace nad 65 let věku tvoří již téměř 16</w:t>
      </w:r>
      <w:r w:rsidRPr="0091051C">
        <w:t>% obyvatel, činí její podíl na spotř</w:t>
      </w:r>
      <w:r w:rsidR="00291564">
        <w:t>ebě zdravotní péče 65</w:t>
      </w:r>
      <w:r w:rsidRPr="0091051C">
        <w:t xml:space="preserve">% a podíl na pracovní době praktického lékaře 80%. Tato čísla budou v budoucnu nadále růst, protože do roku 2050 se předpokládá asi 30% populace starší 65 let. </w:t>
      </w:r>
    </w:p>
    <w:p w:rsidR="005807AA" w:rsidRDefault="005807AA" w:rsidP="005807AA">
      <w:pPr>
        <w:ind w:firstLine="539"/>
        <w:jc w:val="both"/>
      </w:pPr>
      <w:r w:rsidRPr="0091051C">
        <w:t xml:space="preserve">V primární péči se </w:t>
      </w:r>
      <w:r w:rsidRPr="0091051C">
        <w:rPr>
          <w:b/>
        </w:rPr>
        <w:t>praktický lékař geriatrem první linie</w:t>
      </w:r>
      <w:r w:rsidRPr="0091051C">
        <w:t xml:space="preserve">. Mnohdy je pro osamělého seniora jedním z mála sociálních kontaktů vůbec. Role praktického lékaře a jeho týmu – zdravotní sestry, pracovníků domácí péče je nezastupitelná při edukaci staršího nemocného – opakovaný kontakt dává šanci sdělit informaci opakovaně, a tím dosáhnout jejího osvojení starším nemocným. Praktický lékař a jeho tým by měl být </w:t>
      </w:r>
      <w:r w:rsidRPr="0091051C">
        <w:rPr>
          <w:b/>
        </w:rPr>
        <w:t>hlavním garantem sestavení optimálního léčebného schématu pro seniora</w:t>
      </w:r>
      <w:r w:rsidRPr="0091051C">
        <w:t>. Současná situace je z tohoto pohledu velmi neuspokojivá, protože nemocní často</w:t>
      </w:r>
      <w:r>
        <w:t xml:space="preserve"> </w:t>
      </w:r>
      <w:r w:rsidRPr="0091051C">
        <w:t>o své vůli obcházejí ambulance specialistů,</w:t>
      </w:r>
      <w:r>
        <w:t xml:space="preserve"> </w:t>
      </w:r>
      <w:r w:rsidRPr="0091051C">
        <w:t>o výsledku těchto návštěv pochopitelně svého praktického lékaře neinformují a několikero doporučení specialistů včetně předpisu léků potom realizují sami, což může vést k velmi nevhodným až kontraindikovaným postupům vzhledem k zastoupení více různých chorob u jednoho nemocného.</w:t>
      </w:r>
    </w:p>
    <w:p w:rsidR="005807AA" w:rsidRDefault="005807AA" w:rsidP="005807AA">
      <w:pPr>
        <w:ind w:firstLine="539"/>
        <w:jc w:val="both"/>
      </w:pPr>
      <w:r w:rsidRPr="0091051C">
        <w:t xml:space="preserve">Kontinuální kontakt se starším nemocným dává také praktickému lékaři a jeho týmu šanci sledovat vývoj funkčního změn u seniora, zavčasu diagnostikovat deficity a pomoci </w:t>
      </w:r>
      <w:r w:rsidRPr="0091051C">
        <w:rPr>
          <w:b/>
        </w:rPr>
        <w:t>řešit sociální problémy</w:t>
      </w:r>
      <w:r w:rsidRPr="0091051C">
        <w:t xml:space="preserve"> z těchto deficitů vyplývající (zajištění pečovatelské služby, domácí péče, umístění ve stacionáři, trvalá institucionalizace). </w:t>
      </w:r>
    </w:p>
    <w:p w:rsidR="005807AA" w:rsidRPr="00291564" w:rsidRDefault="005807AA" w:rsidP="005807AA">
      <w:pPr>
        <w:ind w:firstLine="539"/>
        <w:jc w:val="both"/>
      </w:pPr>
      <w:r w:rsidRPr="0091051C">
        <w:t>Z výše uvedené charakteristiky</w:t>
      </w:r>
      <w:r>
        <w:t xml:space="preserve"> v</w:t>
      </w:r>
      <w:r w:rsidRPr="0091051C">
        <w:t xml:space="preserve">yplývá i optimální složení týmu praktického lékaře – kromě sestry pracující s ním v ordinaci by součástí tohoto týmu měl být pracovník se středně zdravotnickým případně bakalářským stupněm vzdělání, který by zajišťoval kontakt mezi ordinací praktického lékaře a seniory v jejich domácím prostředí, kromě běžných záležitostí </w:t>
      </w:r>
      <w:r w:rsidRPr="0091051C">
        <w:lastRenderedPageBreak/>
        <w:t xml:space="preserve">byl schopen diagnostikovat závažnější změny celkového stavu seniora a zprostředkovat adekvátní opatření. V minulosti se v této funkci velmi osvědčily tzv. </w:t>
      </w:r>
      <w:r w:rsidRPr="0091051C">
        <w:rPr>
          <w:b/>
        </w:rPr>
        <w:t>geriatrické sestry</w:t>
      </w:r>
      <w:r w:rsidRPr="0091051C">
        <w:t xml:space="preserve">, jejichž síť však byla bohužel zpřetrhána reformou zdravotnictví po roce 1990. V současné době tuto funkci obdobně plní pracovníci </w:t>
      </w:r>
      <w:r w:rsidRPr="0091051C">
        <w:rPr>
          <w:b/>
        </w:rPr>
        <w:t>spolupracující agentury domácí péče</w:t>
      </w:r>
      <w:r w:rsidR="00291564">
        <w:rPr>
          <w:b/>
        </w:rPr>
        <w:t xml:space="preserve">, </w:t>
      </w:r>
      <w:r w:rsidR="00291564" w:rsidRPr="00291564">
        <w:t>jejich síť však dosud není na území ČR dostatečná.</w:t>
      </w:r>
    </w:p>
    <w:p w:rsidR="005807AA" w:rsidRPr="0091051C" w:rsidRDefault="005807AA" w:rsidP="005807AA">
      <w:pPr>
        <w:ind w:firstLine="539"/>
        <w:jc w:val="both"/>
      </w:pPr>
      <w:r>
        <w:t xml:space="preserve"> </w:t>
      </w:r>
      <w:r w:rsidRPr="0091051C">
        <w:t xml:space="preserve">Z dosavadních zkušeností je zřejmé, že péče o seniory vždy musí na rozdíl od zbytku populace vždy </w:t>
      </w:r>
      <w:r w:rsidRPr="0091051C">
        <w:rPr>
          <w:b/>
        </w:rPr>
        <w:t>zahrnovat kromě složky medicínské i velmi výrazně složku sociální</w:t>
      </w:r>
      <w:r w:rsidRPr="0091051C">
        <w:t>, jinak nebude nikdy uspokojivá.</w:t>
      </w:r>
    </w:p>
    <w:p w:rsidR="005807AA" w:rsidRPr="0091051C" w:rsidRDefault="005807AA" w:rsidP="005807AA">
      <w:pPr>
        <w:ind w:firstLine="539"/>
        <w:jc w:val="both"/>
      </w:pPr>
      <w:r w:rsidRPr="0091051C">
        <w:t xml:space="preserve">Dalším stupněm ambulantní péče o seniory je síť specializovaných ambulancí určených všem věkovým kategoriím, nicméně v jejich klientele také narůstá podíl nemocných vyššího věku. Ambulance interní, kardiologické, neurologické, urologické, ortopedické, oční, dermatologické mají ve své klientele třetinu až polovinu nemocných nad 65 let věku. </w:t>
      </w:r>
    </w:p>
    <w:p w:rsidR="005807AA" w:rsidRPr="0091051C" w:rsidRDefault="005807AA" w:rsidP="005807AA">
      <w:pPr>
        <w:ind w:firstLine="539"/>
        <w:jc w:val="both"/>
      </w:pPr>
      <w:r w:rsidRPr="0091051C">
        <w:t xml:space="preserve">Při lůžkových geriatrických odděleních nemocnic obvykle fungují geriatrické ambulance, které se zabývají péči o specifické problémy seniorského věku, jako jsou poruchy paměti a </w:t>
      </w:r>
      <w:proofErr w:type="spellStart"/>
      <w:r w:rsidRPr="0091051C">
        <w:t>gerontopsychiatrie</w:t>
      </w:r>
      <w:proofErr w:type="spellEnd"/>
      <w:r w:rsidRPr="0091051C">
        <w:t>, závratě a pády, hojení chronických ran, inkontinence, rehabilitace, ergoterapie. Tyto ambulance jsou zároveň konzultačními centry pro praktické lékaře</w:t>
      </w:r>
      <w:r>
        <w:t xml:space="preserve"> </w:t>
      </w:r>
      <w:r w:rsidRPr="0091051C">
        <w:t xml:space="preserve">i specialisty. </w:t>
      </w:r>
    </w:p>
    <w:p w:rsidR="005807AA" w:rsidRPr="0091051C" w:rsidRDefault="005807AA" w:rsidP="005807AA">
      <w:pPr>
        <w:jc w:val="both"/>
      </w:pPr>
      <w:r w:rsidRPr="0091051C">
        <w:t xml:space="preserve"> </w:t>
      </w:r>
    </w:p>
    <w:p w:rsidR="005807AA" w:rsidRPr="0091051C" w:rsidRDefault="00DC5909" w:rsidP="005807AA">
      <w:pPr>
        <w:pStyle w:val="Nadpis2"/>
      </w:pPr>
      <w:bookmarkStart w:id="3" w:name="_Toc298940645"/>
      <w:proofErr w:type="gramStart"/>
      <w:r>
        <w:t xml:space="preserve">16.2 </w:t>
      </w:r>
      <w:r w:rsidR="005807AA" w:rsidRPr="0091051C">
        <w:t xml:space="preserve"> Akutní</w:t>
      </w:r>
      <w:proofErr w:type="gramEnd"/>
      <w:r w:rsidR="005807AA" w:rsidRPr="0091051C">
        <w:t>, intenzivní  a nemocniční geriatrická péče</w:t>
      </w:r>
      <w:bookmarkEnd w:id="3"/>
    </w:p>
    <w:p w:rsidR="005807AA" w:rsidRPr="0091051C" w:rsidRDefault="005807AA" w:rsidP="005807AA">
      <w:pPr>
        <w:jc w:val="both"/>
        <w:rPr>
          <w:b/>
        </w:rPr>
      </w:pPr>
      <w:r w:rsidRPr="0091051C">
        <w:rPr>
          <w:b/>
        </w:rPr>
        <w:t xml:space="preserve">  </w:t>
      </w:r>
    </w:p>
    <w:p w:rsidR="005807AA" w:rsidRPr="0091051C" w:rsidRDefault="005807AA" w:rsidP="005807AA">
      <w:pPr>
        <w:ind w:firstLine="539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0" allowOverlap="0">
            <wp:simplePos x="0" y="0"/>
            <wp:positionH relativeFrom="margin">
              <wp:posOffset>5314950</wp:posOffset>
            </wp:positionH>
            <wp:positionV relativeFrom="line">
              <wp:posOffset>38100</wp:posOffset>
            </wp:positionV>
            <wp:extent cx="450850" cy="450850"/>
            <wp:effectExtent l="114300" t="114300" r="120650" b="12065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051C">
        <w:rPr>
          <w:b/>
        </w:rPr>
        <w:t xml:space="preserve">Akutní zhoršení stavu </w:t>
      </w:r>
      <w:r w:rsidRPr="0091051C">
        <w:t>geriatrických nemocných s sebou vždy nese riziko mnohočetných komplikací vyplývajících z vyčerpané funkční rezervy jednotlivých orgánových soustav, dochází tedy k typickému řetězení poruch a mnohočetným dekompenzacím. Starší nemocný proto v této situaci vyžaduje důsledné monitorování funkce základních orgánových soustav – alespoň soustavy kardiovaskulární, respirační a vylučovací. Z tohoto pohledu může někdy docházet k </w:t>
      </w:r>
      <w:proofErr w:type="gramStart"/>
      <w:r w:rsidRPr="0091051C">
        <w:t>diskrepancích</w:t>
      </w:r>
      <w:proofErr w:type="gramEnd"/>
      <w:r w:rsidRPr="0091051C">
        <w:t xml:space="preserve"> v indikaci intenzivní péče</w:t>
      </w:r>
      <w:r w:rsidRPr="0091051C">
        <w:rPr>
          <w:b/>
        </w:rPr>
        <w:t xml:space="preserve"> </w:t>
      </w:r>
      <w:r w:rsidRPr="0091051C">
        <w:t>pro geriatrického nemocného, protože jeho stav nemusí striktně splňovat kritéria přijetí na JIP a přesto je souhrnem všech svých poruch závažně ohrožen.</w:t>
      </w:r>
    </w:p>
    <w:p w:rsidR="005807AA" w:rsidRPr="0091051C" w:rsidRDefault="005807AA" w:rsidP="005807AA">
      <w:pPr>
        <w:ind w:firstLine="539"/>
        <w:jc w:val="both"/>
      </w:pPr>
      <w:r w:rsidRPr="0091051C">
        <w:t>Samozřejmě je při posuzování celkového stavu a plánování strategie léčby nutno vzít v úvahu i celkovou perspektivu nemocného a očekávaný výsledek léčby z hlediska kvality života nemocného.</w:t>
      </w:r>
    </w:p>
    <w:p w:rsidR="005807AA" w:rsidRPr="0091051C" w:rsidRDefault="005807AA" w:rsidP="005807AA">
      <w:pPr>
        <w:ind w:firstLine="539"/>
        <w:jc w:val="both"/>
      </w:pPr>
      <w:r w:rsidRPr="0091051C">
        <w:t xml:space="preserve">Starší nemocný na </w:t>
      </w:r>
      <w:r w:rsidRPr="0091051C">
        <w:rPr>
          <w:b/>
        </w:rPr>
        <w:t>jednotce intenzivní péče</w:t>
      </w:r>
      <w:r w:rsidRPr="0091051C">
        <w:t xml:space="preserve"> a systém péče o něj znamená vždy kompromis mezi tím, co je schopna současná úroveň intenzivní medicíny poskytnout a tím, co je starší nemocný schopen snést – tedy vždy jsme nuceni velmi pečlivě zvažovat reálný benefit použité metody pro konkrétního staršího nemocného. Obecně je nutno kalkulovat s delší dobou hospitalizace staršího nemocného na JIP a s nutnosti dosažení lepší stabilizace jeho stavu před překladem na standardní oddělení, kde je k dispozici podstatně méně personálu a některá zakolísání zdravotního stavu mohou uniknout pozornosti.</w:t>
      </w:r>
    </w:p>
    <w:p w:rsidR="005807AA" w:rsidRPr="0091051C" w:rsidRDefault="005807AA" w:rsidP="005807AA">
      <w:pPr>
        <w:ind w:firstLine="539"/>
        <w:jc w:val="both"/>
      </w:pPr>
      <w:r w:rsidRPr="0091051C">
        <w:t>Péče o starší nemocné se s prodlužujícím se věkem a zvyšováním procenta seniorů v populaci postupně stává náplní většiny oborů.  Každý obor interní nebo chirurgický již má vypracovává specifické postupy pro starší nemocné (např. protokoly chemoterapie v </w:t>
      </w:r>
      <w:proofErr w:type="spellStart"/>
      <w:r w:rsidRPr="0091051C">
        <w:t>hematoonkologii</w:t>
      </w:r>
      <w:proofErr w:type="spellEnd"/>
      <w:r w:rsidRPr="0091051C">
        <w:t xml:space="preserve"> pro nemocné nad 65 let, kardiologické metodiky). Hospitalizace na </w:t>
      </w:r>
      <w:r w:rsidRPr="0091051C">
        <w:rPr>
          <w:b/>
        </w:rPr>
        <w:t xml:space="preserve">geriatrickém nemocničním oddělení </w:t>
      </w:r>
      <w:r w:rsidRPr="0091051C">
        <w:t>je určena nemocným s interdisciplinárními problémy, jako jsou kolapsové stavy, pády, poruchy kognice, náhlá akutní nespecifická zhoršení zdravotního stavu, případně pro ty starší nemocné, kteří prodělali léčbu závažného onemocnění nebo úrazu a jejich zdravotní stav ještě vyžaduje dlouhodobější stabilizaci a rekonvalescenci či rehabilitaci za zvýšeného dohledu.</w:t>
      </w:r>
    </w:p>
    <w:p w:rsidR="005807AA" w:rsidRPr="0091051C" w:rsidRDefault="005807AA" w:rsidP="005807AA">
      <w:pPr>
        <w:ind w:firstLine="539"/>
        <w:jc w:val="both"/>
      </w:pPr>
      <w:r w:rsidRPr="0091051C">
        <w:t xml:space="preserve">Pro nemocné s několikaměsíční perspektivou rekonvalescence je určena péče v léčebně pro dlouhodobě nemocné (LDN). Cílem této péče je další stabilizace zdravotního stavu nemocného a dosažení maximálního možného stupně soběstačnosti s perspektivou návratu do </w:t>
      </w:r>
      <w:r w:rsidRPr="0091051C">
        <w:lastRenderedPageBreak/>
        <w:t>vlastního prostředí. V případě neuspokojivých výsledků rehabilitace a stabilizace zdravotního stavu je nutno po nemocného zajistit pobyt v instituci – stacionář pro dlouhodobé pobyty, domov důchodců.</w:t>
      </w:r>
    </w:p>
    <w:p w:rsidR="005807AA" w:rsidRPr="0091051C" w:rsidRDefault="005807AA" w:rsidP="005807AA">
      <w:pPr>
        <w:ind w:firstLine="539"/>
        <w:jc w:val="both"/>
      </w:pPr>
      <w:r w:rsidRPr="0091051C">
        <w:t xml:space="preserve">Nepominutelnou součástí péče o geriatrického nemocného je </w:t>
      </w:r>
      <w:r w:rsidRPr="0091051C">
        <w:rPr>
          <w:b/>
        </w:rPr>
        <w:t>plánování propuštění</w:t>
      </w:r>
      <w:r w:rsidRPr="0091051C">
        <w:t xml:space="preserve"> nemocného, kdy zvláště při propouštění do domácího prostředí musí být budoucí pečovatelé nemocného detailně seznámeni s nároky péče, s riziky i s možnými komplikacemi a jejich řešením. Této problematice je věnována velká pozornost a na zahraničních pracovištích již zcela rutinně </w:t>
      </w:r>
      <w:proofErr w:type="gramStart"/>
      <w:r w:rsidRPr="0091051C">
        <w:t>pracují</w:t>
      </w:r>
      <w:r>
        <w:t xml:space="preserve"> tzv.</w:t>
      </w:r>
      <w:proofErr w:type="gramEnd"/>
      <w:r>
        <w:t xml:space="preserve"> </w:t>
      </w:r>
      <w:r w:rsidRPr="0091051C">
        <w:rPr>
          <w:b/>
        </w:rPr>
        <w:t xml:space="preserve">case </w:t>
      </w:r>
      <w:proofErr w:type="spellStart"/>
      <w:r w:rsidRPr="0091051C">
        <w:rPr>
          <w:b/>
        </w:rPr>
        <w:t>managers</w:t>
      </w:r>
      <w:proofErr w:type="spellEnd"/>
      <w:r w:rsidRPr="0091051C">
        <w:t>, tedy pracovníci jejichž náplní práce je vstupování do kontaktu s rodinou či jinými pečovateli o nemocného po jeho propuštění z nemocničního ošetření (domácí péče, pečovatelská služba, praktický lékař a jeho tým) a příprava systému péče o nemocného, včetně případného zaškolení v provádění některých úkonů zásadních pro další uspokojivý vývoj stavu nemocného. Tento systém se v naší republice zatím rutinně nerealizuje, ale na některých pracovištích se již zavádí.</w:t>
      </w:r>
    </w:p>
    <w:p w:rsidR="005807AA" w:rsidRPr="0091051C" w:rsidRDefault="005807AA" w:rsidP="005807AA">
      <w:pPr>
        <w:jc w:val="both"/>
        <w:rPr>
          <w:b/>
        </w:rPr>
      </w:pPr>
    </w:p>
    <w:p w:rsidR="005807AA" w:rsidRPr="0091051C" w:rsidRDefault="00DC5909" w:rsidP="005807AA">
      <w:pPr>
        <w:pStyle w:val="Nadpis2"/>
      </w:pPr>
      <w:bookmarkStart w:id="4" w:name="_Toc298940646"/>
      <w:r>
        <w:t xml:space="preserve">16.3 </w:t>
      </w:r>
      <w:r w:rsidR="005807AA" w:rsidRPr="0091051C">
        <w:t xml:space="preserve">Péče v domácnosti - </w:t>
      </w:r>
      <w:proofErr w:type="spellStart"/>
      <w:r w:rsidR="005807AA" w:rsidRPr="0091051C">
        <w:t>home</w:t>
      </w:r>
      <w:proofErr w:type="spellEnd"/>
      <w:r w:rsidR="005807AA" w:rsidRPr="0091051C">
        <w:t xml:space="preserve"> care</w:t>
      </w:r>
      <w:bookmarkEnd w:id="4"/>
    </w:p>
    <w:p w:rsidR="005807AA" w:rsidRPr="0091051C" w:rsidRDefault="005807AA" w:rsidP="005807AA">
      <w:pPr>
        <w:jc w:val="both"/>
      </w:pPr>
      <w:r w:rsidRPr="0091051C">
        <w:t xml:space="preserve">     </w:t>
      </w:r>
    </w:p>
    <w:p w:rsidR="005807AA" w:rsidRPr="0091051C" w:rsidRDefault="005807AA" w:rsidP="005807AA">
      <w:pPr>
        <w:jc w:val="both"/>
      </w:pPr>
      <w:r w:rsidRPr="0091051C">
        <w:t xml:space="preserve">Tímto pojmem rozumíme poskytování </w:t>
      </w:r>
      <w:r w:rsidRPr="0091051C">
        <w:rPr>
          <w:b/>
        </w:rPr>
        <w:t>komplexní ošetřovatelské péče</w:t>
      </w:r>
      <w:r w:rsidRPr="0091051C">
        <w:t xml:space="preserve"> ve vlastním prostředí seniora. Tato strategie umožňuje pobývat ve vlastním prostředí i těm seniorům, kteří by pro </w:t>
      </w:r>
      <w:r w:rsidR="00291564">
        <w:rPr>
          <w:noProof/>
        </w:rPr>
        <w:drawing>
          <wp:anchor distT="0" distB="0" distL="114300" distR="114300" simplePos="0" relativeHeight="251680768" behindDoc="0" locked="0" layoutInCell="0" allowOverlap="0" wp14:anchorId="33C76D60" wp14:editId="04BBCBD4">
            <wp:simplePos x="0" y="0"/>
            <wp:positionH relativeFrom="margin">
              <wp:posOffset>5467350</wp:posOffset>
            </wp:positionH>
            <wp:positionV relativeFrom="line">
              <wp:posOffset>541020</wp:posOffset>
            </wp:positionV>
            <wp:extent cx="450850" cy="450850"/>
            <wp:effectExtent l="114300" t="114300" r="120650" b="12065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051C">
        <w:t>dlouhodobé zdravotní a sekundárně i sociální problémy museli být institucionalizováni. Pracovníci agentur domácí péče poskytují služby podle ordinace praktického lékaře nebo na základě indikace nemocničního zařízení. Podle typu onemocnění, ale i vzdálenosti bydliště klienta může počet návštěv dosáhnout až 3 denně. Nejčastějšími aktivitami v domácnosti seniora jsou převazy, aplikace léků, rehabilitační úkony, edukace. Pracovníci agentur zaškolují i rodinné příslušníky a další pečovatele v provádění daných úkonů, například rehabilitačních, aby byl celkový efekt léčby co nejpříznivější. Aktivity pracovníků domácí péče jsou tedy převážně zdravotnické a jsou hrazeny z prostředků zdravotního pojištění.</w:t>
      </w:r>
    </w:p>
    <w:p w:rsidR="005807AA" w:rsidRPr="0091051C" w:rsidRDefault="005807AA" w:rsidP="005807AA">
      <w:pPr>
        <w:ind w:firstLine="539"/>
        <w:jc w:val="both"/>
      </w:pPr>
      <w:r w:rsidRPr="0091051C">
        <w:t xml:space="preserve">Další složkou poskytující služby ve vlastním prostředí seniora jsou agentury </w:t>
      </w:r>
      <w:r w:rsidRPr="0091051C">
        <w:rPr>
          <w:b/>
        </w:rPr>
        <w:t>pečovatelské služby</w:t>
      </w:r>
      <w:r w:rsidRPr="0091051C">
        <w:t>, jejichž aktivity jsou vhodné u seniorů s deficitem v oblasti instrumentálních všedních činnosti, tedy s lehčí poruchou soběstačnosti – úklid domácnosti, nákupy, dovoz stravy, pomoc při osobní hygieně, doprovod při cestách mimo domov. Aktivity pečovatelské služby mají převážně sociální charakter a jsou hrazeny samotným klientem.</w:t>
      </w:r>
    </w:p>
    <w:p w:rsidR="005807AA" w:rsidRPr="0091051C" w:rsidRDefault="005807AA" w:rsidP="005807AA">
      <w:pPr>
        <w:ind w:firstLine="539"/>
        <w:jc w:val="both"/>
      </w:pPr>
      <w:r w:rsidRPr="0091051C">
        <w:t>Pro rozhodování o systému péče o konkrétního seniora je zásadní denní časová náročnost – pokud součet vše intervencí ve vlastním prostředí seniora přesahuje 3 hodiny denně, je nutno zvolit jiný typ péče. V této oblasti se prolíná péče zdravotní a sociální, naše legislativa však bohužel tyto oblasti dosud striktně odděluje, což působí mnohé obtíže v poskytování péče.</w:t>
      </w:r>
    </w:p>
    <w:p w:rsidR="005807AA" w:rsidRPr="0091051C" w:rsidRDefault="005807AA" w:rsidP="005807AA">
      <w:pPr>
        <w:ind w:firstLine="539"/>
        <w:jc w:val="both"/>
      </w:pPr>
      <w:r w:rsidRPr="0091051C">
        <w:t xml:space="preserve">Pro intermediární stupeň péče jsou k dispozici </w:t>
      </w:r>
      <w:r w:rsidRPr="0091051C">
        <w:rPr>
          <w:b/>
        </w:rPr>
        <w:t>stacionáře</w:t>
      </w:r>
      <w:r w:rsidRPr="0091051C">
        <w:t xml:space="preserve"> – jednotky pro denní nebo i vícedenní hospitalizaci, kdy senioři kombinovaně pobývají ve zdravotnickém zařízení i ve svém domácím prostředí, kde o ně pečují rodinní příslušníci. Tento typ zařízení je vhodný pro seniory např. s kognitivními poruchami, kteří nemohou setrvávat ve vlastním prostředí bez dozoru, tedy v době, kdy jsou jejich rodinní příslušníci v zaměstnání – hrozí nebezpečí neadekvátního zacházení s elektrickými a plynovými spotřebiči, s vodou apod.</w:t>
      </w:r>
    </w:p>
    <w:p w:rsidR="005807AA" w:rsidRPr="0091051C" w:rsidRDefault="005807AA" w:rsidP="005807AA">
      <w:pPr>
        <w:ind w:firstLine="539"/>
        <w:jc w:val="both"/>
      </w:pPr>
      <w:r w:rsidRPr="0091051C">
        <w:t xml:space="preserve">Z hlediska sociálního je možno u seniorů s lehčím zdravotním postižením využít služeb poskytovaných denními středisky sociálního charakteru – tzv. </w:t>
      </w:r>
      <w:r w:rsidRPr="0091051C">
        <w:rPr>
          <w:b/>
        </w:rPr>
        <w:t xml:space="preserve">domovinky, </w:t>
      </w:r>
      <w:r w:rsidRPr="0091051C">
        <w:t>zajišťující organizované aktivity, stravu, případně hygienickou péči.</w:t>
      </w:r>
    </w:p>
    <w:p w:rsidR="005807AA" w:rsidRPr="0091051C" w:rsidRDefault="005807AA" w:rsidP="005807AA">
      <w:pPr>
        <w:ind w:firstLine="539"/>
        <w:jc w:val="both"/>
      </w:pPr>
      <w:r w:rsidRPr="0091051C">
        <w:t xml:space="preserve">K intermediárním formám péče se řadí i </w:t>
      </w:r>
      <w:r w:rsidRPr="0091051C">
        <w:rPr>
          <w:b/>
        </w:rPr>
        <w:t>domy s pečovatelskou službou</w:t>
      </w:r>
      <w:r w:rsidRPr="0091051C">
        <w:t xml:space="preserve"> a různé typy penzionů s relativně volnějším režimem, ale s lepší dostupností zdravotních i sociálních služeb. </w:t>
      </w:r>
    </w:p>
    <w:p w:rsidR="005807AA" w:rsidRPr="0091051C" w:rsidRDefault="005807AA" w:rsidP="005807AA">
      <w:pPr>
        <w:jc w:val="both"/>
      </w:pPr>
    </w:p>
    <w:p w:rsidR="005807AA" w:rsidRPr="0091051C" w:rsidRDefault="00DC5909" w:rsidP="005807AA">
      <w:pPr>
        <w:pStyle w:val="Nadpis2"/>
      </w:pPr>
      <w:bookmarkStart w:id="5" w:name="_Toc298940647"/>
      <w:r>
        <w:t xml:space="preserve">16.4 </w:t>
      </w:r>
      <w:r w:rsidR="005807AA" w:rsidRPr="0091051C">
        <w:t>Dlouhodobá péče v ústavu</w:t>
      </w:r>
      <w:bookmarkEnd w:id="5"/>
    </w:p>
    <w:p w:rsidR="005807AA" w:rsidRPr="0091051C" w:rsidRDefault="00291564" w:rsidP="005807AA">
      <w:pPr>
        <w:jc w:val="both"/>
      </w:pPr>
      <w:r>
        <w:rPr>
          <w:noProof/>
        </w:rPr>
        <w:drawing>
          <wp:anchor distT="0" distB="0" distL="114300" distR="114300" simplePos="0" relativeHeight="251682816" behindDoc="0" locked="0" layoutInCell="0" allowOverlap="0" wp14:anchorId="7A955269" wp14:editId="4D877975">
            <wp:simplePos x="0" y="0"/>
            <wp:positionH relativeFrom="margin">
              <wp:posOffset>5619750</wp:posOffset>
            </wp:positionH>
            <wp:positionV relativeFrom="line">
              <wp:posOffset>40005</wp:posOffset>
            </wp:positionV>
            <wp:extent cx="450850" cy="450850"/>
            <wp:effectExtent l="114300" t="114300" r="120650" b="12065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7AA" w:rsidRPr="0091051C">
        <w:t xml:space="preserve">     </w:t>
      </w:r>
    </w:p>
    <w:p w:rsidR="005807AA" w:rsidRPr="0091051C" w:rsidRDefault="005807AA" w:rsidP="005807AA">
      <w:pPr>
        <w:jc w:val="both"/>
      </w:pPr>
      <w:r w:rsidRPr="0091051C">
        <w:t xml:space="preserve">Tento typ péče je určen seniorům s významnější ztrátou soběstačnosti, </w:t>
      </w:r>
      <w:r>
        <w:t xml:space="preserve">        </w:t>
      </w:r>
      <w:r w:rsidRPr="0091051C">
        <w:t>o něž z </w:t>
      </w:r>
      <w:proofErr w:type="gramStart"/>
      <w:r w:rsidRPr="0091051C">
        <w:t>různých</w:t>
      </w:r>
      <w:proofErr w:type="gramEnd"/>
      <w:r w:rsidRPr="0091051C">
        <w:t xml:space="preserve"> důvodu nepečuje rodina nebo jiní pečovatelé. Celkově je dlouhodobě institucionalizováno 3% seniorů, zbývající senioři žijí ve svém vlastním prostředí za pomoci členů vlastní rodiny, sousedů, přátel a ani tomuto nízkému počtu nestačí kapacita příslušných zařízení – tedy domovů důchodců, stacionářů pro několikaměsíční pobyty, apod. – čekací doby na umístění do těchto zařízení je minimálně několik měsíců, ve velkých městech i několik let. Proto by také měl být kladen větší důraz na všechna opatření umožňující seniorům setrvat co nejdéle v jejich vlastním prostředí v důstojných podmínkách.</w:t>
      </w:r>
    </w:p>
    <w:p w:rsidR="005807AA" w:rsidRPr="0091051C" w:rsidRDefault="005807AA" w:rsidP="005807AA">
      <w:pPr>
        <w:ind w:firstLine="539"/>
        <w:jc w:val="both"/>
      </w:pPr>
      <w:r w:rsidRPr="0091051C">
        <w:t xml:space="preserve">Samotný pobyt seniorů v zařízeních dlouhodobé péče má samozřejmě svá negativa i pozitiva. Pro seniora s významným stupněm ztráty soběstačnosti znamená umístění do tohoto druhu zařízení výrazné ulehčení života a zvýšení kvality života. Sporná je situace u těch seniorů, kteří volí pobyt v zařízení dlouhodobé péče jako řešení bytové situace pro mladší generaci nebo jako řešení rodinných neshod při vícegeneračním bydlení. Tito senioři jsou obvykle ještě natolik aktivní a soběstační, že způsob života, kterému se chtě-nechtě přizpůsobují v daném zařízení, je pro ně regresí v aktivitách i celkové kvalitě života. </w:t>
      </w:r>
    </w:p>
    <w:p w:rsidR="005807AA" w:rsidRPr="0091051C" w:rsidRDefault="005807AA" w:rsidP="005807AA">
      <w:pPr>
        <w:ind w:firstLine="539"/>
        <w:jc w:val="both"/>
      </w:pPr>
      <w:r w:rsidRPr="0091051C">
        <w:t xml:space="preserve">Klientela institucí je velmi vysokého věku, s velmi nízkým stupněm soběstačnosti, </w:t>
      </w:r>
      <w:proofErr w:type="spellStart"/>
      <w:r w:rsidRPr="0091051C">
        <w:t>multimorbidní</w:t>
      </w:r>
      <w:proofErr w:type="spellEnd"/>
      <w:r w:rsidRPr="0091051C">
        <w:t xml:space="preserve"> s rozsáhlou medikací včetně psychiatrické a s relativně vysokou mortalitou. Ze stylu života v institucích vyplývají některá rizika. U nemocných v institucích je popisován několikanásobně vyšší výskyt depresivních stavů, tendence k pasivitě a apatii, nízká pohybová aktivita vede k rychlejšímu rozvoji osteoporózy, ke ztrátě obratnosti a v</w:t>
      </w:r>
      <w:r>
        <w:t>yššímu riziku pádů, při omezených</w:t>
      </w:r>
      <w:r w:rsidRPr="0091051C">
        <w:t xml:space="preserve"> možnostech pobytu klientů venku hrozí riziko deficitu vitaminu D, v seniorských institucích je také popisován významnější trend ke konzumaci alkoholu.</w:t>
      </w:r>
    </w:p>
    <w:p w:rsidR="005807AA" w:rsidRPr="0091051C" w:rsidRDefault="005807AA" w:rsidP="005807AA">
      <w:pPr>
        <w:ind w:firstLine="539"/>
        <w:jc w:val="both"/>
      </w:pPr>
      <w:r w:rsidRPr="0091051C">
        <w:t>Pro úspěšný pobyt seniorů v tomto typu zařízení z hlediska sociálního má velký význam aktivizace seniorů formou ergoterapie a rehabilitace, pořádání kulturních akcí, výlety, besídky, návštěvy např. dětí ze základních škol.</w:t>
      </w:r>
    </w:p>
    <w:p w:rsidR="005807AA" w:rsidRPr="0091051C" w:rsidRDefault="005807AA" w:rsidP="005807AA">
      <w:pPr>
        <w:ind w:firstLine="539"/>
        <w:jc w:val="both"/>
      </w:pPr>
      <w:r w:rsidRPr="0091051C">
        <w:t>Péče o tento typ klientů má výrazně smíšený charakter zdravotně-sociální. Z tohoto pohledu je neadekvátní současný přístup v ČR, kdy sociální a zdravotní záležitosti jsou striktně oddělovány, což již po dlouhá léta působí značné obtíže právě v péči o seniory.</w:t>
      </w:r>
    </w:p>
    <w:p w:rsidR="005807AA" w:rsidRPr="0091051C" w:rsidRDefault="005807AA" w:rsidP="005807AA">
      <w:pPr>
        <w:jc w:val="both"/>
        <w:rPr>
          <w:b/>
        </w:rPr>
      </w:pPr>
    </w:p>
    <w:p w:rsidR="005807AA" w:rsidRPr="0091051C" w:rsidRDefault="00DC5909" w:rsidP="005807AA">
      <w:pPr>
        <w:pStyle w:val="Nadpis2"/>
      </w:pPr>
      <w:bookmarkStart w:id="6" w:name="_Toc298940648"/>
      <w:r>
        <w:t xml:space="preserve">16.5 </w:t>
      </w:r>
      <w:bookmarkStart w:id="7" w:name="_GoBack"/>
      <w:bookmarkEnd w:id="7"/>
      <w:r w:rsidR="005807AA" w:rsidRPr="0091051C">
        <w:t>Paliativní a terminální péče</w:t>
      </w:r>
      <w:bookmarkEnd w:id="6"/>
      <w:r w:rsidR="005807AA" w:rsidRPr="0091051C">
        <w:tab/>
      </w:r>
    </w:p>
    <w:p w:rsidR="005807AA" w:rsidRPr="0091051C" w:rsidRDefault="005807AA" w:rsidP="005807AA">
      <w:pPr>
        <w:jc w:val="both"/>
      </w:pPr>
      <w:r w:rsidRPr="0091051C">
        <w:t xml:space="preserve">     </w:t>
      </w:r>
    </w:p>
    <w:p w:rsidR="005807AA" w:rsidRPr="0091051C" w:rsidRDefault="00291564" w:rsidP="005807AA">
      <w:pPr>
        <w:jc w:val="both"/>
      </w:pPr>
      <w:r>
        <w:rPr>
          <w:noProof/>
        </w:rPr>
        <w:drawing>
          <wp:anchor distT="0" distB="0" distL="114300" distR="114300" simplePos="0" relativeHeight="251684864" behindDoc="0" locked="0" layoutInCell="0" allowOverlap="0" wp14:anchorId="3E661F08" wp14:editId="6EC1512B">
            <wp:simplePos x="0" y="0"/>
            <wp:positionH relativeFrom="margin">
              <wp:posOffset>5619750</wp:posOffset>
            </wp:positionH>
            <wp:positionV relativeFrom="line">
              <wp:posOffset>270510</wp:posOffset>
            </wp:positionV>
            <wp:extent cx="450850" cy="450850"/>
            <wp:effectExtent l="114300" t="114300" r="120650" b="120650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7AA" w:rsidRPr="0091051C">
        <w:t xml:space="preserve">Paliativní péče nastupuje v okamžiku konstatování </w:t>
      </w:r>
      <w:r w:rsidR="005807AA" w:rsidRPr="0091051C">
        <w:rPr>
          <w:b/>
        </w:rPr>
        <w:t>ukončení léčby kauzální</w:t>
      </w:r>
      <w:r w:rsidR="005807AA" w:rsidRPr="0091051C">
        <w:t xml:space="preserve">, od níž není již možno očekávat výrazné zlepšení zdravotního stavu daného nemocného. Paliativní péče v současné době neznamená pouze péči o nemocné s neléčitelnými malignitami, ale také o nemocné terminálních stadiích neonkologických onemocnění – terminální srdeční selhání, terminální respirační selhání, jaterní selhání atd. Cílem paliativní péče je zvyšovat nebo alespoň udržet </w:t>
      </w:r>
      <w:r w:rsidR="005807AA" w:rsidRPr="0091051C">
        <w:rPr>
          <w:b/>
        </w:rPr>
        <w:t>kvalitu života</w:t>
      </w:r>
      <w:r w:rsidR="005807AA" w:rsidRPr="0091051C">
        <w:t xml:space="preserve"> nemocného a celkově nemocnému ulehčit proces umírání.</w:t>
      </w:r>
    </w:p>
    <w:p w:rsidR="005807AA" w:rsidRPr="0091051C" w:rsidRDefault="005807AA" w:rsidP="005807AA">
      <w:pPr>
        <w:ind w:firstLine="539"/>
        <w:jc w:val="both"/>
      </w:pPr>
      <w:r w:rsidRPr="0091051C">
        <w:t xml:space="preserve">V péči o starší nemocné vystupuje automaticky do popředí péče uspokojující jejich fyziologické potřeby a kompenzující jejich aktuální problémy - </w:t>
      </w:r>
      <w:r w:rsidRPr="0091051C">
        <w:rPr>
          <w:b/>
        </w:rPr>
        <w:t>léčba  symptomů</w:t>
      </w:r>
      <w:r w:rsidRPr="0091051C">
        <w:t xml:space="preserve">. Z pohledu základního dělení potřeb nemocných se jedná o uspokojování </w:t>
      </w:r>
      <w:r w:rsidRPr="0091051C">
        <w:rPr>
          <w:b/>
        </w:rPr>
        <w:t>potřeb nižších</w:t>
      </w:r>
      <w:r w:rsidRPr="0091051C">
        <w:t>. Mnohdy však mohou uniknout pozornosti, a tím i uspokojení, potřeby řazené k </w:t>
      </w:r>
      <w:r w:rsidRPr="0091051C">
        <w:rPr>
          <w:b/>
        </w:rPr>
        <w:t>vyšším potřebám</w:t>
      </w:r>
      <w:r w:rsidRPr="0091051C">
        <w:t xml:space="preserve">. Lze říci, že čím vyšší je intelektuální úroveň nemocného, tím častěji jsou přehlíženy jeho vyšší potřeby počínaje potřebou sounáležitosti a lásky, potřeby uznání a sebeúcty, které zahrnují i potřebu autonomie, dále potřeby kognitivní, estetické až po potřebu seberealizace. Rozsah postižení základní chorobou a náročnost poskytování základní péče odvrací od těchto potřeb pozornost ošetřujícího týmu. Ve skupině seniorů může být tato diskrepance potencována deficitem ve </w:t>
      </w:r>
      <w:r w:rsidRPr="0091051C">
        <w:lastRenderedPageBreak/>
        <w:t xml:space="preserve">schopnosti vyjádřit dokonale pociťovaný nedostatek. Důsledkem je potom vznik frustrace a možnost její transformace do somatických nebo psychických symptomů. Projevem tohoto </w:t>
      </w:r>
      <w:proofErr w:type="gramStart"/>
      <w:r w:rsidRPr="0091051C">
        <w:t>stavu  potom</w:t>
      </w:r>
      <w:proofErr w:type="gramEnd"/>
      <w:r w:rsidRPr="0091051C">
        <w:t xml:space="preserve"> mohou být  určité obtížně vysvětlitelné tendence v chování nemocného – například opakované zdánlivě bezdůvodné používání signalizačního zařízení, které manifestuje snahu přivolat k lůžku někoho, kdo by už jen svou přítomností vyřešil pocit </w:t>
      </w:r>
      <w:r w:rsidRPr="0091051C">
        <w:rPr>
          <w:b/>
        </w:rPr>
        <w:t>osamocení nemocného</w:t>
      </w:r>
      <w:r w:rsidRPr="0091051C">
        <w:t>.</w:t>
      </w:r>
    </w:p>
    <w:p w:rsidR="005807AA" w:rsidRPr="00890126" w:rsidRDefault="005807AA" w:rsidP="005807AA">
      <w:pPr>
        <w:ind w:firstLine="539"/>
        <w:jc w:val="both"/>
      </w:pPr>
      <w:r w:rsidRPr="0091051C">
        <w:t xml:space="preserve">Z problémů somatických je v rámci paliativní péče nutno řešit nejčastěji </w:t>
      </w:r>
      <w:r w:rsidRPr="0091051C">
        <w:rPr>
          <w:b/>
        </w:rPr>
        <w:t>bolest, dušnost, nechutenství, nau</w:t>
      </w:r>
      <w:r>
        <w:rPr>
          <w:b/>
        </w:rPr>
        <w:t>z</w:t>
      </w:r>
      <w:r w:rsidRPr="0091051C">
        <w:rPr>
          <w:b/>
        </w:rPr>
        <w:t>eu, zvracení, terminální neklid a zmatenost.</w:t>
      </w:r>
    </w:p>
    <w:p w:rsidR="005807AA" w:rsidRPr="0091051C" w:rsidRDefault="005807AA" w:rsidP="005807AA">
      <w:pPr>
        <w:ind w:firstLine="539"/>
        <w:jc w:val="both"/>
      </w:pPr>
      <w:r w:rsidRPr="0091051C">
        <w:rPr>
          <w:b/>
        </w:rPr>
        <w:t xml:space="preserve">Bolest </w:t>
      </w:r>
      <w:r w:rsidRPr="0091051C">
        <w:t xml:space="preserve">– její tlumení na snesitelnou úroveň je jedním z hlavních cílů paliativní péče a ve strategii léčení bolesti se řídíme základním třístupňovým schématem podle WHO, tedy I. stupni analgetika, antipyretika, případně nesteroidní antirevmatika, ve II. stupni slabé </w:t>
      </w:r>
      <w:proofErr w:type="spellStart"/>
      <w:r w:rsidRPr="0091051C">
        <w:t>opioidy</w:t>
      </w:r>
      <w:proofErr w:type="spellEnd"/>
      <w:r w:rsidRPr="0091051C">
        <w:t xml:space="preserve"> event. v kombinaci s I. stupněm, ve III. stupni silné </w:t>
      </w:r>
      <w:proofErr w:type="spellStart"/>
      <w:r w:rsidRPr="0091051C">
        <w:t>opioidy</w:t>
      </w:r>
      <w:proofErr w:type="spellEnd"/>
      <w:r w:rsidRPr="0091051C">
        <w:t xml:space="preserve">, event. v kombinaci s I. stupněm. Základním problémem léčby bolesti je </w:t>
      </w:r>
      <w:proofErr w:type="spellStart"/>
      <w:r w:rsidRPr="0091051C">
        <w:rPr>
          <w:b/>
        </w:rPr>
        <w:t>poddávkování</w:t>
      </w:r>
      <w:proofErr w:type="spellEnd"/>
      <w:r w:rsidRPr="0091051C">
        <w:t xml:space="preserve"> silných </w:t>
      </w:r>
      <w:proofErr w:type="spellStart"/>
      <w:r w:rsidRPr="0091051C">
        <w:t>opioidů</w:t>
      </w:r>
      <w:proofErr w:type="spellEnd"/>
      <w:r w:rsidRPr="0091051C">
        <w:t xml:space="preserve"> </w:t>
      </w:r>
      <w:proofErr w:type="gramStart"/>
      <w:r w:rsidRPr="0091051C">
        <w:t>zejména  v obavě</w:t>
      </w:r>
      <w:proofErr w:type="gramEnd"/>
      <w:r w:rsidRPr="0091051C">
        <w:t xml:space="preserve"> z návyku nemocného případně z vedlejších účinků. </w:t>
      </w:r>
    </w:p>
    <w:p w:rsidR="005807AA" w:rsidRPr="0091051C" w:rsidRDefault="005807AA" w:rsidP="005807AA">
      <w:pPr>
        <w:ind w:firstLine="539"/>
        <w:jc w:val="both"/>
      </w:pPr>
      <w:r w:rsidRPr="0091051C">
        <w:t xml:space="preserve">Z hlediska </w:t>
      </w:r>
      <w:r w:rsidRPr="0091051C">
        <w:rPr>
          <w:b/>
        </w:rPr>
        <w:t>monitorace bolesti</w:t>
      </w:r>
      <w:r w:rsidRPr="0091051C">
        <w:t xml:space="preserve"> je nutná objektivizace stupně bolesti, ovšem se zohledněním individuální míry vnímání bolesti. K tomuto účelu slouží </w:t>
      </w:r>
      <w:r w:rsidRPr="0091051C">
        <w:rPr>
          <w:b/>
        </w:rPr>
        <w:t>škály</w:t>
      </w:r>
      <w:r w:rsidRPr="0091051C">
        <w:t>, na kterých nemocný vyznačí aktuální sílu bolesti v porovnání s bolestí žádnou nebo nejsilnější, jakou kdy pocítil.</w:t>
      </w:r>
    </w:p>
    <w:p w:rsidR="005807AA" w:rsidRPr="0091051C" w:rsidRDefault="005807AA" w:rsidP="005807AA">
      <w:pPr>
        <w:ind w:firstLine="539"/>
        <w:jc w:val="both"/>
      </w:pPr>
      <w:r w:rsidRPr="0091051C">
        <w:rPr>
          <w:b/>
        </w:rPr>
        <w:t xml:space="preserve">Dušnost – </w:t>
      </w:r>
      <w:r w:rsidRPr="0091051C">
        <w:t>jako</w:t>
      </w:r>
      <w:r w:rsidRPr="0091051C">
        <w:rPr>
          <w:b/>
        </w:rPr>
        <w:t xml:space="preserve"> subjektivní pocit nedostatku vzduchu, </w:t>
      </w:r>
      <w:r w:rsidRPr="0091051C">
        <w:t xml:space="preserve">který v terminálních stadiích může, </w:t>
      </w:r>
      <w:r>
        <w:t xml:space="preserve">ale také nemusí být v korelaci </w:t>
      </w:r>
      <w:r w:rsidRPr="0091051C">
        <w:t xml:space="preserve"> klinickým i dokonce laboratorním nálezem. Tyto stavy řešíme podáním inhalačního kyslíku, případně </w:t>
      </w:r>
      <w:proofErr w:type="spellStart"/>
      <w:r w:rsidRPr="0091051C">
        <w:t>opioidních</w:t>
      </w:r>
      <w:proofErr w:type="spellEnd"/>
      <w:r w:rsidRPr="0091051C">
        <w:t xml:space="preserve"> preparátů, které subjektivní pocit dušnosti tlumí. Při zahlenění mohou mít příznivý efekt </w:t>
      </w:r>
      <w:proofErr w:type="spellStart"/>
      <w:r w:rsidRPr="0091051C">
        <w:t>sekretolytika</w:t>
      </w:r>
      <w:proofErr w:type="spellEnd"/>
      <w:r w:rsidRPr="0091051C">
        <w:t>, při chrčení v terminální fázi je doporučováno omezit hydrataci umírajícího.</w:t>
      </w:r>
    </w:p>
    <w:p w:rsidR="005807AA" w:rsidRPr="0091051C" w:rsidRDefault="005807AA" w:rsidP="005807AA">
      <w:pPr>
        <w:ind w:firstLine="539"/>
        <w:jc w:val="both"/>
      </w:pPr>
      <w:r w:rsidRPr="0091051C">
        <w:t xml:space="preserve"> </w:t>
      </w:r>
      <w:r>
        <w:t>N</w:t>
      </w:r>
      <w:r w:rsidRPr="0091051C">
        <w:rPr>
          <w:b/>
        </w:rPr>
        <w:t>au</w:t>
      </w:r>
      <w:r>
        <w:rPr>
          <w:b/>
        </w:rPr>
        <w:t>z</w:t>
      </w:r>
      <w:r w:rsidRPr="0091051C">
        <w:rPr>
          <w:b/>
        </w:rPr>
        <w:t xml:space="preserve">ea a zvracení – </w:t>
      </w:r>
      <w:r w:rsidRPr="0091051C">
        <w:t xml:space="preserve">jejich příčina může být i velmi </w:t>
      </w:r>
      <w:proofErr w:type="gramStart"/>
      <w:r w:rsidRPr="0091051C">
        <w:t>rozdílná,  na</w:t>
      </w:r>
      <w:proofErr w:type="gramEnd"/>
      <w:r w:rsidRPr="0091051C">
        <w:t xml:space="preserve"> jedné straně může být nau</w:t>
      </w:r>
      <w:r>
        <w:t>z</w:t>
      </w:r>
      <w:r w:rsidRPr="0091051C">
        <w:t xml:space="preserve">ea nebo zvracení vyvoláno fatálním mozkovým poškozením např. při mozkovém edému po závažné cévní mozkové příhodě, na druhé straně může tyto příznaky vyvolávat terapie </w:t>
      </w:r>
      <w:proofErr w:type="spellStart"/>
      <w:r w:rsidRPr="0091051C">
        <w:t>opioidy</w:t>
      </w:r>
      <w:proofErr w:type="spellEnd"/>
      <w:r w:rsidRPr="0091051C">
        <w:t xml:space="preserve">, případně obleněná kinetika trávicího traktu. Analýza aktuální situace nemocného je potom podkladem pro rozhodnutí o způsobu terapie. Při podezření na původ zvracení jako průvodního příznaku mozkového edému podáváme steroidy, případně v kombinaci s neuroleptiky, stejnou kombinaci můžeme volit při zvracení vyvolaném </w:t>
      </w:r>
      <w:proofErr w:type="spellStart"/>
      <w:r w:rsidRPr="0091051C">
        <w:t>opioidy</w:t>
      </w:r>
      <w:proofErr w:type="spellEnd"/>
      <w:r w:rsidRPr="0091051C">
        <w:t xml:space="preserve">. Při podezřením na oblenění kinetiky GIT jsou vhodná </w:t>
      </w:r>
      <w:proofErr w:type="spellStart"/>
      <w:r w:rsidRPr="0091051C">
        <w:t>prokinetika</w:t>
      </w:r>
      <w:proofErr w:type="spellEnd"/>
      <w:r w:rsidRPr="0091051C">
        <w:t xml:space="preserve"> typu </w:t>
      </w:r>
      <w:proofErr w:type="spellStart"/>
      <w:r w:rsidRPr="0091051C">
        <w:t>metoclopramid</w:t>
      </w:r>
      <w:proofErr w:type="spellEnd"/>
      <w:r w:rsidRPr="0091051C">
        <w:t xml:space="preserve"> ovšem s rizikem vzniku parkinsonské symptomatologie.</w:t>
      </w:r>
    </w:p>
    <w:p w:rsidR="005807AA" w:rsidRPr="0091051C" w:rsidRDefault="005807AA" w:rsidP="005807AA">
      <w:pPr>
        <w:ind w:firstLine="539"/>
        <w:jc w:val="both"/>
      </w:pPr>
      <w:proofErr w:type="gramStart"/>
      <w:r w:rsidRPr="0091051C">
        <w:rPr>
          <w:b/>
        </w:rPr>
        <w:t xml:space="preserve">Nechutenství </w:t>
      </w:r>
      <w:r>
        <w:rPr>
          <w:b/>
        </w:rPr>
        <w:t xml:space="preserve"> </w:t>
      </w:r>
      <w:r w:rsidRPr="0091051C">
        <w:rPr>
          <w:b/>
        </w:rPr>
        <w:t xml:space="preserve">– </w:t>
      </w:r>
      <w:r w:rsidRPr="0091051C">
        <w:t>je</w:t>
      </w:r>
      <w:proofErr w:type="gramEnd"/>
      <w:r w:rsidRPr="0091051C">
        <w:t xml:space="preserve"> častým příznakem doprovázejícím terminální stavy. Při zvažování postupu je důležité si uvědomit, že nemocný v terminálním stavu obvykle nemá ani pocit žízně ani pocit hladu, a tedy nutit ho do jídla a pití vede ke zhoršení kvality jeho života. Dlouhodobé nechutenství se potom snažíme řešit vkusnou, barevnou úpravou porce jídla, volíme jídla pikantnější chuti a vůně, spíše chladná než horká, servírujeme malé porce na malé talíře. Někdy se doporučuje podpořit vznik pocitu hladu malou dávkou inzulinu – např</w:t>
      </w:r>
      <w:r>
        <w:t>.</w:t>
      </w:r>
      <w:r w:rsidRPr="0091051C">
        <w:t xml:space="preserve"> 4 j. </w:t>
      </w:r>
      <w:proofErr w:type="spellStart"/>
      <w:proofErr w:type="gramStart"/>
      <w:r w:rsidRPr="0091051C">
        <w:t>s.c</w:t>
      </w:r>
      <w:proofErr w:type="spellEnd"/>
      <w:r w:rsidRPr="0091051C">
        <w:t>.</w:t>
      </w:r>
      <w:proofErr w:type="gramEnd"/>
      <w:r w:rsidRPr="0091051C">
        <w:t xml:space="preserve"> před obědem.</w:t>
      </w:r>
    </w:p>
    <w:p w:rsidR="005807AA" w:rsidRDefault="005807AA" w:rsidP="005807AA">
      <w:pPr>
        <w:jc w:val="both"/>
      </w:pPr>
      <w:bookmarkStart w:id="8" w:name="_Toc298935871"/>
      <w:bookmarkStart w:id="9" w:name="_Toc298937963"/>
      <w:r w:rsidRPr="0091051C">
        <w:rPr>
          <w:b/>
        </w:rPr>
        <w:t xml:space="preserve">Terminální neklid a zmatenost – </w:t>
      </w:r>
      <w:r w:rsidRPr="0091051C">
        <w:t xml:space="preserve">projevuje se obvykle opakovaným přivoláváním ošetřujícího personálu – předpokládá se obava z osamocenosti. Při poruchách vědomí nejčastěji kvalitativních se neklid projevuje neustálým spontánním měněním polohy, přehazováním lůžkovin a často zcela neadekvátním přáním být propuštěn domů. Tento typ neklidu obvykle tlumíme zvýšením dávky </w:t>
      </w:r>
      <w:proofErr w:type="spellStart"/>
      <w:r w:rsidRPr="0091051C">
        <w:t>opioidů</w:t>
      </w:r>
      <w:proofErr w:type="spellEnd"/>
      <w:r w:rsidRPr="0091051C">
        <w:t>.</w:t>
      </w:r>
      <w:bookmarkEnd w:id="8"/>
      <w:bookmarkEnd w:id="9"/>
    </w:p>
    <w:p w:rsidR="005807AA" w:rsidRDefault="005807AA" w:rsidP="005807AA">
      <w:pPr>
        <w:pStyle w:val="Nadpis2"/>
        <w:rPr>
          <w:sz w:val="24"/>
        </w:rPr>
      </w:pPr>
    </w:p>
    <w:p w:rsidR="005807AA" w:rsidRDefault="005807AA" w:rsidP="005807AA">
      <w:pPr>
        <w:pStyle w:val="Nadpis2"/>
        <w:rPr>
          <w:sz w:val="24"/>
        </w:rPr>
      </w:pPr>
    </w:p>
    <w:p w:rsidR="005807AA" w:rsidRDefault="005807AA" w:rsidP="005807AA"/>
    <w:p w:rsidR="005807AA" w:rsidRPr="005918AB" w:rsidRDefault="005807AA" w:rsidP="00580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hanging="1418"/>
        <w:jc w:val="both"/>
        <w:rPr>
          <w:b/>
        </w:rPr>
      </w:pPr>
      <w:r>
        <w:rPr>
          <w:bCs/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margin">
              <wp:posOffset>5548630</wp:posOffset>
            </wp:positionH>
            <wp:positionV relativeFrom="line">
              <wp:posOffset>153035</wp:posOffset>
            </wp:positionV>
            <wp:extent cx="450850" cy="450850"/>
            <wp:effectExtent l="114300" t="114300" r="120650" b="12065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8AB">
        <w:rPr>
          <w:b/>
        </w:rPr>
        <w:t>Shrnutí kapitoly</w:t>
      </w:r>
    </w:p>
    <w:p w:rsidR="005807AA" w:rsidRDefault="005807AA" w:rsidP="00580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  <w:r>
        <w:rPr>
          <w:color w:val="FF0000"/>
          <w:highlight w:val="yellow"/>
        </w:rPr>
        <w:t xml:space="preserve">Systém </w:t>
      </w:r>
      <w:r>
        <w:rPr>
          <w:color w:val="FF0000"/>
        </w:rPr>
        <w:t xml:space="preserve">geriatrické péče musí zahrnovat všechny stupně péče od řešení akutních zhoršení zdravotního stavu seniorů na jednotkách intenzivní péče a akutních lůžcích </w:t>
      </w:r>
      <w:r>
        <w:rPr>
          <w:color w:val="FF0000"/>
        </w:rPr>
        <w:lastRenderedPageBreak/>
        <w:t>přes rekonvalescenci a rehabilitaci na lůžcích následné péče a další rozdělení průběhu poskytované péče podle dosaženého stavu – tedy návrat do domácího prostředí za asistence terénních služeb – domácí péče a pečovatelské služby nebo trvalá institucionalizace v případě, že nemocný není schopen zvládnout samostatné přebývaní ve vlastním prostředí. Spolupráce se rodinami nemocných nabývá na významu v případech, kdy rodina je schopna a ochotna pečovat celodenně  -potom je velmi důležité zaškolení a výcvik členů rodiny. Je-li rodina schopna a ochotna pečovat o nemocného tu část dne, kdy se její členové navrátí ze zaměstnání či ze školy, je možno využít stacionářů či domovinek.</w:t>
      </w:r>
    </w:p>
    <w:p w:rsidR="005807AA" w:rsidRPr="002807E4" w:rsidRDefault="005807AA" w:rsidP="00580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  <w:r w:rsidRPr="002807E4">
        <w:rPr>
          <w:color w:val="FF0000"/>
        </w:rPr>
        <w:t>Do systému péče o se</w:t>
      </w:r>
      <w:r w:rsidR="00F83288">
        <w:rPr>
          <w:color w:val="FF0000"/>
        </w:rPr>
        <w:t xml:space="preserve">niory je nutno zahrnout i péči </w:t>
      </w:r>
      <w:r w:rsidRPr="002807E4">
        <w:rPr>
          <w:color w:val="FF0000"/>
        </w:rPr>
        <w:t xml:space="preserve">paliativní v hospicích nebo prostřednictvím mobilních jednotek, jejíž členové pomáhají rodinám starajícím se o svého staršího člena v terminálním stadiu. </w:t>
      </w:r>
    </w:p>
    <w:p w:rsidR="005807AA" w:rsidRPr="002807E4" w:rsidRDefault="005807AA" w:rsidP="00580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color w:val="FF0000"/>
        </w:rPr>
      </w:pPr>
      <w:r>
        <w:rPr>
          <w:bCs/>
          <w:color w:val="FF0000"/>
        </w:rPr>
        <w:t xml:space="preserve">Hlavními problémy řešenými v rámci paliativní péče jsou </w:t>
      </w:r>
      <w:r w:rsidRPr="002807E4">
        <w:rPr>
          <w:bCs/>
          <w:color w:val="FF0000"/>
        </w:rPr>
        <w:t>bolest, dušnost, nechutenství, nauz</w:t>
      </w:r>
      <w:r>
        <w:rPr>
          <w:bCs/>
          <w:color w:val="FF0000"/>
        </w:rPr>
        <w:t>ea</w:t>
      </w:r>
      <w:r w:rsidRPr="002807E4">
        <w:rPr>
          <w:bCs/>
          <w:color w:val="FF0000"/>
        </w:rPr>
        <w:t>, zvracení, terminální neklid a zmatenost</w:t>
      </w:r>
      <w:r>
        <w:rPr>
          <w:bCs/>
          <w:color w:val="FF0000"/>
        </w:rPr>
        <w:t>.</w:t>
      </w:r>
    </w:p>
    <w:p w:rsidR="005807AA" w:rsidRDefault="005807AA" w:rsidP="005807AA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 w:val="0"/>
        </w:rPr>
      </w:pPr>
    </w:p>
    <w:p w:rsidR="005807AA" w:rsidRDefault="005807AA" w:rsidP="005807AA">
      <w:pPr>
        <w:ind w:left="1418" w:hanging="1418"/>
        <w:jc w:val="both"/>
      </w:pPr>
    </w:p>
    <w:p w:rsidR="005807AA" w:rsidRDefault="00291564" w:rsidP="005807AA">
      <w:pPr>
        <w:ind w:left="1418" w:hanging="1418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86912" behindDoc="0" locked="0" layoutInCell="0" allowOverlap="0" wp14:anchorId="7BD42585" wp14:editId="14B06092">
            <wp:simplePos x="0" y="0"/>
            <wp:positionH relativeFrom="margin">
              <wp:posOffset>5279390</wp:posOffset>
            </wp:positionH>
            <wp:positionV relativeFrom="line">
              <wp:posOffset>13970</wp:posOffset>
            </wp:positionV>
            <wp:extent cx="450850" cy="444500"/>
            <wp:effectExtent l="114300" t="114300" r="120650" b="1079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7AA">
        <w:rPr>
          <w:b/>
        </w:rPr>
        <w:t>Otázky úkoly:</w:t>
      </w:r>
      <w:r>
        <w:rPr>
          <w:b/>
        </w:rPr>
        <w:t xml:space="preserve">                                                                                               </w:t>
      </w:r>
    </w:p>
    <w:p w:rsidR="005807AA" w:rsidRPr="00C251D7" w:rsidRDefault="005807AA" w:rsidP="005807AA">
      <w:pPr>
        <w:pStyle w:val="Zkladntextodsazen"/>
        <w:spacing w:after="0"/>
        <w:ind w:left="0"/>
        <w:jc w:val="both"/>
      </w:pPr>
      <w:r w:rsidRPr="00C251D7">
        <w:t>1. Vysvětlete obecné zásady péče o rizikové klienty</w:t>
      </w:r>
      <w:r>
        <w:t>.</w:t>
      </w:r>
    </w:p>
    <w:p w:rsidR="005807AA" w:rsidRPr="00C251D7" w:rsidRDefault="005807AA" w:rsidP="005807AA">
      <w:pPr>
        <w:pStyle w:val="Zkladntextodsazen"/>
        <w:spacing w:after="0"/>
        <w:ind w:left="0"/>
        <w:jc w:val="both"/>
      </w:pPr>
      <w:r w:rsidRPr="00C251D7">
        <w:t>2. Charakterizujte jednotlivá zařízení pro seniory</w:t>
      </w:r>
      <w:r>
        <w:t>.</w:t>
      </w:r>
    </w:p>
    <w:p w:rsidR="005807AA" w:rsidRPr="00C251D7" w:rsidRDefault="00F83288" w:rsidP="005807AA">
      <w:pPr>
        <w:pStyle w:val="Zkladntextodsazen"/>
        <w:spacing w:after="0"/>
        <w:ind w:left="0"/>
        <w:jc w:val="both"/>
      </w:pPr>
      <w:r>
        <w:t>3. Popište způsoby péče o</w:t>
      </w:r>
      <w:r w:rsidR="005807AA" w:rsidRPr="00C251D7">
        <w:t xml:space="preserve"> star</w:t>
      </w:r>
      <w:r>
        <w:t>ší nemocné</w:t>
      </w:r>
      <w:r w:rsidR="005807AA">
        <w:t>.</w:t>
      </w:r>
    </w:p>
    <w:p w:rsidR="005807AA" w:rsidRPr="00C251D7" w:rsidRDefault="005807AA" w:rsidP="005807AA">
      <w:pPr>
        <w:pStyle w:val="Zkladntextodsazen"/>
        <w:spacing w:after="0"/>
        <w:ind w:left="0"/>
        <w:jc w:val="both"/>
      </w:pPr>
      <w:r w:rsidRPr="00C251D7">
        <w:t>4. Specifikujte základní a odborné činnosti sester v domácí péči</w:t>
      </w:r>
      <w:r>
        <w:t>.</w:t>
      </w:r>
    </w:p>
    <w:p w:rsidR="005807AA" w:rsidRDefault="005807AA" w:rsidP="005807AA">
      <w:pPr>
        <w:ind w:left="1418" w:hanging="1418"/>
        <w:jc w:val="both"/>
        <w:rPr>
          <w:b/>
        </w:rPr>
      </w:pPr>
    </w:p>
    <w:p w:rsidR="003674F9" w:rsidRDefault="003674F9"/>
    <w:p w:rsidR="0029639A" w:rsidRPr="000D5EDA" w:rsidRDefault="000D5EDA">
      <w:pPr>
        <w:rPr>
          <w:b/>
        </w:rPr>
      </w:pPr>
      <w:r w:rsidRPr="000D5EDA">
        <w:rPr>
          <w:b/>
        </w:rPr>
        <w:t>Doporučená literatura.</w:t>
      </w:r>
    </w:p>
    <w:p w:rsidR="000D5EDA" w:rsidRPr="00C2261C" w:rsidRDefault="000D5EDA" w:rsidP="000D5EDA">
      <w:pPr>
        <w:pStyle w:val="Zkladntextodsazen"/>
        <w:spacing w:after="0"/>
        <w:ind w:left="0"/>
        <w:jc w:val="both"/>
      </w:pPr>
      <w:r w:rsidRPr="00C2261C">
        <w:t xml:space="preserve">           Topinková E. Geriatrie pro praxi. </w:t>
      </w:r>
      <w:proofErr w:type="spellStart"/>
      <w:r w:rsidRPr="00C2261C">
        <w:t>Galén</w:t>
      </w:r>
      <w:proofErr w:type="spellEnd"/>
      <w:r w:rsidRPr="00C2261C">
        <w:t xml:space="preserve"> 2005</w:t>
      </w:r>
    </w:p>
    <w:p w:rsidR="000D5EDA" w:rsidRPr="00C2261C" w:rsidRDefault="000D5EDA" w:rsidP="000D5EDA">
      <w:pPr>
        <w:pStyle w:val="Zkladntextodsazen"/>
        <w:spacing w:after="0"/>
        <w:jc w:val="both"/>
      </w:pPr>
      <w:r w:rsidRPr="00C2261C">
        <w:t xml:space="preserve">       </w:t>
      </w:r>
      <w:proofErr w:type="spellStart"/>
      <w:r w:rsidRPr="00C2261C">
        <w:t>Kalvach</w:t>
      </w:r>
      <w:proofErr w:type="spellEnd"/>
      <w:r w:rsidRPr="00C2261C">
        <w:t xml:space="preserve"> Z et al. Geriatrie a Gerontologie. </w:t>
      </w:r>
      <w:proofErr w:type="spellStart"/>
      <w:r w:rsidRPr="00C2261C">
        <w:t>Grada</w:t>
      </w:r>
      <w:proofErr w:type="spellEnd"/>
      <w:r w:rsidRPr="00C2261C">
        <w:t xml:space="preserve"> Avicenum 2004.</w:t>
      </w:r>
    </w:p>
    <w:p w:rsidR="000D5EDA" w:rsidRDefault="000D5EDA" w:rsidP="000D5EDA">
      <w:r>
        <w:t xml:space="preserve">            </w:t>
      </w:r>
      <w:proofErr w:type="spellStart"/>
      <w:r>
        <w:t>Kalvach</w:t>
      </w:r>
      <w:proofErr w:type="spellEnd"/>
      <w:r>
        <w:t xml:space="preserve"> Z et al. Geriatrické syndromy a </w:t>
      </w:r>
      <w:proofErr w:type="spellStart"/>
      <w:r>
        <w:t>geriatický</w:t>
      </w:r>
      <w:proofErr w:type="spellEnd"/>
      <w:r>
        <w:t xml:space="preserve"> pacient</w:t>
      </w:r>
      <w:r w:rsidR="00130702">
        <w:t xml:space="preserve">. </w:t>
      </w:r>
      <w:proofErr w:type="spellStart"/>
      <w:r w:rsidR="00130702">
        <w:t>Grada</w:t>
      </w:r>
      <w:proofErr w:type="spellEnd"/>
      <w:r w:rsidR="00130702">
        <w:t xml:space="preserve"> 2011</w:t>
      </w:r>
      <w:r w:rsidRPr="008E2170">
        <w:t xml:space="preserve">                                                                      </w:t>
      </w:r>
    </w:p>
    <w:p w:rsidR="0029639A" w:rsidRDefault="0029639A"/>
    <w:p w:rsidR="0029639A" w:rsidRDefault="0029639A"/>
    <w:p w:rsidR="0029639A" w:rsidRDefault="0029639A"/>
    <w:sectPr w:rsidR="00296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62C35"/>
    <w:multiLevelType w:val="hybridMultilevel"/>
    <w:tmpl w:val="4FEC8DDE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AA"/>
    <w:rsid w:val="000D5EDA"/>
    <w:rsid w:val="00130702"/>
    <w:rsid w:val="00291564"/>
    <w:rsid w:val="0029639A"/>
    <w:rsid w:val="003674F9"/>
    <w:rsid w:val="00476DE6"/>
    <w:rsid w:val="005807AA"/>
    <w:rsid w:val="00665491"/>
    <w:rsid w:val="00845AD7"/>
    <w:rsid w:val="00DC5909"/>
    <w:rsid w:val="00DD4544"/>
    <w:rsid w:val="00F8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07AA"/>
    <w:pPr>
      <w:keepNext/>
      <w:outlineLvl w:val="0"/>
    </w:pPr>
    <w:rPr>
      <w:b/>
      <w:caps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5807AA"/>
    <w:pPr>
      <w:keepNext/>
      <w:outlineLvl w:val="1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07AA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807A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rsid w:val="005807AA"/>
    <w:pPr>
      <w:jc w:val="both"/>
    </w:pPr>
    <w:rPr>
      <w:iCs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5807AA"/>
    <w:rPr>
      <w:rFonts w:ascii="Times New Roman" w:eastAsia="Times New Roman" w:hAnsi="Times New Roman" w:cs="Times New Roman"/>
      <w:iCs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807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807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AD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07AA"/>
    <w:pPr>
      <w:keepNext/>
      <w:outlineLvl w:val="0"/>
    </w:pPr>
    <w:rPr>
      <w:b/>
      <w:caps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5807AA"/>
    <w:pPr>
      <w:keepNext/>
      <w:outlineLvl w:val="1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07AA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807A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rsid w:val="005807AA"/>
    <w:pPr>
      <w:jc w:val="both"/>
    </w:pPr>
    <w:rPr>
      <w:iCs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5807AA"/>
    <w:rPr>
      <w:rFonts w:ascii="Times New Roman" w:eastAsia="Times New Roman" w:hAnsi="Times New Roman" w:cs="Times New Roman"/>
      <w:iCs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807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807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AD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2773</Words>
  <Characters>16367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8</cp:revision>
  <dcterms:created xsi:type="dcterms:W3CDTF">2014-10-19T06:11:00Z</dcterms:created>
  <dcterms:modified xsi:type="dcterms:W3CDTF">2014-12-18T12:28:00Z</dcterms:modified>
</cp:coreProperties>
</file>