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E2" w:rsidRDefault="00CC7CC4" w:rsidP="00056A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</w:t>
      </w:r>
      <w:r w:rsidR="00056AE2" w:rsidRPr="00056AE2">
        <w:rPr>
          <w:b/>
          <w:sz w:val="28"/>
          <w:szCs w:val="28"/>
        </w:rPr>
        <w:t>Osteoporóza</w:t>
      </w:r>
    </w:p>
    <w:p w:rsidR="00056AE2" w:rsidRDefault="00056AE2" w:rsidP="00056AE2">
      <w:pPr>
        <w:jc w:val="both"/>
        <w:rPr>
          <w:b/>
          <w:sz w:val="28"/>
          <w:szCs w:val="28"/>
        </w:rPr>
      </w:pPr>
    </w:p>
    <w:p w:rsidR="00056AE2" w:rsidRDefault="00056AE2" w:rsidP="00056A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 prostudování kapitoly byste měli být schopni</w:t>
      </w:r>
      <w:r w:rsidR="00AA27E5">
        <w:rPr>
          <w:b/>
          <w:sz w:val="28"/>
          <w:szCs w:val="28"/>
        </w:rPr>
        <w:t xml:space="preserve">                     </w:t>
      </w:r>
      <w:r w:rsidR="00AA27E5">
        <w:rPr>
          <w:b/>
          <w:noProof/>
        </w:rPr>
        <w:drawing>
          <wp:inline distT="0" distB="0" distL="0" distR="0" wp14:anchorId="373B4F56" wp14:editId="795F6F1B">
            <wp:extent cx="446227" cy="435984"/>
            <wp:effectExtent l="114300" t="114300" r="106680" b="116840"/>
            <wp:docPr id="16" name="Obrázek 16" descr="C:\Users\Hana\Documents\NAP\e-learning\kom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a\Documents\NAP\e-learning\komp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" cy="44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A27E5" w:rsidRDefault="00AA27E5" w:rsidP="00056AE2">
      <w:pPr>
        <w:jc w:val="both"/>
        <w:rPr>
          <w:b/>
          <w:sz w:val="28"/>
          <w:szCs w:val="28"/>
        </w:rPr>
      </w:pPr>
    </w:p>
    <w:p w:rsidR="00056AE2" w:rsidRDefault="00056AE2" w:rsidP="00056AE2">
      <w:pPr>
        <w:jc w:val="both"/>
        <w:rPr>
          <w:b/>
          <w:sz w:val="28"/>
          <w:szCs w:val="28"/>
        </w:rPr>
      </w:pPr>
    </w:p>
    <w:p w:rsidR="00056AE2" w:rsidRDefault="008A7D77" w:rsidP="00056AE2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definovat osteoporózu a její</w:t>
      </w:r>
      <w:r w:rsidR="00056AE2">
        <w:rPr>
          <w:b/>
          <w:sz w:val="28"/>
          <w:szCs w:val="28"/>
        </w:rPr>
        <w:t xml:space="preserve"> rizikové faktory</w:t>
      </w:r>
    </w:p>
    <w:p w:rsidR="00056AE2" w:rsidRDefault="00056AE2" w:rsidP="00056AE2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vyjmenovat diagnostické postupy při osteoporóze</w:t>
      </w:r>
    </w:p>
    <w:p w:rsidR="00AA27E5" w:rsidRPr="00AA27E5" w:rsidRDefault="00056AE2" w:rsidP="00056AE2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popsat možnosti </w:t>
      </w:r>
      <w:r w:rsidR="008A7D77">
        <w:rPr>
          <w:b/>
          <w:sz w:val="28"/>
          <w:szCs w:val="28"/>
        </w:rPr>
        <w:t xml:space="preserve">prevence a </w:t>
      </w:r>
      <w:r>
        <w:rPr>
          <w:b/>
          <w:sz w:val="28"/>
          <w:szCs w:val="28"/>
        </w:rPr>
        <w:t>léčby osteoporózy</w:t>
      </w:r>
    </w:p>
    <w:p w:rsidR="00AA27E5" w:rsidRDefault="00AA27E5" w:rsidP="00056A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5CE070E4" wp14:editId="2957BA70">
            <wp:extent cx="494861" cy="475488"/>
            <wp:effectExtent l="114300" t="114300" r="114935" b="115570"/>
            <wp:docPr id="8" name="Obrázek 8" descr="C:\Users\Hana\Documents\NAP\e-learning\klí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ocuments\NAP\e-learning\klíč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79" cy="4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056AE2" w:rsidRDefault="00056AE2" w:rsidP="00056A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Klíčová slova: </w:t>
      </w:r>
      <w:r w:rsidRPr="00056AE2">
        <w:rPr>
          <w:sz w:val="28"/>
          <w:szCs w:val="28"/>
        </w:rPr>
        <w:t xml:space="preserve">osteoporóza – vitamin D – vápník - </w:t>
      </w:r>
      <w:r>
        <w:rPr>
          <w:sz w:val="28"/>
          <w:szCs w:val="28"/>
        </w:rPr>
        <w:t xml:space="preserve"> kostní </w:t>
      </w:r>
      <w:proofErr w:type="spellStart"/>
      <w:r>
        <w:rPr>
          <w:sz w:val="28"/>
          <w:szCs w:val="28"/>
        </w:rPr>
        <w:t>remodelace</w:t>
      </w:r>
      <w:proofErr w:type="spellEnd"/>
      <w:r>
        <w:rPr>
          <w:sz w:val="28"/>
          <w:szCs w:val="28"/>
        </w:rPr>
        <w:t xml:space="preserve"> – postmenopauzální osteoporóza – senilní osteoporóza – sekundární osteoporóza </w:t>
      </w:r>
      <w:r w:rsidR="008A7D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8A7D77">
        <w:rPr>
          <w:sz w:val="28"/>
          <w:szCs w:val="28"/>
        </w:rPr>
        <w:t>sarkopenie</w:t>
      </w:r>
      <w:proofErr w:type="spellEnd"/>
      <w:r w:rsidR="008A7D77">
        <w:rPr>
          <w:sz w:val="28"/>
          <w:szCs w:val="28"/>
        </w:rPr>
        <w:t xml:space="preserve"> – pohyb </w:t>
      </w:r>
    </w:p>
    <w:p w:rsidR="00CC7CC4" w:rsidRDefault="00CC7CC4" w:rsidP="00056AE2">
      <w:pPr>
        <w:jc w:val="both"/>
        <w:rPr>
          <w:sz w:val="28"/>
          <w:szCs w:val="28"/>
        </w:rPr>
      </w:pPr>
    </w:p>
    <w:p w:rsidR="00CC7CC4" w:rsidRPr="00CC7CC4" w:rsidRDefault="00CC7CC4" w:rsidP="00056AE2">
      <w:pPr>
        <w:jc w:val="both"/>
        <w:rPr>
          <w:b/>
          <w:sz w:val="28"/>
          <w:szCs w:val="28"/>
        </w:rPr>
      </w:pPr>
      <w:r w:rsidRPr="00CC7CC4">
        <w:rPr>
          <w:b/>
          <w:sz w:val="28"/>
          <w:szCs w:val="28"/>
        </w:rPr>
        <w:t>17.1 Definice a etiologie</w:t>
      </w:r>
    </w:p>
    <w:p w:rsidR="00056AE2" w:rsidRPr="00056AE2" w:rsidRDefault="00056AE2" w:rsidP="00056AE2">
      <w:pPr>
        <w:jc w:val="both"/>
        <w:rPr>
          <w:b/>
          <w:sz w:val="28"/>
          <w:szCs w:val="28"/>
        </w:rPr>
      </w:pPr>
    </w:p>
    <w:p w:rsidR="00056AE2" w:rsidRDefault="00056AE2" w:rsidP="00056AE2">
      <w:pPr>
        <w:spacing w:line="120" w:lineRule="auto"/>
        <w:jc w:val="both"/>
        <w:rPr>
          <w:i/>
          <w:sz w:val="24"/>
          <w:szCs w:val="24"/>
        </w:rPr>
      </w:pPr>
    </w:p>
    <w:p w:rsidR="00056AE2" w:rsidRDefault="00056AE2" w:rsidP="00056AE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Definice:</w:t>
      </w:r>
      <w:r w:rsidRPr="00111618">
        <w:rPr>
          <w:sz w:val="24"/>
          <w:szCs w:val="24"/>
        </w:rPr>
        <w:t xml:space="preserve"> úbytek kostní tkáně na jednotku objemu kosti</w:t>
      </w:r>
      <w:r>
        <w:rPr>
          <w:sz w:val="24"/>
          <w:szCs w:val="24"/>
        </w:rPr>
        <w:t>.</w:t>
      </w:r>
    </w:p>
    <w:p w:rsidR="00103953" w:rsidRPr="008C5F48" w:rsidRDefault="008C5F48" w:rsidP="008C5F4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Patofyziologie:</w:t>
      </w:r>
      <w:r>
        <w:rPr>
          <w:rFonts w:asciiTheme="minorHAnsi" w:eastAsiaTheme="minorEastAsia" w:hAnsi="Arial" w:cstheme="minorBidi"/>
          <w:color w:val="FFFFFF" w:themeColor="background1"/>
          <w:sz w:val="64"/>
          <w:szCs w:val="64"/>
        </w:rPr>
        <w:t xml:space="preserve"> </w:t>
      </w:r>
      <w:r w:rsidR="009149A7" w:rsidRPr="008C5F48">
        <w:rPr>
          <w:sz w:val="24"/>
          <w:szCs w:val="24"/>
        </w:rPr>
        <w:t xml:space="preserve">permanentní kontrolovaná resorpce kosti osteoklasty s následnou náhradou kosti osteoblasty – </w:t>
      </w:r>
      <w:r>
        <w:rPr>
          <w:sz w:val="24"/>
          <w:szCs w:val="24"/>
        </w:rPr>
        <w:t xml:space="preserve">kostní </w:t>
      </w:r>
      <w:proofErr w:type="spellStart"/>
      <w:r>
        <w:rPr>
          <w:sz w:val="24"/>
          <w:szCs w:val="24"/>
        </w:rPr>
        <w:t>remodelace</w:t>
      </w:r>
      <w:proofErr w:type="spellEnd"/>
      <w:r>
        <w:rPr>
          <w:sz w:val="24"/>
          <w:szCs w:val="24"/>
        </w:rPr>
        <w:t xml:space="preserve">, </w:t>
      </w:r>
      <w:r w:rsidR="009149A7" w:rsidRPr="008C5F48">
        <w:rPr>
          <w:sz w:val="24"/>
          <w:szCs w:val="24"/>
        </w:rPr>
        <w:t>délka cyklu 3-4 měsíce</w:t>
      </w:r>
      <w:r>
        <w:rPr>
          <w:sz w:val="24"/>
          <w:szCs w:val="24"/>
        </w:rPr>
        <w:t xml:space="preserve">, </w:t>
      </w:r>
      <w:r w:rsidR="009149A7" w:rsidRPr="008C5F48">
        <w:rPr>
          <w:sz w:val="24"/>
          <w:szCs w:val="24"/>
        </w:rPr>
        <w:t xml:space="preserve">30% </w:t>
      </w:r>
      <w:proofErr w:type="spellStart"/>
      <w:r w:rsidR="009149A7" w:rsidRPr="008C5F48">
        <w:rPr>
          <w:sz w:val="24"/>
          <w:szCs w:val="24"/>
        </w:rPr>
        <w:t>remodelace</w:t>
      </w:r>
      <w:proofErr w:type="spellEnd"/>
      <w:r w:rsidR="009149A7" w:rsidRPr="008C5F48">
        <w:rPr>
          <w:sz w:val="24"/>
          <w:szCs w:val="24"/>
        </w:rPr>
        <w:t xml:space="preserve"> probíhá v kosti kompaktní, 70% v kosti </w:t>
      </w:r>
      <w:proofErr w:type="spellStart"/>
      <w:r w:rsidR="009149A7" w:rsidRPr="008C5F48">
        <w:rPr>
          <w:sz w:val="24"/>
          <w:szCs w:val="24"/>
        </w:rPr>
        <w:t>trámčité</w:t>
      </w:r>
      <w:proofErr w:type="spellEnd"/>
      <w:r>
        <w:rPr>
          <w:sz w:val="24"/>
          <w:szCs w:val="24"/>
        </w:rPr>
        <w:t xml:space="preserve">, trvalý celoživotní proces. K úspěšné novotvorbě kosti je nutná dodávka vápníku, vitaminu D, </w:t>
      </w:r>
      <w:proofErr w:type="spellStart"/>
      <w:r>
        <w:rPr>
          <w:sz w:val="24"/>
          <w:szCs w:val="24"/>
        </w:rPr>
        <w:t>bilkovin</w:t>
      </w:r>
      <w:proofErr w:type="spellEnd"/>
      <w:r>
        <w:rPr>
          <w:sz w:val="24"/>
          <w:szCs w:val="24"/>
        </w:rPr>
        <w:t xml:space="preserve"> a dostatečné</w:t>
      </w:r>
      <w:r w:rsidR="009149A7" w:rsidRPr="008C5F48">
        <w:rPr>
          <w:sz w:val="24"/>
          <w:szCs w:val="24"/>
        </w:rPr>
        <w:t xml:space="preserve"> </w:t>
      </w:r>
      <w:r>
        <w:rPr>
          <w:sz w:val="24"/>
          <w:szCs w:val="24"/>
        </w:rPr>
        <w:t>zatížení kosterního systému pohybem.</w:t>
      </w:r>
      <w:r w:rsidR="009149A7" w:rsidRPr="008C5F48">
        <w:rPr>
          <w:sz w:val="24"/>
          <w:szCs w:val="24"/>
        </w:rPr>
        <w:t xml:space="preserve"> </w:t>
      </w:r>
      <w:r>
        <w:rPr>
          <w:sz w:val="24"/>
          <w:szCs w:val="24"/>
        </w:rPr>
        <w:t>Proces je dále regulován růstovými</w:t>
      </w:r>
      <w:r w:rsidR="009149A7" w:rsidRPr="008C5F48">
        <w:rPr>
          <w:sz w:val="24"/>
          <w:szCs w:val="24"/>
        </w:rPr>
        <w:t xml:space="preserve"> faktory</w:t>
      </w:r>
      <w:r>
        <w:rPr>
          <w:sz w:val="24"/>
          <w:szCs w:val="24"/>
        </w:rPr>
        <w:t xml:space="preserve">, </w:t>
      </w:r>
      <w:proofErr w:type="spellStart"/>
      <w:r w:rsidR="009149A7" w:rsidRPr="008C5F48">
        <w:rPr>
          <w:sz w:val="24"/>
          <w:szCs w:val="24"/>
        </w:rPr>
        <w:t>cytokiny</w:t>
      </w:r>
      <w:proofErr w:type="spellEnd"/>
      <w:r>
        <w:rPr>
          <w:sz w:val="24"/>
          <w:szCs w:val="24"/>
        </w:rPr>
        <w:t>, systémovými</w:t>
      </w:r>
      <w:r w:rsidR="009149A7" w:rsidRPr="008C5F48">
        <w:rPr>
          <w:sz w:val="24"/>
          <w:szCs w:val="24"/>
        </w:rPr>
        <w:t xml:space="preserve"> peptidy</w:t>
      </w:r>
      <w:r>
        <w:rPr>
          <w:sz w:val="24"/>
          <w:szCs w:val="24"/>
        </w:rPr>
        <w:t>,</w:t>
      </w:r>
      <w:r w:rsidR="009149A7" w:rsidRPr="008C5F48">
        <w:rPr>
          <w:sz w:val="24"/>
          <w:szCs w:val="24"/>
        </w:rPr>
        <w:t xml:space="preserve"> </w:t>
      </w:r>
      <w:r w:rsidR="00EC5F13">
        <w:rPr>
          <w:noProof/>
        </w:rPr>
        <w:drawing>
          <wp:anchor distT="0" distB="0" distL="114300" distR="114300" simplePos="0" relativeHeight="251659264" behindDoc="0" locked="0" layoutInCell="0" allowOverlap="0" wp14:anchorId="122E45CE" wp14:editId="1438989A">
            <wp:simplePos x="0" y="0"/>
            <wp:positionH relativeFrom="margin">
              <wp:posOffset>5186680</wp:posOffset>
            </wp:positionH>
            <wp:positionV relativeFrom="line">
              <wp:posOffset>57785</wp:posOffset>
            </wp:positionV>
            <wp:extent cx="514350" cy="447675"/>
            <wp:effectExtent l="114300" t="114300" r="114300" b="12382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9A7" w:rsidRPr="008C5F48">
        <w:rPr>
          <w:sz w:val="24"/>
          <w:szCs w:val="24"/>
        </w:rPr>
        <w:t>steroidní</w:t>
      </w:r>
      <w:r>
        <w:rPr>
          <w:sz w:val="24"/>
          <w:szCs w:val="24"/>
        </w:rPr>
        <w:t>mi</w:t>
      </w:r>
      <w:r w:rsidR="009149A7" w:rsidRPr="008C5F48">
        <w:rPr>
          <w:sz w:val="24"/>
          <w:szCs w:val="24"/>
        </w:rPr>
        <w:t xml:space="preserve"> hormony</w:t>
      </w:r>
      <w:r>
        <w:rPr>
          <w:sz w:val="24"/>
          <w:szCs w:val="24"/>
        </w:rPr>
        <w:t xml:space="preserve">, </w:t>
      </w:r>
      <w:r w:rsidR="009149A7" w:rsidRPr="008C5F48">
        <w:rPr>
          <w:sz w:val="24"/>
          <w:szCs w:val="24"/>
        </w:rPr>
        <w:t>kalcitonin</w:t>
      </w:r>
      <w:r>
        <w:rPr>
          <w:sz w:val="24"/>
          <w:szCs w:val="24"/>
        </w:rPr>
        <w:t>em</w:t>
      </w:r>
      <w:r w:rsidR="009149A7" w:rsidRPr="008C5F48">
        <w:rPr>
          <w:sz w:val="24"/>
          <w:szCs w:val="24"/>
        </w:rPr>
        <w:t>, parathormon</w:t>
      </w:r>
      <w:r>
        <w:rPr>
          <w:sz w:val="24"/>
          <w:szCs w:val="24"/>
        </w:rPr>
        <w:t>em.</w:t>
      </w:r>
    </w:p>
    <w:p w:rsidR="008C5F48" w:rsidRPr="008C5F48" w:rsidRDefault="008C5F48" w:rsidP="00EC5F13">
      <w:pPr>
        <w:jc w:val="right"/>
        <w:rPr>
          <w:sz w:val="24"/>
          <w:szCs w:val="24"/>
        </w:rPr>
      </w:pPr>
    </w:p>
    <w:p w:rsidR="00056AE2" w:rsidRDefault="00056AE2" w:rsidP="00056AE2">
      <w:pPr>
        <w:spacing w:line="120" w:lineRule="auto"/>
        <w:jc w:val="both"/>
        <w:rPr>
          <w:sz w:val="24"/>
          <w:szCs w:val="24"/>
        </w:rPr>
      </w:pPr>
    </w:p>
    <w:p w:rsidR="009962DD" w:rsidRDefault="00056AE2" w:rsidP="00056AE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Etiologie: </w:t>
      </w:r>
      <w:r>
        <w:rPr>
          <w:sz w:val="24"/>
          <w:szCs w:val="24"/>
        </w:rPr>
        <w:t xml:space="preserve">tzv. vrcholová kostní hmota je u člověka vytvořena okolo 30. roku věku, od tohoto okamžiku postupný úbytek kostní tkáně, do stadia osteoporózy dospěje </w:t>
      </w:r>
      <w:r w:rsidRPr="00111618">
        <w:rPr>
          <w:sz w:val="24"/>
          <w:szCs w:val="24"/>
        </w:rPr>
        <w:t>75% žen po umělé menopauze, 50% žen a 33% mužů při běžném stárnutí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Za hlavní příčinu</w:t>
      </w:r>
      <w:r w:rsidR="00D55AAD">
        <w:rPr>
          <w:sz w:val="24"/>
          <w:szCs w:val="24"/>
        </w:rPr>
        <w:t xml:space="preserve"> rozvoje osteoporózy ve vyšším věku</w:t>
      </w:r>
      <w:r>
        <w:rPr>
          <w:sz w:val="24"/>
          <w:szCs w:val="24"/>
        </w:rPr>
        <w:t xml:space="preserve"> je považován</w:t>
      </w:r>
      <w:r w:rsidRPr="00111618">
        <w:rPr>
          <w:sz w:val="24"/>
          <w:szCs w:val="24"/>
        </w:rPr>
        <w:t xml:space="preserve"> </w:t>
      </w:r>
      <w:r>
        <w:rPr>
          <w:sz w:val="24"/>
          <w:szCs w:val="24"/>
        </w:rPr>
        <w:t>pokles hladiny sérového kalcia (</w:t>
      </w:r>
      <w:r w:rsidRPr="00111618">
        <w:rPr>
          <w:sz w:val="24"/>
          <w:szCs w:val="24"/>
        </w:rPr>
        <w:t>nedostatečný přívod Ca</w:t>
      </w:r>
      <w:r>
        <w:rPr>
          <w:sz w:val="24"/>
          <w:szCs w:val="24"/>
        </w:rPr>
        <w:t>,</w:t>
      </w:r>
      <w:r w:rsidRPr="00111618">
        <w:rPr>
          <w:sz w:val="24"/>
          <w:szCs w:val="24"/>
        </w:rPr>
        <w:t xml:space="preserve"> poruchy </w:t>
      </w:r>
      <w:r>
        <w:rPr>
          <w:sz w:val="24"/>
          <w:szCs w:val="24"/>
        </w:rPr>
        <w:t xml:space="preserve">jeho </w:t>
      </w:r>
      <w:proofErr w:type="spellStart"/>
      <w:r w:rsidRPr="00111618">
        <w:rPr>
          <w:sz w:val="24"/>
          <w:szCs w:val="24"/>
        </w:rPr>
        <w:t>rezorpce</w:t>
      </w:r>
      <w:proofErr w:type="spellEnd"/>
      <w:r w:rsidRPr="00111618">
        <w:rPr>
          <w:sz w:val="24"/>
          <w:szCs w:val="24"/>
        </w:rPr>
        <w:t xml:space="preserve"> ze střeva, zvýšené vylučování, nedostatečný přívod vit D</w:t>
      </w:r>
      <w:r>
        <w:rPr>
          <w:sz w:val="24"/>
          <w:szCs w:val="24"/>
        </w:rPr>
        <w:t>)</w:t>
      </w:r>
      <w:r w:rsidRPr="00111618">
        <w:rPr>
          <w:sz w:val="24"/>
          <w:szCs w:val="24"/>
        </w:rPr>
        <w:t>,</w:t>
      </w:r>
      <w:r>
        <w:rPr>
          <w:sz w:val="24"/>
          <w:szCs w:val="24"/>
        </w:rPr>
        <w:t xml:space="preserve"> které má za následek zvýšení produkce parathormonu a vyplavování kalcia z kostní tkáně. Další vliv</w:t>
      </w:r>
      <w:r w:rsidRPr="001116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mají </w:t>
      </w:r>
      <w:r w:rsidRPr="00111618">
        <w:rPr>
          <w:sz w:val="24"/>
          <w:szCs w:val="24"/>
        </w:rPr>
        <w:t xml:space="preserve">hormonální </w:t>
      </w:r>
      <w:r>
        <w:rPr>
          <w:sz w:val="24"/>
          <w:szCs w:val="24"/>
        </w:rPr>
        <w:t>změny v postmenopauzálním období u žen</w:t>
      </w:r>
      <w:r w:rsidR="00D55AAD">
        <w:rPr>
          <w:sz w:val="24"/>
          <w:szCs w:val="24"/>
        </w:rPr>
        <w:t xml:space="preserve">, klesající míra tělesné zátěže </w:t>
      </w:r>
      <w:r>
        <w:rPr>
          <w:sz w:val="24"/>
          <w:szCs w:val="24"/>
        </w:rPr>
        <w:t>a</w:t>
      </w:r>
      <w:r w:rsidR="00D55AAD">
        <w:rPr>
          <w:sz w:val="24"/>
          <w:szCs w:val="24"/>
        </w:rPr>
        <w:t>ž</w:t>
      </w:r>
      <w:r w:rsidRPr="00111618">
        <w:rPr>
          <w:sz w:val="24"/>
          <w:szCs w:val="24"/>
        </w:rPr>
        <w:t xml:space="preserve"> imobilizace</w:t>
      </w:r>
      <w:r w:rsidR="00D55AAD">
        <w:rPr>
          <w:sz w:val="24"/>
          <w:szCs w:val="24"/>
        </w:rPr>
        <w:t>, snížený přívod proteinů a zkracující se expozice slunečnímu záření</w:t>
      </w:r>
      <w:r>
        <w:rPr>
          <w:sz w:val="24"/>
          <w:szCs w:val="24"/>
        </w:rPr>
        <w:t>.</w:t>
      </w:r>
      <w:r w:rsidR="009962DD">
        <w:rPr>
          <w:sz w:val="24"/>
          <w:szCs w:val="24"/>
        </w:rPr>
        <w:t xml:space="preserve"> </w:t>
      </w:r>
    </w:p>
    <w:p w:rsidR="00056AE2" w:rsidRDefault="009962DD" w:rsidP="00056A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Podle příčin vzniku dělíme </w:t>
      </w:r>
      <w:proofErr w:type="spellStart"/>
      <w:r>
        <w:rPr>
          <w:sz w:val="24"/>
          <w:szCs w:val="24"/>
        </w:rPr>
        <w:t>osteroporózu</w:t>
      </w:r>
      <w:proofErr w:type="spellEnd"/>
      <w:r>
        <w:rPr>
          <w:sz w:val="24"/>
          <w:szCs w:val="24"/>
        </w:rPr>
        <w:t xml:space="preserve"> na primární, tedy bez zjevné příčiny a dále p</w:t>
      </w:r>
      <w:r w:rsidR="00056AE2">
        <w:rPr>
          <w:sz w:val="24"/>
          <w:szCs w:val="24"/>
        </w:rPr>
        <w:t xml:space="preserve">odle výskytu v průběhu života se rozeznává </w:t>
      </w:r>
      <w:r w:rsidR="00056AE2" w:rsidRPr="00111618">
        <w:rPr>
          <w:sz w:val="24"/>
          <w:szCs w:val="24"/>
        </w:rPr>
        <w:t>osteoporóza postmenopauzální</w:t>
      </w:r>
      <w:r w:rsidR="00056AE2">
        <w:rPr>
          <w:sz w:val="24"/>
          <w:szCs w:val="24"/>
        </w:rPr>
        <w:t xml:space="preserve"> </w:t>
      </w:r>
      <w:r w:rsidR="00056AE2" w:rsidRPr="00111618">
        <w:rPr>
          <w:sz w:val="24"/>
          <w:szCs w:val="24"/>
        </w:rPr>
        <w:t>postihuj</w:t>
      </w:r>
      <w:r w:rsidR="00056AE2">
        <w:rPr>
          <w:sz w:val="24"/>
          <w:szCs w:val="24"/>
        </w:rPr>
        <w:t>ící</w:t>
      </w:r>
      <w:r w:rsidR="00056AE2" w:rsidRPr="00111618">
        <w:rPr>
          <w:sz w:val="24"/>
          <w:szCs w:val="24"/>
        </w:rPr>
        <w:t xml:space="preserve"> </w:t>
      </w:r>
      <w:proofErr w:type="spellStart"/>
      <w:r w:rsidR="00056AE2" w:rsidRPr="00111618">
        <w:rPr>
          <w:sz w:val="24"/>
          <w:szCs w:val="24"/>
        </w:rPr>
        <w:t>trabekulární</w:t>
      </w:r>
      <w:proofErr w:type="spellEnd"/>
      <w:r w:rsidR="00056AE2" w:rsidRPr="00111618">
        <w:rPr>
          <w:sz w:val="24"/>
          <w:szCs w:val="24"/>
        </w:rPr>
        <w:t xml:space="preserve"> kost</w:t>
      </w:r>
      <w:r w:rsidR="00056AE2">
        <w:rPr>
          <w:sz w:val="24"/>
          <w:szCs w:val="24"/>
        </w:rPr>
        <w:t xml:space="preserve"> a</w:t>
      </w:r>
      <w:r w:rsidR="00056AE2">
        <w:rPr>
          <w:i/>
          <w:sz w:val="24"/>
          <w:szCs w:val="24"/>
        </w:rPr>
        <w:t xml:space="preserve"> </w:t>
      </w:r>
      <w:r w:rsidR="00056AE2" w:rsidRPr="00111618">
        <w:rPr>
          <w:sz w:val="24"/>
          <w:szCs w:val="24"/>
        </w:rPr>
        <w:t>osteoporóza senilní postihuj</w:t>
      </w:r>
      <w:r w:rsidR="00056AE2">
        <w:rPr>
          <w:sz w:val="24"/>
          <w:szCs w:val="24"/>
        </w:rPr>
        <w:t>ící</w:t>
      </w:r>
      <w:r w:rsidR="00056AE2" w:rsidRPr="00111618">
        <w:rPr>
          <w:sz w:val="24"/>
          <w:szCs w:val="24"/>
        </w:rPr>
        <w:t xml:space="preserve"> kompaktní kost</w:t>
      </w:r>
      <w:r w:rsidR="00056AE2">
        <w:rPr>
          <w:sz w:val="24"/>
          <w:szCs w:val="24"/>
        </w:rPr>
        <w:t>.</w:t>
      </w:r>
    </w:p>
    <w:p w:rsidR="00056AE2" w:rsidRDefault="009962DD" w:rsidP="00056AE2">
      <w:pPr>
        <w:jc w:val="both"/>
        <w:rPr>
          <w:sz w:val="24"/>
          <w:szCs w:val="24"/>
        </w:rPr>
      </w:pPr>
      <w:r>
        <w:rPr>
          <w:sz w:val="24"/>
          <w:szCs w:val="24"/>
        </w:rPr>
        <w:t>Sekundární</w:t>
      </w:r>
      <w:r w:rsidR="00056AE2">
        <w:rPr>
          <w:sz w:val="24"/>
          <w:szCs w:val="24"/>
        </w:rPr>
        <w:t xml:space="preserve"> osteoporóza </w:t>
      </w:r>
      <w:r>
        <w:rPr>
          <w:sz w:val="24"/>
          <w:szCs w:val="24"/>
        </w:rPr>
        <w:t xml:space="preserve">se </w:t>
      </w:r>
      <w:r w:rsidR="00056AE2">
        <w:rPr>
          <w:sz w:val="24"/>
          <w:szCs w:val="24"/>
        </w:rPr>
        <w:t xml:space="preserve">vyvíjí u některých skupin chorob – endokrinní (choroby nadledvin, diabetes </w:t>
      </w:r>
      <w:proofErr w:type="spellStart"/>
      <w:r w:rsidR="00056AE2">
        <w:rPr>
          <w:sz w:val="24"/>
          <w:szCs w:val="24"/>
        </w:rPr>
        <w:t>mellitus</w:t>
      </w:r>
      <w:proofErr w:type="spellEnd"/>
      <w:r w:rsidR="00056AE2">
        <w:rPr>
          <w:sz w:val="24"/>
          <w:szCs w:val="24"/>
        </w:rPr>
        <w:t xml:space="preserve">, štítnice, </w:t>
      </w:r>
      <w:proofErr w:type="spellStart"/>
      <w:r w:rsidR="00056AE2">
        <w:rPr>
          <w:sz w:val="24"/>
          <w:szCs w:val="24"/>
        </w:rPr>
        <w:t>příštitných</w:t>
      </w:r>
      <w:proofErr w:type="spellEnd"/>
      <w:r w:rsidR="00056AE2">
        <w:rPr>
          <w:sz w:val="24"/>
          <w:szCs w:val="24"/>
        </w:rPr>
        <w:t xml:space="preserve"> tělísek), choroby GIT ovlivňující resorpci ze střeva, renální selhání, revmatologické (revmatoidní artritida), nádorové (mnohočetný myelom). Z medikamentů mohou rozvoj osteoporózy urychlit steroidy, hormony štítnice, antiepileptika, heparin, cyklosporin A. </w:t>
      </w:r>
    </w:p>
    <w:p w:rsidR="00103953" w:rsidRPr="008C5F48" w:rsidRDefault="008C5F48" w:rsidP="008C5F48">
      <w:pPr>
        <w:jc w:val="both"/>
        <w:rPr>
          <w:sz w:val="24"/>
          <w:szCs w:val="24"/>
        </w:rPr>
      </w:pPr>
      <w:r w:rsidRPr="00320F76">
        <w:rPr>
          <w:b/>
          <w:sz w:val="24"/>
          <w:szCs w:val="24"/>
        </w:rPr>
        <w:t>Rizikovými faktory</w:t>
      </w:r>
      <w:r>
        <w:rPr>
          <w:sz w:val="24"/>
          <w:szCs w:val="24"/>
        </w:rPr>
        <w:t xml:space="preserve"> osteoporózy jsou: </w:t>
      </w:r>
      <w:r w:rsidR="009149A7" w:rsidRPr="008C5F48">
        <w:rPr>
          <w:sz w:val="24"/>
          <w:szCs w:val="24"/>
        </w:rPr>
        <w:t>věk nad 50 let</w:t>
      </w:r>
      <w:r>
        <w:rPr>
          <w:sz w:val="24"/>
          <w:szCs w:val="24"/>
        </w:rPr>
        <w:t xml:space="preserve">, </w:t>
      </w:r>
      <w:r w:rsidR="009149A7" w:rsidRPr="008C5F48">
        <w:rPr>
          <w:sz w:val="24"/>
          <w:szCs w:val="24"/>
        </w:rPr>
        <w:t>ženské pohlaví</w:t>
      </w:r>
      <w:r>
        <w:rPr>
          <w:sz w:val="24"/>
          <w:szCs w:val="24"/>
        </w:rPr>
        <w:t xml:space="preserve">, </w:t>
      </w:r>
      <w:r w:rsidR="009149A7" w:rsidRPr="008C5F48">
        <w:rPr>
          <w:sz w:val="24"/>
          <w:szCs w:val="24"/>
        </w:rPr>
        <w:t>sedavý způsob života</w:t>
      </w:r>
      <w:r>
        <w:rPr>
          <w:sz w:val="24"/>
          <w:szCs w:val="24"/>
        </w:rPr>
        <w:t>,</w:t>
      </w:r>
    </w:p>
    <w:p w:rsidR="00103953" w:rsidRPr="00320F76" w:rsidRDefault="009149A7" w:rsidP="00320F76">
      <w:pPr>
        <w:jc w:val="both"/>
        <w:rPr>
          <w:sz w:val="24"/>
          <w:szCs w:val="24"/>
        </w:rPr>
      </w:pPr>
      <w:r w:rsidRPr="008C5F48">
        <w:rPr>
          <w:sz w:val="24"/>
          <w:szCs w:val="24"/>
        </w:rPr>
        <w:lastRenderedPageBreak/>
        <w:t xml:space="preserve">menopauza </w:t>
      </w:r>
      <w:r w:rsidR="008C5F48">
        <w:rPr>
          <w:sz w:val="24"/>
          <w:szCs w:val="24"/>
        </w:rPr>
        <w:t>trvající déle než</w:t>
      </w:r>
      <w:r w:rsidRPr="008C5F48">
        <w:rPr>
          <w:sz w:val="24"/>
          <w:szCs w:val="24"/>
        </w:rPr>
        <w:t xml:space="preserve"> 5 let</w:t>
      </w:r>
      <w:r w:rsidR="008C5F48">
        <w:rPr>
          <w:sz w:val="24"/>
          <w:szCs w:val="24"/>
        </w:rPr>
        <w:t xml:space="preserve">, </w:t>
      </w:r>
      <w:r w:rsidRPr="008C5F48">
        <w:rPr>
          <w:sz w:val="24"/>
          <w:szCs w:val="24"/>
        </w:rPr>
        <w:t>vyšší počet porodů</w:t>
      </w:r>
      <w:r w:rsidR="008C5F48">
        <w:rPr>
          <w:sz w:val="24"/>
          <w:szCs w:val="24"/>
        </w:rPr>
        <w:t xml:space="preserve">, </w:t>
      </w:r>
      <w:r w:rsidRPr="008C5F48">
        <w:rPr>
          <w:sz w:val="24"/>
          <w:szCs w:val="24"/>
        </w:rPr>
        <w:t>nedostatek slunečního ozáření</w:t>
      </w:r>
      <w:r w:rsidR="008C5F48">
        <w:rPr>
          <w:sz w:val="24"/>
          <w:szCs w:val="24"/>
        </w:rPr>
        <w:t xml:space="preserve">, </w:t>
      </w:r>
      <w:r w:rsidRPr="008C5F48">
        <w:rPr>
          <w:sz w:val="24"/>
          <w:szCs w:val="24"/>
        </w:rPr>
        <w:t>zlomenina v</w:t>
      </w:r>
      <w:r w:rsidR="008C5F48">
        <w:rPr>
          <w:sz w:val="24"/>
          <w:szCs w:val="24"/>
        </w:rPr>
        <w:t> </w:t>
      </w:r>
      <w:r w:rsidRPr="008C5F48">
        <w:rPr>
          <w:sz w:val="24"/>
          <w:szCs w:val="24"/>
        </w:rPr>
        <w:t>anamnéze</w:t>
      </w:r>
      <w:r w:rsidR="008C5F48">
        <w:rPr>
          <w:sz w:val="24"/>
          <w:szCs w:val="24"/>
        </w:rPr>
        <w:t xml:space="preserve">, </w:t>
      </w:r>
      <w:r w:rsidRPr="008C5F48">
        <w:rPr>
          <w:sz w:val="24"/>
          <w:szCs w:val="24"/>
        </w:rPr>
        <w:t>nižší vzdělání</w:t>
      </w:r>
      <w:r w:rsidR="008C5F48">
        <w:rPr>
          <w:sz w:val="24"/>
          <w:szCs w:val="24"/>
        </w:rPr>
        <w:t>, příjem</w:t>
      </w:r>
      <w:r w:rsidRPr="008C5F48">
        <w:rPr>
          <w:sz w:val="24"/>
          <w:szCs w:val="24"/>
        </w:rPr>
        <w:t xml:space="preserve"> kofein</w:t>
      </w:r>
      <w:r w:rsidR="008C5F48">
        <w:rPr>
          <w:sz w:val="24"/>
          <w:szCs w:val="24"/>
        </w:rPr>
        <w:t>u a</w:t>
      </w:r>
      <w:r w:rsidRPr="008C5F48">
        <w:rPr>
          <w:sz w:val="24"/>
          <w:szCs w:val="24"/>
        </w:rPr>
        <w:t xml:space="preserve"> nikotin</w:t>
      </w:r>
      <w:r w:rsidR="008C5F48">
        <w:rPr>
          <w:sz w:val="24"/>
          <w:szCs w:val="24"/>
        </w:rPr>
        <w:t xml:space="preserve">u. V poslední době je diskutována role </w:t>
      </w:r>
      <w:proofErr w:type="spellStart"/>
      <w:r w:rsidRPr="008C5F48">
        <w:rPr>
          <w:sz w:val="24"/>
          <w:szCs w:val="24"/>
        </w:rPr>
        <w:t>angiotenzin</w:t>
      </w:r>
      <w:r w:rsidR="008C5F48">
        <w:rPr>
          <w:sz w:val="24"/>
          <w:szCs w:val="24"/>
        </w:rPr>
        <w:t>u</w:t>
      </w:r>
      <w:proofErr w:type="spellEnd"/>
      <w:r w:rsidR="008C5F48">
        <w:rPr>
          <w:sz w:val="24"/>
          <w:szCs w:val="24"/>
        </w:rPr>
        <w:t xml:space="preserve"> ve </w:t>
      </w:r>
      <w:r w:rsidRPr="008C5F48">
        <w:rPr>
          <w:sz w:val="24"/>
          <w:szCs w:val="24"/>
        </w:rPr>
        <w:t>stimulac</w:t>
      </w:r>
      <w:r w:rsidR="008C5F48">
        <w:rPr>
          <w:sz w:val="24"/>
          <w:szCs w:val="24"/>
        </w:rPr>
        <w:t>i</w:t>
      </w:r>
      <w:r w:rsidRPr="008C5F48">
        <w:rPr>
          <w:sz w:val="24"/>
          <w:szCs w:val="24"/>
        </w:rPr>
        <w:t xml:space="preserve"> osteoklastů</w:t>
      </w:r>
      <w:r w:rsidR="008C5F48">
        <w:rPr>
          <w:sz w:val="24"/>
          <w:szCs w:val="24"/>
        </w:rPr>
        <w:t>.</w:t>
      </w:r>
      <w:r w:rsidR="00320F76">
        <w:rPr>
          <w:sz w:val="24"/>
          <w:szCs w:val="24"/>
        </w:rPr>
        <w:t xml:space="preserve"> Další zvýšení rizika znamená </w:t>
      </w:r>
      <w:r w:rsidRPr="00320F76">
        <w:rPr>
          <w:sz w:val="24"/>
          <w:szCs w:val="24"/>
        </w:rPr>
        <w:t>nízký příjem kalcia a vit D o 50%</w:t>
      </w:r>
      <w:r w:rsidR="00320F76">
        <w:rPr>
          <w:sz w:val="24"/>
          <w:szCs w:val="24"/>
        </w:rPr>
        <w:t xml:space="preserve">, </w:t>
      </w:r>
      <w:r w:rsidRPr="00320F76">
        <w:rPr>
          <w:sz w:val="24"/>
          <w:szCs w:val="24"/>
        </w:rPr>
        <w:t>nízká fyzická aktivita o 40%</w:t>
      </w:r>
      <w:r w:rsidR="00320F76">
        <w:rPr>
          <w:sz w:val="24"/>
          <w:szCs w:val="24"/>
        </w:rPr>
        <w:t xml:space="preserve">, </w:t>
      </w:r>
      <w:r w:rsidRPr="00320F76">
        <w:rPr>
          <w:sz w:val="24"/>
          <w:szCs w:val="24"/>
        </w:rPr>
        <w:t>hubenost o 100%</w:t>
      </w:r>
      <w:r w:rsidR="00320F76">
        <w:rPr>
          <w:sz w:val="24"/>
          <w:szCs w:val="24"/>
        </w:rPr>
        <w:t xml:space="preserve">, </w:t>
      </w:r>
      <w:r w:rsidRPr="00320F76">
        <w:rPr>
          <w:sz w:val="24"/>
          <w:szCs w:val="24"/>
        </w:rPr>
        <w:t>již prodělaná zlomenina obratle o 320%</w:t>
      </w:r>
      <w:r w:rsidR="00320F76">
        <w:rPr>
          <w:sz w:val="24"/>
          <w:szCs w:val="24"/>
        </w:rPr>
        <w:t xml:space="preserve">, </w:t>
      </w:r>
      <w:proofErr w:type="spellStart"/>
      <w:r w:rsidR="00320F76">
        <w:rPr>
          <w:sz w:val="24"/>
          <w:szCs w:val="24"/>
        </w:rPr>
        <w:t>osteoporotická</w:t>
      </w:r>
      <w:proofErr w:type="spellEnd"/>
      <w:r w:rsidRPr="00320F76">
        <w:rPr>
          <w:sz w:val="24"/>
          <w:szCs w:val="24"/>
        </w:rPr>
        <w:t xml:space="preserve"> zlomenina u matky o 50%</w:t>
      </w:r>
      <w:r w:rsidR="00320F76">
        <w:rPr>
          <w:sz w:val="24"/>
          <w:szCs w:val="24"/>
        </w:rPr>
        <w:t>,</w:t>
      </w:r>
      <w:r w:rsidRPr="00320F76">
        <w:rPr>
          <w:sz w:val="24"/>
          <w:szCs w:val="24"/>
        </w:rPr>
        <w:t xml:space="preserve"> kouření o </w:t>
      </w:r>
      <w:proofErr w:type="gramStart"/>
      <w:r w:rsidRPr="00320F76">
        <w:rPr>
          <w:sz w:val="24"/>
          <w:szCs w:val="24"/>
        </w:rPr>
        <w:t xml:space="preserve">30% </w:t>
      </w:r>
      <w:r w:rsidR="00320F76">
        <w:rPr>
          <w:sz w:val="24"/>
          <w:szCs w:val="24"/>
        </w:rPr>
        <w:t>.</w:t>
      </w:r>
      <w:proofErr w:type="gramEnd"/>
    </w:p>
    <w:p w:rsidR="00103953" w:rsidRDefault="00103953" w:rsidP="008C5F48">
      <w:pPr>
        <w:jc w:val="both"/>
        <w:rPr>
          <w:sz w:val="24"/>
          <w:szCs w:val="24"/>
        </w:rPr>
      </w:pPr>
    </w:p>
    <w:p w:rsidR="00CC7CC4" w:rsidRPr="00CC7CC4" w:rsidRDefault="00CC7CC4" w:rsidP="008C5F48">
      <w:pPr>
        <w:jc w:val="both"/>
        <w:rPr>
          <w:b/>
          <w:sz w:val="28"/>
          <w:szCs w:val="28"/>
        </w:rPr>
      </w:pPr>
      <w:r w:rsidRPr="00CC7CC4">
        <w:rPr>
          <w:b/>
          <w:sz w:val="28"/>
          <w:szCs w:val="28"/>
        </w:rPr>
        <w:t>17.2 Příznaky a diagnostika osteoporózy</w:t>
      </w:r>
    </w:p>
    <w:p w:rsidR="00CC7CC4" w:rsidRPr="008C5F48" w:rsidRDefault="00CC7CC4" w:rsidP="008C5F48">
      <w:pPr>
        <w:jc w:val="both"/>
        <w:rPr>
          <w:sz w:val="24"/>
          <w:szCs w:val="24"/>
        </w:rPr>
      </w:pPr>
    </w:p>
    <w:p w:rsidR="00056AE2" w:rsidRDefault="00056AE2" w:rsidP="00056AE2">
      <w:pPr>
        <w:spacing w:line="120" w:lineRule="auto"/>
        <w:jc w:val="both"/>
        <w:rPr>
          <w:sz w:val="24"/>
          <w:szCs w:val="24"/>
        </w:rPr>
      </w:pPr>
    </w:p>
    <w:p w:rsidR="00056AE2" w:rsidRPr="009B10C3" w:rsidRDefault="00056AE2" w:rsidP="00056AE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Příznaky: </w:t>
      </w:r>
      <w:r w:rsidRPr="00111618">
        <w:rPr>
          <w:sz w:val="24"/>
          <w:szCs w:val="24"/>
        </w:rPr>
        <w:t>dlouho skrytý průběh – pouze necharakteristické bolesti v zádech a dlouhých kostech</w:t>
      </w:r>
      <w:r>
        <w:rPr>
          <w:sz w:val="24"/>
          <w:szCs w:val="24"/>
        </w:rPr>
        <w:t xml:space="preserve">, u postmenopauzálních žen je typická kompresivní zlomenina obratlů obvykle po pádu do sedu, u obou pohlaví se senilní osteoporóza projevuje zlomeninami krčku kosti stehenní. Se zvyšujícím se věkem a intenzitou osteoporózy se vytváří hrudní </w:t>
      </w:r>
      <w:proofErr w:type="spellStart"/>
      <w:r>
        <w:rPr>
          <w:sz w:val="24"/>
          <w:szCs w:val="24"/>
        </w:rPr>
        <w:t>hyperkyfóza</w:t>
      </w:r>
      <w:proofErr w:type="spellEnd"/>
      <w:r>
        <w:rPr>
          <w:sz w:val="24"/>
          <w:szCs w:val="24"/>
        </w:rPr>
        <w:t xml:space="preserve">. V pokročilých stadiích intenzivní bolesti páteře i končetin, spasmy </w:t>
      </w:r>
      <w:proofErr w:type="spellStart"/>
      <w:r>
        <w:rPr>
          <w:sz w:val="24"/>
          <w:szCs w:val="24"/>
        </w:rPr>
        <w:t>paravertebrálních</w:t>
      </w:r>
      <w:proofErr w:type="spellEnd"/>
      <w:r>
        <w:rPr>
          <w:sz w:val="24"/>
          <w:szCs w:val="24"/>
        </w:rPr>
        <w:t xml:space="preserve"> svalů, </w:t>
      </w:r>
    </w:p>
    <w:p w:rsidR="00056AE2" w:rsidRPr="00111618" w:rsidRDefault="00056AE2" w:rsidP="00056AE2">
      <w:pPr>
        <w:spacing w:line="120" w:lineRule="auto"/>
        <w:jc w:val="both"/>
        <w:rPr>
          <w:sz w:val="24"/>
          <w:szCs w:val="24"/>
        </w:rPr>
      </w:pPr>
    </w:p>
    <w:p w:rsidR="00056AE2" w:rsidRDefault="00056AE2" w:rsidP="00056AE2">
      <w:pPr>
        <w:jc w:val="both"/>
        <w:rPr>
          <w:sz w:val="24"/>
          <w:szCs w:val="24"/>
        </w:rPr>
      </w:pPr>
      <w:r w:rsidRPr="009B10C3">
        <w:rPr>
          <w:i/>
          <w:sz w:val="24"/>
          <w:szCs w:val="24"/>
        </w:rPr>
        <w:t>Diagnostika</w:t>
      </w:r>
      <w:r>
        <w:rPr>
          <w:sz w:val="24"/>
          <w:szCs w:val="24"/>
        </w:rPr>
        <w:t>:</w:t>
      </w:r>
      <w:r w:rsidRPr="00111618">
        <w:rPr>
          <w:sz w:val="24"/>
          <w:szCs w:val="24"/>
        </w:rPr>
        <w:t xml:space="preserve"> RTG</w:t>
      </w:r>
      <w:r>
        <w:rPr>
          <w:sz w:val="24"/>
          <w:szCs w:val="24"/>
        </w:rPr>
        <w:t xml:space="preserve"> je přínosné </w:t>
      </w:r>
      <w:r w:rsidRPr="00111618">
        <w:rPr>
          <w:sz w:val="24"/>
          <w:szCs w:val="24"/>
        </w:rPr>
        <w:t>až při úbytku 30% kostní hmoty</w:t>
      </w:r>
      <w:r>
        <w:rPr>
          <w:sz w:val="24"/>
          <w:szCs w:val="24"/>
        </w:rPr>
        <w:t xml:space="preserve">, kdy je </w:t>
      </w:r>
      <w:r w:rsidRPr="00111618">
        <w:rPr>
          <w:sz w:val="24"/>
          <w:szCs w:val="24"/>
        </w:rPr>
        <w:t>již</w:t>
      </w:r>
      <w:r>
        <w:rPr>
          <w:sz w:val="24"/>
          <w:szCs w:val="24"/>
        </w:rPr>
        <w:t xml:space="preserve"> významné</w:t>
      </w:r>
      <w:r w:rsidRPr="00111618">
        <w:rPr>
          <w:sz w:val="24"/>
          <w:szCs w:val="24"/>
        </w:rPr>
        <w:t xml:space="preserve"> ohrožení frakturou, n</w:t>
      </w:r>
      <w:r>
        <w:rPr>
          <w:sz w:val="24"/>
          <w:szCs w:val="24"/>
        </w:rPr>
        <w:t xml:space="preserve">a snímku kosti „bledé“, </w:t>
      </w:r>
      <w:r w:rsidRPr="00111618">
        <w:rPr>
          <w:sz w:val="24"/>
          <w:szCs w:val="24"/>
        </w:rPr>
        <w:t>obratle</w:t>
      </w:r>
      <w:r>
        <w:rPr>
          <w:sz w:val="24"/>
          <w:szCs w:val="24"/>
        </w:rPr>
        <w:t xml:space="preserve"> snížené, až tvaru rybích obratlů – promáčknutí horních a dolních ploch obratlů dovnitř těla obratle. N</w:t>
      </w:r>
      <w:r w:rsidRPr="00111618">
        <w:rPr>
          <w:sz w:val="24"/>
          <w:szCs w:val="24"/>
        </w:rPr>
        <w:t>ejpřesnější</w:t>
      </w:r>
      <w:r>
        <w:rPr>
          <w:sz w:val="24"/>
          <w:szCs w:val="24"/>
        </w:rPr>
        <w:t xml:space="preserve"> metodou</w:t>
      </w:r>
      <w:r w:rsidRPr="00111618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Pr="00111618">
        <w:rPr>
          <w:sz w:val="24"/>
          <w:szCs w:val="24"/>
        </w:rPr>
        <w:t xml:space="preserve"> denzitometrie, stanoví úbytek kostní hmoty v</w:t>
      </w:r>
      <w:r>
        <w:rPr>
          <w:sz w:val="24"/>
          <w:szCs w:val="24"/>
        </w:rPr>
        <w:t>e směrodatných odchylkách (</w:t>
      </w:r>
      <w:r w:rsidRPr="00111618">
        <w:rPr>
          <w:sz w:val="24"/>
          <w:szCs w:val="24"/>
        </w:rPr>
        <w:t>SD</w:t>
      </w:r>
      <w:r>
        <w:rPr>
          <w:sz w:val="24"/>
          <w:szCs w:val="24"/>
        </w:rPr>
        <w:t>) oproti běžné populaci a stanoví</w:t>
      </w:r>
      <w:r w:rsidR="00905619">
        <w:rPr>
          <w:sz w:val="24"/>
          <w:szCs w:val="24"/>
        </w:rPr>
        <w:t xml:space="preserve"> riziko zlo</w:t>
      </w:r>
      <w:r w:rsidRPr="00111618">
        <w:rPr>
          <w:sz w:val="24"/>
          <w:szCs w:val="24"/>
        </w:rPr>
        <w:t>meniny</w:t>
      </w:r>
      <w:r>
        <w:rPr>
          <w:sz w:val="24"/>
          <w:szCs w:val="24"/>
        </w:rPr>
        <w:t>.</w:t>
      </w:r>
      <w:r w:rsidRPr="00111618">
        <w:rPr>
          <w:sz w:val="24"/>
          <w:szCs w:val="24"/>
        </w:rPr>
        <w:t xml:space="preserve"> </w:t>
      </w:r>
      <w:r>
        <w:rPr>
          <w:sz w:val="24"/>
          <w:szCs w:val="24"/>
        </w:rPr>
        <w:t>Z laboratorních ukazatelů můžeme využít odpadů kostního metabolizmu v moči – prolin, hydroxyprolin, sérovou hladinu kostní frakce alkalické fosfatázy.</w:t>
      </w:r>
    </w:p>
    <w:p w:rsidR="00056AE2" w:rsidRDefault="00056AE2" w:rsidP="00056AE2">
      <w:pPr>
        <w:spacing w:line="120" w:lineRule="auto"/>
        <w:jc w:val="both"/>
        <w:rPr>
          <w:sz w:val="24"/>
          <w:szCs w:val="24"/>
        </w:rPr>
      </w:pPr>
    </w:p>
    <w:p w:rsidR="00CC7CC4" w:rsidRDefault="00CC7CC4" w:rsidP="00056AE2">
      <w:pPr>
        <w:jc w:val="both"/>
        <w:rPr>
          <w:i/>
          <w:sz w:val="24"/>
          <w:szCs w:val="24"/>
        </w:rPr>
      </w:pPr>
    </w:p>
    <w:p w:rsidR="00CC7CC4" w:rsidRPr="00CC7CC4" w:rsidRDefault="00CC7CC4" w:rsidP="00056AE2">
      <w:pPr>
        <w:jc w:val="both"/>
        <w:rPr>
          <w:b/>
          <w:sz w:val="28"/>
          <w:szCs w:val="28"/>
        </w:rPr>
      </w:pPr>
      <w:r w:rsidRPr="00CC7CC4">
        <w:rPr>
          <w:b/>
          <w:sz w:val="28"/>
          <w:szCs w:val="28"/>
        </w:rPr>
        <w:t>17.3 Léčba osteoporózy</w:t>
      </w:r>
    </w:p>
    <w:p w:rsidR="00CC7CC4" w:rsidRDefault="00CC7CC4" w:rsidP="00056AE2">
      <w:pPr>
        <w:jc w:val="both"/>
        <w:rPr>
          <w:i/>
          <w:sz w:val="24"/>
          <w:szCs w:val="24"/>
        </w:rPr>
      </w:pPr>
    </w:p>
    <w:p w:rsidR="00056AE2" w:rsidRDefault="00056AE2" w:rsidP="00056AE2">
      <w:pPr>
        <w:jc w:val="both"/>
        <w:rPr>
          <w:sz w:val="24"/>
          <w:szCs w:val="24"/>
        </w:rPr>
      </w:pPr>
      <w:r w:rsidRPr="009B10C3">
        <w:rPr>
          <w:i/>
          <w:sz w:val="24"/>
          <w:szCs w:val="24"/>
        </w:rPr>
        <w:t>Léčba</w:t>
      </w:r>
      <w:r>
        <w:rPr>
          <w:i/>
          <w:sz w:val="24"/>
          <w:szCs w:val="24"/>
        </w:rPr>
        <w:t>:</w:t>
      </w:r>
      <w:r w:rsidRPr="009B10C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základem je zvýšení přívodu kalcia, vitaminu D</w:t>
      </w:r>
      <w:r w:rsidR="00320F76">
        <w:rPr>
          <w:sz w:val="24"/>
          <w:szCs w:val="24"/>
        </w:rPr>
        <w:t>,</w:t>
      </w:r>
      <w:r>
        <w:rPr>
          <w:sz w:val="24"/>
          <w:szCs w:val="24"/>
        </w:rPr>
        <w:t xml:space="preserve"> nejlépe přirozenou aktivací provitaminu slunečními paprsky</w:t>
      </w:r>
      <w:r w:rsidR="00320F76">
        <w:rPr>
          <w:sz w:val="24"/>
          <w:szCs w:val="24"/>
        </w:rPr>
        <w:t>,</w:t>
      </w:r>
      <w:r>
        <w:rPr>
          <w:sz w:val="24"/>
          <w:szCs w:val="24"/>
        </w:rPr>
        <w:t xml:space="preserve"> a zvýšení tělesné aktivity. K usnadnění novotv</w:t>
      </w:r>
      <w:r w:rsidR="00D55AAD">
        <w:rPr>
          <w:sz w:val="24"/>
          <w:szCs w:val="24"/>
        </w:rPr>
        <w:t>orby kosti jsou v začátku léčby</w:t>
      </w:r>
      <w:r w:rsidR="00320F76">
        <w:rPr>
          <w:sz w:val="24"/>
          <w:szCs w:val="24"/>
        </w:rPr>
        <w:t xml:space="preserve"> někdy </w:t>
      </w:r>
      <w:r>
        <w:rPr>
          <w:sz w:val="24"/>
          <w:szCs w:val="24"/>
        </w:rPr>
        <w:t>doporučována anabolika, po celou dobu léčby dostatečný přívod bílkovin</w:t>
      </w:r>
      <w:r w:rsidR="005E57F6">
        <w:rPr>
          <w:sz w:val="24"/>
          <w:szCs w:val="24"/>
        </w:rPr>
        <w:t xml:space="preserve">, </w:t>
      </w:r>
      <w:r>
        <w:rPr>
          <w:sz w:val="24"/>
          <w:szCs w:val="24"/>
        </w:rPr>
        <w:t>Dodávka kalcia by měla dosáhnout alespoň 1500 – 2000 mg denně, kalcium dodávané v lékové podobě nejlépe v ionizované formě</w:t>
      </w:r>
      <w:r w:rsidR="008A7D77">
        <w:rPr>
          <w:sz w:val="24"/>
          <w:szCs w:val="24"/>
        </w:rPr>
        <w:t>, dávka vitaminu D je doporučována ve výši 800 – 1500 UI</w:t>
      </w:r>
      <w:r>
        <w:rPr>
          <w:sz w:val="24"/>
          <w:szCs w:val="24"/>
        </w:rPr>
        <w:t>.</w:t>
      </w:r>
      <w:r w:rsidR="008A7D77">
        <w:rPr>
          <w:sz w:val="24"/>
          <w:szCs w:val="24"/>
        </w:rPr>
        <w:t xml:space="preserve"> K aktivaci dostatečného množství provitaminu v kůži je zapotřebí vystavit slunečnímu záření 10% nechráněného povrchu kůže na dobu 20-30 minut 2x týdně v době mezi 10. - 15. hodinou. </w:t>
      </w:r>
      <w:r>
        <w:rPr>
          <w:sz w:val="24"/>
          <w:szCs w:val="24"/>
        </w:rPr>
        <w:t xml:space="preserve"> U postmenopauzálních žen je prokázán příznivý vliv substituce estrogenů na inkorporaci kalcia na novotvořené kostní hmoty. U dříve doporučovaných fluoridů byl sice prokázán nárůst </w:t>
      </w:r>
      <w:proofErr w:type="spellStart"/>
      <w:r>
        <w:rPr>
          <w:sz w:val="24"/>
          <w:szCs w:val="24"/>
        </w:rPr>
        <w:t>denzity</w:t>
      </w:r>
      <w:proofErr w:type="spellEnd"/>
      <w:r>
        <w:rPr>
          <w:sz w:val="24"/>
          <w:szCs w:val="24"/>
        </w:rPr>
        <w:t xml:space="preserve"> kosti, ale nepodařilo se prokázat pokles </w:t>
      </w:r>
      <w:proofErr w:type="spellStart"/>
      <w:r>
        <w:rPr>
          <w:sz w:val="24"/>
          <w:szCs w:val="24"/>
        </w:rPr>
        <w:t>osteoporotických</w:t>
      </w:r>
      <w:proofErr w:type="spellEnd"/>
      <w:r>
        <w:rPr>
          <w:sz w:val="24"/>
          <w:szCs w:val="24"/>
        </w:rPr>
        <w:t xml:space="preserve"> fraktur.</w:t>
      </w:r>
    </w:p>
    <w:p w:rsidR="00056AE2" w:rsidRPr="00111618" w:rsidRDefault="00056AE2" w:rsidP="00056AE2">
      <w:pPr>
        <w:jc w:val="both"/>
        <w:rPr>
          <w:sz w:val="24"/>
          <w:szCs w:val="24"/>
        </w:rPr>
      </w:pPr>
    </w:p>
    <w:p w:rsidR="00056AE2" w:rsidRDefault="00056AE2" w:rsidP="00056A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nemocných s vysokým ohrožením </w:t>
      </w:r>
      <w:proofErr w:type="spellStart"/>
      <w:r>
        <w:rPr>
          <w:sz w:val="24"/>
          <w:szCs w:val="24"/>
        </w:rPr>
        <w:t>osteoporotickou</w:t>
      </w:r>
      <w:proofErr w:type="spellEnd"/>
      <w:r>
        <w:rPr>
          <w:sz w:val="24"/>
          <w:szCs w:val="24"/>
        </w:rPr>
        <w:t xml:space="preserve"> frakturou nebo s již vzniklou frakturou podáváme</w:t>
      </w:r>
      <w:r w:rsidRPr="00111618">
        <w:rPr>
          <w:sz w:val="24"/>
          <w:szCs w:val="24"/>
        </w:rPr>
        <w:t xml:space="preserve"> </w:t>
      </w:r>
      <w:proofErr w:type="spellStart"/>
      <w:r w:rsidRPr="00111618">
        <w:rPr>
          <w:sz w:val="24"/>
          <w:szCs w:val="24"/>
        </w:rPr>
        <w:t>bisfosfonáty</w:t>
      </w:r>
      <w:proofErr w:type="spellEnd"/>
      <w:r w:rsidRPr="00111618">
        <w:rPr>
          <w:sz w:val="24"/>
          <w:szCs w:val="24"/>
        </w:rPr>
        <w:t xml:space="preserve"> (</w:t>
      </w:r>
      <w:proofErr w:type="spellStart"/>
      <w:r w:rsidRPr="00111618">
        <w:rPr>
          <w:sz w:val="24"/>
          <w:szCs w:val="24"/>
        </w:rPr>
        <w:t>Aredia</w:t>
      </w:r>
      <w:proofErr w:type="spellEnd"/>
      <w:r w:rsidRPr="00111618">
        <w:rPr>
          <w:sz w:val="24"/>
          <w:szCs w:val="24"/>
        </w:rPr>
        <w:t xml:space="preserve">, </w:t>
      </w:r>
      <w:proofErr w:type="spellStart"/>
      <w:r w:rsidRPr="00111618">
        <w:rPr>
          <w:sz w:val="24"/>
          <w:szCs w:val="24"/>
        </w:rPr>
        <w:t>Clodronat</w:t>
      </w:r>
      <w:proofErr w:type="spellEnd"/>
      <w:r w:rsidRPr="00111618">
        <w:rPr>
          <w:sz w:val="24"/>
          <w:szCs w:val="24"/>
        </w:rPr>
        <w:t xml:space="preserve">, </w:t>
      </w:r>
      <w:proofErr w:type="spellStart"/>
      <w:r w:rsidRPr="00111618">
        <w:rPr>
          <w:sz w:val="24"/>
          <w:szCs w:val="24"/>
        </w:rPr>
        <w:t>Fosamax</w:t>
      </w:r>
      <w:proofErr w:type="spellEnd"/>
      <w:r w:rsidRPr="00111618">
        <w:rPr>
          <w:sz w:val="24"/>
          <w:szCs w:val="24"/>
        </w:rPr>
        <w:t>)</w:t>
      </w:r>
      <w:r>
        <w:rPr>
          <w:sz w:val="24"/>
          <w:szCs w:val="24"/>
        </w:rPr>
        <w:t xml:space="preserve">, které mají schopnost blokovat osteoklasty a stimulovat osteoblasty. Pro ženy, u nichž je kontraindikováno podání estrogenů např. pro předchozí výskyt gynekologického karcinomu, jsou určeny selektivní modulátory </w:t>
      </w:r>
      <w:proofErr w:type="spellStart"/>
      <w:r>
        <w:rPr>
          <w:sz w:val="24"/>
          <w:szCs w:val="24"/>
        </w:rPr>
        <w:t>estrogenových</w:t>
      </w:r>
      <w:proofErr w:type="spellEnd"/>
      <w:r>
        <w:rPr>
          <w:sz w:val="24"/>
          <w:szCs w:val="24"/>
        </w:rPr>
        <w:t xml:space="preserve"> receptorů – </w:t>
      </w:r>
      <w:proofErr w:type="spellStart"/>
      <w:r>
        <w:rPr>
          <w:sz w:val="24"/>
          <w:szCs w:val="24"/>
        </w:rPr>
        <w:t>raloxifen</w:t>
      </w:r>
      <w:proofErr w:type="spellEnd"/>
      <w:r>
        <w:rPr>
          <w:sz w:val="24"/>
          <w:szCs w:val="24"/>
        </w:rPr>
        <w:t xml:space="preserve">, který stimuluje pouze jaterní a </w:t>
      </w:r>
      <w:r w:rsidR="00905619">
        <w:rPr>
          <w:sz w:val="24"/>
          <w:szCs w:val="24"/>
        </w:rPr>
        <w:t xml:space="preserve">kostní </w:t>
      </w:r>
      <w:proofErr w:type="spellStart"/>
      <w:r w:rsidR="00905619">
        <w:rPr>
          <w:sz w:val="24"/>
          <w:szCs w:val="24"/>
        </w:rPr>
        <w:t>estrogenové</w:t>
      </w:r>
      <w:proofErr w:type="spellEnd"/>
      <w:r w:rsidR="00905619">
        <w:rPr>
          <w:sz w:val="24"/>
          <w:szCs w:val="24"/>
        </w:rPr>
        <w:t xml:space="preserve"> receptory a </w:t>
      </w:r>
      <w:r>
        <w:rPr>
          <w:sz w:val="24"/>
          <w:szCs w:val="24"/>
        </w:rPr>
        <w:t xml:space="preserve">blokuje receptory v reprodukční oblasti. </w:t>
      </w:r>
    </w:p>
    <w:p w:rsidR="005E57F6" w:rsidRDefault="005E57F6" w:rsidP="00056AE2">
      <w:pPr>
        <w:jc w:val="both"/>
        <w:rPr>
          <w:sz w:val="24"/>
          <w:szCs w:val="24"/>
        </w:rPr>
      </w:pPr>
    </w:p>
    <w:p w:rsidR="005E57F6" w:rsidRDefault="005E57F6" w:rsidP="00056A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Prevence </w:t>
      </w:r>
      <w:proofErr w:type="spellStart"/>
      <w:r>
        <w:rPr>
          <w:sz w:val="24"/>
          <w:szCs w:val="24"/>
        </w:rPr>
        <w:t>osteroporózy</w:t>
      </w:r>
      <w:proofErr w:type="spellEnd"/>
      <w:r>
        <w:rPr>
          <w:sz w:val="24"/>
          <w:szCs w:val="24"/>
        </w:rPr>
        <w:t xml:space="preserve"> je celoživotní záležitostí – dostatečná pohybová aktivita ve venkovním prostředí, dodávka vápníku, vitaminu D, proteinů, nekouření, umírněný příjem kofeinu.</w:t>
      </w:r>
    </w:p>
    <w:p w:rsidR="005E57F6" w:rsidRDefault="005E57F6" w:rsidP="00056AE2">
      <w:pPr>
        <w:jc w:val="both"/>
        <w:rPr>
          <w:sz w:val="24"/>
          <w:szCs w:val="24"/>
        </w:rPr>
      </w:pPr>
    </w:p>
    <w:p w:rsidR="005E57F6" w:rsidRDefault="005E57F6" w:rsidP="00056AE2">
      <w:pPr>
        <w:jc w:val="both"/>
        <w:rPr>
          <w:sz w:val="24"/>
          <w:szCs w:val="24"/>
        </w:rPr>
      </w:pPr>
    </w:p>
    <w:p w:rsidR="00056AE2" w:rsidRDefault="00EC5F13" w:rsidP="00056AE2">
      <w:pPr>
        <w:jc w:val="both"/>
        <w:rPr>
          <w:sz w:val="24"/>
          <w:szCs w:val="24"/>
        </w:rPr>
      </w:pPr>
      <w:r>
        <w:rPr>
          <w:bCs/>
          <w:noProof/>
        </w:rPr>
        <w:drawing>
          <wp:anchor distT="0" distB="0" distL="114300" distR="114300" simplePos="0" relativeHeight="251661312" behindDoc="0" locked="0" layoutInCell="1" allowOverlap="0" wp14:anchorId="11B631D5" wp14:editId="15A27ED0">
            <wp:simplePos x="0" y="0"/>
            <wp:positionH relativeFrom="margin">
              <wp:posOffset>5467985</wp:posOffset>
            </wp:positionH>
            <wp:positionV relativeFrom="line">
              <wp:posOffset>2540</wp:posOffset>
            </wp:positionV>
            <wp:extent cx="450850" cy="450850"/>
            <wp:effectExtent l="114300" t="114300" r="120650" b="1206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BCB" w:rsidRDefault="000A76CE" w:rsidP="00636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A76CE">
        <w:rPr>
          <w:b/>
          <w:sz w:val="24"/>
          <w:szCs w:val="24"/>
        </w:rPr>
        <w:t>Shrnutí kapitoly</w:t>
      </w:r>
      <w:r w:rsidR="00EC5F13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D55AAD" w:rsidRDefault="00D55AAD" w:rsidP="00636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bookmarkStart w:id="0" w:name="_GoBack"/>
      <w:bookmarkEnd w:id="0"/>
    </w:p>
    <w:p w:rsidR="00636D26" w:rsidRDefault="00D55AAD" w:rsidP="00636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4"/>
          <w:szCs w:val="24"/>
        </w:rPr>
      </w:pPr>
      <w:r w:rsidRPr="00636D26">
        <w:rPr>
          <w:color w:val="FF0000"/>
          <w:sz w:val="24"/>
          <w:szCs w:val="24"/>
        </w:rPr>
        <w:t xml:space="preserve">vrcholová kostní hmota je u člověka vytvořena okolo 30. roku věku, od tohoto okamžiku postupný úbytek kostní tkáně, do stadia osteoporózy dospěje 75% žen po umělé menopauze, 50% žen a 33% mužů při běžném stárnutí. Za hlavní příčinu je považován pokles hladiny sérového kalcia, nedostatek pohybu, nízký příjem bílkovin a nedostatek vitaminu D. Nejpřesnější metodou je denzitometrie, stanoví úbytek kostní hmoty ve směrodatných odchylkách (SD) oproti běžné populaci a stanoví riziko zlomeniny. </w:t>
      </w:r>
      <w:r w:rsidR="00636D26" w:rsidRPr="00636D26">
        <w:rPr>
          <w:color w:val="FF0000"/>
          <w:sz w:val="24"/>
          <w:szCs w:val="24"/>
        </w:rPr>
        <w:t>Z</w:t>
      </w:r>
      <w:r w:rsidRPr="00636D26">
        <w:rPr>
          <w:color w:val="FF0000"/>
          <w:sz w:val="24"/>
          <w:szCs w:val="24"/>
        </w:rPr>
        <w:t xml:space="preserve">ákladem </w:t>
      </w:r>
      <w:r w:rsidR="00636D26" w:rsidRPr="00636D26">
        <w:rPr>
          <w:color w:val="FF0000"/>
          <w:sz w:val="24"/>
          <w:szCs w:val="24"/>
        </w:rPr>
        <w:t xml:space="preserve">prevence i léčby osteoporózy </w:t>
      </w:r>
      <w:r w:rsidRPr="00636D26">
        <w:rPr>
          <w:color w:val="FF0000"/>
          <w:sz w:val="24"/>
          <w:szCs w:val="24"/>
        </w:rPr>
        <w:t>je zvýšení přívodu kalcia, vitaminu D, nejlépe přirozenou aktivací provitaminu slunečními paprsky, a zvýšení tělesné aktivity.</w:t>
      </w:r>
      <w:r w:rsidR="00636D26" w:rsidRPr="00636D26">
        <w:rPr>
          <w:color w:val="FF0000"/>
          <w:sz w:val="24"/>
          <w:szCs w:val="24"/>
        </w:rPr>
        <w:t xml:space="preserve"> U nemocných s vysokým ohrožením </w:t>
      </w:r>
      <w:proofErr w:type="spellStart"/>
      <w:r w:rsidR="00636D26" w:rsidRPr="00636D26">
        <w:rPr>
          <w:color w:val="FF0000"/>
          <w:sz w:val="24"/>
          <w:szCs w:val="24"/>
        </w:rPr>
        <w:t>osteoporotickou</w:t>
      </w:r>
      <w:proofErr w:type="spellEnd"/>
      <w:r w:rsidR="00636D26" w:rsidRPr="00636D26">
        <w:rPr>
          <w:color w:val="FF0000"/>
          <w:sz w:val="24"/>
          <w:szCs w:val="24"/>
        </w:rPr>
        <w:t xml:space="preserve"> frakturou nebo s již vzniklou frakturou podáváme </w:t>
      </w:r>
      <w:proofErr w:type="spellStart"/>
      <w:r w:rsidR="00636D26" w:rsidRPr="00636D26">
        <w:rPr>
          <w:color w:val="FF0000"/>
          <w:sz w:val="24"/>
          <w:szCs w:val="24"/>
        </w:rPr>
        <w:t>bisfosfonáty</w:t>
      </w:r>
      <w:proofErr w:type="spellEnd"/>
      <w:r w:rsidR="00636D26" w:rsidRPr="00636D26">
        <w:rPr>
          <w:color w:val="FF0000"/>
          <w:sz w:val="24"/>
          <w:szCs w:val="24"/>
        </w:rPr>
        <w:t xml:space="preserve">. U postmenopauzálních žen je prokázán příznivý vliv substituce estrogenů na inkorporaci kalcia na novotvořené kostní hmoty, pokud je kontraindikováno podání estrogenů např. pro předchozí výskyt gynekologického karcinomu, jsou podávány selektivní modulátory </w:t>
      </w:r>
      <w:proofErr w:type="spellStart"/>
      <w:r w:rsidR="00636D26" w:rsidRPr="00636D26">
        <w:rPr>
          <w:color w:val="FF0000"/>
          <w:sz w:val="24"/>
          <w:szCs w:val="24"/>
        </w:rPr>
        <w:t>estrogenových</w:t>
      </w:r>
      <w:proofErr w:type="spellEnd"/>
      <w:r w:rsidR="00636D26" w:rsidRPr="00636D26">
        <w:rPr>
          <w:color w:val="FF0000"/>
          <w:sz w:val="24"/>
          <w:szCs w:val="24"/>
        </w:rPr>
        <w:t xml:space="preserve"> receptorů.</w:t>
      </w:r>
    </w:p>
    <w:p w:rsidR="00636D26" w:rsidRDefault="00636D26" w:rsidP="00636D26">
      <w:pPr>
        <w:jc w:val="both"/>
        <w:rPr>
          <w:color w:val="FF0000"/>
          <w:sz w:val="24"/>
          <w:szCs w:val="24"/>
        </w:rPr>
      </w:pPr>
    </w:p>
    <w:p w:rsidR="00636D26" w:rsidRDefault="0078724C" w:rsidP="00636D26">
      <w:pPr>
        <w:jc w:val="both"/>
        <w:rPr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0" allowOverlap="0" wp14:anchorId="3C3CDC63" wp14:editId="05DF8A93">
            <wp:simplePos x="0" y="0"/>
            <wp:positionH relativeFrom="margin">
              <wp:posOffset>4996180</wp:posOffset>
            </wp:positionH>
            <wp:positionV relativeFrom="line">
              <wp:posOffset>7620</wp:posOffset>
            </wp:positionV>
            <wp:extent cx="450850" cy="444500"/>
            <wp:effectExtent l="114300" t="114300" r="120650" b="1079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D26" w:rsidRDefault="00636D26" w:rsidP="00636D26">
      <w:pPr>
        <w:jc w:val="both"/>
        <w:rPr>
          <w:b/>
          <w:sz w:val="28"/>
          <w:szCs w:val="28"/>
        </w:rPr>
      </w:pPr>
      <w:r w:rsidRPr="00636D26">
        <w:rPr>
          <w:b/>
          <w:sz w:val="28"/>
          <w:szCs w:val="28"/>
        </w:rPr>
        <w:t>Otázky a úkoly</w:t>
      </w:r>
      <w:r w:rsidR="00EC5F13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636D26" w:rsidRDefault="00636D26" w:rsidP="00636D26">
      <w:pPr>
        <w:jc w:val="both"/>
        <w:rPr>
          <w:b/>
          <w:sz w:val="28"/>
          <w:szCs w:val="28"/>
        </w:rPr>
      </w:pPr>
    </w:p>
    <w:p w:rsidR="00636D26" w:rsidRPr="00636D26" w:rsidRDefault="00636D26" w:rsidP="00636D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636D26">
        <w:rPr>
          <w:b/>
          <w:sz w:val="28"/>
          <w:szCs w:val="28"/>
        </w:rPr>
        <w:t>efin</w:t>
      </w:r>
      <w:r>
        <w:rPr>
          <w:b/>
          <w:sz w:val="28"/>
          <w:szCs w:val="28"/>
        </w:rPr>
        <w:t>ujte</w:t>
      </w:r>
      <w:r w:rsidRPr="00636D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druhy </w:t>
      </w:r>
      <w:r w:rsidRPr="00636D26">
        <w:rPr>
          <w:b/>
          <w:sz w:val="28"/>
          <w:szCs w:val="28"/>
        </w:rPr>
        <w:t>osteoporóz</w:t>
      </w:r>
      <w:r>
        <w:rPr>
          <w:b/>
          <w:sz w:val="28"/>
          <w:szCs w:val="28"/>
        </w:rPr>
        <w:t>y</w:t>
      </w:r>
      <w:r w:rsidRPr="00636D26">
        <w:rPr>
          <w:b/>
          <w:sz w:val="28"/>
          <w:szCs w:val="28"/>
        </w:rPr>
        <w:t xml:space="preserve"> a její rizikové faktory</w:t>
      </w:r>
    </w:p>
    <w:p w:rsidR="00636D26" w:rsidRPr="00636D26" w:rsidRDefault="00636D26" w:rsidP="00636D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636D26">
        <w:rPr>
          <w:b/>
          <w:sz w:val="28"/>
          <w:szCs w:val="28"/>
        </w:rPr>
        <w:t>yjmen</w:t>
      </w:r>
      <w:r>
        <w:rPr>
          <w:b/>
          <w:sz w:val="28"/>
          <w:szCs w:val="28"/>
        </w:rPr>
        <w:t>ujte</w:t>
      </w:r>
      <w:r w:rsidRPr="00636D26">
        <w:rPr>
          <w:b/>
          <w:sz w:val="28"/>
          <w:szCs w:val="28"/>
        </w:rPr>
        <w:t xml:space="preserve"> diagnostické postupy při osteoporóze</w:t>
      </w:r>
    </w:p>
    <w:p w:rsidR="00636D26" w:rsidRDefault="00636D26" w:rsidP="00636D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Popište možnosti prevence a léčby osteoporózy</w:t>
      </w:r>
    </w:p>
    <w:p w:rsidR="00636D26" w:rsidRDefault="00636D26" w:rsidP="00636D26">
      <w:pPr>
        <w:jc w:val="both"/>
        <w:rPr>
          <w:b/>
          <w:sz w:val="28"/>
          <w:szCs w:val="28"/>
        </w:rPr>
      </w:pPr>
    </w:p>
    <w:p w:rsidR="0078724C" w:rsidRDefault="0078724C" w:rsidP="00636D26">
      <w:pPr>
        <w:jc w:val="both"/>
        <w:rPr>
          <w:b/>
          <w:sz w:val="28"/>
          <w:szCs w:val="28"/>
        </w:rPr>
      </w:pPr>
    </w:p>
    <w:p w:rsidR="0078724C" w:rsidRDefault="0078724C" w:rsidP="0078724C">
      <w:pPr>
        <w:rPr>
          <w:b/>
          <w:sz w:val="28"/>
          <w:szCs w:val="28"/>
        </w:rPr>
      </w:pPr>
      <w:r>
        <w:rPr>
          <w:b/>
          <w:sz w:val="28"/>
          <w:szCs w:val="28"/>
        </w:rPr>
        <w:t>Doporučená literatura</w:t>
      </w:r>
    </w:p>
    <w:p w:rsidR="0078724C" w:rsidRPr="00C2261C" w:rsidRDefault="0078724C" w:rsidP="0078724C">
      <w:pPr>
        <w:pStyle w:val="Zkladntextodsazen"/>
        <w:spacing w:after="0"/>
        <w:ind w:left="0"/>
        <w:jc w:val="both"/>
      </w:pPr>
      <w:r w:rsidRPr="00C2261C">
        <w:t xml:space="preserve">           Topinková E. Geriatrie pro praxi. </w:t>
      </w:r>
      <w:proofErr w:type="spellStart"/>
      <w:r w:rsidRPr="00C2261C">
        <w:t>Galén</w:t>
      </w:r>
      <w:proofErr w:type="spellEnd"/>
      <w:r w:rsidRPr="00C2261C">
        <w:t xml:space="preserve"> 2005</w:t>
      </w:r>
    </w:p>
    <w:p w:rsidR="0078724C" w:rsidRPr="00C2261C" w:rsidRDefault="0078724C" w:rsidP="0078724C">
      <w:pPr>
        <w:pStyle w:val="Zkladntextodsazen"/>
        <w:spacing w:after="0"/>
        <w:jc w:val="both"/>
      </w:pPr>
      <w:r w:rsidRPr="00C2261C">
        <w:t xml:space="preserve">       </w:t>
      </w:r>
      <w:proofErr w:type="spellStart"/>
      <w:r w:rsidRPr="00C2261C">
        <w:t>Kalvach</w:t>
      </w:r>
      <w:proofErr w:type="spellEnd"/>
      <w:r w:rsidRPr="00C2261C">
        <w:t xml:space="preserve"> Z et al. Geriatrie a Gerontologie. </w:t>
      </w:r>
      <w:proofErr w:type="spellStart"/>
      <w:r w:rsidRPr="00C2261C">
        <w:t>Grada</w:t>
      </w:r>
      <w:proofErr w:type="spellEnd"/>
      <w:r w:rsidRPr="00C2261C">
        <w:t xml:space="preserve"> Avicenum 2004.</w:t>
      </w:r>
    </w:p>
    <w:p w:rsidR="0078724C" w:rsidRPr="003F6D41" w:rsidRDefault="0078724C" w:rsidP="0078724C">
      <w:pPr>
        <w:rPr>
          <w:sz w:val="28"/>
          <w:szCs w:val="28"/>
        </w:rPr>
      </w:pPr>
    </w:p>
    <w:p w:rsidR="0078724C" w:rsidRPr="00636D26" w:rsidRDefault="0078724C" w:rsidP="00636D26">
      <w:pPr>
        <w:jc w:val="both"/>
        <w:rPr>
          <w:b/>
          <w:sz w:val="28"/>
          <w:szCs w:val="28"/>
        </w:rPr>
      </w:pPr>
    </w:p>
    <w:sectPr w:rsidR="0078724C" w:rsidRPr="00636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FB9"/>
    <w:multiLevelType w:val="hybridMultilevel"/>
    <w:tmpl w:val="4C3E7DA4"/>
    <w:lvl w:ilvl="0" w:tplc="2138DB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7E54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2429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271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AEE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9E51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22A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8BF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89E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07442"/>
    <w:multiLevelType w:val="multilevel"/>
    <w:tmpl w:val="8E68D2B2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8C0CFF"/>
    <w:multiLevelType w:val="hybridMultilevel"/>
    <w:tmpl w:val="874AAA54"/>
    <w:lvl w:ilvl="0" w:tplc="E06048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257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22CB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48E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496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AEC3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AB1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CCB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4C9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3E4A6A"/>
    <w:multiLevelType w:val="hybridMultilevel"/>
    <w:tmpl w:val="38487662"/>
    <w:lvl w:ilvl="0" w:tplc="E736A84C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B75D41"/>
    <w:multiLevelType w:val="hybridMultilevel"/>
    <w:tmpl w:val="86B4203C"/>
    <w:lvl w:ilvl="0" w:tplc="0DA613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FC18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9058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12BE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F8D7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300A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AA9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9EC2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E50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1405A7"/>
    <w:multiLevelType w:val="hybridMultilevel"/>
    <w:tmpl w:val="FF24D3E6"/>
    <w:lvl w:ilvl="0" w:tplc="D89EBE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8E48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1AB3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A75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B03E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6CE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4B3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E0A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EC9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307444"/>
    <w:multiLevelType w:val="hybridMultilevel"/>
    <w:tmpl w:val="3DF40E7C"/>
    <w:lvl w:ilvl="0" w:tplc="FD14A0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09C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6C69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AD3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E90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FA22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A16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A61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CF8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E917A7"/>
    <w:multiLevelType w:val="hybridMultilevel"/>
    <w:tmpl w:val="112C02C8"/>
    <w:lvl w:ilvl="0" w:tplc="E736A84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2"/>
    <w:rsid w:val="00056AE2"/>
    <w:rsid w:val="000A76CE"/>
    <w:rsid w:val="00103953"/>
    <w:rsid w:val="00320F76"/>
    <w:rsid w:val="005E57F6"/>
    <w:rsid w:val="00636D26"/>
    <w:rsid w:val="00704BCB"/>
    <w:rsid w:val="0078724C"/>
    <w:rsid w:val="008A7D77"/>
    <w:rsid w:val="008C5F48"/>
    <w:rsid w:val="00905619"/>
    <w:rsid w:val="009149A7"/>
    <w:rsid w:val="009962DD"/>
    <w:rsid w:val="00AA27E5"/>
    <w:rsid w:val="00CC7CC4"/>
    <w:rsid w:val="00D55AAD"/>
    <w:rsid w:val="00E30ABE"/>
    <w:rsid w:val="00E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7E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78724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872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7E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78724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872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1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3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1034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11</cp:revision>
  <dcterms:created xsi:type="dcterms:W3CDTF">2014-11-27T15:04:00Z</dcterms:created>
  <dcterms:modified xsi:type="dcterms:W3CDTF">2014-12-18T12:37:00Z</dcterms:modified>
</cp:coreProperties>
</file>