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numPr>
          <w:ilvl w:val="0"/>
          <w:numId w:val="0"/>
        </w:numPr>
        <w:ind w:right="-284" w:hanging="0"/>
        <w:outlineLvl w:val="0"/>
        <w:rPr/>
      </w:pPr>
      <w:r>
        <w:rPr/>
      </w:r>
    </w:p>
    <w:p>
      <w:pPr>
        <w:pStyle w:val="Nzev"/>
        <w:rPr>
          <w:rFonts w:ascii="Arial" w:hAnsi="Arial" w:cs="Arial"/>
          <w:smallCaps/>
          <w:color w:val="000000"/>
          <w:sz w:val="28"/>
          <w:szCs w:val="28"/>
        </w:rPr>
      </w:pPr>
      <w:r>
        <w:rPr>
          <w:rFonts w:cs="Arial" w:ascii="Arial" w:hAnsi="Arial"/>
          <w:smallCaps/>
          <w:color w:val="000000"/>
          <w:sz w:val="28"/>
          <w:szCs w:val="28"/>
        </w:rPr>
        <w:t xml:space="preserve">Nemocnice    V y š k o v,  </w:t>
      </w:r>
      <w:r>
        <w:rPr>
          <w:rFonts w:cs="Arial" w:ascii="Arial" w:hAnsi="Arial"/>
          <w:caps w:val="false"/>
          <w:smallCaps w:val="false"/>
          <w:color w:val="000000"/>
          <w:sz w:val="28"/>
          <w:szCs w:val="28"/>
        </w:rPr>
        <w:t>p.o. přijme:</w:t>
      </w:r>
    </w:p>
    <w:p>
      <w:pPr>
        <w:pStyle w:val="Normal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720" w:hanging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zaměstnance na pozici odborného pracovníka v laboratorních metodách pro obor klinická biochemie.</w:t>
      </w:r>
    </w:p>
    <w:p>
      <w:pPr>
        <w:pStyle w:val="Normal"/>
        <w:ind w:left="720" w:hanging="0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 </w:t>
      </w:r>
      <w:r>
        <w:rPr>
          <w:rFonts w:cs="Arial" w:ascii="Arial" w:hAnsi="Arial"/>
          <w:bCs/>
          <w:sz w:val="28"/>
          <w:szCs w:val="28"/>
        </w:rPr>
        <w:t>P</w:t>
      </w:r>
      <w:r>
        <w:rPr>
          <w:rFonts w:cs="Arial" w:ascii="Arial" w:hAnsi="Arial"/>
          <w:sz w:val="28"/>
          <w:szCs w:val="28"/>
        </w:rPr>
        <w:t xml:space="preserve">ožadujeme: </w:t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odbornou způsobilost k výkonu povolání odborného pracovníka v laboratorních metodách dle zákona č.96/2004 Sb.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atestaci v oboru klinická biochemie, popř. absolvování kmene, nebo absolvent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zdravotní způsobilost a bezúhonnost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komunikační a organizační schopnosti, samostatnost a spolehlivost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znalost práce s PC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Nabízíme: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práci na plný i zkrácený úvazek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platové podmínky dle odborné způsobilosti a délky praxe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dovolenou 5 týdnů + 1 týden dodatkové dovolené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práci v akreditované laboratoři vybavené dle současných technických požadavků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dobré pracovní podmínky a kolektiv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podporu celoživotního vzdělávání a dalšího profesního rozvoje</w:t>
      </w:r>
    </w:p>
    <w:p>
      <w:pPr>
        <w:pStyle w:val="Normal"/>
        <w:ind w:left="36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Zaměstnanecké benefity: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dotované stravování v areálu nemocnice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příspěvek na penzijní připojištění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příspěvky na péči o zdraví zaměstnanců, rekreaci, zájezdy, dětské tábory 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předatestační volno</w:t>
      </w:r>
    </w:p>
    <w:p>
      <w:pPr>
        <w:pStyle w:val="Normal"/>
        <w:ind w:left="36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Nástup po dohodě.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 případě zájmu zašlete strukturovaný životopis na email: machacova@nemvy.cz, nebo volejte na tel.č.: 517 315 440, 517 315 444.</w:t>
      </w:r>
    </w:p>
    <w:sectPr>
      <w:type w:val="nextPage"/>
      <w:pgSz w:w="11906" w:h="16838"/>
      <w:pgMar w:left="1276" w:right="1274" w:gutter="0" w:header="0" w:top="567" w:footer="0" w:bottom="1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bCs/>
      <w:sz w:val="28"/>
    </w:rPr>
  </w:style>
  <w:style w:type="paragraph" w:styleId="Nadpis2">
    <w:name w:val="Heading 2"/>
    <w:basedOn w:val="Normal"/>
    <w:next w:val="Normal"/>
    <w:qFormat/>
    <w:rsid w:val="00a0721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65183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/>
    <w:rPr>
      <w:sz w:val="28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b/>
      <w:caps/>
      <w:sz w:val="36"/>
      <w:szCs w:val="20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5183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LibreOffice/7.2.1.2$Windows_X86_64 LibreOffice_project/87b77fad49947c1441b67c559c339af8f3517e22</Application>
  <AppVersion>15.0000</AppVersion>
  <Pages>1</Pages>
  <Words>165</Words>
  <Characters>975</Characters>
  <CharactersWithSpaces>1114</CharactersWithSpaces>
  <Paragraphs>23</Paragraphs>
  <Company>Vyškov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2022-03-17T19:21:00Z</dcterms:created>
  <dc:creator>Nemocnice</dc:creator>
  <dc:description/>
  <dc:language>cs-CZ</dc:language>
  <cp:lastModifiedBy/>
  <cp:lastPrinted>2020-12-16T11:40:00Z</cp:lastPrinted>
  <dcterms:modified xsi:type="dcterms:W3CDTF">2022-04-26T20:37:30Z</dcterms:modified>
  <cp:revision>3</cp:revision>
  <dc:subject/>
  <dc:title>NEMOCNICE    V Y Š K O V,  příspěvková   organizace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