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EC0" w:rsidRDefault="002F6EC0" w:rsidP="002F6EC0">
      <w:pPr>
        <w:jc w:val="both"/>
      </w:pPr>
    </w:p>
    <w:p w:rsidR="003025B6" w:rsidRDefault="003025B6" w:rsidP="002F6EC0">
      <w:pPr>
        <w:jc w:val="both"/>
      </w:pPr>
    </w:p>
    <w:p w:rsidR="00BB7891" w:rsidRDefault="00BB7891" w:rsidP="002F6EC0">
      <w:pPr>
        <w:jc w:val="both"/>
      </w:pPr>
    </w:p>
    <w:p w:rsidR="00BB7891" w:rsidRPr="00A01770" w:rsidRDefault="00F510A6" w:rsidP="00BB7891">
      <w:pPr>
        <w:pStyle w:val="Nadpis2"/>
      </w:pPr>
      <w:bookmarkStart w:id="0" w:name="_Toc298940617"/>
      <w:r>
        <w:t xml:space="preserve">11 </w:t>
      </w:r>
      <w:proofErr w:type="spellStart"/>
      <w:r w:rsidR="00BB7891" w:rsidRPr="00A01770">
        <w:t>Instabilita</w:t>
      </w:r>
      <w:proofErr w:type="spellEnd"/>
      <w:r w:rsidR="00BB7891" w:rsidRPr="00A01770">
        <w:t xml:space="preserve"> a pády</w:t>
      </w:r>
      <w:bookmarkEnd w:id="0"/>
    </w:p>
    <w:p w:rsidR="00BB7891" w:rsidRDefault="00BB7891" w:rsidP="002F6EC0">
      <w:pPr>
        <w:jc w:val="both"/>
      </w:pPr>
    </w:p>
    <w:p w:rsidR="00953283" w:rsidRDefault="00953283" w:rsidP="002F6EC0">
      <w:pPr>
        <w:jc w:val="both"/>
      </w:pPr>
    </w:p>
    <w:p w:rsidR="00953283" w:rsidRDefault="00275249" w:rsidP="00953283">
      <w:pPr>
        <w:jc w:val="both"/>
        <w:rPr>
          <w:b/>
        </w:rPr>
      </w:pPr>
      <w:r>
        <w:rPr>
          <w:b/>
          <w:noProof/>
        </w:rPr>
        <w:drawing>
          <wp:anchor distT="0" distB="0" distL="114300" distR="114300" simplePos="0" relativeHeight="251661312" behindDoc="1" locked="0" layoutInCell="1" allowOverlap="1" wp14:anchorId="2F0F2C6E" wp14:editId="74283879">
            <wp:simplePos x="0" y="0"/>
            <wp:positionH relativeFrom="column">
              <wp:posOffset>5105400</wp:posOffset>
            </wp:positionH>
            <wp:positionV relativeFrom="paragraph">
              <wp:posOffset>20320</wp:posOffset>
            </wp:positionV>
            <wp:extent cx="445770" cy="434975"/>
            <wp:effectExtent l="114300" t="114300" r="106680" b="117475"/>
            <wp:wrapTight wrapText="bothSides">
              <wp:wrapPolygon edited="0">
                <wp:start x="-3692" y="-5676"/>
                <wp:lineTo x="-5538" y="-3784"/>
                <wp:lineTo x="-5538" y="19866"/>
                <wp:lineTo x="-3692" y="26488"/>
                <wp:lineTo x="24000" y="26488"/>
                <wp:lineTo x="25846" y="11352"/>
                <wp:lineTo x="24000" y="-2838"/>
                <wp:lineTo x="24000" y="-5676"/>
                <wp:lineTo x="-3692" y="-5676"/>
              </wp:wrapPolygon>
            </wp:wrapTight>
            <wp:docPr id="8" name="Obrázek 8" descr="C:\Users\Hana\Documents\NAP\e-learning\kom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a\Documents\NAP\e-learning\kompa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 cy="434975"/>
                    </a:xfrm>
                    <a:prstGeom prst="rect">
                      <a:avLst/>
                    </a:prstGeom>
                    <a:noFill/>
                    <a:ln>
                      <a:noFill/>
                    </a:ln>
                    <a:effectLst>
                      <a:glow rad="101600">
                        <a:schemeClr val="accent1">
                          <a:satMod val="175000"/>
                          <a:alpha val="40000"/>
                        </a:schemeClr>
                      </a:glow>
                    </a:effectLst>
                  </pic:spPr>
                </pic:pic>
              </a:graphicData>
            </a:graphic>
            <wp14:sizeRelH relativeFrom="margin">
              <wp14:pctWidth>0</wp14:pctWidth>
            </wp14:sizeRelH>
            <wp14:sizeRelV relativeFrom="margin">
              <wp14:pctHeight>0</wp14:pctHeight>
            </wp14:sizeRelV>
          </wp:anchor>
        </w:drawing>
      </w:r>
      <w:r w:rsidR="00953283" w:rsidRPr="00953283">
        <w:rPr>
          <w:b/>
        </w:rPr>
        <w:t>Po prostudování této kapitoly byste měli být schopni:</w:t>
      </w:r>
    </w:p>
    <w:p w:rsidR="00953283" w:rsidRPr="00953283" w:rsidRDefault="00953283" w:rsidP="00953283">
      <w:pPr>
        <w:jc w:val="both"/>
        <w:rPr>
          <w:b/>
        </w:rPr>
      </w:pPr>
    </w:p>
    <w:p w:rsidR="00953283" w:rsidRDefault="00953283" w:rsidP="00953283">
      <w:pPr>
        <w:pStyle w:val="Odstavecseseznamem"/>
        <w:numPr>
          <w:ilvl w:val="0"/>
          <w:numId w:val="2"/>
        </w:numPr>
        <w:jc w:val="both"/>
      </w:pPr>
      <w:r>
        <w:t xml:space="preserve">definovat </w:t>
      </w:r>
      <w:proofErr w:type="spellStart"/>
      <w:r>
        <w:t>instabilitu</w:t>
      </w:r>
      <w:proofErr w:type="spellEnd"/>
      <w:r>
        <w:t xml:space="preserve"> a vyjádřit její výskyt v seniorské populaci</w:t>
      </w:r>
    </w:p>
    <w:p w:rsidR="00953283" w:rsidRDefault="00953283" w:rsidP="00953283">
      <w:pPr>
        <w:pStyle w:val="Odstavecseseznamem"/>
        <w:numPr>
          <w:ilvl w:val="0"/>
          <w:numId w:val="2"/>
        </w:numPr>
        <w:jc w:val="both"/>
      </w:pPr>
      <w:r>
        <w:t xml:space="preserve">vyjmenovat možné etiologické faktory </w:t>
      </w:r>
      <w:proofErr w:type="spellStart"/>
      <w:r>
        <w:t>instability</w:t>
      </w:r>
      <w:proofErr w:type="spellEnd"/>
    </w:p>
    <w:p w:rsidR="00953283" w:rsidRDefault="00275249" w:rsidP="00953283">
      <w:pPr>
        <w:pStyle w:val="Odstavecseseznamem"/>
        <w:numPr>
          <w:ilvl w:val="0"/>
          <w:numId w:val="2"/>
        </w:numPr>
        <w:jc w:val="both"/>
      </w:pPr>
      <w:r>
        <w:t xml:space="preserve">popsat důsledky </w:t>
      </w:r>
      <w:proofErr w:type="spellStart"/>
      <w:r>
        <w:t>instability</w:t>
      </w:r>
      <w:proofErr w:type="spellEnd"/>
      <w:r>
        <w:t xml:space="preserve"> a pádů na soběstačnost a kvalitu života seniorů</w:t>
      </w:r>
    </w:p>
    <w:p w:rsidR="00275249" w:rsidRDefault="00275249" w:rsidP="00953283">
      <w:pPr>
        <w:pStyle w:val="Odstavecseseznamem"/>
        <w:numPr>
          <w:ilvl w:val="0"/>
          <w:numId w:val="2"/>
        </w:numPr>
        <w:jc w:val="both"/>
      </w:pPr>
      <w:r>
        <w:t xml:space="preserve">vyjádřit se k diagnostickým postupům při odhalování příčin </w:t>
      </w:r>
      <w:proofErr w:type="spellStart"/>
      <w:r>
        <w:t>instability</w:t>
      </w:r>
      <w:proofErr w:type="spellEnd"/>
      <w:r>
        <w:t xml:space="preserve"> a pádů</w:t>
      </w:r>
    </w:p>
    <w:p w:rsidR="00275249" w:rsidRDefault="00275249" w:rsidP="00953283">
      <w:pPr>
        <w:pStyle w:val="Odstavecseseznamem"/>
        <w:numPr>
          <w:ilvl w:val="0"/>
          <w:numId w:val="2"/>
        </w:numPr>
        <w:jc w:val="both"/>
      </w:pPr>
      <w:r>
        <w:t>vyjmenovat profylaktická opatření k prevenci pádů u seniorů</w:t>
      </w:r>
    </w:p>
    <w:p w:rsidR="003025B6" w:rsidRDefault="003025B6" w:rsidP="00953283">
      <w:pPr>
        <w:jc w:val="right"/>
      </w:pPr>
    </w:p>
    <w:p w:rsidR="00D84438" w:rsidRDefault="00BB7891" w:rsidP="00275249">
      <w:pPr>
        <w:jc w:val="both"/>
      </w:pPr>
      <w:r>
        <w:t xml:space="preserve">                                                                                                                </w:t>
      </w:r>
      <w:r w:rsidR="00275249">
        <w:t xml:space="preserve">       </w:t>
      </w:r>
      <w:r>
        <w:t xml:space="preserve">         </w:t>
      </w:r>
      <w:r w:rsidR="00D84438">
        <w:rPr>
          <w:b/>
          <w:noProof/>
        </w:rPr>
        <w:drawing>
          <wp:inline distT="0" distB="0" distL="0" distR="0" wp14:anchorId="279F5A62" wp14:editId="275B1F59">
            <wp:extent cx="431597" cy="414701"/>
            <wp:effectExtent l="114300" t="114300" r="121285" b="118745"/>
            <wp:docPr id="5" name="Obrázek 5" descr="C:\Users\Hana\Documents\NAP\e-learning\klí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klíč.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356" cy="421196"/>
                    </a:xfrm>
                    <a:prstGeom prst="rect">
                      <a:avLst/>
                    </a:prstGeom>
                    <a:noFill/>
                    <a:ln>
                      <a:noFill/>
                    </a:ln>
                    <a:effectLst>
                      <a:glow rad="101600">
                        <a:schemeClr val="accent2">
                          <a:satMod val="175000"/>
                          <a:alpha val="40000"/>
                        </a:schemeClr>
                      </a:glow>
                    </a:effectLst>
                  </pic:spPr>
                </pic:pic>
              </a:graphicData>
            </a:graphic>
          </wp:inline>
        </w:drawing>
      </w:r>
    </w:p>
    <w:p w:rsidR="003025B6" w:rsidRPr="00275249" w:rsidRDefault="00275249" w:rsidP="002F6EC0">
      <w:pPr>
        <w:jc w:val="both"/>
        <w:rPr>
          <w:b/>
        </w:rPr>
      </w:pPr>
      <w:r>
        <w:rPr>
          <w:b/>
        </w:rPr>
        <w:t xml:space="preserve">Klíčová slova: </w:t>
      </w:r>
      <w:proofErr w:type="spellStart"/>
      <w:r w:rsidRPr="00275249">
        <w:t>instabilita</w:t>
      </w:r>
      <w:proofErr w:type="spellEnd"/>
      <w:r>
        <w:t xml:space="preserve"> – pád mechanický – pád symptomatický – stenóza karotid – arytmie – transitorní ischemická ataka – iontová </w:t>
      </w:r>
      <w:proofErr w:type="spellStart"/>
      <w:r>
        <w:t>dysbalance</w:t>
      </w:r>
      <w:proofErr w:type="spellEnd"/>
      <w:r>
        <w:t xml:space="preserve"> – psychofarmaka – fraktura krčku kosti stehenní</w:t>
      </w:r>
    </w:p>
    <w:p w:rsidR="002F6EC0" w:rsidRDefault="002F6EC0" w:rsidP="00663C2C">
      <w:pPr>
        <w:jc w:val="right"/>
        <w:rPr>
          <w:b/>
        </w:rPr>
      </w:pPr>
    </w:p>
    <w:p w:rsidR="00F510A6" w:rsidRDefault="00F510A6" w:rsidP="00F510A6">
      <w:pPr>
        <w:rPr>
          <w:b/>
        </w:rPr>
      </w:pPr>
      <w:proofErr w:type="gramStart"/>
      <w:r>
        <w:rPr>
          <w:b/>
        </w:rPr>
        <w:t>11.1  Definice</w:t>
      </w:r>
      <w:proofErr w:type="gramEnd"/>
      <w:r>
        <w:rPr>
          <w:b/>
        </w:rPr>
        <w:t>, etiologie</w:t>
      </w:r>
    </w:p>
    <w:p w:rsidR="00663C2C" w:rsidRPr="0027130B" w:rsidRDefault="00663C2C" w:rsidP="00663C2C">
      <w:pPr>
        <w:jc w:val="right"/>
        <w:rPr>
          <w:b/>
        </w:rPr>
      </w:pPr>
      <w:r>
        <w:rPr>
          <w:noProof/>
        </w:rPr>
        <w:drawing>
          <wp:anchor distT="0" distB="0" distL="114300" distR="114300" simplePos="0" relativeHeight="251670528" behindDoc="1" locked="0" layoutInCell="1" allowOverlap="1">
            <wp:simplePos x="0" y="0"/>
            <wp:positionH relativeFrom="column">
              <wp:posOffset>5193665</wp:posOffset>
            </wp:positionH>
            <wp:positionV relativeFrom="paragraph">
              <wp:posOffset>116205</wp:posOffset>
            </wp:positionV>
            <wp:extent cx="466090" cy="461010"/>
            <wp:effectExtent l="114300" t="114300" r="105410" b="110490"/>
            <wp:wrapTight wrapText="bothSides">
              <wp:wrapPolygon edited="0">
                <wp:start x="-3531" y="-5355"/>
                <wp:lineTo x="-5297" y="-3570"/>
                <wp:lineTo x="-5297" y="19636"/>
                <wp:lineTo x="-3531" y="25884"/>
                <wp:lineTo x="23837" y="25884"/>
                <wp:lineTo x="25602" y="11603"/>
                <wp:lineTo x="25602" y="10711"/>
                <wp:lineTo x="23837" y="-2678"/>
                <wp:lineTo x="23837" y="-5355"/>
                <wp:lineTo x="-3531" y="-5355"/>
              </wp:wrapPolygon>
            </wp:wrapTight>
            <wp:docPr id="2" name="Obrázek 2" descr="C:\Users\Hana\Documents\NAP\e-learning\ruči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C:\Users\Hana\Documents\NAP\e-learning\ručičk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461010"/>
                    </a:xfrm>
                    <a:prstGeom prst="rect">
                      <a:avLst/>
                    </a:prstGeom>
                    <a:noFill/>
                    <a:ln>
                      <a:noFill/>
                    </a:ln>
                    <a:effectLst>
                      <a:glow rad="101600">
                        <a:schemeClr val="accent1">
                          <a:satMod val="175000"/>
                          <a:alpha val="40000"/>
                        </a:schemeClr>
                      </a:glow>
                    </a:effectLst>
                  </pic:spPr>
                </pic:pic>
              </a:graphicData>
            </a:graphic>
            <wp14:sizeRelH relativeFrom="page">
              <wp14:pctWidth>0</wp14:pctWidth>
            </wp14:sizeRelH>
            <wp14:sizeRelV relativeFrom="page">
              <wp14:pctHeight>0</wp14:pctHeight>
            </wp14:sizeRelV>
          </wp:anchor>
        </w:drawing>
      </w:r>
    </w:p>
    <w:p w:rsidR="002F6EC0" w:rsidRPr="00A01770" w:rsidRDefault="002F6EC0" w:rsidP="002F6EC0">
      <w:pPr>
        <w:jc w:val="both"/>
      </w:pPr>
      <w:r w:rsidRPr="00A01770">
        <w:rPr>
          <w:b/>
          <w:i/>
        </w:rPr>
        <w:t>Definice:</w:t>
      </w:r>
      <w:r w:rsidRPr="00A01770">
        <w:rPr>
          <w:i/>
        </w:rPr>
        <w:t xml:space="preserve"> </w:t>
      </w:r>
      <w:r w:rsidRPr="00A01770">
        <w:t xml:space="preserve">porucha koordinace způsobující nejistotu při chůzi, závratě a pády. Výskyt tohoto syndromu je v seniorské populaci velmi vysoký – udává se až 40% seniorů s občasnými pocity </w:t>
      </w:r>
      <w:proofErr w:type="spellStart"/>
      <w:r w:rsidRPr="00A01770">
        <w:t>instability</w:t>
      </w:r>
      <w:proofErr w:type="spellEnd"/>
      <w:r w:rsidRPr="00A01770">
        <w:t xml:space="preserve"> či závratí a asi 25% populace nad 65 let trpí opakovanými pády. Přibližně v polovině případů jsme schopni současnými prostředky medicíny tento syndrom řešit.</w:t>
      </w:r>
    </w:p>
    <w:p w:rsidR="002F6EC0" w:rsidRPr="00A01770" w:rsidRDefault="002F6EC0" w:rsidP="002F6EC0">
      <w:pPr>
        <w:jc w:val="both"/>
      </w:pPr>
      <w:r w:rsidRPr="00A01770">
        <w:rPr>
          <w:b/>
          <w:i/>
        </w:rPr>
        <w:t>Etiologie:</w:t>
      </w:r>
      <w:r w:rsidRPr="00A01770">
        <w:rPr>
          <w:i/>
        </w:rPr>
        <w:t xml:space="preserve"> </w:t>
      </w:r>
      <w:r w:rsidRPr="00A01770">
        <w:t xml:space="preserve">poruchy koordinace pohybu, snížení reakční rychlosti, zhoršení zraku, oslabení přímivých svalů a další poruchy pohybového aparátu, poruchy mozečku, porucha periferního rovnovážného ústrojí nebo jeho centrálního analyzátoru, nejčastěji poruchy prokrvení z důvodu stenózy magistrálních mozkových tepen, srdečních arytmií či anémie, útlaku vertebrálních arterií při </w:t>
      </w:r>
      <w:proofErr w:type="spellStart"/>
      <w:r w:rsidRPr="00A01770">
        <w:t>spondylóze</w:t>
      </w:r>
      <w:proofErr w:type="spellEnd"/>
      <w:r w:rsidRPr="00A01770">
        <w:t xml:space="preserve"> C p</w:t>
      </w:r>
      <w:r>
        <w:t>á</w:t>
      </w:r>
      <w:r w:rsidRPr="00A01770">
        <w:t xml:space="preserve">teře, neurologické příčiny - TIA, CMP, Parkinsonova choroba, deficity vitaminu B, neuropatie, </w:t>
      </w:r>
      <w:proofErr w:type="spellStart"/>
      <w:r w:rsidRPr="00A01770">
        <w:t>hyponatrémie</w:t>
      </w:r>
      <w:proofErr w:type="spellEnd"/>
      <w:r w:rsidRPr="00A01770">
        <w:t xml:space="preserve">. Projevem předchozích patologických procesů a zároveň příčinou pádu může být i synkopa či kolapsový stav. Pády mechanické - uklouznutí, zakopnutí, chůze po schodech, opření se o nepevný kus nábytku, řidčeji pád ze žebříku nebo stoličky. </w:t>
      </w:r>
    </w:p>
    <w:p w:rsidR="002F6EC0" w:rsidRDefault="002F6EC0" w:rsidP="002F6EC0">
      <w:pPr>
        <w:pStyle w:val="Zkladntext"/>
        <w:jc w:val="both"/>
        <w:rPr>
          <w:b/>
          <w:caps/>
          <w:sz w:val="26"/>
        </w:rPr>
      </w:pPr>
    </w:p>
    <w:p w:rsidR="002F6EC0" w:rsidRDefault="002F6EC0" w:rsidP="002F6EC0">
      <w:pPr>
        <w:pStyle w:val="Zkladntext"/>
        <w:jc w:val="both"/>
        <w:rPr>
          <w:b/>
          <w:caps/>
          <w:sz w:val="26"/>
        </w:rPr>
      </w:pPr>
    </w:p>
    <w:p w:rsidR="00CE30D5" w:rsidRDefault="00CE30D5" w:rsidP="002F6EC0">
      <w:pPr>
        <w:pStyle w:val="Zkladntext"/>
        <w:jc w:val="both"/>
        <w:rPr>
          <w:b/>
          <w:sz w:val="22"/>
          <w:szCs w:val="22"/>
        </w:rPr>
      </w:pPr>
      <w:r>
        <w:rPr>
          <w:noProof/>
          <w:sz w:val="24"/>
        </w:rPr>
        <w:drawing>
          <wp:anchor distT="0" distB="0" distL="114300" distR="114300" simplePos="0" relativeHeight="251671552" behindDoc="1" locked="0" layoutInCell="1" allowOverlap="1" wp14:anchorId="1704B19D" wp14:editId="2A1E94C6">
            <wp:simplePos x="0" y="0"/>
            <wp:positionH relativeFrom="column">
              <wp:posOffset>5317490</wp:posOffset>
            </wp:positionH>
            <wp:positionV relativeFrom="paragraph">
              <wp:posOffset>145415</wp:posOffset>
            </wp:positionV>
            <wp:extent cx="514350" cy="504825"/>
            <wp:effectExtent l="114300" t="114300" r="114300" b="123825"/>
            <wp:wrapTight wrapText="bothSides">
              <wp:wrapPolygon edited="0">
                <wp:start x="-3200" y="-4891"/>
                <wp:lineTo x="-4800" y="-3260"/>
                <wp:lineTo x="-4800" y="20377"/>
                <wp:lineTo x="-3200" y="26083"/>
                <wp:lineTo x="24000" y="26083"/>
                <wp:lineTo x="25600" y="22823"/>
                <wp:lineTo x="25600" y="9781"/>
                <wp:lineTo x="24000" y="-2445"/>
                <wp:lineTo x="24000" y="-4891"/>
                <wp:lineTo x="-3200" y="-4891"/>
              </wp:wrapPolygon>
            </wp:wrapTight>
            <wp:docPr id="16" name="Obrázek 16" descr="C:\Users\Hana\Documents\NAP\e-learning\šip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šipk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a:effectLst>
                      <a:glow rad="101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r>
        <w:rPr>
          <w:b/>
          <w:sz w:val="22"/>
          <w:szCs w:val="22"/>
        </w:rPr>
        <w:t xml:space="preserve">11.2 </w:t>
      </w:r>
      <w:r w:rsidR="002F6EC0" w:rsidRPr="00663C2C">
        <w:rPr>
          <w:b/>
          <w:sz w:val="22"/>
          <w:szCs w:val="22"/>
        </w:rPr>
        <w:t xml:space="preserve">Nejčastější příčiny </w:t>
      </w:r>
      <w:r>
        <w:rPr>
          <w:b/>
          <w:sz w:val="22"/>
          <w:szCs w:val="22"/>
        </w:rPr>
        <w:t xml:space="preserve">a projevy </w:t>
      </w:r>
      <w:proofErr w:type="spellStart"/>
      <w:r w:rsidR="002F6EC0" w:rsidRPr="00663C2C">
        <w:rPr>
          <w:b/>
          <w:sz w:val="22"/>
          <w:szCs w:val="22"/>
        </w:rPr>
        <w:t>instability</w:t>
      </w:r>
      <w:proofErr w:type="spellEnd"/>
      <w:r w:rsidR="002F6EC0" w:rsidRPr="00663C2C">
        <w:rPr>
          <w:b/>
          <w:sz w:val="22"/>
          <w:szCs w:val="22"/>
        </w:rPr>
        <w:t xml:space="preserve"> a pádů</w:t>
      </w:r>
    </w:p>
    <w:p w:rsidR="002F6EC0" w:rsidRPr="0027130B" w:rsidRDefault="00663C2C" w:rsidP="002F6EC0">
      <w:pPr>
        <w:pStyle w:val="Zkladntext"/>
        <w:jc w:val="both"/>
        <w:rPr>
          <w:sz w:val="22"/>
          <w:szCs w:val="22"/>
        </w:rPr>
      </w:pPr>
      <w:r w:rsidRPr="00663C2C">
        <w:rPr>
          <w:b/>
          <w:sz w:val="22"/>
          <w:szCs w:val="22"/>
        </w:rPr>
        <w:t xml:space="preserve">                                                                              </w:t>
      </w:r>
    </w:p>
    <w:p w:rsidR="002F6EC0" w:rsidRPr="00A01770" w:rsidRDefault="002F6EC0" w:rsidP="002F6EC0">
      <w:r>
        <w:rPr>
          <w:noProof/>
        </w:rPr>
        <w:drawing>
          <wp:anchor distT="0" distB="0" distL="114300" distR="114300" simplePos="0" relativeHeight="251658240" behindDoc="0" locked="0" layoutInCell="0" allowOverlap="0">
            <wp:simplePos x="0" y="0"/>
            <wp:positionH relativeFrom="margin">
              <wp:posOffset>-1402715</wp:posOffset>
            </wp:positionH>
            <wp:positionV relativeFrom="line">
              <wp:posOffset>44450</wp:posOffset>
            </wp:positionV>
            <wp:extent cx="450215" cy="441960"/>
            <wp:effectExtent l="0" t="0" r="698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215" cy="4419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180" w:type="dxa"/>
        <w:tblLayout w:type="fixed"/>
        <w:tblCellMar>
          <w:left w:w="70" w:type="dxa"/>
          <w:right w:w="70" w:type="dxa"/>
        </w:tblCellMar>
        <w:tblLook w:val="0000" w:firstRow="0" w:lastRow="0" w:firstColumn="0" w:lastColumn="0" w:noHBand="0" w:noVBand="0"/>
      </w:tblPr>
      <w:tblGrid>
        <w:gridCol w:w="2122"/>
        <w:gridCol w:w="5058"/>
      </w:tblGrid>
      <w:tr w:rsidR="002F6EC0" w:rsidRPr="00A01770" w:rsidTr="00746990">
        <w:trPr>
          <w:trHeight w:val="94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F6EC0" w:rsidRPr="00465B10" w:rsidRDefault="002F6EC0" w:rsidP="00746990">
            <w:pPr>
              <w:jc w:val="center"/>
              <w:rPr>
                <w:sz w:val="22"/>
                <w:szCs w:val="22"/>
              </w:rPr>
            </w:pPr>
            <w:r w:rsidRPr="00465B10">
              <w:rPr>
                <w:sz w:val="22"/>
                <w:szCs w:val="22"/>
              </w:rPr>
              <w:t xml:space="preserve">postižení vedoucí k </w:t>
            </w:r>
            <w:proofErr w:type="spellStart"/>
            <w:r w:rsidRPr="00465B10">
              <w:rPr>
                <w:sz w:val="22"/>
                <w:szCs w:val="22"/>
              </w:rPr>
              <w:t>instabilitě</w:t>
            </w:r>
            <w:proofErr w:type="spellEnd"/>
            <w:r w:rsidRPr="00465B10">
              <w:rPr>
                <w:sz w:val="22"/>
                <w:szCs w:val="22"/>
              </w:rPr>
              <w:t xml:space="preserve"> a pádům</w:t>
            </w:r>
          </w:p>
        </w:tc>
        <w:tc>
          <w:tcPr>
            <w:tcW w:w="5058" w:type="dxa"/>
            <w:tcBorders>
              <w:top w:val="single" w:sz="4" w:space="0" w:color="auto"/>
              <w:left w:val="nil"/>
              <w:bottom w:val="single" w:sz="4" w:space="0" w:color="auto"/>
              <w:right w:val="single" w:sz="4" w:space="0" w:color="auto"/>
            </w:tcBorders>
            <w:shd w:val="clear" w:color="auto" w:fill="auto"/>
            <w:vAlign w:val="center"/>
          </w:tcPr>
          <w:p w:rsidR="002F6EC0" w:rsidRPr="00A01770" w:rsidRDefault="002F6EC0" w:rsidP="00746990">
            <w:pPr>
              <w:jc w:val="center"/>
            </w:pPr>
            <w:r w:rsidRPr="00A01770">
              <w:t>příklad</w:t>
            </w:r>
          </w:p>
        </w:tc>
      </w:tr>
      <w:tr w:rsidR="002F6EC0" w:rsidRPr="00A01770" w:rsidTr="00746990">
        <w:trPr>
          <w:trHeight w:val="630"/>
        </w:trPr>
        <w:tc>
          <w:tcPr>
            <w:tcW w:w="2122" w:type="dxa"/>
            <w:tcBorders>
              <w:top w:val="nil"/>
              <w:left w:val="single" w:sz="4" w:space="0" w:color="auto"/>
              <w:bottom w:val="single" w:sz="4" w:space="0" w:color="auto"/>
              <w:right w:val="single" w:sz="4" w:space="0" w:color="auto"/>
            </w:tcBorders>
            <w:shd w:val="clear" w:color="auto" w:fill="auto"/>
            <w:noWrap/>
            <w:vAlign w:val="bottom"/>
          </w:tcPr>
          <w:p w:rsidR="002F6EC0" w:rsidRPr="00A01770" w:rsidRDefault="002F6EC0" w:rsidP="00746990">
            <w:proofErr w:type="spellStart"/>
            <w:r w:rsidRPr="00A01770">
              <w:t>vertebrogenní</w:t>
            </w:r>
            <w:proofErr w:type="spellEnd"/>
          </w:p>
        </w:tc>
        <w:tc>
          <w:tcPr>
            <w:tcW w:w="5058" w:type="dxa"/>
            <w:tcBorders>
              <w:top w:val="nil"/>
              <w:left w:val="nil"/>
              <w:bottom w:val="single" w:sz="4" w:space="0" w:color="auto"/>
              <w:right w:val="single" w:sz="4" w:space="0" w:color="auto"/>
            </w:tcBorders>
            <w:shd w:val="clear" w:color="auto" w:fill="auto"/>
            <w:vAlign w:val="bottom"/>
          </w:tcPr>
          <w:p w:rsidR="002F6EC0" w:rsidRPr="00A01770" w:rsidRDefault="002F6EC0" w:rsidP="00746990">
            <w:r w:rsidRPr="00A01770">
              <w:t>osteofyty krční páteře, cervikobrachiální syndrom, cervikokraniální syndrom</w:t>
            </w:r>
          </w:p>
        </w:tc>
      </w:tr>
      <w:tr w:rsidR="002F6EC0" w:rsidRPr="00A01770" w:rsidTr="00746990">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tcPr>
          <w:p w:rsidR="002F6EC0" w:rsidRPr="00A01770" w:rsidRDefault="002F6EC0" w:rsidP="00746990">
            <w:r w:rsidRPr="00A01770">
              <w:lastRenderedPageBreak/>
              <w:t>kardiální</w:t>
            </w:r>
          </w:p>
        </w:tc>
        <w:tc>
          <w:tcPr>
            <w:tcW w:w="5058" w:type="dxa"/>
            <w:tcBorders>
              <w:top w:val="nil"/>
              <w:left w:val="nil"/>
              <w:bottom w:val="single" w:sz="4" w:space="0" w:color="auto"/>
              <w:right w:val="single" w:sz="4" w:space="0" w:color="auto"/>
            </w:tcBorders>
            <w:shd w:val="clear" w:color="auto" w:fill="auto"/>
            <w:noWrap/>
            <w:vAlign w:val="bottom"/>
          </w:tcPr>
          <w:p w:rsidR="002F6EC0" w:rsidRPr="00A01770" w:rsidRDefault="002F6EC0" w:rsidP="00746990">
            <w:r w:rsidRPr="00A01770">
              <w:t>poruchy rytmu, srdeční selhání, hypotenze</w:t>
            </w:r>
          </w:p>
        </w:tc>
      </w:tr>
      <w:tr w:rsidR="002F6EC0" w:rsidRPr="00A01770" w:rsidTr="00746990">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tcPr>
          <w:p w:rsidR="002F6EC0" w:rsidRPr="00A01770" w:rsidRDefault="002F6EC0" w:rsidP="00746990">
            <w:r w:rsidRPr="00A01770">
              <w:t>vaskulární</w:t>
            </w:r>
          </w:p>
        </w:tc>
        <w:tc>
          <w:tcPr>
            <w:tcW w:w="5058" w:type="dxa"/>
            <w:tcBorders>
              <w:top w:val="nil"/>
              <w:left w:val="nil"/>
              <w:bottom w:val="single" w:sz="4" w:space="0" w:color="auto"/>
              <w:right w:val="single" w:sz="4" w:space="0" w:color="auto"/>
            </w:tcBorders>
            <w:shd w:val="clear" w:color="auto" w:fill="auto"/>
            <w:noWrap/>
            <w:vAlign w:val="bottom"/>
          </w:tcPr>
          <w:p w:rsidR="002F6EC0" w:rsidRPr="00A01770" w:rsidRDefault="002F6EC0" w:rsidP="00746990">
            <w:r w:rsidRPr="00A01770">
              <w:t>stenózy magistrálních mozkových tepen</w:t>
            </w:r>
          </w:p>
        </w:tc>
      </w:tr>
      <w:tr w:rsidR="002F6EC0" w:rsidRPr="00A01770" w:rsidTr="00746990">
        <w:trPr>
          <w:trHeight w:val="630"/>
        </w:trPr>
        <w:tc>
          <w:tcPr>
            <w:tcW w:w="2122" w:type="dxa"/>
            <w:tcBorders>
              <w:top w:val="nil"/>
              <w:left w:val="single" w:sz="4" w:space="0" w:color="auto"/>
              <w:bottom w:val="single" w:sz="4" w:space="0" w:color="auto"/>
              <w:right w:val="single" w:sz="4" w:space="0" w:color="auto"/>
            </w:tcBorders>
            <w:shd w:val="clear" w:color="auto" w:fill="auto"/>
            <w:noWrap/>
            <w:vAlign w:val="bottom"/>
          </w:tcPr>
          <w:p w:rsidR="002F6EC0" w:rsidRPr="00A01770" w:rsidRDefault="002F6EC0" w:rsidP="00746990">
            <w:r w:rsidRPr="00A01770">
              <w:t>neurogenní</w:t>
            </w:r>
          </w:p>
        </w:tc>
        <w:tc>
          <w:tcPr>
            <w:tcW w:w="5058" w:type="dxa"/>
            <w:tcBorders>
              <w:top w:val="nil"/>
              <w:left w:val="nil"/>
              <w:bottom w:val="single" w:sz="4" w:space="0" w:color="auto"/>
              <w:right w:val="single" w:sz="4" w:space="0" w:color="auto"/>
            </w:tcBorders>
            <w:shd w:val="clear" w:color="auto" w:fill="auto"/>
            <w:vAlign w:val="bottom"/>
          </w:tcPr>
          <w:p w:rsidR="002F6EC0" w:rsidRPr="00A01770" w:rsidRDefault="002F6EC0" w:rsidP="00746990">
            <w:r w:rsidRPr="00A01770">
              <w:t>poškození nervové tkáně - stavy po mozkových příhodách, neuropatie, epilepsie</w:t>
            </w:r>
          </w:p>
        </w:tc>
      </w:tr>
      <w:tr w:rsidR="002F6EC0" w:rsidRPr="00A01770" w:rsidTr="00746990">
        <w:trPr>
          <w:trHeight w:val="630"/>
        </w:trPr>
        <w:tc>
          <w:tcPr>
            <w:tcW w:w="2122" w:type="dxa"/>
            <w:tcBorders>
              <w:top w:val="nil"/>
              <w:left w:val="single" w:sz="4" w:space="0" w:color="auto"/>
              <w:bottom w:val="single" w:sz="4" w:space="0" w:color="auto"/>
              <w:right w:val="single" w:sz="4" w:space="0" w:color="auto"/>
            </w:tcBorders>
            <w:shd w:val="clear" w:color="auto" w:fill="auto"/>
            <w:noWrap/>
            <w:vAlign w:val="bottom"/>
          </w:tcPr>
          <w:p w:rsidR="002F6EC0" w:rsidRPr="00A01770" w:rsidRDefault="002F6EC0" w:rsidP="00746990">
            <w:r w:rsidRPr="00A01770">
              <w:t>zevní</w:t>
            </w:r>
          </w:p>
        </w:tc>
        <w:tc>
          <w:tcPr>
            <w:tcW w:w="5058" w:type="dxa"/>
            <w:tcBorders>
              <w:top w:val="nil"/>
              <w:left w:val="nil"/>
              <w:bottom w:val="single" w:sz="4" w:space="0" w:color="auto"/>
              <w:right w:val="single" w:sz="4" w:space="0" w:color="auto"/>
            </w:tcBorders>
            <w:shd w:val="clear" w:color="auto" w:fill="auto"/>
            <w:vAlign w:val="bottom"/>
          </w:tcPr>
          <w:p w:rsidR="002F6EC0" w:rsidRPr="00A01770" w:rsidRDefault="002F6EC0" w:rsidP="00746990">
            <w:r w:rsidRPr="00A01770">
              <w:t>mechanické pády, překážky v domácím prostředí</w:t>
            </w:r>
          </w:p>
        </w:tc>
      </w:tr>
    </w:tbl>
    <w:p w:rsidR="002F6EC0" w:rsidRPr="00A01770" w:rsidRDefault="002F6EC0" w:rsidP="002F6EC0">
      <w:pPr>
        <w:jc w:val="both"/>
        <w:rPr>
          <w:b/>
          <w:i/>
        </w:rPr>
      </w:pPr>
    </w:p>
    <w:p w:rsidR="002F6EC0" w:rsidRDefault="002F6EC0" w:rsidP="002F6EC0">
      <w:pPr>
        <w:jc w:val="both"/>
        <w:rPr>
          <w:b/>
          <w:i/>
        </w:rPr>
      </w:pPr>
    </w:p>
    <w:p w:rsidR="002F6EC0" w:rsidRDefault="002F6EC0" w:rsidP="002F6EC0">
      <w:pPr>
        <w:jc w:val="both"/>
      </w:pPr>
      <w:r w:rsidRPr="00A01770">
        <w:rPr>
          <w:b/>
          <w:i/>
        </w:rPr>
        <w:t>Příznaky:</w:t>
      </w:r>
      <w:r w:rsidRPr="00A01770">
        <w:rPr>
          <w:i/>
        </w:rPr>
        <w:t xml:space="preserve"> </w:t>
      </w:r>
      <w:r w:rsidRPr="00A01770">
        <w:t>pocit nejistoty, nutnost opírat se o nábytek, zdi, dále závrať nejčastěji přechodná, která způsobí náhlé zavrávorání nebo pád.                  U mechanických pádů si obvykle nemocný na všechno pamatuje, i na to, o co např. zakopl. U pádů způsobených poruchami prokrvení mozku je obvykle popisováno zatmění před očima a následný pád nebo bušení či nepravidelnost srdeční činnosti a následný pád, případně se nemocný bez varovných příznaků ocitne na zemi. Závrať samotná může být doprovázena pocitem nau</w:t>
      </w:r>
      <w:r>
        <w:t>z</w:t>
      </w:r>
      <w:r w:rsidRPr="00A01770">
        <w:t>e</w:t>
      </w:r>
      <w:r>
        <w:t>y</w:t>
      </w:r>
      <w:r w:rsidRPr="00A01770">
        <w:t xml:space="preserve"> spolu s pocitem točení či tahu dopředu, dozadu či do stran.</w:t>
      </w:r>
    </w:p>
    <w:p w:rsidR="00663C2C" w:rsidRPr="00A01770" w:rsidRDefault="00663C2C" w:rsidP="00663C2C">
      <w:pPr>
        <w:jc w:val="right"/>
      </w:pPr>
      <w:r>
        <w:rPr>
          <w:noProof/>
        </w:rPr>
        <w:drawing>
          <wp:inline distT="0" distB="0" distL="0" distR="0" wp14:anchorId="29729730" wp14:editId="2C1EC7DB">
            <wp:extent cx="466402" cy="461327"/>
            <wp:effectExtent l="114300" t="114300" r="105410" b="110490"/>
            <wp:docPr id="3" name="Obrázek 3" descr="C:\Users\Hana\Documents\NAP\e-learning\ruči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C:\Users\Hana\Documents\NAP\e-learning\ručičk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461010"/>
                    </a:xfrm>
                    <a:prstGeom prst="rect">
                      <a:avLst/>
                    </a:prstGeom>
                    <a:noFill/>
                    <a:ln>
                      <a:noFill/>
                    </a:ln>
                    <a:effectLst>
                      <a:glow rad="101600">
                        <a:schemeClr val="accent1">
                          <a:satMod val="175000"/>
                          <a:alpha val="40000"/>
                        </a:schemeClr>
                      </a:glow>
                    </a:effectLst>
                  </pic:spPr>
                </pic:pic>
              </a:graphicData>
            </a:graphic>
          </wp:inline>
        </w:drawing>
      </w:r>
    </w:p>
    <w:p w:rsidR="00CE30D5" w:rsidRDefault="00CE30D5" w:rsidP="002F6EC0">
      <w:pPr>
        <w:jc w:val="both"/>
        <w:rPr>
          <w:b/>
        </w:rPr>
      </w:pPr>
      <w:r w:rsidRPr="00CE30D5">
        <w:rPr>
          <w:b/>
        </w:rPr>
        <w:t>11.3 Diagnostika</w:t>
      </w:r>
    </w:p>
    <w:p w:rsidR="00CE30D5" w:rsidRPr="00CE30D5" w:rsidRDefault="00CE30D5" w:rsidP="002F6EC0">
      <w:pPr>
        <w:jc w:val="both"/>
        <w:rPr>
          <w:b/>
        </w:rPr>
      </w:pPr>
    </w:p>
    <w:p w:rsidR="002F6EC0" w:rsidRPr="00A01770" w:rsidRDefault="00CE30D5" w:rsidP="002F6EC0">
      <w:pPr>
        <w:jc w:val="both"/>
      </w:pPr>
      <w:r w:rsidRPr="00CE30D5">
        <w:t>F</w:t>
      </w:r>
      <w:r w:rsidR="002F6EC0" w:rsidRPr="00A01770">
        <w:t xml:space="preserve">yzikální vyšetření může nalézt nystagmus, poruchy stoje nebo chůze, komplementární a konsiliární vyšetření by měla vyloučit nebo potvrdit všechny řešitelné příčiny pádů – RTG lebky a C páteře, Doppler magistrálních mozkových tepen, EEG, EMG, EKG, </w:t>
      </w:r>
      <w:proofErr w:type="spellStart"/>
      <w:r w:rsidR="002F6EC0" w:rsidRPr="00A01770">
        <w:t>Holterovo</w:t>
      </w:r>
      <w:proofErr w:type="spellEnd"/>
      <w:r w:rsidR="002F6EC0" w:rsidRPr="00A01770">
        <w:t xml:space="preserve"> monitorování, ORL vyšetření rovnovážného ústrojí, biochemické a hematologické vyšetření ke zjištění metabolických příčin či anémie.</w:t>
      </w:r>
    </w:p>
    <w:p w:rsidR="002F6EC0" w:rsidRDefault="002F6EC0" w:rsidP="002F6EC0">
      <w:pPr>
        <w:ind w:firstLine="539"/>
        <w:jc w:val="both"/>
      </w:pPr>
      <w:r w:rsidRPr="00A01770">
        <w:t>Za rizikového považujeme nemocného tehdy, udává-li</w:t>
      </w:r>
      <w:r>
        <w:t xml:space="preserve"> pády v posledním půl </w:t>
      </w:r>
      <w:proofErr w:type="gramStart"/>
      <w:r w:rsidRPr="00A01770">
        <w:t>roce</w:t>
      </w:r>
      <w:proofErr w:type="gramEnd"/>
      <w:r w:rsidRPr="00A01770">
        <w:t xml:space="preserve">, má-li poruchy chůze a stability, které signalizují ohnutá záda, ztuhlá šíje, drobné a šouravé kroky, nestejně dlouhé kroky, chůze o širší bázi, hlava, krk a trup se otáčí současně - obdoba chůze mladého člověka po ledu. Za významný rizikový faktor je považována </w:t>
      </w:r>
      <w:proofErr w:type="spellStart"/>
      <w:r w:rsidRPr="00A01770">
        <w:t>polypragmázie</w:t>
      </w:r>
      <w:proofErr w:type="spellEnd"/>
      <w:r w:rsidRPr="00A01770">
        <w:t xml:space="preserve"> včetně podávání psychofarmak, dále přítomnost demence, deprese a úzkosti.</w:t>
      </w:r>
    </w:p>
    <w:p w:rsidR="00663C2C" w:rsidRPr="00A01770" w:rsidRDefault="00663C2C" w:rsidP="00663C2C">
      <w:pPr>
        <w:ind w:firstLine="539"/>
        <w:jc w:val="right"/>
      </w:pPr>
      <w:r>
        <w:rPr>
          <w:noProof/>
        </w:rPr>
        <w:drawing>
          <wp:anchor distT="0" distB="0" distL="114300" distR="114300" simplePos="0" relativeHeight="251672576" behindDoc="1" locked="0" layoutInCell="1" allowOverlap="1">
            <wp:simplePos x="0" y="0"/>
            <wp:positionH relativeFrom="column">
              <wp:posOffset>5193665</wp:posOffset>
            </wp:positionH>
            <wp:positionV relativeFrom="paragraph">
              <wp:posOffset>119380</wp:posOffset>
            </wp:positionV>
            <wp:extent cx="466090" cy="461010"/>
            <wp:effectExtent l="114300" t="114300" r="105410" b="110490"/>
            <wp:wrapTight wrapText="bothSides">
              <wp:wrapPolygon edited="0">
                <wp:start x="-3531" y="-5355"/>
                <wp:lineTo x="-5297" y="-3570"/>
                <wp:lineTo x="-5297" y="19636"/>
                <wp:lineTo x="-3531" y="25884"/>
                <wp:lineTo x="23837" y="25884"/>
                <wp:lineTo x="25602" y="11603"/>
                <wp:lineTo x="25602" y="10711"/>
                <wp:lineTo x="23837" y="-2678"/>
                <wp:lineTo x="23837" y="-5355"/>
                <wp:lineTo x="-3531" y="-5355"/>
              </wp:wrapPolygon>
            </wp:wrapTight>
            <wp:docPr id="4" name="Obrázek 4" descr="C:\Users\Hana\Documents\NAP\e-learning\ruči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C:\Users\Hana\Documents\NAP\e-learning\ručičk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461010"/>
                    </a:xfrm>
                    <a:prstGeom prst="rect">
                      <a:avLst/>
                    </a:prstGeom>
                    <a:noFill/>
                    <a:ln>
                      <a:noFill/>
                    </a:ln>
                    <a:effectLst>
                      <a:glow rad="101600">
                        <a:schemeClr val="accent1">
                          <a:satMod val="175000"/>
                          <a:alpha val="40000"/>
                        </a:schemeClr>
                      </a:glow>
                    </a:effectLst>
                  </pic:spPr>
                </pic:pic>
              </a:graphicData>
            </a:graphic>
            <wp14:sizeRelH relativeFrom="page">
              <wp14:pctWidth>0</wp14:pctWidth>
            </wp14:sizeRelH>
            <wp14:sizeRelV relativeFrom="page">
              <wp14:pctHeight>0</wp14:pctHeight>
            </wp14:sizeRelV>
          </wp:anchor>
        </w:drawing>
      </w:r>
    </w:p>
    <w:p w:rsidR="002F6EC0" w:rsidRPr="00A01770" w:rsidRDefault="002F6EC0" w:rsidP="002F6EC0">
      <w:pPr>
        <w:jc w:val="both"/>
      </w:pPr>
      <w:r w:rsidRPr="00A01770">
        <w:rPr>
          <w:b/>
          <w:i/>
        </w:rPr>
        <w:t>Komplikace:</w:t>
      </w:r>
      <w:r w:rsidRPr="00A01770">
        <w:rPr>
          <w:i/>
        </w:rPr>
        <w:t xml:space="preserve"> </w:t>
      </w:r>
      <w:r w:rsidRPr="00A01770">
        <w:t xml:space="preserve">pád staršího nemocného znamená ve 20-30% případů úraz, pětina z nich musí být hospitalizována, nemocní s pády mají 4-6x vyšší mortalitu, z nemocných zemřelých na následky pádu bylo 67% mužů a 92% žen starších 60 let, nejčastější příčiny úmrtí po pádu – pneumonie, dekubitální sepse, nitrolební krvácení. Ze zlomenin se po pádech nejčastěji vyskytuje zlomenina krčku femuru, </w:t>
      </w:r>
      <w:proofErr w:type="spellStart"/>
      <w:r w:rsidRPr="00A01770">
        <w:t>Collesova</w:t>
      </w:r>
      <w:proofErr w:type="spellEnd"/>
      <w:r w:rsidRPr="00A01770">
        <w:t xml:space="preserve"> zlomenina, zlomeniny obratlů, zlomeniny lebky a nitrol</w:t>
      </w:r>
      <w:r>
        <w:t xml:space="preserve">ební poranění. Dále může dojít </w:t>
      </w:r>
      <w:r w:rsidRPr="00A01770">
        <w:t xml:space="preserve">ke zhmoždění měkkých tkání s rozvojem imobilizačního syndromu a přechodnou či trvalou ztrátou soběstačnosti, k rozvoji </w:t>
      </w:r>
      <w:proofErr w:type="spellStart"/>
      <w:r w:rsidRPr="00A01770">
        <w:t>crush</w:t>
      </w:r>
      <w:proofErr w:type="spellEnd"/>
      <w:r w:rsidRPr="00A01770">
        <w:t xml:space="preserve"> syndromu při zaklínění po pádu, případně k prochladnutí při nemožnosti vstát.</w:t>
      </w:r>
    </w:p>
    <w:p w:rsidR="002F6EC0" w:rsidRPr="00A01770" w:rsidRDefault="002F6EC0" w:rsidP="002F6EC0">
      <w:pPr>
        <w:jc w:val="both"/>
      </w:pPr>
      <w:proofErr w:type="spellStart"/>
      <w:r w:rsidRPr="00A01770">
        <w:rPr>
          <w:b/>
          <w:i/>
        </w:rPr>
        <w:t>Diff</w:t>
      </w:r>
      <w:proofErr w:type="spellEnd"/>
      <w:r w:rsidRPr="00A01770">
        <w:rPr>
          <w:b/>
          <w:i/>
        </w:rPr>
        <w:t>. dg.:</w:t>
      </w:r>
      <w:r w:rsidRPr="00A01770">
        <w:t xml:space="preserve"> cévní, neurologické, kardiální, metabolické, </w:t>
      </w:r>
      <w:proofErr w:type="spellStart"/>
      <w:r w:rsidRPr="00A01770">
        <w:t>vertebrogenní</w:t>
      </w:r>
      <w:proofErr w:type="spellEnd"/>
      <w:r w:rsidRPr="00A01770">
        <w:t>, medikamentózní příčiny pádů.</w:t>
      </w:r>
    </w:p>
    <w:p w:rsidR="00CE30D5" w:rsidRDefault="00CE30D5" w:rsidP="002F6EC0">
      <w:pPr>
        <w:jc w:val="both"/>
        <w:rPr>
          <w:b/>
          <w:i/>
        </w:rPr>
      </w:pPr>
    </w:p>
    <w:p w:rsidR="00CE30D5" w:rsidRPr="00CE30D5" w:rsidRDefault="00CE30D5" w:rsidP="002F6EC0">
      <w:pPr>
        <w:jc w:val="both"/>
        <w:rPr>
          <w:b/>
          <w:sz w:val="28"/>
        </w:rPr>
      </w:pPr>
      <w:r w:rsidRPr="00CE30D5">
        <w:rPr>
          <w:b/>
          <w:sz w:val="28"/>
        </w:rPr>
        <w:t>11.4 Léčba</w:t>
      </w:r>
      <w:r>
        <w:rPr>
          <w:b/>
          <w:sz w:val="28"/>
        </w:rPr>
        <w:t>, prevence a profylaxe</w:t>
      </w:r>
    </w:p>
    <w:p w:rsidR="00CE30D5" w:rsidRDefault="00CE30D5" w:rsidP="002F6EC0">
      <w:pPr>
        <w:jc w:val="both"/>
        <w:rPr>
          <w:b/>
          <w:i/>
        </w:rPr>
      </w:pPr>
    </w:p>
    <w:p w:rsidR="002F6EC0" w:rsidRPr="00A01770" w:rsidRDefault="00CE30D5" w:rsidP="002F6EC0">
      <w:pPr>
        <w:jc w:val="both"/>
      </w:pPr>
      <w:r>
        <w:t>P</w:t>
      </w:r>
      <w:r w:rsidR="002F6EC0" w:rsidRPr="00A01770">
        <w:t xml:space="preserve">odle zjištěné příčiny – odstranění významné stenózy karotid, léčba epilepsie, rehabilitační podpora v případě postižení C </w:t>
      </w:r>
      <w:proofErr w:type="spellStart"/>
      <w:r w:rsidR="002F6EC0" w:rsidRPr="00A01770">
        <w:t>pateře</w:t>
      </w:r>
      <w:proofErr w:type="spellEnd"/>
      <w:r w:rsidR="002F6EC0" w:rsidRPr="00A01770">
        <w:t xml:space="preserve"> či svalové síly, léčba anémie či metabolických odchylek, kardiostimulátor v případě významných </w:t>
      </w:r>
      <w:proofErr w:type="spellStart"/>
      <w:r w:rsidR="002F6EC0" w:rsidRPr="00A01770">
        <w:t>bradyarytmií</w:t>
      </w:r>
      <w:proofErr w:type="spellEnd"/>
      <w:r w:rsidR="002F6EC0" w:rsidRPr="00A01770">
        <w:t xml:space="preserve">, případně léčba jiných typů arytmií, </w:t>
      </w:r>
      <w:r w:rsidR="002F6EC0" w:rsidRPr="00A01770">
        <w:lastRenderedPageBreak/>
        <w:t xml:space="preserve">medikace zlepšující prokrvení středního ucha – </w:t>
      </w:r>
      <w:proofErr w:type="spellStart"/>
      <w:r w:rsidR="002F6EC0" w:rsidRPr="00A01770">
        <w:t>betahistin</w:t>
      </w:r>
      <w:proofErr w:type="spellEnd"/>
      <w:r w:rsidR="002F6EC0" w:rsidRPr="00A01770">
        <w:t>, naopak vysazení medikace, která by mohla vznik pádů podporovat.</w:t>
      </w:r>
      <w:r w:rsidR="002F6EC0" w:rsidRPr="00A01770">
        <w:tab/>
      </w:r>
    </w:p>
    <w:p w:rsidR="00663C2C" w:rsidRDefault="00663C2C" w:rsidP="00663C2C">
      <w:pPr>
        <w:jc w:val="right"/>
        <w:rPr>
          <w:b/>
          <w:i/>
        </w:rPr>
      </w:pPr>
      <w:r>
        <w:rPr>
          <w:noProof/>
        </w:rPr>
        <w:drawing>
          <wp:anchor distT="0" distB="0" distL="114300" distR="114300" simplePos="0" relativeHeight="251673600" behindDoc="1" locked="0" layoutInCell="1" allowOverlap="1">
            <wp:simplePos x="0" y="0"/>
            <wp:positionH relativeFrom="column">
              <wp:posOffset>5193665</wp:posOffset>
            </wp:positionH>
            <wp:positionV relativeFrom="paragraph">
              <wp:posOffset>115570</wp:posOffset>
            </wp:positionV>
            <wp:extent cx="466090" cy="461010"/>
            <wp:effectExtent l="114300" t="114300" r="105410" b="110490"/>
            <wp:wrapTight wrapText="bothSides">
              <wp:wrapPolygon edited="0">
                <wp:start x="-3531" y="-5355"/>
                <wp:lineTo x="-5297" y="-3570"/>
                <wp:lineTo x="-5297" y="19636"/>
                <wp:lineTo x="-3531" y="25884"/>
                <wp:lineTo x="23837" y="25884"/>
                <wp:lineTo x="25602" y="11603"/>
                <wp:lineTo x="25602" y="10711"/>
                <wp:lineTo x="23837" y="-2678"/>
                <wp:lineTo x="23837" y="-5355"/>
                <wp:lineTo x="-3531" y="-5355"/>
              </wp:wrapPolygon>
            </wp:wrapTight>
            <wp:docPr id="7" name="Obrázek 7" descr="C:\Users\Hana\Documents\NAP\e-learning\ruči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C:\Users\Hana\Documents\NAP\e-learning\ručičk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461010"/>
                    </a:xfrm>
                    <a:prstGeom prst="rect">
                      <a:avLst/>
                    </a:prstGeom>
                    <a:noFill/>
                    <a:ln>
                      <a:noFill/>
                    </a:ln>
                    <a:effectLst>
                      <a:glow rad="101600">
                        <a:schemeClr val="accent1">
                          <a:satMod val="175000"/>
                          <a:alpha val="40000"/>
                        </a:schemeClr>
                      </a:glow>
                    </a:effectLst>
                  </pic:spPr>
                </pic:pic>
              </a:graphicData>
            </a:graphic>
            <wp14:sizeRelH relativeFrom="page">
              <wp14:pctWidth>0</wp14:pctWidth>
            </wp14:sizeRelH>
            <wp14:sizeRelV relativeFrom="page">
              <wp14:pctHeight>0</wp14:pctHeight>
            </wp14:sizeRelV>
          </wp:anchor>
        </w:drawing>
      </w:r>
    </w:p>
    <w:p w:rsidR="002F6EC0" w:rsidRPr="00A01770" w:rsidRDefault="002F6EC0" w:rsidP="002F6EC0">
      <w:pPr>
        <w:jc w:val="both"/>
      </w:pPr>
      <w:r w:rsidRPr="00A01770">
        <w:rPr>
          <w:b/>
          <w:i/>
        </w:rPr>
        <w:t>Prevence – profylaxe</w:t>
      </w:r>
      <w:r w:rsidRPr="00A01770">
        <w:rPr>
          <w:b/>
        </w:rPr>
        <w:t>:</w:t>
      </w:r>
      <w:r w:rsidRPr="00A01770">
        <w:t xml:space="preserve"> přiměřená fyzická aktivita k udržení hbitosti a svalové síly DKK, vhodná obuv, vhodné kompenzační pomůcky, odstranění překážek v domácím prostředí i v okolí – prahy, koberečky, rohožky, vyčnívající části nábytku, montáž madel na riziková místa – schodiště, koupelny, WC, chodby. Dodržování předpisu označení prvního a posledního schodu. Vhodné je vybavení vany nekluzkým </w:t>
      </w:r>
      <w:bookmarkStart w:id="1" w:name="_GoBack"/>
      <w:bookmarkEnd w:id="1"/>
      <w:r w:rsidRPr="00A01770">
        <w:t xml:space="preserve">koberečkem, sedátkem, nekluzké podlahy, stabilní nábytek, přiměřené osvětlení i v noci. Diskutovaný je význam ochrany kyčelního kloubu – hip </w:t>
      </w:r>
      <w:proofErr w:type="spellStart"/>
      <w:r w:rsidRPr="00A01770">
        <w:t>protector</w:t>
      </w:r>
      <w:proofErr w:type="spellEnd"/>
      <w:r w:rsidRPr="00A01770">
        <w:t xml:space="preserve">, který zmírňuje náraz při pádu na trochanter. </w:t>
      </w:r>
    </w:p>
    <w:p w:rsidR="003674F9" w:rsidRDefault="008C0365" w:rsidP="00F35ABE">
      <w:pPr>
        <w:jc w:val="right"/>
      </w:pPr>
      <w:r>
        <w:rPr>
          <w:noProof/>
        </w:rPr>
        <w:drawing>
          <wp:anchor distT="0" distB="0" distL="114300" distR="114300" simplePos="0" relativeHeight="251669504" behindDoc="0" locked="0" layoutInCell="1" allowOverlap="1" wp14:anchorId="1944A514" wp14:editId="797DAE74">
            <wp:simplePos x="0" y="0"/>
            <wp:positionH relativeFrom="column">
              <wp:posOffset>5415915</wp:posOffset>
            </wp:positionH>
            <wp:positionV relativeFrom="paragraph">
              <wp:posOffset>29210</wp:posOffset>
            </wp:positionV>
            <wp:extent cx="480695" cy="474980"/>
            <wp:effectExtent l="114300" t="114300" r="109855" b="115570"/>
            <wp:wrapSquare wrapText="bothSides"/>
            <wp:docPr id="11" name="Obrázek 11" descr="C:\Users\Hana\Documents\NAP\e-learning\su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a\Documents\NAP\e-learning\sum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695" cy="474980"/>
                    </a:xfrm>
                    <a:prstGeom prst="rect">
                      <a:avLst/>
                    </a:prstGeom>
                    <a:noFill/>
                    <a:ln>
                      <a:noFill/>
                    </a:ln>
                    <a:effectLst>
                      <a:glow rad="101600">
                        <a:schemeClr val="accent1">
                          <a:satMod val="175000"/>
                          <a:alpha val="40000"/>
                        </a:schemeClr>
                      </a:glow>
                    </a:effectLst>
                  </pic:spPr>
                </pic:pic>
              </a:graphicData>
            </a:graphic>
          </wp:anchor>
        </w:drawing>
      </w:r>
      <w:r w:rsidR="00F35ABE">
        <w:rPr>
          <w:noProof/>
        </w:rPr>
        <w:drawing>
          <wp:anchor distT="0" distB="0" distL="114300" distR="114300" simplePos="0" relativeHeight="251663360" behindDoc="0" locked="0" layoutInCell="1" allowOverlap="1" wp14:anchorId="1625148A" wp14:editId="2791A2B0">
            <wp:simplePos x="0" y="0"/>
            <wp:positionH relativeFrom="column">
              <wp:posOffset>5665470</wp:posOffset>
            </wp:positionH>
            <wp:positionV relativeFrom="paragraph">
              <wp:posOffset>6358255</wp:posOffset>
            </wp:positionV>
            <wp:extent cx="480695" cy="474980"/>
            <wp:effectExtent l="114300" t="114300" r="109855" b="115570"/>
            <wp:wrapSquare wrapText="bothSides"/>
            <wp:docPr id="17" name="Obrázek 17" descr="C:\Users\Hana\Documents\NAP\e-learning\su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a\Documents\NAP\e-learning\sum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695" cy="474980"/>
                    </a:xfrm>
                    <a:prstGeom prst="rect">
                      <a:avLst/>
                    </a:prstGeom>
                    <a:noFill/>
                    <a:ln>
                      <a:noFill/>
                    </a:ln>
                    <a:effectLst>
                      <a:glow rad="101600">
                        <a:schemeClr val="accent1">
                          <a:satMod val="175000"/>
                          <a:alpha val="40000"/>
                        </a:schemeClr>
                      </a:glow>
                    </a:effectLst>
                  </pic:spPr>
                </pic:pic>
              </a:graphicData>
            </a:graphic>
          </wp:anchor>
        </w:drawing>
      </w:r>
    </w:p>
    <w:p w:rsidR="00663C2C" w:rsidRDefault="00F35ABE" w:rsidP="00F35ABE">
      <w:pPr>
        <w:jc w:val="right"/>
      </w:pPr>
      <w:r>
        <w:rPr>
          <w:noProof/>
        </w:rPr>
        <w:drawing>
          <wp:anchor distT="0" distB="0" distL="114300" distR="114300" simplePos="0" relativeHeight="251667456" behindDoc="0" locked="0" layoutInCell="1" allowOverlap="1" wp14:anchorId="191B0864" wp14:editId="3D1D9E9F">
            <wp:simplePos x="0" y="0"/>
            <wp:positionH relativeFrom="column">
              <wp:posOffset>5817870</wp:posOffset>
            </wp:positionH>
            <wp:positionV relativeFrom="paragraph">
              <wp:posOffset>6335395</wp:posOffset>
            </wp:positionV>
            <wp:extent cx="480695" cy="474980"/>
            <wp:effectExtent l="114300" t="114300" r="109855" b="115570"/>
            <wp:wrapSquare wrapText="bothSides"/>
            <wp:docPr id="10" name="Obrázek 10" descr="C:\Users\Hana\Documents\NAP\e-learning\su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a\Documents\NAP\e-learning\sum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695" cy="474980"/>
                    </a:xfrm>
                    <a:prstGeom prst="rect">
                      <a:avLst/>
                    </a:prstGeom>
                    <a:noFill/>
                    <a:ln>
                      <a:noFill/>
                    </a:ln>
                    <a:effectLst>
                      <a:glow rad="101600">
                        <a:schemeClr val="accent1">
                          <a:satMod val="175000"/>
                          <a:alpha val="40000"/>
                        </a:schemeClr>
                      </a:glow>
                    </a:effectLst>
                  </pic:spPr>
                </pic:pic>
              </a:graphicData>
            </a:graphic>
          </wp:anchor>
        </w:drawing>
      </w:r>
      <w:r>
        <w:rPr>
          <w:noProof/>
        </w:rPr>
        <w:drawing>
          <wp:anchor distT="0" distB="0" distL="114300" distR="114300" simplePos="0" relativeHeight="251665408" behindDoc="0" locked="0" layoutInCell="1" allowOverlap="1" wp14:anchorId="345B1FBD" wp14:editId="26DD77AB">
            <wp:simplePos x="0" y="0"/>
            <wp:positionH relativeFrom="column">
              <wp:posOffset>5817870</wp:posOffset>
            </wp:positionH>
            <wp:positionV relativeFrom="paragraph">
              <wp:posOffset>6335395</wp:posOffset>
            </wp:positionV>
            <wp:extent cx="480695" cy="474980"/>
            <wp:effectExtent l="114300" t="114300" r="109855" b="115570"/>
            <wp:wrapSquare wrapText="bothSides"/>
            <wp:docPr id="9" name="Obrázek 9" descr="C:\Users\Hana\Documents\NAP\e-learning\su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a\Documents\NAP\e-learning\sum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695" cy="474980"/>
                    </a:xfrm>
                    <a:prstGeom prst="rect">
                      <a:avLst/>
                    </a:prstGeom>
                    <a:noFill/>
                    <a:ln>
                      <a:noFill/>
                    </a:ln>
                    <a:effectLst>
                      <a:glow rad="101600">
                        <a:schemeClr val="accent1">
                          <a:satMod val="175000"/>
                          <a:alpha val="40000"/>
                        </a:schemeClr>
                      </a:glow>
                    </a:effectLst>
                  </pic:spPr>
                </pic:pic>
              </a:graphicData>
            </a:graphic>
          </wp:anchor>
        </w:drawing>
      </w:r>
    </w:p>
    <w:p w:rsidR="00663C2C" w:rsidRDefault="00663C2C" w:rsidP="00663C2C">
      <w:pPr>
        <w:pBdr>
          <w:top w:val="single" w:sz="4" w:space="1" w:color="auto"/>
          <w:left w:val="single" w:sz="4" w:space="1" w:color="auto"/>
          <w:bottom w:val="single" w:sz="4" w:space="1" w:color="auto"/>
          <w:right w:val="single" w:sz="4" w:space="1" w:color="auto"/>
        </w:pBdr>
        <w:rPr>
          <w:b/>
        </w:rPr>
      </w:pPr>
      <w:r>
        <w:rPr>
          <w:b/>
        </w:rPr>
        <w:t>Shrnutí kapitoly</w:t>
      </w:r>
    </w:p>
    <w:p w:rsidR="00663C2C" w:rsidRPr="00663C2C" w:rsidRDefault="00663C2C" w:rsidP="00663C2C">
      <w:pPr>
        <w:pBdr>
          <w:top w:val="single" w:sz="4" w:space="1" w:color="auto"/>
          <w:left w:val="single" w:sz="4" w:space="1" w:color="auto"/>
          <w:bottom w:val="single" w:sz="4" w:space="1" w:color="auto"/>
          <w:right w:val="single" w:sz="4" w:space="1" w:color="auto"/>
        </w:pBdr>
        <w:jc w:val="both"/>
        <w:rPr>
          <w:color w:val="FF0000"/>
        </w:rPr>
      </w:pPr>
      <w:proofErr w:type="spellStart"/>
      <w:r>
        <w:rPr>
          <w:color w:val="FF0000"/>
        </w:rPr>
        <w:t>Instabilita</w:t>
      </w:r>
      <w:proofErr w:type="spellEnd"/>
      <w:r>
        <w:rPr>
          <w:color w:val="FF0000"/>
        </w:rPr>
        <w:t xml:space="preserve"> je definována jako </w:t>
      </w:r>
      <w:r w:rsidRPr="00663C2C">
        <w:rPr>
          <w:color w:val="FF0000"/>
        </w:rPr>
        <w:t xml:space="preserve">porucha koordinace způsobující nejistotu při chůzi, závratě a pády. Výskyt tohoto syndromu je v seniorské populaci velmi vysoký – udává se až 40% seniorů s občasnými pocity </w:t>
      </w:r>
      <w:proofErr w:type="spellStart"/>
      <w:r w:rsidRPr="00663C2C">
        <w:rPr>
          <w:color w:val="FF0000"/>
        </w:rPr>
        <w:t>instability</w:t>
      </w:r>
      <w:proofErr w:type="spellEnd"/>
      <w:r w:rsidRPr="00663C2C">
        <w:rPr>
          <w:color w:val="FF0000"/>
        </w:rPr>
        <w:t xml:space="preserve"> či závratí a asi 25% populace nad 65 let trpí opakovanými pády. Pády podle etiologie dělíme na mechanické a symptomatické. Příčinou mechanických pádů mohou být poruchy koordinace pohybu, snížení reakční rychlosti, zhoršení zraku, oslabení přímivých svalů. Symptomatické pády mohou být důsledkem poruch mozečku, poruch periferního rovnovážného ústrojí nebo jeho centrálního analyzátoru, nejčastěji poruchy prokrvení z důvodu stenózy magistrálních mozkových tepen, srdečních arytmií či anémie, útlaku vertebrálních arterií při </w:t>
      </w:r>
      <w:proofErr w:type="spellStart"/>
      <w:r w:rsidRPr="00663C2C">
        <w:rPr>
          <w:color w:val="FF0000"/>
        </w:rPr>
        <w:t>spondylóze</w:t>
      </w:r>
      <w:proofErr w:type="spellEnd"/>
      <w:r w:rsidRPr="00663C2C">
        <w:rPr>
          <w:color w:val="FF0000"/>
        </w:rPr>
        <w:t xml:space="preserve"> C páteře, z neurologických příčin může pád způsobit transitorní ischemická ataka či mozková příhoda. </w:t>
      </w:r>
    </w:p>
    <w:p w:rsidR="00663C2C" w:rsidRDefault="00663C2C"/>
    <w:p w:rsidR="00454A60" w:rsidRDefault="00454A60" w:rsidP="008C0365">
      <w:pPr>
        <w:jc w:val="right"/>
      </w:pPr>
      <w:r>
        <w:rPr>
          <w:b/>
          <w:noProof/>
        </w:rPr>
        <w:drawing>
          <wp:inline distT="0" distB="0" distL="0" distR="0" wp14:anchorId="68CEB5B6" wp14:editId="5D1DE41A">
            <wp:extent cx="475488" cy="475488"/>
            <wp:effectExtent l="114300" t="114300" r="115570" b="115570"/>
            <wp:docPr id="6" name="Obrázek 6" descr="C:\Users\Hana\Documents\NAP\e-learning\otazní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otazní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523" cy="475523"/>
                    </a:xfrm>
                    <a:prstGeom prst="rect">
                      <a:avLst/>
                    </a:prstGeom>
                    <a:noFill/>
                    <a:ln>
                      <a:noFill/>
                    </a:ln>
                    <a:effectLst>
                      <a:glow rad="101600">
                        <a:schemeClr val="accent2">
                          <a:satMod val="175000"/>
                          <a:alpha val="40000"/>
                        </a:schemeClr>
                      </a:glow>
                    </a:effectLst>
                  </pic:spPr>
                </pic:pic>
              </a:graphicData>
            </a:graphic>
          </wp:inline>
        </w:drawing>
      </w:r>
    </w:p>
    <w:p w:rsidR="008C0365" w:rsidRDefault="008C0365" w:rsidP="008C0365">
      <w:pPr>
        <w:rPr>
          <w:b/>
          <w:sz w:val="28"/>
          <w:szCs w:val="28"/>
        </w:rPr>
      </w:pPr>
      <w:r>
        <w:rPr>
          <w:b/>
          <w:sz w:val="28"/>
          <w:szCs w:val="28"/>
        </w:rPr>
        <w:t>Otázky a úkoly:</w:t>
      </w:r>
    </w:p>
    <w:p w:rsidR="008C0365" w:rsidRDefault="008C0365" w:rsidP="008C0365">
      <w:pPr>
        <w:jc w:val="both"/>
      </w:pPr>
    </w:p>
    <w:p w:rsidR="008C0365" w:rsidRDefault="008C0365" w:rsidP="008C0365">
      <w:pPr>
        <w:jc w:val="both"/>
      </w:pPr>
      <w:r>
        <w:t xml:space="preserve">Definujte </w:t>
      </w:r>
      <w:proofErr w:type="spellStart"/>
      <w:r>
        <w:t>instabilitu</w:t>
      </w:r>
      <w:proofErr w:type="spellEnd"/>
      <w:r>
        <w:t xml:space="preserve"> a vyjádřete její výskyt v seniorské populaci</w:t>
      </w:r>
    </w:p>
    <w:p w:rsidR="008C0365" w:rsidRDefault="008C0365" w:rsidP="008C0365">
      <w:pPr>
        <w:jc w:val="both"/>
      </w:pPr>
      <w:r>
        <w:t xml:space="preserve">Vyjmenujte možné etiologické faktory </w:t>
      </w:r>
      <w:proofErr w:type="spellStart"/>
      <w:r>
        <w:t>instability</w:t>
      </w:r>
      <w:proofErr w:type="spellEnd"/>
    </w:p>
    <w:p w:rsidR="008C0365" w:rsidRDefault="008C0365" w:rsidP="008C0365">
      <w:pPr>
        <w:jc w:val="both"/>
      </w:pPr>
      <w:r>
        <w:t xml:space="preserve">Popište důsledky </w:t>
      </w:r>
      <w:proofErr w:type="spellStart"/>
      <w:r>
        <w:t>instability</w:t>
      </w:r>
      <w:proofErr w:type="spellEnd"/>
      <w:r>
        <w:t xml:space="preserve"> a pádů na soběstačnost a kvalitu života seniorů</w:t>
      </w:r>
    </w:p>
    <w:p w:rsidR="008C0365" w:rsidRDefault="008C0365" w:rsidP="008C0365">
      <w:pPr>
        <w:jc w:val="both"/>
      </w:pPr>
      <w:r>
        <w:t xml:space="preserve">Vyjádřete se k diagnostickým postupům při odhalování příčin </w:t>
      </w:r>
      <w:proofErr w:type="spellStart"/>
      <w:r>
        <w:t>instability</w:t>
      </w:r>
      <w:proofErr w:type="spellEnd"/>
      <w:r>
        <w:t xml:space="preserve"> a pádů</w:t>
      </w:r>
    </w:p>
    <w:p w:rsidR="008C0365" w:rsidRDefault="008C0365" w:rsidP="008C0365">
      <w:pPr>
        <w:jc w:val="both"/>
      </w:pPr>
      <w:r>
        <w:t>Vyjmenujte profylaktická opatření k prevenci pádů u seniorů</w:t>
      </w:r>
    </w:p>
    <w:p w:rsidR="008C0365" w:rsidRDefault="008C0365" w:rsidP="008C0365">
      <w:pPr>
        <w:jc w:val="both"/>
      </w:pPr>
    </w:p>
    <w:p w:rsidR="008C0365" w:rsidRDefault="008C0365" w:rsidP="008C0365">
      <w:pPr>
        <w:jc w:val="both"/>
        <w:rPr>
          <w:b/>
          <w:sz w:val="28"/>
          <w:szCs w:val="28"/>
        </w:rPr>
      </w:pPr>
      <w:r>
        <w:rPr>
          <w:b/>
          <w:sz w:val="28"/>
          <w:szCs w:val="28"/>
        </w:rPr>
        <w:t>Doporučení literatura:</w:t>
      </w:r>
    </w:p>
    <w:p w:rsidR="008C0365" w:rsidRPr="008C0365" w:rsidRDefault="008C0365" w:rsidP="008C0365">
      <w:pPr>
        <w:pStyle w:val="Zkladntextodsazen"/>
        <w:spacing w:after="0"/>
        <w:ind w:left="0"/>
        <w:jc w:val="both"/>
        <w:rPr>
          <w:b/>
        </w:rPr>
      </w:pPr>
      <w:r w:rsidRPr="008C0365">
        <w:rPr>
          <w:b/>
        </w:rPr>
        <w:t xml:space="preserve">           Topinková E. Geriatrie pro praxi. </w:t>
      </w:r>
      <w:proofErr w:type="spellStart"/>
      <w:r w:rsidRPr="008C0365">
        <w:rPr>
          <w:b/>
        </w:rPr>
        <w:t>Galén</w:t>
      </w:r>
      <w:proofErr w:type="spellEnd"/>
      <w:r w:rsidRPr="008C0365">
        <w:rPr>
          <w:b/>
        </w:rPr>
        <w:t xml:space="preserve"> 2005</w:t>
      </w:r>
    </w:p>
    <w:p w:rsidR="008C0365" w:rsidRDefault="008C0365" w:rsidP="008C0365">
      <w:pPr>
        <w:pStyle w:val="Zkladntextodsazen"/>
        <w:spacing w:after="0"/>
        <w:jc w:val="both"/>
        <w:rPr>
          <w:b/>
        </w:rPr>
      </w:pPr>
      <w:r w:rsidRPr="008C0365">
        <w:rPr>
          <w:b/>
        </w:rPr>
        <w:t xml:space="preserve">       </w:t>
      </w:r>
      <w:proofErr w:type="spellStart"/>
      <w:r w:rsidRPr="008C0365">
        <w:rPr>
          <w:b/>
        </w:rPr>
        <w:t>Kalvach</w:t>
      </w:r>
      <w:proofErr w:type="spellEnd"/>
      <w:r w:rsidRPr="008C0365">
        <w:rPr>
          <w:b/>
        </w:rPr>
        <w:t xml:space="preserve"> Z et al. Geriatrie a Gerontologie. </w:t>
      </w:r>
      <w:proofErr w:type="spellStart"/>
      <w:r w:rsidRPr="008C0365">
        <w:rPr>
          <w:b/>
        </w:rPr>
        <w:t>Grada</w:t>
      </w:r>
      <w:proofErr w:type="spellEnd"/>
      <w:r w:rsidRPr="008C0365">
        <w:rPr>
          <w:b/>
        </w:rPr>
        <w:t xml:space="preserve"> Avicenum 2004.</w:t>
      </w:r>
    </w:p>
    <w:p w:rsidR="008C0365" w:rsidRPr="008C0365" w:rsidRDefault="008C0365" w:rsidP="008C0365">
      <w:pPr>
        <w:pStyle w:val="Zkladntextodsazen"/>
        <w:spacing w:after="0"/>
        <w:ind w:left="0"/>
        <w:jc w:val="both"/>
        <w:rPr>
          <w:b/>
        </w:rPr>
      </w:pPr>
      <w:r w:rsidRPr="008C0365">
        <w:rPr>
          <w:b/>
        </w:rPr>
        <w:t xml:space="preserve">            Matějovská Kubešová H et al. Vybrané klinické stavy v geriatrii. Mladá fronta 2014.</w:t>
      </w:r>
    </w:p>
    <w:p w:rsidR="008C0365" w:rsidRPr="008C0365" w:rsidRDefault="008C0365" w:rsidP="008C0365">
      <w:pPr>
        <w:pStyle w:val="Zkladntextodsazen"/>
        <w:spacing w:after="0"/>
        <w:jc w:val="both"/>
        <w:rPr>
          <w:b/>
        </w:rPr>
      </w:pPr>
    </w:p>
    <w:p w:rsidR="008C0365" w:rsidRPr="008C0365" w:rsidRDefault="008C0365" w:rsidP="008C0365">
      <w:pPr>
        <w:jc w:val="both"/>
        <w:rPr>
          <w:sz w:val="28"/>
          <w:szCs w:val="28"/>
        </w:rPr>
      </w:pPr>
    </w:p>
    <w:p w:rsidR="008C0365" w:rsidRPr="008C0365" w:rsidRDefault="008C0365" w:rsidP="008C0365">
      <w:pPr>
        <w:rPr>
          <w:b/>
          <w:sz w:val="28"/>
          <w:szCs w:val="28"/>
        </w:rPr>
      </w:pPr>
    </w:p>
    <w:sectPr w:rsidR="008C0365" w:rsidRPr="008C0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116E"/>
    <w:multiLevelType w:val="hybridMultilevel"/>
    <w:tmpl w:val="BEE0448E"/>
    <w:lvl w:ilvl="0" w:tplc="E736A84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AD062B8"/>
    <w:multiLevelType w:val="hybridMultilevel"/>
    <w:tmpl w:val="F47CEF0C"/>
    <w:lvl w:ilvl="0" w:tplc="E736A84C">
      <w:start w:val="1"/>
      <w:numFmt w:val="bullet"/>
      <w:lvlText w:val="□"/>
      <w:lvlJc w:val="left"/>
      <w:pPr>
        <w:ind w:left="3358" w:hanging="360"/>
      </w:pPr>
      <w:rPr>
        <w:rFonts w:ascii="Times New Roman" w:hAnsi="Times New Roman" w:cs="Times New Roman" w:hint="default"/>
      </w:rPr>
    </w:lvl>
    <w:lvl w:ilvl="1" w:tplc="04050003" w:tentative="1">
      <w:start w:val="1"/>
      <w:numFmt w:val="bullet"/>
      <w:lvlText w:val="o"/>
      <w:lvlJc w:val="left"/>
      <w:pPr>
        <w:ind w:left="4078" w:hanging="360"/>
      </w:pPr>
      <w:rPr>
        <w:rFonts w:ascii="Courier New" w:hAnsi="Courier New" w:cs="Courier New" w:hint="default"/>
      </w:rPr>
    </w:lvl>
    <w:lvl w:ilvl="2" w:tplc="04050005" w:tentative="1">
      <w:start w:val="1"/>
      <w:numFmt w:val="bullet"/>
      <w:lvlText w:val=""/>
      <w:lvlJc w:val="left"/>
      <w:pPr>
        <w:ind w:left="4798" w:hanging="360"/>
      </w:pPr>
      <w:rPr>
        <w:rFonts w:ascii="Wingdings" w:hAnsi="Wingdings" w:hint="default"/>
      </w:rPr>
    </w:lvl>
    <w:lvl w:ilvl="3" w:tplc="04050001" w:tentative="1">
      <w:start w:val="1"/>
      <w:numFmt w:val="bullet"/>
      <w:lvlText w:val=""/>
      <w:lvlJc w:val="left"/>
      <w:pPr>
        <w:ind w:left="5518" w:hanging="360"/>
      </w:pPr>
      <w:rPr>
        <w:rFonts w:ascii="Symbol" w:hAnsi="Symbol" w:hint="default"/>
      </w:rPr>
    </w:lvl>
    <w:lvl w:ilvl="4" w:tplc="04050003" w:tentative="1">
      <w:start w:val="1"/>
      <w:numFmt w:val="bullet"/>
      <w:lvlText w:val="o"/>
      <w:lvlJc w:val="left"/>
      <w:pPr>
        <w:ind w:left="6238" w:hanging="360"/>
      </w:pPr>
      <w:rPr>
        <w:rFonts w:ascii="Courier New" w:hAnsi="Courier New" w:cs="Courier New" w:hint="default"/>
      </w:rPr>
    </w:lvl>
    <w:lvl w:ilvl="5" w:tplc="04050005" w:tentative="1">
      <w:start w:val="1"/>
      <w:numFmt w:val="bullet"/>
      <w:lvlText w:val=""/>
      <w:lvlJc w:val="left"/>
      <w:pPr>
        <w:ind w:left="6958" w:hanging="360"/>
      </w:pPr>
      <w:rPr>
        <w:rFonts w:ascii="Wingdings" w:hAnsi="Wingdings" w:hint="default"/>
      </w:rPr>
    </w:lvl>
    <w:lvl w:ilvl="6" w:tplc="04050001" w:tentative="1">
      <w:start w:val="1"/>
      <w:numFmt w:val="bullet"/>
      <w:lvlText w:val=""/>
      <w:lvlJc w:val="left"/>
      <w:pPr>
        <w:ind w:left="7678" w:hanging="360"/>
      </w:pPr>
      <w:rPr>
        <w:rFonts w:ascii="Symbol" w:hAnsi="Symbol" w:hint="default"/>
      </w:rPr>
    </w:lvl>
    <w:lvl w:ilvl="7" w:tplc="04050003" w:tentative="1">
      <w:start w:val="1"/>
      <w:numFmt w:val="bullet"/>
      <w:lvlText w:val="o"/>
      <w:lvlJc w:val="left"/>
      <w:pPr>
        <w:ind w:left="8398" w:hanging="360"/>
      </w:pPr>
      <w:rPr>
        <w:rFonts w:ascii="Courier New" w:hAnsi="Courier New" w:cs="Courier New" w:hint="default"/>
      </w:rPr>
    </w:lvl>
    <w:lvl w:ilvl="8" w:tplc="04050005" w:tentative="1">
      <w:start w:val="1"/>
      <w:numFmt w:val="bullet"/>
      <w:lvlText w:val=""/>
      <w:lvlJc w:val="left"/>
      <w:pPr>
        <w:ind w:left="911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C0"/>
    <w:rsid w:val="00275249"/>
    <w:rsid w:val="002F6EC0"/>
    <w:rsid w:val="003025B6"/>
    <w:rsid w:val="003674F9"/>
    <w:rsid w:val="00454A60"/>
    <w:rsid w:val="00613BCF"/>
    <w:rsid w:val="00663C2C"/>
    <w:rsid w:val="008C0365"/>
    <w:rsid w:val="00953283"/>
    <w:rsid w:val="00BB7891"/>
    <w:rsid w:val="00CE30D5"/>
    <w:rsid w:val="00D84438"/>
    <w:rsid w:val="00F35ABE"/>
    <w:rsid w:val="00F510A6"/>
    <w:rsid w:val="00F95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6EC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2F6EC0"/>
    <w:pPr>
      <w:keepNext/>
      <w:outlineLvl w:val="1"/>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F6EC0"/>
    <w:rPr>
      <w:rFonts w:ascii="Times New Roman" w:eastAsia="Times New Roman" w:hAnsi="Times New Roman" w:cs="Times New Roman"/>
      <w:b/>
      <w:sz w:val="28"/>
      <w:szCs w:val="20"/>
      <w:lang w:eastAsia="cs-CZ"/>
    </w:rPr>
  </w:style>
  <w:style w:type="paragraph" w:styleId="Zkladntext">
    <w:name w:val="Body Text"/>
    <w:basedOn w:val="Normln"/>
    <w:link w:val="ZkladntextChar"/>
    <w:rsid w:val="002F6EC0"/>
    <w:pPr>
      <w:spacing w:after="120"/>
    </w:pPr>
    <w:rPr>
      <w:sz w:val="20"/>
      <w:szCs w:val="20"/>
    </w:rPr>
  </w:style>
  <w:style w:type="character" w:customStyle="1" w:styleId="ZkladntextChar">
    <w:name w:val="Základní text Char"/>
    <w:basedOn w:val="Standardnpsmoodstavce"/>
    <w:link w:val="Zkladntext"/>
    <w:rsid w:val="002F6EC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025B6"/>
    <w:rPr>
      <w:rFonts w:ascii="Tahoma" w:hAnsi="Tahoma" w:cs="Tahoma"/>
      <w:sz w:val="16"/>
      <w:szCs w:val="16"/>
    </w:rPr>
  </w:style>
  <w:style w:type="character" w:customStyle="1" w:styleId="TextbublinyChar">
    <w:name w:val="Text bubliny Char"/>
    <w:basedOn w:val="Standardnpsmoodstavce"/>
    <w:link w:val="Textbubliny"/>
    <w:uiPriority w:val="99"/>
    <w:semiHidden/>
    <w:rsid w:val="003025B6"/>
    <w:rPr>
      <w:rFonts w:ascii="Tahoma" w:eastAsia="Times New Roman" w:hAnsi="Tahoma" w:cs="Tahoma"/>
      <w:sz w:val="16"/>
      <w:szCs w:val="16"/>
      <w:lang w:eastAsia="cs-CZ"/>
    </w:rPr>
  </w:style>
  <w:style w:type="paragraph" w:styleId="Odstavecseseznamem">
    <w:name w:val="List Paragraph"/>
    <w:basedOn w:val="Normln"/>
    <w:uiPriority w:val="34"/>
    <w:qFormat/>
    <w:rsid w:val="00953283"/>
    <w:pPr>
      <w:ind w:left="720"/>
      <w:contextualSpacing/>
    </w:pPr>
  </w:style>
  <w:style w:type="paragraph" w:styleId="Zkladntextodsazen">
    <w:name w:val="Body Text Indent"/>
    <w:basedOn w:val="Normln"/>
    <w:link w:val="ZkladntextodsazenChar"/>
    <w:unhideWhenUsed/>
    <w:rsid w:val="008C0365"/>
    <w:pPr>
      <w:spacing w:after="120"/>
      <w:ind w:left="283"/>
    </w:pPr>
  </w:style>
  <w:style w:type="character" w:customStyle="1" w:styleId="ZkladntextodsazenChar">
    <w:name w:val="Základní text odsazený Char"/>
    <w:basedOn w:val="Standardnpsmoodstavce"/>
    <w:link w:val="Zkladntextodsazen"/>
    <w:rsid w:val="008C0365"/>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6EC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2F6EC0"/>
    <w:pPr>
      <w:keepNext/>
      <w:outlineLvl w:val="1"/>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F6EC0"/>
    <w:rPr>
      <w:rFonts w:ascii="Times New Roman" w:eastAsia="Times New Roman" w:hAnsi="Times New Roman" w:cs="Times New Roman"/>
      <w:b/>
      <w:sz w:val="28"/>
      <w:szCs w:val="20"/>
      <w:lang w:eastAsia="cs-CZ"/>
    </w:rPr>
  </w:style>
  <w:style w:type="paragraph" w:styleId="Zkladntext">
    <w:name w:val="Body Text"/>
    <w:basedOn w:val="Normln"/>
    <w:link w:val="ZkladntextChar"/>
    <w:rsid w:val="002F6EC0"/>
    <w:pPr>
      <w:spacing w:after="120"/>
    </w:pPr>
    <w:rPr>
      <w:sz w:val="20"/>
      <w:szCs w:val="20"/>
    </w:rPr>
  </w:style>
  <w:style w:type="character" w:customStyle="1" w:styleId="ZkladntextChar">
    <w:name w:val="Základní text Char"/>
    <w:basedOn w:val="Standardnpsmoodstavce"/>
    <w:link w:val="Zkladntext"/>
    <w:rsid w:val="002F6EC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025B6"/>
    <w:rPr>
      <w:rFonts w:ascii="Tahoma" w:hAnsi="Tahoma" w:cs="Tahoma"/>
      <w:sz w:val="16"/>
      <w:szCs w:val="16"/>
    </w:rPr>
  </w:style>
  <w:style w:type="character" w:customStyle="1" w:styleId="TextbublinyChar">
    <w:name w:val="Text bubliny Char"/>
    <w:basedOn w:val="Standardnpsmoodstavce"/>
    <w:link w:val="Textbubliny"/>
    <w:uiPriority w:val="99"/>
    <w:semiHidden/>
    <w:rsid w:val="003025B6"/>
    <w:rPr>
      <w:rFonts w:ascii="Tahoma" w:eastAsia="Times New Roman" w:hAnsi="Tahoma" w:cs="Tahoma"/>
      <w:sz w:val="16"/>
      <w:szCs w:val="16"/>
      <w:lang w:eastAsia="cs-CZ"/>
    </w:rPr>
  </w:style>
  <w:style w:type="paragraph" w:styleId="Odstavecseseznamem">
    <w:name w:val="List Paragraph"/>
    <w:basedOn w:val="Normln"/>
    <w:uiPriority w:val="34"/>
    <w:qFormat/>
    <w:rsid w:val="00953283"/>
    <w:pPr>
      <w:ind w:left="720"/>
      <w:contextualSpacing/>
    </w:pPr>
  </w:style>
  <w:style w:type="paragraph" w:styleId="Zkladntextodsazen">
    <w:name w:val="Body Text Indent"/>
    <w:basedOn w:val="Normln"/>
    <w:link w:val="ZkladntextodsazenChar"/>
    <w:unhideWhenUsed/>
    <w:rsid w:val="008C0365"/>
    <w:pPr>
      <w:spacing w:after="120"/>
      <w:ind w:left="283"/>
    </w:pPr>
  </w:style>
  <w:style w:type="character" w:customStyle="1" w:styleId="ZkladntextodsazenChar">
    <w:name w:val="Základní text odsazený Char"/>
    <w:basedOn w:val="Standardnpsmoodstavce"/>
    <w:link w:val="Zkladntextodsazen"/>
    <w:rsid w:val="008C036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1026</Words>
  <Characters>6057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11</cp:revision>
  <dcterms:created xsi:type="dcterms:W3CDTF">2014-10-19T06:01:00Z</dcterms:created>
  <dcterms:modified xsi:type="dcterms:W3CDTF">2014-12-18T11:38:00Z</dcterms:modified>
</cp:coreProperties>
</file>