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572F" w:rsidRPr="005462B2" w:rsidRDefault="00466808" w:rsidP="005462B2">
      <w:pPr>
        <w:spacing w:after="0" w:line="240" w:lineRule="auto"/>
        <w:rPr>
          <w:rFonts w:cs="Times New Roman"/>
          <w:szCs w:val="24"/>
        </w:rPr>
      </w:pPr>
      <w:r w:rsidRPr="005462B2">
        <w:rPr>
          <w:rFonts w:cs="Times New Roman"/>
          <w:szCs w:val="24"/>
        </w:rPr>
        <w:t xml:space="preserve">Klasickým cytogenetickým vyšetřením </w:t>
      </w:r>
      <w:r w:rsidR="00A96AAA" w:rsidRPr="005462B2">
        <w:rPr>
          <w:rFonts w:cs="Times New Roman"/>
          <w:szCs w:val="24"/>
        </w:rPr>
        <w:t xml:space="preserve">v nádorové cytogenetice </w:t>
      </w:r>
      <w:r w:rsidRPr="005462B2">
        <w:rPr>
          <w:rFonts w:cs="Times New Roman"/>
          <w:szCs w:val="24"/>
        </w:rPr>
        <w:t xml:space="preserve">rozumíme kultivaci nádorových buněk za účelem </w:t>
      </w:r>
      <w:proofErr w:type="gramStart"/>
      <w:r w:rsidRPr="005462B2">
        <w:rPr>
          <w:rFonts w:cs="Times New Roman"/>
          <w:szCs w:val="24"/>
        </w:rPr>
        <w:t>z</w:t>
      </w:r>
      <w:r w:rsidR="00CC2E3F" w:rsidRPr="005462B2">
        <w:rPr>
          <w:rFonts w:cs="Times New Roman"/>
          <w:szCs w:val="24"/>
        </w:rPr>
        <w:t xml:space="preserve">ískání </w:t>
      </w:r>
      <w:r w:rsidRPr="005462B2">
        <w:rPr>
          <w:rFonts w:cs="Times New Roman"/>
          <w:szCs w:val="24"/>
        </w:rPr>
        <w:t xml:space="preserve"> </w:t>
      </w:r>
      <w:proofErr w:type="spellStart"/>
      <w:r w:rsidRPr="005462B2">
        <w:rPr>
          <w:rFonts w:cs="Times New Roman"/>
          <w:szCs w:val="24"/>
        </w:rPr>
        <w:t>metafázických</w:t>
      </w:r>
      <w:proofErr w:type="spellEnd"/>
      <w:proofErr w:type="gramEnd"/>
      <w:r w:rsidRPr="005462B2">
        <w:rPr>
          <w:rFonts w:cs="Times New Roman"/>
          <w:szCs w:val="24"/>
        </w:rPr>
        <w:t xml:space="preserve"> chromosomů. U hematologických malignit se </w:t>
      </w:r>
      <w:r w:rsidR="008978BD" w:rsidRPr="005462B2">
        <w:rPr>
          <w:rFonts w:cs="Times New Roman"/>
          <w:szCs w:val="24"/>
        </w:rPr>
        <w:t xml:space="preserve">nejčastěji </w:t>
      </w:r>
      <w:proofErr w:type="gramStart"/>
      <w:r w:rsidR="008978BD" w:rsidRPr="005462B2">
        <w:rPr>
          <w:rFonts w:cs="Times New Roman"/>
          <w:szCs w:val="24"/>
        </w:rPr>
        <w:t xml:space="preserve">provádí </w:t>
      </w:r>
      <w:r w:rsidRPr="005462B2">
        <w:rPr>
          <w:rFonts w:cs="Times New Roman"/>
          <w:szCs w:val="24"/>
        </w:rPr>
        <w:t xml:space="preserve"> krátkodob</w:t>
      </w:r>
      <w:r w:rsidR="008978BD" w:rsidRPr="005462B2">
        <w:rPr>
          <w:rFonts w:cs="Times New Roman"/>
          <w:szCs w:val="24"/>
        </w:rPr>
        <w:t>á</w:t>
      </w:r>
      <w:proofErr w:type="gramEnd"/>
      <w:r w:rsidR="008978BD" w:rsidRPr="005462B2">
        <w:rPr>
          <w:rFonts w:cs="Times New Roman"/>
          <w:szCs w:val="24"/>
        </w:rPr>
        <w:t>, 1-3 denní</w:t>
      </w:r>
      <w:r w:rsidRPr="005462B2">
        <w:rPr>
          <w:rFonts w:cs="Times New Roman"/>
          <w:szCs w:val="24"/>
        </w:rPr>
        <w:t xml:space="preserve"> kultivac</w:t>
      </w:r>
      <w:r w:rsidR="008978BD" w:rsidRPr="005462B2">
        <w:rPr>
          <w:rFonts w:cs="Times New Roman"/>
          <w:szCs w:val="24"/>
        </w:rPr>
        <w:t>e</w:t>
      </w:r>
      <w:r w:rsidRPr="005462B2">
        <w:rPr>
          <w:rFonts w:cs="Times New Roman"/>
          <w:szCs w:val="24"/>
        </w:rPr>
        <w:t xml:space="preserve"> bu</w:t>
      </w:r>
      <w:r w:rsidR="008978BD" w:rsidRPr="005462B2">
        <w:rPr>
          <w:rFonts w:cs="Times New Roman"/>
          <w:szCs w:val="24"/>
        </w:rPr>
        <w:t>něk</w:t>
      </w:r>
      <w:r w:rsidRPr="005462B2">
        <w:rPr>
          <w:rFonts w:cs="Times New Roman"/>
          <w:szCs w:val="24"/>
        </w:rPr>
        <w:t xml:space="preserve"> kostní dřeně, periferní krve, uzliny, sleziny nebo jater</w:t>
      </w:r>
      <w:r w:rsidR="008978BD" w:rsidRPr="005462B2">
        <w:rPr>
          <w:rFonts w:cs="Times New Roman"/>
          <w:szCs w:val="24"/>
        </w:rPr>
        <w:t xml:space="preserve">. Kultivací in vitro se </w:t>
      </w:r>
      <w:r w:rsidRPr="005462B2">
        <w:rPr>
          <w:rFonts w:cs="Times New Roman"/>
          <w:szCs w:val="24"/>
        </w:rPr>
        <w:t xml:space="preserve">rozumí kultivace buněk v kultivačním médiu s obsahem řady látek umožňující </w:t>
      </w:r>
      <w:r w:rsidRPr="005462B2">
        <w:rPr>
          <w:rFonts w:cs="Times New Roman"/>
          <w:i/>
          <w:szCs w:val="24"/>
        </w:rPr>
        <w:t>in vitro</w:t>
      </w:r>
      <w:r w:rsidRPr="005462B2">
        <w:rPr>
          <w:rFonts w:cs="Times New Roman"/>
          <w:szCs w:val="24"/>
        </w:rPr>
        <w:t xml:space="preserve"> buněčný růst a dělení. </w:t>
      </w:r>
      <w:r w:rsidR="00BC5C33" w:rsidRPr="005462B2">
        <w:rPr>
          <w:rFonts w:cs="Times New Roman"/>
          <w:szCs w:val="24"/>
        </w:rPr>
        <w:t>Buňky kostní dřeně mohou být kultivovány</w:t>
      </w:r>
      <w:r w:rsidR="00E70596" w:rsidRPr="005462B2">
        <w:rPr>
          <w:rFonts w:cs="Times New Roman"/>
          <w:szCs w:val="24"/>
        </w:rPr>
        <w:t xml:space="preserve"> </w:t>
      </w:r>
      <w:proofErr w:type="gramStart"/>
      <w:r w:rsidR="00E70596" w:rsidRPr="005462B2">
        <w:rPr>
          <w:rFonts w:cs="Times New Roman"/>
          <w:szCs w:val="24"/>
        </w:rPr>
        <w:t xml:space="preserve">bez </w:t>
      </w:r>
      <w:r w:rsidR="00BC5C33" w:rsidRPr="005462B2">
        <w:rPr>
          <w:rFonts w:cs="Times New Roman"/>
          <w:szCs w:val="24"/>
        </w:rPr>
        <w:t> použitím</w:t>
      </w:r>
      <w:proofErr w:type="gramEnd"/>
      <w:r w:rsidR="00BC5C33" w:rsidRPr="005462B2">
        <w:rPr>
          <w:rFonts w:cs="Times New Roman"/>
          <w:szCs w:val="24"/>
        </w:rPr>
        <w:t xml:space="preserve"> stimulačních látek</w:t>
      </w:r>
      <w:r w:rsidR="00E70596" w:rsidRPr="005462B2">
        <w:rPr>
          <w:rFonts w:cs="Times New Roman"/>
          <w:szCs w:val="24"/>
        </w:rPr>
        <w:t xml:space="preserve">, zatím co lymfocyty periferní krve naopak s použitím stimulačních agens </w:t>
      </w:r>
      <w:r w:rsidR="008978BD" w:rsidRPr="005462B2">
        <w:rPr>
          <w:rFonts w:cs="Times New Roman"/>
          <w:szCs w:val="24"/>
        </w:rPr>
        <w:t xml:space="preserve">proto, že </w:t>
      </w:r>
      <w:r w:rsidR="00E70596" w:rsidRPr="005462B2">
        <w:rPr>
          <w:rFonts w:cs="Times New Roman"/>
          <w:szCs w:val="24"/>
        </w:rPr>
        <w:t xml:space="preserve">tyto </w:t>
      </w:r>
      <w:r w:rsidR="008978BD" w:rsidRPr="005462B2">
        <w:rPr>
          <w:rFonts w:cs="Times New Roman"/>
          <w:szCs w:val="24"/>
        </w:rPr>
        <w:t>bu</w:t>
      </w:r>
      <w:r w:rsidR="00A96AAA" w:rsidRPr="005462B2">
        <w:rPr>
          <w:rFonts w:cs="Times New Roman"/>
          <w:szCs w:val="24"/>
        </w:rPr>
        <w:t>ň</w:t>
      </w:r>
      <w:r w:rsidR="00793A6B" w:rsidRPr="005462B2">
        <w:rPr>
          <w:rFonts w:cs="Times New Roman"/>
          <w:szCs w:val="24"/>
        </w:rPr>
        <w:t xml:space="preserve">ky mají </w:t>
      </w:r>
      <w:r w:rsidR="00793A6B" w:rsidRPr="005462B2">
        <w:rPr>
          <w:rFonts w:cs="Times New Roman"/>
          <w:i/>
          <w:szCs w:val="24"/>
        </w:rPr>
        <w:t>in vitro</w:t>
      </w:r>
      <w:r w:rsidR="00793A6B" w:rsidRPr="005462B2">
        <w:rPr>
          <w:rFonts w:cs="Times New Roman"/>
          <w:szCs w:val="24"/>
        </w:rPr>
        <w:t xml:space="preserve"> nízký mitotický a proliferační potenciál</w:t>
      </w:r>
      <w:r w:rsidR="00BC5C33" w:rsidRPr="005462B2">
        <w:rPr>
          <w:rFonts w:cs="Times New Roman"/>
          <w:szCs w:val="24"/>
        </w:rPr>
        <w:t xml:space="preserve">. </w:t>
      </w:r>
      <w:proofErr w:type="gramStart"/>
      <w:r w:rsidR="00793A6B" w:rsidRPr="005462B2">
        <w:rPr>
          <w:rFonts w:cs="Times New Roman"/>
          <w:szCs w:val="24"/>
        </w:rPr>
        <w:t>Příklade</w:t>
      </w:r>
      <w:r w:rsidR="00253855" w:rsidRPr="005462B2">
        <w:rPr>
          <w:rFonts w:cs="Times New Roman"/>
          <w:szCs w:val="24"/>
        </w:rPr>
        <w:t>m</w:t>
      </w:r>
      <w:r w:rsidR="00793A6B" w:rsidRPr="005462B2">
        <w:rPr>
          <w:rFonts w:cs="Times New Roman"/>
          <w:szCs w:val="24"/>
        </w:rPr>
        <w:t xml:space="preserve"> </w:t>
      </w:r>
      <w:r w:rsidRPr="005462B2">
        <w:rPr>
          <w:rFonts w:cs="Times New Roman"/>
          <w:szCs w:val="24"/>
        </w:rPr>
        <w:t xml:space="preserve"> jsou</w:t>
      </w:r>
      <w:proofErr w:type="gramEnd"/>
      <w:r w:rsidRPr="005462B2">
        <w:rPr>
          <w:rFonts w:cs="Times New Roman"/>
          <w:szCs w:val="24"/>
        </w:rPr>
        <w:t xml:space="preserve"> lymfocyty </w:t>
      </w:r>
      <w:r w:rsidR="00E70596" w:rsidRPr="005462B2">
        <w:rPr>
          <w:rFonts w:cs="Times New Roman"/>
          <w:szCs w:val="24"/>
        </w:rPr>
        <w:t xml:space="preserve">periferní krve </w:t>
      </w:r>
      <w:r w:rsidRPr="005462B2">
        <w:rPr>
          <w:rFonts w:cs="Times New Roman"/>
          <w:szCs w:val="24"/>
        </w:rPr>
        <w:t>chronické lymfocytární leukémie</w:t>
      </w:r>
      <w:r w:rsidR="00E70596" w:rsidRPr="005462B2">
        <w:rPr>
          <w:rFonts w:cs="Times New Roman"/>
          <w:szCs w:val="24"/>
        </w:rPr>
        <w:t xml:space="preserve"> </w:t>
      </w:r>
      <w:r w:rsidRPr="005462B2">
        <w:rPr>
          <w:rFonts w:cs="Times New Roman"/>
          <w:szCs w:val="24"/>
        </w:rPr>
        <w:t xml:space="preserve">(CLL) nebo </w:t>
      </w:r>
      <w:proofErr w:type="spellStart"/>
      <w:r w:rsidRPr="005462B2">
        <w:rPr>
          <w:rFonts w:cs="Times New Roman"/>
          <w:szCs w:val="24"/>
        </w:rPr>
        <w:t>plasmocyty</w:t>
      </w:r>
      <w:proofErr w:type="spellEnd"/>
      <w:r w:rsidRPr="005462B2">
        <w:rPr>
          <w:rFonts w:cs="Times New Roman"/>
          <w:szCs w:val="24"/>
        </w:rPr>
        <w:t xml:space="preserve"> mnohočetného myelomu (MM)</w:t>
      </w:r>
      <w:r w:rsidR="00793A6B" w:rsidRPr="005462B2">
        <w:rPr>
          <w:rFonts w:cs="Times New Roman"/>
          <w:szCs w:val="24"/>
        </w:rPr>
        <w:t xml:space="preserve">. </w:t>
      </w:r>
      <w:r w:rsidRPr="005462B2">
        <w:rPr>
          <w:rFonts w:cs="Times New Roman"/>
          <w:szCs w:val="24"/>
        </w:rPr>
        <w:t xml:space="preserve"> </w:t>
      </w:r>
      <w:proofErr w:type="gramStart"/>
      <w:r w:rsidRPr="005462B2">
        <w:rPr>
          <w:rFonts w:cs="Times New Roman"/>
          <w:szCs w:val="24"/>
        </w:rPr>
        <w:t>V  roce</w:t>
      </w:r>
      <w:proofErr w:type="gramEnd"/>
      <w:r w:rsidRPr="005462B2">
        <w:rPr>
          <w:rFonts w:cs="Times New Roman"/>
          <w:szCs w:val="24"/>
        </w:rPr>
        <w:t xml:space="preserve"> 200</w:t>
      </w:r>
      <w:r w:rsidR="00E70596" w:rsidRPr="005462B2">
        <w:rPr>
          <w:rFonts w:cs="Times New Roman"/>
          <w:szCs w:val="24"/>
        </w:rPr>
        <w:t xml:space="preserve">0  </w:t>
      </w:r>
      <w:proofErr w:type="spellStart"/>
      <w:r w:rsidRPr="00AB248B">
        <w:rPr>
          <w:rFonts w:cs="Times New Roman"/>
          <w:szCs w:val="24"/>
        </w:rPr>
        <w:t>D</w:t>
      </w:r>
      <w:r w:rsidR="0013161E" w:rsidRPr="00AB248B">
        <w:rPr>
          <w:rFonts w:cs="Times New Roman"/>
          <w:szCs w:val="24"/>
        </w:rPr>
        <w:t>e</w:t>
      </w:r>
      <w:r w:rsidRPr="00AB248B">
        <w:rPr>
          <w:rFonts w:cs="Times New Roman"/>
          <w:szCs w:val="24"/>
        </w:rPr>
        <w:t>cker</w:t>
      </w:r>
      <w:proofErr w:type="spellEnd"/>
      <w:r w:rsidRPr="00AB248B">
        <w:rPr>
          <w:rFonts w:cs="Times New Roman"/>
          <w:szCs w:val="24"/>
        </w:rPr>
        <w:t xml:space="preserve"> </w:t>
      </w:r>
      <w:r w:rsidRPr="00AB248B">
        <w:rPr>
          <w:rFonts w:cs="Times New Roman"/>
          <w:i/>
          <w:szCs w:val="24"/>
        </w:rPr>
        <w:t>et al.</w:t>
      </w:r>
      <w:r w:rsidRPr="00AB248B">
        <w:rPr>
          <w:rFonts w:cs="Times New Roman"/>
          <w:szCs w:val="24"/>
        </w:rPr>
        <w:t>,</w:t>
      </w:r>
      <w:r w:rsidRPr="005462B2">
        <w:rPr>
          <w:rFonts w:cs="Times New Roman"/>
          <w:szCs w:val="24"/>
        </w:rPr>
        <w:t xml:space="preserve"> využili u CLL nemocných kultivaci buněk v </w:t>
      </w:r>
      <w:proofErr w:type="spellStart"/>
      <w:r w:rsidRPr="005462B2">
        <w:rPr>
          <w:rFonts w:cs="Times New Roman"/>
          <w:szCs w:val="24"/>
        </w:rPr>
        <w:t>médiu</w:t>
      </w:r>
      <w:proofErr w:type="spellEnd"/>
      <w:r w:rsidRPr="005462B2">
        <w:rPr>
          <w:rFonts w:cs="Times New Roman"/>
          <w:szCs w:val="24"/>
        </w:rPr>
        <w:t xml:space="preserve"> obohaceném  s </w:t>
      </w:r>
      <w:proofErr w:type="spellStart"/>
      <w:r w:rsidRPr="005462B2">
        <w:rPr>
          <w:rFonts w:cs="Times New Roman"/>
          <w:szCs w:val="24"/>
        </w:rPr>
        <w:t>CpG</w:t>
      </w:r>
      <w:proofErr w:type="spellEnd"/>
      <w:r w:rsidRPr="005462B2">
        <w:rPr>
          <w:rFonts w:cs="Times New Roman"/>
          <w:szCs w:val="24"/>
        </w:rPr>
        <w:t xml:space="preserve"> </w:t>
      </w:r>
      <w:proofErr w:type="spellStart"/>
      <w:r w:rsidRPr="005462B2">
        <w:rPr>
          <w:rFonts w:cs="Times New Roman"/>
          <w:szCs w:val="24"/>
        </w:rPr>
        <w:t>oligodinukleotidy</w:t>
      </w:r>
      <w:proofErr w:type="spellEnd"/>
      <w:r w:rsidRPr="005462B2">
        <w:rPr>
          <w:rFonts w:cs="Times New Roman"/>
          <w:szCs w:val="24"/>
        </w:rPr>
        <w:t xml:space="preserve"> DSP30 a </w:t>
      </w:r>
      <w:proofErr w:type="spellStart"/>
      <w:r w:rsidRPr="005462B2">
        <w:rPr>
          <w:rFonts w:cs="Times New Roman"/>
          <w:szCs w:val="24"/>
        </w:rPr>
        <w:t>interleukinem</w:t>
      </w:r>
      <w:proofErr w:type="spellEnd"/>
      <w:r w:rsidRPr="005462B2">
        <w:rPr>
          <w:rFonts w:cs="Times New Roman"/>
          <w:szCs w:val="24"/>
        </w:rPr>
        <w:t xml:space="preserve"> 2 (IL-2). Celkem 72 hodin trvající kultivace </w:t>
      </w:r>
      <w:r w:rsidRPr="005462B2">
        <w:rPr>
          <w:rFonts w:cs="Times New Roman"/>
          <w:i/>
          <w:szCs w:val="24"/>
        </w:rPr>
        <w:t xml:space="preserve">in </w:t>
      </w:r>
      <w:proofErr w:type="gramStart"/>
      <w:r w:rsidRPr="005462B2">
        <w:rPr>
          <w:rFonts w:cs="Times New Roman"/>
          <w:i/>
          <w:szCs w:val="24"/>
        </w:rPr>
        <w:t>vitro</w:t>
      </w:r>
      <w:r w:rsidRPr="005462B2">
        <w:rPr>
          <w:rFonts w:cs="Times New Roman"/>
          <w:szCs w:val="24"/>
        </w:rPr>
        <w:t xml:space="preserve">  vedla</w:t>
      </w:r>
      <w:proofErr w:type="gramEnd"/>
      <w:r w:rsidRPr="005462B2">
        <w:rPr>
          <w:rFonts w:cs="Times New Roman"/>
          <w:szCs w:val="24"/>
        </w:rPr>
        <w:t xml:space="preserve"> k zisku </w:t>
      </w:r>
      <w:proofErr w:type="spellStart"/>
      <w:r w:rsidRPr="005462B2">
        <w:rPr>
          <w:rFonts w:cs="Times New Roman"/>
          <w:szCs w:val="24"/>
        </w:rPr>
        <w:t>metafáz</w:t>
      </w:r>
      <w:r w:rsidR="00547AB4" w:rsidRPr="005462B2">
        <w:rPr>
          <w:rFonts w:cs="Times New Roman"/>
          <w:szCs w:val="24"/>
        </w:rPr>
        <w:t>ických</w:t>
      </w:r>
      <w:proofErr w:type="spellEnd"/>
      <w:r w:rsidR="00547AB4" w:rsidRPr="005462B2">
        <w:rPr>
          <w:rFonts w:cs="Times New Roman"/>
          <w:szCs w:val="24"/>
        </w:rPr>
        <w:t xml:space="preserve"> </w:t>
      </w:r>
      <w:r w:rsidRPr="005462B2">
        <w:rPr>
          <w:rFonts w:cs="Times New Roman"/>
          <w:szCs w:val="24"/>
        </w:rPr>
        <w:t xml:space="preserve"> buněk </w:t>
      </w:r>
      <w:proofErr w:type="spellStart"/>
      <w:r w:rsidRPr="005462B2">
        <w:rPr>
          <w:rFonts w:cs="Times New Roman"/>
          <w:szCs w:val="24"/>
        </w:rPr>
        <w:t>az</w:t>
      </w:r>
      <w:proofErr w:type="spellEnd"/>
      <w:r w:rsidRPr="005462B2">
        <w:rPr>
          <w:rFonts w:cs="Times New Roman"/>
          <w:szCs w:val="24"/>
        </w:rPr>
        <w:t xml:space="preserve">̌ v 95 % </w:t>
      </w:r>
      <w:proofErr w:type="spellStart"/>
      <w:r w:rsidRPr="005462B2">
        <w:rPr>
          <w:rFonts w:cs="Times New Roman"/>
          <w:szCs w:val="24"/>
        </w:rPr>
        <w:t>případu</w:t>
      </w:r>
      <w:proofErr w:type="spellEnd"/>
      <w:r w:rsidRPr="005462B2">
        <w:rPr>
          <w:rFonts w:cs="Times New Roman"/>
          <w:szCs w:val="24"/>
        </w:rPr>
        <w:t>̊</w:t>
      </w:r>
      <w:r w:rsidR="00E70596" w:rsidRPr="005462B2">
        <w:rPr>
          <w:rFonts w:cs="Times New Roman"/>
          <w:szCs w:val="24"/>
        </w:rPr>
        <w:t xml:space="preserve"> a zahájila nové období významu cytogeneti</w:t>
      </w:r>
      <w:r w:rsidR="00FA6081" w:rsidRPr="005462B2">
        <w:rPr>
          <w:rFonts w:cs="Times New Roman"/>
          <w:szCs w:val="24"/>
        </w:rPr>
        <w:t xml:space="preserve">ckého vyšetření </w:t>
      </w:r>
      <w:r w:rsidR="00E70596" w:rsidRPr="005462B2">
        <w:rPr>
          <w:rFonts w:cs="Times New Roman"/>
          <w:szCs w:val="24"/>
        </w:rPr>
        <w:t>u CLL</w:t>
      </w:r>
      <w:r w:rsidR="00A96AAA" w:rsidRPr="005462B2">
        <w:rPr>
          <w:rFonts w:cs="Times New Roman"/>
          <w:szCs w:val="24"/>
        </w:rPr>
        <w:t xml:space="preserve">. </w:t>
      </w:r>
      <w:r w:rsidRPr="005462B2">
        <w:rPr>
          <w:rFonts w:cs="Times New Roman"/>
          <w:szCs w:val="24"/>
        </w:rPr>
        <w:t xml:space="preserve"> </w:t>
      </w:r>
      <w:r w:rsidR="00335783" w:rsidRPr="005462B2">
        <w:rPr>
          <w:rFonts w:cs="Times New Roman"/>
          <w:szCs w:val="24"/>
        </w:rPr>
        <w:t xml:space="preserve">Další stimulační látkou </w:t>
      </w:r>
      <w:r w:rsidR="00D4572F" w:rsidRPr="005462B2">
        <w:rPr>
          <w:rFonts w:cs="Times New Roman"/>
          <w:szCs w:val="24"/>
        </w:rPr>
        <w:t xml:space="preserve">pro periferní lymfocyty může být </w:t>
      </w:r>
      <w:proofErr w:type="spellStart"/>
      <w:r w:rsidR="00335783" w:rsidRPr="005462B2">
        <w:rPr>
          <w:rFonts w:cs="Times New Roman"/>
          <w:szCs w:val="24"/>
        </w:rPr>
        <w:t>phytohema</w:t>
      </w:r>
      <w:r w:rsidR="00547AB4" w:rsidRPr="005462B2">
        <w:rPr>
          <w:rFonts w:cs="Times New Roman"/>
          <w:szCs w:val="24"/>
        </w:rPr>
        <w:t>g</w:t>
      </w:r>
      <w:r w:rsidR="00335783" w:rsidRPr="005462B2">
        <w:rPr>
          <w:rFonts w:cs="Times New Roman"/>
          <w:szCs w:val="24"/>
        </w:rPr>
        <w:t>glutinin</w:t>
      </w:r>
      <w:proofErr w:type="spellEnd"/>
      <w:r w:rsidR="00335783" w:rsidRPr="005462B2">
        <w:rPr>
          <w:rFonts w:cs="Times New Roman"/>
          <w:szCs w:val="24"/>
        </w:rPr>
        <w:t xml:space="preserve"> (PHA)</w:t>
      </w:r>
      <w:r w:rsidR="00E70596" w:rsidRPr="005462B2">
        <w:rPr>
          <w:rFonts w:cs="Times New Roman"/>
          <w:szCs w:val="24"/>
        </w:rPr>
        <w:t xml:space="preserve">, který se váže především na membránu T buněk a stimuluje buněčné dělení a metabolické aktivity. </w:t>
      </w:r>
    </w:p>
    <w:p w:rsidR="00AD7516" w:rsidRDefault="00C864CF" w:rsidP="005462B2">
      <w:pPr>
        <w:spacing w:after="0" w:line="240" w:lineRule="auto"/>
        <w:rPr>
          <w:rFonts w:cs="Times New Roman"/>
          <w:szCs w:val="24"/>
        </w:rPr>
      </w:pPr>
      <w:r w:rsidRPr="005462B2">
        <w:rPr>
          <w:rFonts w:cs="Times New Roman"/>
          <w:szCs w:val="24"/>
        </w:rPr>
        <w:t>Chromosomová analýza př</w:t>
      </w:r>
      <w:r w:rsidR="00547AB4" w:rsidRPr="005462B2">
        <w:rPr>
          <w:rFonts w:cs="Times New Roman"/>
          <w:szCs w:val="24"/>
        </w:rPr>
        <w:t>e</w:t>
      </w:r>
      <w:r w:rsidRPr="005462B2">
        <w:rPr>
          <w:rFonts w:cs="Times New Roman"/>
          <w:szCs w:val="24"/>
        </w:rPr>
        <w:t>dstavuje 5 základních kroků: 1) založení buněčné kultury, 2) ukončení k</w:t>
      </w:r>
      <w:r w:rsidR="00547AB4" w:rsidRPr="005462B2">
        <w:rPr>
          <w:rFonts w:cs="Times New Roman"/>
          <w:szCs w:val="24"/>
        </w:rPr>
        <w:t>u</w:t>
      </w:r>
      <w:r w:rsidRPr="005462B2">
        <w:rPr>
          <w:rFonts w:cs="Times New Roman"/>
          <w:szCs w:val="24"/>
        </w:rPr>
        <w:t>ltury a sklízení metafázových chromosomů, 3)</w:t>
      </w:r>
      <w:r w:rsidR="00D4572F" w:rsidRPr="005462B2">
        <w:rPr>
          <w:rFonts w:cs="Times New Roman"/>
          <w:szCs w:val="24"/>
        </w:rPr>
        <w:t xml:space="preserve"> </w:t>
      </w:r>
      <w:r w:rsidRPr="005462B2">
        <w:rPr>
          <w:rFonts w:cs="Times New Roman"/>
          <w:szCs w:val="24"/>
        </w:rPr>
        <w:t>příprava chromosomových preparátů, 4)</w:t>
      </w:r>
      <w:r w:rsidR="00D4572F" w:rsidRPr="005462B2">
        <w:rPr>
          <w:rFonts w:cs="Times New Roman"/>
          <w:szCs w:val="24"/>
        </w:rPr>
        <w:t xml:space="preserve"> </w:t>
      </w:r>
      <w:r w:rsidRPr="005462B2">
        <w:rPr>
          <w:rFonts w:cs="Times New Roman"/>
          <w:szCs w:val="24"/>
        </w:rPr>
        <w:t>pruhování chromosomů</w:t>
      </w:r>
      <w:r w:rsidR="00547AB4" w:rsidRPr="005462B2">
        <w:rPr>
          <w:rFonts w:cs="Times New Roman"/>
          <w:szCs w:val="24"/>
        </w:rPr>
        <w:t xml:space="preserve"> </w:t>
      </w:r>
      <w:proofErr w:type="gramStart"/>
      <w:r w:rsidR="00547AB4" w:rsidRPr="005462B2">
        <w:rPr>
          <w:rFonts w:cs="Times New Roman"/>
          <w:szCs w:val="24"/>
        </w:rPr>
        <w:t xml:space="preserve">a  </w:t>
      </w:r>
      <w:r w:rsidRPr="005462B2">
        <w:rPr>
          <w:rFonts w:cs="Times New Roman"/>
          <w:szCs w:val="24"/>
        </w:rPr>
        <w:t>5</w:t>
      </w:r>
      <w:proofErr w:type="gramEnd"/>
      <w:r w:rsidRPr="005462B2">
        <w:rPr>
          <w:rFonts w:cs="Times New Roman"/>
          <w:szCs w:val="24"/>
        </w:rPr>
        <w:t xml:space="preserve">) sestavení karyotypu. Objev, že kolchicin (nebo </w:t>
      </w:r>
      <w:proofErr w:type="spellStart"/>
      <w:r w:rsidRPr="005462B2">
        <w:rPr>
          <w:rFonts w:cs="Times New Roman"/>
          <w:szCs w:val="24"/>
        </w:rPr>
        <w:t>kolcemid</w:t>
      </w:r>
      <w:proofErr w:type="spellEnd"/>
      <w:r w:rsidRPr="005462B2">
        <w:rPr>
          <w:rFonts w:cs="Times New Roman"/>
          <w:szCs w:val="24"/>
        </w:rPr>
        <w:t xml:space="preserve">) působí jako látka, která zastavuje dělící se buňky v metafázi a společně s hypotonickým roztokem ovlivňuje počet i kvalitu metafází, </w:t>
      </w:r>
      <w:r w:rsidR="00547AB4" w:rsidRPr="005462B2">
        <w:rPr>
          <w:rFonts w:cs="Times New Roman"/>
          <w:szCs w:val="24"/>
        </w:rPr>
        <w:t xml:space="preserve">se </w:t>
      </w:r>
      <w:proofErr w:type="gramStart"/>
      <w:r w:rsidR="00547AB4" w:rsidRPr="005462B2">
        <w:rPr>
          <w:rFonts w:cs="Times New Roman"/>
          <w:szCs w:val="24"/>
        </w:rPr>
        <w:t xml:space="preserve">staly </w:t>
      </w:r>
      <w:r w:rsidRPr="005462B2">
        <w:rPr>
          <w:rFonts w:cs="Times New Roman"/>
          <w:szCs w:val="24"/>
        </w:rPr>
        <w:t xml:space="preserve"> základem</w:t>
      </w:r>
      <w:proofErr w:type="gramEnd"/>
      <w:r w:rsidRPr="005462B2">
        <w:rPr>
          <w:rFonts w:cs="Times New Roman"/>
          <w:szCs w:val="24"/>
        </w:rPr>
        <w:t xml:space="preserve"> úspěšného cytogenetického vyšetření. </w:t>
      </w:r>
      <w:r w:rsidR="00466808" w:rsidRPr="005462B2">
        <w:rPr>
          <w:rFonts w:cs="Times New Roman"/>
          <w:szCs w:val="24"/>
        </w:rPr>
        <w:t>Zpracování vzorku a</w:t>
      </w:r>
      <w:r w:rsidR="00793A6B" w:rsidRPr="005462B2">
        <w:rPr>
          <w:rFonts w:cs="Times New Roman"/>
          <w:szCs w:val="24"/>
        </w:rPr>
        <w:t xml:space="preserve"> následné </w:t>
      </w:r>
      <w:r w:rsidR="00466808" w:rsidRPr="005462B2">
        <w:rPr>
          <w:rFonts w:cs="Times New Roman"/>
          <w:szCs w:val="24"/>
        </w:rPr>
        <w:t xml:space="preserve">barvení preparátů </w:t>
      </w:r>
      <w:r w:rsidR="00793A6B" w:rsidRPr="005462B2">
        <w:rPr>
          <w:rFonts w:cs="Times New Roman"/>
          <w:szCs w:val="24"/>
        </w:rPr>
        <w:t xml:space="preserve">pro získání cytogenetického výsledku </w:t>
      </w:r>
      <w:r w:rsidR="00466808" w:rsidRPr="005462B2">
        <w:rPr>
          <w:rFonts w:cs="Times New Roman"/>
          <w:szCs w:val="24"/>
        </w:rPr>
        <w:t>se provádí dle standardních protokolů</w:t>
      </w:r>
      <w:r w:rsidR="00A96AAA" w:rsidRPr="005462B2">
        <w:rPr>
          <w:rFonts w:cs="Times New Roman"/>
          <w:szCs w:val="24"/>
        </w:rPr>
        <w:t xml:space="preserve"> a </w:t>
      </w:r>
      <w:proofErr w:type="gramStart"/>
      <w:r w:rsidR="00D4572F" w:rsidRPr="005462B2">
        <w:rPr>
          <w:rFonts w:cs="Times New Roman"/>
          <w:szCs w:val="24"/>
        </w:rPr>
        <w:t xml:space="preserve">je </w:t>
      </w:r>
      <w:r w:rsidR="008978BD" w:rsidRPr="005462B2">
        <w:rPr>
          <w:rFonts w:cs="Times New Roman"/>
          <w:szCs w:val="24"/>
        </w:rPr>
        <w:t xml:space="preserve"> shodné</w:t>
      </w:r>
      <w:proofErr w:type="gramEnd"/>
      <w:r w:rsidR="008978BD" w:rsidRPr="005462B2">
        <w:rPr>
          <w:rFonts w:cs="Times New Roman"/>
          <w:szCs w:val="24"/>
        </w:rPr>
        <w:t xml:space="preserve"> pro všechny typy </w:t>
      </w:r>
      <w:proofErr w:type="spellStart"/>
      <w:r w:rsidR="008978BD" w:rsidRPr="005462B2">
        <w:rPr>
          <w:rFonts w:cs="Times New Roman"/>
          <w:szCs w:val="24"/>
        </w:rPr>
        <w:t>kultur</w:t>
      </w:r>
      <w:r w:rsidR="00C7206C">
        <w:rPr>
          <w:rFonts w:cs="Times New Roman"/>
          <w:szCs w:val="24"/>
        </w:rPr>
        <w:t>.Celý</w:t>
      </w:r>
      <w:proofErr w:type="spellEnd"/>
      <w:r w:rsidR="00C7206C">
        <w:rPr>
          <w:rFonts w:cs="Times New Roman"/>
          <w:szCs w:val="24"/>
        </w:rPr>
        <w:t xml:space="preserve"> proces je složen z hypotonie roztokem </w:t>
      </w:r>
      <w:r w:rsidR="0044148B">
        <w:rPr>
          <w:rFonts w:cs="Times New Roman"/>
          <w:szCs w:val="24"/>
        </w:rPr>
        <w:t xml:space="preserve">0,75M </w:t>
      </w:r>
      <w:proofErr w:type="spellStart"/>
      <w:r w:rsidR="00C7206C">
        <w:rPr>
          <w:rFonts w:cs="Times New Roman"/>
          <w:szCs w:val="24"/>
        </w:rPr>
        <w:t>KCl</w:t>
      </w:r>
      <w:proofErr w:type="spellEnd"/>
      <w:r w:rsidR="00C7206C">
        <w:rPr>
          <w:rFonts w:cs="Times New Roman"/>
          <w:szCs w:val="24"/>
        </w:rPr>
        <w:t xml:space="preserve"> a následnou fixací směsí metanolu a kyseliny octově v poměru 3:1</w:t>
      </w:r>
      <w:r w:rsidR="0044148B">
        <w:rPr>
          <w:rFonts w:cs="Times New Roman"/>
          <w:szCs w:val="24"/>
        </w:rPr>
        <w:t xml:space="preserve"> opakovaně. Získaná fixovaná směr buněk mléčného zabarvení a požadované hustoty je pak použita na přípravu preparátů kapáním na sklo. Nakapané </w:t>
      </w:r>
      <w:proofErr w:type="gramStart"/>
      <w:r w:rsidR="0044148B">
        <w:rPr>
          <w:rFonts w:cs="Times New Roman"/>
          <w:szCs w:val="24"/>
        </w:rPr>
        <w:t xml:space="preserve">preparáty  </w:t>
      </w:r>
      <w:r w:rsidR="00466808" w:rsidRPr="005462B2">
        <w:rPr>
          <w:rFonts w:cs="Times New Roman"/>
          <w:szCs w:val="24"/>
        </w:rPr>
        <w:t>jsou</w:t>
      </w:r>
      <w:proofErr w:type="gramEnd"/>
      <w:r w:rsidR="00466808" w:rsidRPr="005462B2">
        <w:rPr>
          <w:rFonts w:cs="Times New Roman"/>
          <w:szCs w:val="24"/>
        </w:rPr>
        <w:t xml:space="preserve"> </w:t>
      </w:r>
      <w:r w:rsidR="00904D01" w:rsidRPr="005462B2">
        <w:rPr>
          <w:rFonts w:cs="Times New Roman"/>
          <w:szCs w:val="24"/>
        </w:rPr>
        <w:t xml:space="preserve">barveny různými </w:t>
      </w:r>
      <w:proofErr w:type="spellStart"/>
      <w:r w:rsidR="00904D01" w:rsidRPr="005462B2">
        <w:rPr>
          <w:rFonts w:cs="Times New Roman"/>
          <w:szCs w:val="24"/>
        </w:rPr>
        <w:t>pr</w:t>
      </w:r>
      <w:r w:rsidR="00793A6B" w:rsidRPr="005462B2">
        <w:rPr>
          <w:rFonts w:cs="Times New Roman"/>
          <w:szCs w:val="24"/>
        </w:rPr>
        <w:t>u</w:t>
      </w:r>
      <w:r w:rsidR="00904D01" w:rsidRPr="005462B2">
        <w:rPr>
          <w:rFonts w:cs="Times New Roman"/>
          <w:szCs w:val="24"/>
        </w:rPr>
        <w:t>hovacími</w:t>
      </w:r>
      <w:proofErr w:type="spellEnd"/>
      <w:r w:rsidR="00904D01" w:rsidRPr="005462B2">
        <w:rPr>
          <w:rFonts w:cs="Times New Roman"/>
          <w:szCs w:val="24"/>
        </w:rPr>
        <w:t xml:space="preserve"> metodami </w:t>
      </w:r>
      <w:r w:rsidR="00466808" w:rsidRPr="005462B2">
        <w:rPr>
          <w:rFonts w:cs="Times New Roman"/>
          <w:szCs w:val="24"/>
        </w:rPr>
        <w:t>G-, Q- a R- pruhování</w:t>
      </w:r>
      <w:r w:rsidR="00904D01" w:rsidRPr="005462B2">
        <w:rPr>
          <w:rFonts w:cs="Times New Roman"/>
          <w:szCs w:val="24"/>
        </w:rPr>
        <w:t xml:space="preserve">, avšak nejčastěji </w:t>
      </w:r>
      <w:r w:rsidR="00466808" w:rsidRPr="005462B2">
        <w:rPr>
          <w:rFonts w:cs="Times New Roman"/>
          <w:szCs w:val="24"/>
        </w:rPr>
        <w:t>použív</w:t>
      </w:r>
      <w:r w:rsidR="00253855" w:rsidRPr="005462B2">
        <w:rPr>
          <w:rFonts w:cs="Times New Roman"/>
          <w:szCs w:val="24"/>
        </w:rPr>
        <w:t>a</w:t>
      </w:r>
      <w:r w:rsidR="00466808" w:rsidRPr="005462B2">
        <w:rPr>
          <w:rFonts w:cs="Times New Roman"/>
          <w:szCs w:val="24"/>
        </w:rPr>
        <w:t xml:space="preserve">né je G-pruhování. Jde o tzv. </w:t>
      </w:r>
      <w:proofErr w:type="spellStart"/>
      <w:r w:rsidR="00466808" w:rsidRPr="005462B2">
        <w:rPr>
          <w:rFonts w:cs="Times New Roman"/>
          <w:szCs w:val="24"/>
        </w:rPr>
        <w:t>euchromatinové</w:t>
      </w:r>
      <w:proofErr w:type="spellEnd"/>
      <w:r w:rsidR="00466808" w:rsidRPr="005462B2">
        <w:rPr>
          <w:rFonts w:cs="Times New Roman"/>
          <w:szCs w:val="24"/>
        </w:rPr>
        <w:t xml:space="preserve"> pruhování, při kterém detekujeme pozitivně a negativně zbarvené pruhy </w:t>
      </w:r>
      <w:r w:rsidR="00E367D7" w:rsidRPr="005462B2">
        <w:rPr>
          <w:rFonts w:cs="Times New Roman"/>
          <w:szCs w:val="24"/>
        </w:rPr>
        <w:t>lokalizované</w:t>
      </w:r>
      <w:r w:rsidR="00466808" w:rsidRPr="005462B2">
        <w:rPr>
          <w:rFonts w:cs="Times New Roman"/>
          <w:szCs w:val="24"/>
        </w:rPr>
        <w:t xml:space="preserve"> v </w:t>
      </w:r>
      <w:proofErr w:type="spellStart"/>
      <w:r w:rsidR="00466808" w:rsidRPr="005462B2">
        <w:rPr>
          <w:rFonts w:cs="Times New Roman"/>
          <w:szCs w:val="24"/>
        </w:rPr>
        <w:t>euchromatinových</w:t>
      </w:r>
      <w:proofErr w:type="spellEnd"/>
      <w:r w:rsidR="00466808" w:rsidRPr="005462B2">
        <w:rPr>
          <w:rFonts w:cs="Times New Roman"/>
          <w:szCs w:val="24"/>
        </w:rPr>
        <w:t xml:space="preserve"> oblastech. Vytvoření pruhů se docílí denaturací DNA trypsinem a následným barvením </w:t>
      </w:r>
      <w:proofErr w:type="spellStart"/>
      <w:r w:rsidR="00466808" w:rsidRPr="005462B2">
        <w:rPr>
          <w:rFonts w:cs="Times New Roman"/>
          <w:szCs w:val="24"/>
        </w:rPr>
        <w:t>Giemsovým</w:t>
      </w:r>
      <w:proofErr w:type="spellEnd"/>
      <w:r w:rsidR="00466808" w:rsidRPr="005462B2">
        <w:rPr>
          <w:rFonts w:cs="Times New Roman"/>
          <w:szCs w:val="24"/>
        </w:rPr>
        <w:t xml:space="preserve"> barvivem. Počet pruhů záleží na stupni kondenzace chromosomů a typu buněk, většinou se pohybuje mezi 300-500 pruhy</w:t>
      </w:r>
      <w:r w:rsidR="00D4572F" w:rsidRPr="005462B2">
        <w:rPr>
          <w:rFonts w:cs="Times New Roman"/>
          <w:szCs w:val="24"/>
        </w:rPr>
        <w:t xml:space="preserve"> počítáno na haploidní počet chromosomů</w:t>
      </w:r>
      <w:r w:rsidR="00466808" w:rsidRPr="005462B2">
        <w:rPr>
          <w:rFonts w:cs="Times New Roman"/>
          <w:szCs w:val="24"/>
        </w:rPr>
        <w:t xml:space="preserve">. </w:t>
      </w:r>
    </w:p>
    <w:p w:rsidR="008166AE" w:rsidRPr="005462B2" w:rsidRDefault="00904D01" w:rsidP="005462B2">
      <w:pPr>
        <w:spacing w:after="0" w:line="240" w:lineRule="auto"/>
        <w:rPr>
          <w:rFonts w:cs="Times New Roman"/>
          <w:szCs w:val="24"/>
        </w:rPr>
      </w:pPr>
      <w:r w:rsidRPr="005462B2">
        <w:rPr>
          <w:rFonts w:cs="Times New Roman"/>
          <w:szCs w:val="24"/>
        </w:rPr>
        <w:t>Pro</w:t>
      </w:r>
      <w:r w:rsidR="00253855" w:rsidRPr="005462B2">
        <w:rPr>
          <w:rFonts w:cs="Times New Roman"/>
          <w:szCs w:val="24"/>
        </w:rPr>
        <w:t xml:space="preserve"> </w:t>
      </w:r>
      <w:proofErr w:type="gramStart"/>
      <w:r w:rsidR="00253855" w:rsidRPr="005462B2">
        <w:rPr>
          <w:rFonts w:cs="Times New Roman"/>
          <w:szCs w:val="24"/>
        </w:rPr>
        <w:t xml:space="preserve">vlastní </w:t>
      </w:r>
      <w:r w:rsidRPr="005462B2">
        <w:rPr>
          <w:rFonts w:cs="Times New Roman"/>
          <w:szCs w:val="24"/>
        </w:rPr>
        <w:t xml:space="preserve"> </w:t>
      </w:r>
      <w:proofErr w:type="spellStart"/>
      <w:r w:rsidR="00A96AAA" w:rsidRPr="005462B2">
        <w:rPr>
          <w:rFonts w:cs="Times New Roman"/>
          <w:szCs w:val="24"/>
        </w:rPr>
        <w:t>karyotypování</w:t>
      </w:r>
      <w:proofErr w:type="spellEnd"/>
      <w:proofErr w:type="gramEnd"/>
      <w:r w:rsidRPr="005462B2">
        <w:rPr>
          <w:rFonts w:cs="Times New Roman"/>
          <w:szCs w:val="24"/>
        </w:rPr>
        <w:t xml:space="preserve"> se používá digitalizace, automatické vyhledávání metafází,  kdy metafáze na preparátu jsou pomocí softwarového prog</w:t>
      </w:r>
      <w:r w:rsidR="00E367D7" w:rsidRPr="005462B2">
        <w:rPr>
          <w:rFonts w:cs="Times New Roman"/>
          <w:szCs w:val="24"/>
        </w:rPr>
        <w:t>r</w:t>
      </w:r>
      <w:r w:rsidRPr="005462B2">
        <w:rPr>
          <w:rFonts w:cs="Times New Roman"/>
          <w:szCs w:val="24"/>
        </w:rPr>
        <w:t xml:space="preserve">amu a digitální kamery vyhledány, nasnímány a digitální obraz </w:t>
      </w:r>
      <w:r w:rsidR="00E367D7" w:rsidRPr="005462B2">
        <w:rPr>
          <w:rFonts w:cs="Times New Roman"/>
          <w:szCs w:val="24"/>
        </w:rPr>
        <w:t xml:space="preserve">v počítači </w:t>
      </w:r>
      <w:r w:rsidRPr="005462B2">
        <w:rPr>
          <w:rFonts w:cs="Times New Roman"/>
          <w:szCs w:val="24"/>
        </w:rPr>
        <w:t xml:space="preserve">je pak cílem </w:t>
      </w:r>
      <w:proofErr w:type="spellStart"/>
      <w:r w:rsidRPr="005462B2">
        <w:rPr>
          <w:rFonts w:cs="Times New Roman"/>
          <w:szCs w:val="24"/>
        </w:rPr>
        <w:t>karyotypování</w:t>
      </w:r>
      <w:proofErr w:type="spellEnd"/>
      <w:r w:rsidRPr="005462B2">
        <w:rPr>
          <w:rFonts w:cs="Times New Roman"/>
          <w:szCs w:val="24"/>
        </w:rPr>
        <w:t xml:space="preserve"> cytogenetika. Sestavení karyotypu se řídí celosvětově platnou nomenklaturou </w:t>
      </w:r>
      <w:proofErr w:type="gramStart"/>
      <w:r w:rsidRPr="005462B2">
        <w:rPr>
          <w:rFonts w:cs="Times New Roman"/>
          <w:szCs w:val="24"/>
        </w:rPr>
        <w:t>ISCN - International</w:t>
      </w:r>
      <w:proofErr w:type="gramEnd"/>
      <w:r w:rsidRPr="005462B2">
        <w:rPr>
          <w:rFonts w:cs="Times New Roman"/>
          <w:szCs w:val="24"/>
        </w:rPr>
        <w:t xml:space="preserve"> Systems </w:t>
      </w:r>
      <w:proofErr w:type="spellStart"/>
      <w:r w:rsidR="00BC5C33" w:rsidRPr="005462B2">
        <w:rPr>
          <w:rFonts w:cs="Times New Roman"/>
          <w:szCs w:val="24"/>
        </w:rPr>
        <w:t>for</w:t>
      </w:r>
      <w:proofErr w:type="spellEnd"/>
      <w:r w:rsidRPr="005462B2">
        <w:rPr>
          <w:rFonts w:cs="Times New Roman"/>
          <w:szCs w:val="24"/>
        </w:rPr>
        <w:t xml:space="preserve"> </w:t>
      </w:r>
      <w:proofErr w:type="spellStart"/>
      <w:r w:rsidR="00BC5C33" w:rsidRPr="005462B2">
        <w:rPr>
          <w:rFonts w:cs="Times New Roman"/>
          <w:szCs w:val="24"/>
        </w:rPr>
        <w:t>Cytogenomic</w:t>
      </w:r>
      <w:proofErr w:type="spellEnd"/>
      <w:r w:rsidR="00BC5C33" w:rsidRPr="005462B2">
        <w:rPr>
          <w:rFonts w:cs="Times New Roman"/>
          <w:szCs w:val="24"/>
        </w:rPr>
        <w:t xml:space="preserve"> </w:t>
      </w:r>
      <w:proofErr w:type="spellStart"/>
      <w:r w:rsidR="00BC5C33" w:rsidRPr="005462B2">
        <w:rPr>
          <w:rFonts w:cs="Times New Roman"/>
          <w:szCs w:val="24"/>
        </w:rPr>
        <w:t>N</w:t>
      </w:r>
      <w:r w:rsidRPr="005462B2">
        <w:rPr>
          <w:rFonts w:cs="Times New Roman"/>
          <w:szCs w:val="24"/>
        </w:rPr>
        <w:t>omenclature</w:t>
      </w:r>
      <w:proofErr w:type="spellEnd"/>
      <w:r w:rsidR="00AB248B">
        <w:rPr>
          <w:rFonts w:cs="Times New Roman"/>
          <w:szCs w:val="24"/>
        </w:rPr>
        <w:t xml:space="preserve">. </w:t>
      </w:r>
      <w:r w:rsidR="00793A6B" w:rsidRPr="005462B2">
        <w:rPr>
          <w:rFonts w:cs="Times New Roman"/>
          <w:szCs w:val="24"/>
        </w:rPr>
        <w:t xml:space="preserve">Cytogenetické </w:t>
      </w:r>
      <w:r w:rsidR="009A0A1C" w:rsidRPr="005462B2">
        <w:rPr>
          <w:rFonts w:cs="Times New Roman"/>
          <w:szCs w:val="24"/>
        </w:rPr>
        <w:t xml:space="preserve">vyšetření by měli provádět dva nezávislí </w:t>
      </w:r>
      <w:proofErr w:type="spellStart"/>
      <w:r w:rsidR="009A0A1C" w:rsidRPr="005462B2">
        <w:rPr>
          <w:rFonts w:cs="Times New Roman"/>
          <w:szCs w:val="24"/>
        </w:rPr>
        <w:t>cytogenetici</w:t>
      </w:r>
      <w:proofErr w:type="spellEnd"/>
      <w:r w:rsidR="009A0A1C" w:rsidRPr="005462B2">
        <w:rPr>
          <w:rFonts w:cs="Times New Roman"/>
          <w:szCs w:val="24"/>
        </w:rPr>
        <w:t xml:space="preserve"> </w:t>
      </w:r>
      <w:r w:rsidR="00050C59" w:rsidRPr="005462B2">
        <w:rPr>
          <w:rFonts w:cs="Times New Roman"/>
          <w:szCs w:val="24"/>
        </w:rPr>
        <w:t>–</w:t>
      </w:r>
      <w:r w:rsidR="009A0A1C" w:rsidRPr="005462B2">
        <w:rPr>
          <w:rFonts w:cs="Times New Roman"/>
          <w:szCs w:val="24"/>
        </w:rPr>
        <w:t xml:space="preserve"> analytici</w:t>
      </w:r>
      <w:r w:rsidR="00050C59" w:rsidRPr="005462B2">
        <w:rPr>
          <w:rFonts w:cs="Times New Roman"/>
          <w:szCs w:val="24"/>
        </w:rPr>
        <w:t>,</w:t>
      </w:r>
      <w:r w:rsidR="009A0A1C" w:rsidRPr="005462B2">
        <w:rPr>
          <w:rFonts w:cs="Times New Roman"/>
          <w:szCs w:val="24"/>
        </w:rPr>
        <w:t xml:space="preserve"> se zkušeností s</w:t>
      </w:r>
      <w:r w:rsidR="00793A6B" w:rsidRPr="005462B2">
        <w:rPr>
          <w:rFonts w:cs="Times New Roman"/>
          <w:szCs w:val="24"/>
        </w:rPr>
        <w:t> </w:t>
      </w:r>
      <w:proofErr w:type="spellStart"/>
      <w:r w:rsidR="00793A6B" w:rsidRPr="005462B2">
        <w:rPr>
          <w:rFonts w:cs="Times New Roman"/>
          <w:szCs w:val="24"/>
        </w:rPr>
        <w:t>onkocytogenetikou</w:t>
      </w:r>
      <w:proofErr w:type="spellEnd"/>
      <w:r w:rsidR="009A0A1C" w:rsidRPr="005462B2">
        <w:rPr>
          <w:rFonts w:cs="Times New Roman"/>
          <w:szCs w:val="24"/>
        </w:rPr>
        <w:t xml:space="preserve">. </w:t>
      </w:r>
      <w:r w:rsidR="00C864CF" w:rsidRPr="005462B2">
        <w:rPr>
          <w:rFonts w:cs="Times New Roman"/>
          <w:szCs w:val="24"/>
        </w:rPr>
        <w:t>Chromosomová analýza poskytuje informaci o všech chromosomových změnách v jedné nádorové buňce</w:t>
      </w:r>
      <w:r w:rsidR="00D4572F" w:rsidRPr="005462B2">
        <w:rPr>
          <w:rFonts w:cs="Times New Roman"/>
          <w:szCs w:val="24"/>
        </w:rPr>
        <w:t xml:space="preserve"> na úrovni svého rozlišení.</w:t>
      </w:r>
      <w:r w:rsidR="00C864CF" w:rsidRPr="005462B2">
        <w:rPr>
          <w:rFonts w:cs="Times New Roman"/>
          <w:szCs w:val="24"/>
        </w:rPr>
        <w:t xml:space="preserve"> </w:t>
      </w:r>
    </w:p>
    <w:p w:rsidR="00111C23" w:rsidRPr="005462B2" w:rsidRDefault="00793A6B" w:rsidP="005462B2">
      <w:pPr>
        <w:spacing w:after="0" w:line="240" w:lineRule="auto"/>
        <w:rPr>
          <w:rFonts w:cs="Times New Roman"/>
          <w:szCs w:val="24"/>
        </w:rPr>
      </w:pPr>
      <w:r w:rsidRPr="005462B2">
        <w:rPr>
          <w:rFonts w:cs="Times New Roman"/>
          <w:szCs w:val="24"/>
        </w:rPr>
        <w:t xml:space="preserve">Cytogenetická analýza je u řady hematologických malignit povinná, jak je uvedeno v evropském doporučení (Tab.1). </w:t>
      </w:r>
      <w:r w:rsidR="00C25450" w:rsidRPr="005462B2">
        <w:rPr>
          <w:rFonts w:cs="Times New Roman"/>
          <w:color w:val="000000"/>
          <w:szCs w:val="24"/>
        </w:rPr>
        <w:t xml:space="preserve"> </w:t>
      </w:r>
      <w:r w:rsidR="00111C23" w:rsidRPr="005462B2">
        <w:rPr>
          <w:rFonts w:cs="Times New Roman"/>
          <w:color w:val="000000"/>
          <w:szCs w:val="24"/>
        </w:rPr>
        <w:t xml:space="preserve">Tato evropská doporučení </w:t>
      </w:r>
      <w:r w:rsidR="00A96AAA" w:rsidRPr="005462B2">
        <w:rPr>
          <w:rFonts w:cs="Times New Roman"/>
          <w:color w:val="000000"/>
          <w:szCs w:val="24"/>
        </w:rPr>
        <w:t>navrhují</w:t>
      </w:r>
      <w:r w:rsidR="00111C23" w:rsidRPr="005462B2">
        <w:rPr>
          <w:rFonts w:cs="Times New Roman"/>
          <w:color w:val="000000"/>
          <w:szCs w:val="24"/>
        </w:rPr>
        <w:t xml:space="preserve"> hodnocení 20 metafází a z nich nejméně u 10 </w:t>
      </w:r>
      <w:proofErr w:type="gramStart"/>
      <w:r w:rsidR="00253855" w:rsidRPr="005462B2">
        <w:rPr>
          <w:rFonts w:cs="Times New Roman"/>
          <w:color w:val="000000"/>
          <w:szCs w:val="24"/>
        </w:rPr>
        <w:t xml:space="preserve">pak </w:t>
      </w:r>
      <w:r w:rsidR="00A96AAA" w:rsidRPr="005462B2">
        <w:rPr>
          <w:rFonts w:cs="Times New Roman"/>
          <w:color w:val="000000"/>
          <w:szCs w:val="24"/>
        </w:rPr>
        <w:t xml:space="preserve"> </w:t>
      </w:r>
      <w:r w:rsidR="00111C23" w:rsidRPr="005462B2">
        <w:rPr>
          <w:rFonts w:cs="Times New Roman"/>
          <w:color w:val="000000"/>
          <w:szCs w:val="24"/>
        </w:rPr>
        <w:t>s</w:t>
      </w:r>
      <w:r w:rsidR="00A96AAA" w:rsidRPr="005462B2">
        <w:rPr>
          <w:rFonts w:cs="Times New Roman"/>
          <w:color w:val="000000"/>
          <w:szCs w:val="24"/>
        </w:rPr>
        <w:t>e</w:t>
      </w:r>
      <w:r w:rsidR="00111C23" w:rsidRPr="005462B2">
        <w:rPr>
          <w:rFonts w:cs="Times New Roman"/>
          <w:color w:val="000000"/>
          <w:szCs w:val="24"/>
        </w:rPr>
        <w:t>stav</w:t>
      </w:r>
      <w:r w:rsidR="00A96AAA" w:rsidRPr="005462B2">
        <w:rPr>
          <w:rFonts w:cs="Times New Roman"/>
          <w:color w:val="000000"/>
          <w:szCs w:val="24"/>
        </w:rPr>
        <w:t>ení</w:t>
      </w:r>
      <w:proofErr w:type="gramEnd"/>
      <w:r w:rsidR="00111C23" w:rsidRPr="005462B2">
        <w:rPr>
          <w:rFonts w:cs="Times New Roman"/>
          <w:color w:val="000000"/>
          <w:szCs w:val="24"/>
        </w:rPr>
        <w:t xml:space="preserve"> karyotyp</w:t>
      </w:r>
      <w:r w:rsidR="00A96AAA" w:rsidRPr="005462B2">
        <w:rPr>
          <w:rFonts w:cs="Times New Roman"/>
          <w:color w:val="000000"/>
          <w:szCs w:val="24"/>
        </w:rPr>
        <w:t>u</w:t>
      </w:r>
      <w:r w:rsidR="00111C23" w:rsidRPr="005462B2">
        <w:rPr>
          <w:rFonts w:cs="Times New Roman"/>
          <w:color w:val="000000"/>
          <w:szCs w:val="24"/>
        </w:rPr>
        <w:t>.</w:t>
      </w:r>
      <w:r w:rsidR="00335783" w:rsidRPr="005462B2">
        <w:rPr>
          <w:rFonts w:cs="Times New Roman"/>
          <w:color w:val="000000"/>
          <w:szCs w:val="24"/>
        </w:rPr>
        <w:t xml:space="preserve"> </w:t>
      </w:r>
      <w:r w:rsidR="007C2D4C" w:rsidRPr="005462B2">
        <w:rPr>
          <w:rFonts w:cs="Times New Roman"/>
          <w:color w:val="000000"/>
          <w:szCs w:val="24"/>
        </w:rPr>
        <w:t>Při hodnocení chromosomových změn je také definován pojem klon</w:t>
      </w:r>
      <w:r w:rsidR="00335783" w:rsidRPr="005462B2">
        <w:rPr>
          <w:rFonts w:cs="Times New Roman"/>
          <w:color w:val="000000"/>
          <w:szCs w:val="24"/>
        </w:rPr>
        <w:t xml:space="preserve">, jako nález dvou metafází se stejnou strukturní nebo </w:t>
      </w:r>
      <w:r w:rsidR="008166AE" w:rsidRPr="005462B2">
        <w:rPr>
          <w:rFonts w:cs="Times New Roman"/>
          <w:color w:val="000000"/>
          <w:szCs w:val="24"/>
        </w:rPr>
        <w:t>nad</w:t>
      </w:r>
      <w:r w:rsidR="00335783" w:rsidRPr="005462B2">
        <w:rPr>
          <w:rFonts w:cs="Times New Roman"/>
          <w:color w:val="000000"/>
          <w:szCs w:val="24"/>
        </w:rPr>
        <w:t xml:space="preserve">početní </w:t>
      </w:r>
      <w:r w:rsidR="00D8702C" w:rsidRPr="005462B2">
        <w:rPr>
          <w:rFonts w:cs="Times New Roman"/>
          <w:color w:val="000000"/>
          <w:szCs w:val="24"/>
        </w:rPr>
        <w:t xml:space="preserve">chromosomovou </w:t>
      </w:r>
      <w:r w:rsidR="00335783" w:rsidRPr="005462B2">
        <w:rPr>
          <w:rFonts w:cs="Times New Roman"/>
          <w:color w:val="000000"/>
          <w:szCs w:val="24"/>
        </w:rPr>
        <w:t xml:space="preserve">změnou nebo nález tří a více metafází se ztrátou </w:t>
      </w:r>
      <w:r w:rsidR="00D8702C" w:rsidRPr="005462B2">
        <w:rPr>
          <w:rFonts w:cs="Times New Roman"/>
          <w:color w:val="000000"/>
          <w:szCs w:val="24"/>
        </w:rPr>
        <w:t xml:space="preserve">stejného </w:t>
      </w:r>
      <w:r w:rsidR="005D4BDF" w:rsidRPr="005462B2">
        <w:rPr>
          <w:rFonts w:cs="Times New Roman"/>
          <w:color w:val="000000"/>
          <w:szCs w:val="24"/>
        </w:rPr>
        <w:t>chromosomu</w:t>
      </w:r>
      <w:r w:rsidR="00335783" w:rsidRPr="005462B2">
        <w:rPr>
          <w:rFonts w:cs="Times New Roman"/>
          <w:color w:val="000000"/>
          <w:szCs w:val="24"/>
        </w:rPr>
        <w:t>.</w:t>
      </w:r>
      <w:r w:rsidR="005D4BDF" w:rsidRPr="005462B2">
        <w:rPr>
          <w:rFonts w:cs="Times New Roman"/>
          <w:color w:val="000000"/>
          <w:szCs w:val="24"/>
        </w:rPr>
        <w:t xml:space="preserve"> </w:t>
      </w:r>
      <w:r w:rsidR="00335783" w:rsidRPr="005462B2">
        <w:rPr>
          <w:rFonts w:cs="Times New Roman"/>
          <w:color w:val="000000"/>
          <w:szCs w:val="24"/>
        </w:rPr>
        <w:t>Za klon je považován i nález pouze jedné metaf</w:t>
      </w:r>
      <w:r w:rsidR="005D4BDF" w:rsidRPr="005462B2">
        <w:rPr>
          <w:rFonts w:cs="Times New Roman"/>
          <w:color w:val="000000"/>
          <w:szCs w:val="24"/>
        </w:rPr>
        <w:t>á</w:t>
      </w:r>
      <w:r w:rsidR="00335783" w:rsidRPr="005462B2">
        <w:rPr>
          <w:rFonts w:cs="Times New Roman"/>
          <w:color w:val="000000"/>
          <w:szCs w:val="24"/>
        </w:rPr>
        <w:t>ze s normálním karyotypem.  Klonální změny jsou cílem výsledku cytogenetického vyšetření.</w:t>
      </w:r>
      <w:r w:rsidR="00A96AAA" w:rsidRPr="005462B2">
        <w:rPr>
          <w:rFonts w:cs="Times New Roman"/>
          <w:color w:val="000000"/>
          <w:szCs w:val="24"/>
        </w:rPr>
        <w:t xml:space="preserve"> </w:t>
      </w:r>
      <w:r w:rsidR="00111C23" w:rsidRPr="005462B2">
        <w:rPr>
          <w:rFonts w:cs="Times New Roman"/>
          <w:color w:val="000000"/>
          <w:szCs w:val="24"/>
        </w:rPr>
        <w:t>Cytogenetické vyšetření se provádí nejen v době diagnosy hematologické malignity, ale také po léčbě</w:t>
      </w:r>
      <w:r w:rsidR="00A96AAA" w:rsidRPr="005462B2">
        <w:rPr>
          <w:rFonts w:cs="Times New Roman"/>
          <w:color w:val="000000"/>
          <w:szCs w:val="24"/>
        </w:rPr>
        <w:t>,</w:t>
      </w:r>
      <w:r w:rsidR="00111C23" w:rsidRPr="005462B2">
        <w:rPr>
          <w:rFonts w:cs="Times New Roman"/>
          <w:color w:val="000000"/>
          <w:szCs w:val="24"/>
        </w:rPr>
        <w:t xml:space="preserve"> </w:t>
      </w:r>
      <w:r w:rsidR="00A96AAA" w:rsidRPr="005462B2">
        <w:rPr>
          <w:rFonts w:cs="Times New Roman"/>
          <w:color w:val="000000"/>
          <w:szCs w:val="24"/>
        </w:rPr>
        <w:t xml:space="preserve">v době remise onemocnění nebo při dalším vývoji onemocnění.  I v </w:t>
      </w:r>
      <w:r w:rsidR="00111C23" w:rsidRPr="005462B2">
        <w:rPr>
          <w:rFonts w:cs="Times New Roman"/>
          <w:color w:val="000000"/>
          <w:szCs w:val="24"/>
        </w:rPr>
        <w:t>těchto případech je opět potřeba dodržovat evropská doporučení a hodnotit příslušný počet metafází ve vztahu k nálezu v době diagnosy</w:t>
      </w:r>
      <w:r w:rsidR="00AB248B">
        <w:rPr>
          <w:rFonts w:cs="Times New Roman"/>
          <w:color w:val="000000"/>
          <w:szCs w:val="24"/>
        </w:rPr>
        <w:t>.</w:t>
      </w:r>
    </w:p>
    <w:p w:rsidR="00C25450" w:rsidRPr="00AB248B" w:rsidRDefault="00B02AC3" w:rsidP="00B02AC3">
      <w:pPr>
        <w:rPr>
          <w:rFonts w:cs="Times New Roman"/>
          <w:b/>
          <w:szCs w:val="24"/>
        </w:rPr>
      </w:pPr>
      <w:r w:rsidRPr="007F335F">
        <w:rPr>
          <w:b/>
          <w:noProof/>
          <w:lang w:val="en-US"/>
        </w:rPr>
        <w:lastRenderedPageBreak/>
        <w:drawing>
          <wp:anchor distT="0" distB="0" distL="114300" distR="114300" simplePos="0" relativeHeight="251667456" behindDoc="0" locked="0" layoutInCell="1" allowOverlap="1" wp14:anchorId="3D635592" wp14:editId="26D69716">
            <wp:simplePos x="0" y="0"/>
            <wp:positionH relativeFrom="column">
              <wp:posOffset>303206</wp:posOffset>
            </wp:positionH>
            <wp:positionV relativeFrom="paragraph">
              <wp:posOffset>300614</wp:posOffset>
            </wp:positionV>
            <wp:extent cx="2686685" cy="1951990"/>
            <wp:effectExtent l="0" t="0" r="5715" b="3810"/>
            <wp:wrapTopAndBottom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3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685" cy="1951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1C23" w:rsidRPr="007F335F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  <w:r w:rsidRPr="00AB248B">
        <w:rPr>
          <w:rFonts w:cs="Times New Roman"/>
          <w:b/>
          <w:szCs w:val="24"/>
        </w:rPr>
        <w:t>Obr.1</w:t>
      </w:r>
      <w:r w:rsidRPr="00AB248B">
        <w:rPr>
          <w:rFonts w:cs="Times New Roman"/>
          <w:szCs w:val="24"/>
        </w:rPr>
        <w:t xml:space="preserve">: </w:t>
      </w:r>
      <w:r w:rsidRPr="00AB248B">
        <w:rPr>
          <w:rFonts w:cs="Times New Roman"/>
          <w:b/>
          <w:szCs w:val="24"/>
        </w:rPr>
        <w:t xml:space="preserve">Karyotyp muže </w:t>
      </w:r>
      <w:proofErr w:type="gramStart"/>
      <w:r w:rsidRPr="00AB248B">
        <w:rPr>
          <w:rFonts w:cs="Times New Roman"/>
          <w:b/>
          <w:szCs w:val="24"/>
        </w:rPr>
        <w:t>46,XY</w:t>
      </w:r>
      <w:proofErr w:type="gramEnd"/>
      <w:r w:rsidRPr="00AB248B">
        <w:rPr>
          <w:rFonts w:cs="Times New Roman"/>
          <w:b/>
          <w:szCs w:val="24"/>
        </w:rPr>
        <w:t xml:space="preserve"> </w:t>
      </w:r>
      <w:r w:rsidRPr="00AB248B">
        <w:rPr>
          <w:rFonts w:cs="Times New Roman"/>
          <w:sz w:val="20"/>
          <w:szCs w:val="20"/>
        </w:rPr>
        <w:t>(G-pruhování, Sekce Nádorové cytogenetiky CMBGT IHOK</w:t>
      </w:r>
      <w:r w:rsidRPr="00AB248B">
        <w:rPr>
          <w:rFonts w:cs="Times New Roman"/>
          <w:szCs w:val="24"/>
        </w:rPr>
        <w:t xml:space="preserve"> </w:t>
      </w:r>
      <w:r w:rsidRPr="00AB248B">
        <w:rPr>
          <w:rFonts w:cs="Times New Roman"/>
          <w:sz w:val="20"/>
          <w:szCs w:val="20"/>
        </w:rPr>
        <w:t>Brno)</w:t>
      </w:r>
    </w:p>
    <w:p w:rsidR="00AD7516" w:rsidRDefault="00AD7516" w:rsidP="00AB248B">
      <w:pPr>
        <w:pStyle w:val="Nadpis2"/>
        <w:spacing w:line="240" w:lineRule="auto"/>
        <w:rPr>
          <w:rFonts w:cs="Times New Roman"/>
          <w:szCs w:val="24"/>
        </w:rPr>
      </w:pPr>
    </w:p>
    <w:p w:rsidR="00AD7516" w:rsidRDefault="00AD7516" w:rsidP="00AB248B">
      <w:pPr>
        <w:pStyle w:val="Nadpis2"/>
        <w:spacing w:line="240" w:lineRule="auto"/>
        <w:rPr>
          <w:rFonts w:cs="Times New Roman"/>
          <w:szCs w:val="24"/>
        </w:rPr>
      </w:pPr>
    </w:p>
    <w:p w:rsidR="00466808" w:rsidRPr="00AB248B" w:rsidRDefault="00466808" w:rsidP="00AB248B">
      <w:pPr>
        <w:pStyle w:val="Nadpis2"/>
        <w:spacing w:line="240" w:lineRule="auto"/>
        <w:rPr>
          <w:rFonts w:cs="Times New Roman"/>
          <w:szCs w:val="24"/>
        </w:rPr>
      </w:pPr>
      <w:r w:rsidRPr="00AB248B">
        <w:rPr>
          <w:rFonts w:cs="Times New Roman"/>
          <w:szCs w:val="24"/>
        </w:rPr>
        <w:t>Metody molekulární cytogenetiky</w:t>
      </w:r>
    </w:p>
    <w:p w:rsidR="00466808" w:rsidRPr="00AB248B" w:rsidRDefault="00466808" w:rsidP="00AB248B">
      <w:pPr>
        <w:spacing w:line="240" w:lineRule="auto"/>
        <w:rPr>
          <w:rFonts w:cs="Times New Roman"/>
          <w:szCs w:val="24"/>
        </w:rPr>
      </w:pPr>
      <w:r w:rsidRPr="00AB248B">
        <w:rPr>
          <w:rFonts w:cs="Times New Roman"/>
          <w:szCs w:val="24"/>
        </w:rPr>
        <w:t xml:space="preserve">Molekulárně cytogenetické metody jsou založeny na principu hybridizace značených sond </w:t>
      </w:r>
      <w:r w:rsidR="00111C23" w:rsidRPr="00AB248B">
        <w:rPr>
          <w:rFonts w:cs="Times New Roman"/>
          <w:szCs w:val="24"/>
        </w:rPr>
        <w:t>s </w:t>
      </w:r>
      <w:r w:rsidRPr="00AB248B">
        <w:rPr>
          <w:rFonts w:cs="Times New Roman"/>
          <w:szCs w:val="24"/>
        </w:rPr>
        <w:t>DNA</w:t>
      </w:r>
      <w:r w:rsidR="00111C23" w:rsidRPr="00AB248B">
        <w:rPr>
          <w:rFonts w:cs="Times New Roman"/>
          <w:szCs w:val="24"/>
        </w:rPr>
        <w:t xml:space="preserve"> zkoumaného vzorku</w:t>
      </w:r>
      <w:r w:rsidRPr="00AB248B">
        <w:rPr>
          <w:rFonts w:cs="Times New Roman"/>
          <w:szCs w:val="24"/>
        </w:rPr>
        <w:t xml:space="preserve">. </w:t>
      </w:r>
    </w:p>
    <w:p w:rsidR="00466808" w:rsidRPr="00AB248B" w:rsidRDefault="006D7D55" w:rsidP="00AB248B">
      <w:pPr>
        <w:pStyle w:val="Nadpis3"/>
        <w:spacing w:line="240" w:lineRule="auto"/>
        <w:rPr>
          <w:rFonts w:cs="Times New Roman"/>
          <w:i/>
        </w:rPr>
      </w:pPr>
      <w:r w:rsidRPr="00AB248B">
        <w:rPr>
          <w:rFonts w:cs="Times New Roman"/>
          <w:i/>
        </w:rPr>
        <w:t xml:space="preserve">Fluorescenční in </w:t>
      </w:r>
      <w:proofErr w:type="spellStart"/>
      <w:r w:rsidRPr="00AB248B">
        <w:rPr>
          <w:rFonts w:cs="Times New Roman"/>
          <w:i/>
        </w:rPr>
        <w:t>situ</w:t>
      </w:r>
      <w:proofErr w:type="spellEnd"/>
      <w:r w:rsidRPr="00AB248B">
        <w:rPr>
          <w:rFonts w:cs="Times New Roman"/>
          <w:i/>
        </w:rPr>
        <w:t xml:space="preserve"> </w:t>
      </w:r>
      <w:proofErr w:type="gramStart"/>
      <w:r w:rsidRPr="00AB248B">
        <w:rPr>
          <w:rFonts w:cs="Times New Roman"/>
          <w:i/>
        </w:rPr>
        <w:t xml:space="preserve">hybridizace - </w:t>
      </w:r>
      <w:r w:rsidR="00466808" w:rsidRPr="00AB248B">
        <w:rPr>
          <w:rFonts w:cs="Times New Roman"/>
          <w:i/>
        </w:rPr>
        <w:t>FISH</w:t>
      </w:r>
      <w:proofErr w:type="gramEnd"/>
    </w:p>
    <w:p w:rsidR="00030843" w:rsidRPr="00AB248B" w:rsidRDefault="00466808" w:rsidP="00AB248B">
      <w:pPr>
        <w:spacing w:after="0" w:line="240" w:lineRule="auto"/>
        <w:rPr>
          <w:rFonts w:eastAsia="Times New Roman" w:cs="Times New Roman"/>
          <w:color w:val="000000" w:themeColor="text1"/>
          <w:szCs w:val="24"/>
          <w:lang w:eastAsia="cs-CZ"/>
        </w:rPr>
      </w:pPr>
      <w:r w:rsidRPr="00AB248B">
        <w:rPr>
          <w:rFonts w:cs="Times New Roman"/>
          <w:szCs w:val="24"/>
        </w:rPr>
        <w:t xml:space="preserve">Principem metody FISH je cílená hybridizace </w:t>
      </w:r>
      <w:proofErr w:type="spellStart"/>
      <w:r w:rsidRPr="00AB248B">
        <w:rPr>
          <w:rFonts w:cs="Times New Roman"/>
          <w:szCs w:val="24"/>
        </w:rPr>
        <w:t>jednořetězcové</w:t>
      </w:r>
      <w:proofErr w:type="spellEnd"/>
      <w:r w:rsidRPr="00AB248B">
        <w:rPr>
          <w:rFonts w:cs="Times New Roman"/>
          <w:szCs w:val="24"/>
        </w:rPr>
        <w:t xml:space="preserve"> sondy značené </w:t>
      </w:r>
      <w:proofErr w:type="spellStart"/>
      <w:r w:rsidRPr="00AB248B">
        <w:rPr>
          <w:rFonts w:cs="Times New Roman"/>
          <w:szCs w:val="24"/>
        </w:rPr>
        <w:t>flu</w:t>
      </w:r>
      <w:r w:rsidR="00D8702C" w:rsidRPr="00AB248B">
        <w:rPr>
          <w:rFonts w:cs="Times New Roman"/>
          <w:szCs w:val="24"/>
        </w:rPr>
        <w:t>o</w:t>
      </w:r>
      <w:r w:rsidRPr="00AB248B">
        <w:rPr>
          <w:rFonts w:cs="Times New Roman"/>
          <w:szCs w:val="24"/>
        </w:rPr>
        <w:t>rochr</w:t>
      </w:r>
      <w:r w:rsidR="00D8702C" w:rsidRPr="00AB248B">
        <w:rPr>
          <w:rFonts w:cs="Times New Roman"/>
          <w:szCs w:val="24"/>
        </w:rPr>
        <w:t>ó</w:t>
      </w:r>
      <w:r w:rsidRPr="00AB248B">
        <w:rPr>
          <w:rFonts w:cs="Times New Roman"/>
          <w:szCs w:val="24"/>
        </w:rPr>
        <w:t>mem</w:t>
      </w:r>
      <w:proofErr w:type="spellEnd"/>
      <w:r w:rsidRPr="00AB248B">
        <w:rPr>
          <w:rFonts w:cs="Times New Roman"/>
          <w:szCs w:val="24"/>
        </w:rPr>
        <w:t xml:space="preserve"> </w:t>
      </w:r>
      <w:r w:rsidR="00B02AC3" w:rsidRPr="00AB248B">
        <w:rPr>
          <w:rFonts w:cs="Times New Roman"/>
          <w:szCs w:val="24"/>
        </w:rPr>
        <w:t>ke</w:t>
      </w:r>
      <w:r w:rsidRPr="00AB248B">
        <w:rPr>
          <w:rFonts w:cs="Times New Roman"/>
          <w:szCs w:val="24"/>
        </w:rPr>
        <w:t xml:space="preserve"> komplementární</w:t>
      </w:r>
      <w:r w:rsidR="006D7D55" w:rsidRPr="00AB248B">
        <w:rPr>
          <w:rFonts w:cs="Times New Roman"/>
          <w:szCs w:val="24"/>
        </w:rPr>
        <w:t>m</w:t>
      </w:r>
      <w:r w:rsidRPr="00AB248B">
        <w:rPr>
          <w:rFonts w:cs="Times New Roman"/>
          <w:szCs w:val="24"/>
        </w:rPr>
        <w:t xml:space="preserve"> úsek</w:t>
      </w:r>
      <w:r w:rsidR="00D8702C" w:rsidRPr="00AB248B">
        <w:rPr>
          <w:rFonts w:cs="Times New Roman"/>
          <w:szCs w:val="24"/>
        </w:rPr>
        <w:t>ů</w:t>
      </w:r>
      <w:r w:rsidR="006D7D55" w:rsidRPr="00AB248B">
        <w:rPr>
          <w:rFonts w:cs="Times New Roman"/>
          <w:szCs w:val="24"/>
        </w:rPr>
        <w:t>m</w:t>
      </w:r>
      <w:r w:rsidRPr="00AB248B">
        <w:rPr>
          <w:rFonts w:cs="Times New Roman"/>
          <w:szCs w:val="24"/>
        </w:rPr>
        <w:t xml:space="preserve"> DNA pacienta. Sondy mohou být </w:t>
      </w:r>
      <w:proofErr w:type="spellStart"/>
      <w:r w:rsidRPr="00AB248B">
        <w:rPr>
          <w:rFonts w:cs="Times New Roman"/>
          <w:szCs w:val="24"/>
        </w:rPr>
        <w:t>lokus</w:t>
      </w:r>
      <w:proofErr w:type="spellEnd"/>
      <w:r w:rsidRPr="00AB248B">
        <w:rPr>
          <w:rFonts w:cs="Times New Roman"/>
          <w:szCs w:val="24"/>
        </w:rPr>
        <w:t xml:space="preserve"> specifické (k detekci duplikací, delecí či translokací), centromerické (ke zjištění počtu chromosom</w:t>
      </w:r>
      <w:r w:rsidR="00B02AC3" w:rsidRPr="00AB248B">
        <w:rPr>
          <w:rFonts w:cs="Times New Roman"/>
          <w:szCs w:val="24"/>
        </w:rPr>
        <w:t>ů</w:t>
      </w:r>
      <w:r w:rsidRPr="00AB248B">
        <w:rPr>
          <w:rFonts w:cs="Times New Roman"/>
          <w:szCs w:val="24"/>
        </w:rPr>
        <w:t xml:space="preserve">) nebo </w:t>
      </w:r>
      <w:proofErr w:type="spellStart"/>
      <w:r w:rsidRPr="00AB248B">
        <w:rPr>
          <w:rFonts w:cs="Times New Roman"/>
          <w:szCs w:val="24"/>
        </w:rPr>
        <w:t>celochromosomové</w:t>
      </w:r>
      <w:proofErr w:type="spellEnd"/>
      <w:r w:rsidRPr="00AB248B">
        <w:rPr>
          <w:rFonts w:cs="Times New Roman"/>
          <w:szCs w:val="24"/>
        </w:rPr>
        <w:t xml:space="preserve"> (pro </w:t>
      </w:r>
      <w:r w:rsidR="00B02AC3" w:rsidRPr="00AB248B">
        <w:rPr>
          <w:rFonts w:cs="Times New Roman"/>
          <w:szCs w:val="24"/>
        </w:rPr>
        <w:t xml:space="preserve">určení </w:t>
      </w:r>
      <w:r w:rsidRPr="00AB248B">
        <w:rPr>
          <w:rFonts w:cs="Times New Roman"/>
          <w:szCs w:val="24"/>
        </w:rPr>
        <w:t xml:space="preserve">chromosomových přestaveb). Často se používají i různé kombinace těchto sond. </w:t>
      </w:r>
      <w:r w:rsidR="00B02AC3" w:rsidRPr="00AB248B">
        <w:rPr>
          <w:rFonts w:cs="Times New Roman"/>
          <w:szCs w:val="24"/>
        </w:rPr>
        <w:t xml:space="preserve">Jádra i chromosomy jsou pro vizualizaci ve fluorescenčním mikroskopu podbarvena </w:t>
      </w:r>
      <w:proofErr w:type="spellStart"/>
      <w:r w:rsidR="00B02AC3" w:rsidRPr="00AB248B">
        <w:rPr>
          <w:rFonts w:cs="Times New Roman"/>
          <w:szCs w:val="24"/>
        </w:rPr>
        <w:t>fluorochr</w:t>
      </w:r>
      <w:r w:rsidR="00D8702C" w:rsidRPr="00AB248B">
        <w:rPr>
          <w:rFonts w:cs="Times New Roman"/>
          <w:szCs w:val="24"/>
        </w:rPr>
        <w:t>ó</w:t>
      </w:r>
      <w:r w:rsidR="00B02AC3" w:rsidRPr="00AB248B">
        <w:rPr>
          <w:rFonts w:cs="Times New Roman"/>
          <w:szCs w:val="24"/>
        </w:rPr>
        <w:t>mem</w:t>
      </w:r>
      <w:proofErr w:type="spellEnd"/>
      <w:r w:rsidR="00B02AC3" w:rsidRPr="00AB248B">
        <w:rPr>
          <w:rFonts w:cs="Times New Roman"/>
          <w:szCs w:val="24"/>
        </w:rPr>
        <w:t xml:space="preserve"> </w:t>
      </w:r>
      <w:r w:rsidRPr="00AB248B">
        <w:rPr>
          <w:rFonts w:cs="Times New Roman"/>
          <w:color w:val="000000" w:themeColor="text1"/>
          <w:szCs w:val="24"/>
        </w:rPr>
        <w:t>DAPI</w:t>
      </w:r>
      <w:r w:rsidR="00B02AC3" w:rsidRPr="00AB248B">
        <w:rPr>
          <w:rFonts w:cs="Times New Roman"/>
          <w:color w:val="000000" w:themeColor="text1"/>
          <w:szCs w:val="24"/>
        </w:rPr>
        <w:t xml:space="preserve"> (</w:t>
      </w:r>
      <w:r w:rsidR="00030843" w:rsidRPr="00AB248B">
        <w:rPr>
          <w:rFonts w:eastAsia="Times New Roman" w:cs="Times New Roman"/>
          <w:color w:val="000000" w:themeColor="text1"/>
          <w:szCs w:val="24"/>
          <w:shd w:val="clear" w:color="auto" w:fill="FFFFFF"/>
          <w:lang w:eastAsia="cs-CZ"/>
        </w:rPr>
        <w:t xml:space="preserve">4′,6-Diamidine-2′-phenylindole </w:t>
      </w:r>
      <w:proofErr w:type="spellStart"/>
      <w:r w:rsidR="00030843" w:rsidRPr="00AB248B">
        <w:rPr>
          <w:rFonts w:eastAsia="Times New Roman" w:cs="Times New Roman"/>
          <w:color w:val="000000" w:themeColor="text1"/>
          <w:szCs w:val="24"/>
          <w:shd w:val="clear" w:color="auto" w:fill="FFFFFF"/>
          <w:lang w:eastAsia="cs-CZ"/>
        </w:rPr>
        <w:t>dihydrochloride</w:t>
      </w:r>
      <w:proofErr w:type="spellEnd"/>
      <w:r w:rsidR="00030843" w:rsidRPr="00AB248B">
        <w:rPr>
          <w:rFonts w:eastAsia="Times New Roman" w:cs="Times New Roman"/>
          <w:color w:val="000000" w:themeColor="text1"/>
          <w:szCs w:val="24"/>
          <w:shd w:val="clear" w:color="auto" w:fill="FFFFFF"/>
          <w:lang w:eastAsia="cs-CZ"/>
        </w:rPr>
        <w:t>).</w:t>
      </w:r>
    </w:p>
    <w:p w:rsidR="006A703B" w:rsidRPr="004414F7" w:rsidRDefault="00030843" w:rsidP="006A703B">
      <w:pPr>
        <w:spacing w:line="240" w:lineRule="auto"/>
        <w:rPr>
          <w:rFonts w:cs="Times New Roman"/>
          <w:szCs w:val="24"/>
        </w:rPr>
      </w:pPr>
      <w:r w:rsidRPr="00AB248B">
        <w:rPr>
          <w:rFonts w:cs="Times New Roman"/>
          <w:szCs w:val="24"/>
        </w:rPr>
        <w:t xml:space="preserve">Celý hybridizační proces začíná tepelnou denaturací preparátu </w:t>
      </w:r>
      <w:r w:rsidR="00466808" w:rsidRPr="00AB248B">
        <w:rPr>
          <w:rFonts w:cs="Times New Roman"/>
          <w:szCs w:val="24"/>
        </w:rPr>
        <w:t xml:space="preserve">a fluorescenční sondy </w:t>
      </w:r>
      <w:r w:rsidRPr="00AB248B">
        <w:rPr>
          <w:rFonts w:cs="Times New Roman"/>
          <w:szCs w:val="24"/>
        </w:rPr>
        <w:t xml:space="preserve">k vytvoření </w:t>
      </w:r>
      <w:proofErr w:type="spellStart"/>
      <w:r w:rsidRPr="00AB248B">
        <w:rPr>
          <w:rFonts w:cs="Times New Roman"/>
          <w:szCs w:val="24"/>
        </w:rPr>
        <w:t>jednořetězcových</w:t>
      </w:r>
      <w:proofErr w:type="spellEnd"/>
      <w:r w:rsidRPr="00AB248B">
        <w:rPr>
          <w:rFonts w:cs="Times New Roman"/>
          <w:szCs w:val="24"/>
        </w:rPr>
        <w:t xml:space="preserve"> úseků DNA. Následná normalizace teplot vede</w:t>
      </w:r>
      <w:r w:rsidR="00466808" w:rsidRPr="00AB248B">
        <w:rPr>
          <w:rFonts w:cs="Times New Roman"/>
          <w:szCs w:val="24"/>
        </w:rPr>
        <w:t xml:space="preserve"> </w:t>
      </w:r>
      <w:r w:rsidRPr="00AB248B">
        <w:rPr>
          <w:rFonts w:cs="Times New Roman"/>
          <w:szCs w:val="24"/>
        </w:rPr>
        <w:t xml:space="preserve">k vytvoření </w:t>
      </w:r>
      <w:proofErr w:type="spellStart"/>
      <w:r w:rsidRPr="00AB248B">
        <w:rPr>
          <w:rFonts w:cs="Times New Roman"/>
          <w:szCs w:val="24"/>
        </w:rPr>
        <w:t>dvouřetězcových</w:t>
      </w:r>
      <w:proofErr w:type="spellEnd"/>
      <w:r w:rsidRPr="00AB248B">
        <w:rPr>
          <w:rFonts w:cs="Times New Roman"/>
          <w:szCs w:val="24"/>
        </w:rPr>
        <w:t xml:space="preserve"> úseků DNA na základě komplementarity </w:t>
      </w:r>
      <w:proofErr w:type="spellStart"/>
      <w:r w:rsidRPr="00AB248B">
        <w:rPr>
          <w:rFonts w:cs="Times New Roman"/>
          <w:szCs w:val="24"/>
        </w:rPr>
        <w:t>bazí</w:t>
      </w:r>
      <w:proofErr w:type="spellEnd"/>
      <w:r w:rsidRPr="00AB248B">
        <w:rPr>
          <w:rFonts w:cs="Times New Roman"/>
          <w:szCs w:val="24"/>
        </w:rPr>
        <w:t xml:space="preserve">, </w:t>
      </w:r>
      <w:r w:rsidR="005D4BDF" w:rsidRPr="00AB248B">
        <w:rPr>
          <w:rFonts w:cs="Times New Roman"/>
          <w:szCs w:val="24"/>
        </w:rPr>
        <w:t xml:space="preserve">kdy </w:t>
      </w:r>
      <w:r w:rsidRPr="00AB248B">
        <w:rPr>
          <w:rFonts w:cs="Times New Roman"/>
          <w:szCs w:val="24"/>
        </w:rPr>
        <w:t>dojde k</w:t>
      </w:r>
      <w:r w:rsidR="00466808" w:rsidRPr="00AB248B">
        <w:rPr>
          <w:rFonts w:cs="Times New Roman"/>
          <w:szCs w:val="24"/>
        </w:rPr>
        <w:t xml:space="preserve"> hybridizaci sondy </w:t>
      </w:r>
      <w:r w:rsidRPr="00AB248B">
        <w:rPr>
          <w:rFonts w:cs="Times New Roman"/>
          <w:szCs w:val="24"/>
        </w:rPr>
        <w:t xml:space="preserve">k cílené </w:t>
      </w:r>
      <w:r w:rsidR="00466808" w:rsidRPr="00AB248B">
        <w:rPr>
          <w:rFonts w:cs="Times New Roman"/>
          <w:szCs w:val="24"/>
        </w:rPr>
        <w:t xml:space="preserve">DNA. Po </w:t>
      </w:r>
      <w:proofErr w:type="spellStart"/>
      <w:r w:rsidR="00466808" w:rsidRPr="00AB248B">
        <w:rPr>
          <w:rFonts w:cs="Times New Roman"/>
          <w:szCs w:val="24"/>
        </w:rPr>
        <w:t>odmytí</w:t>
      </w:r>
      <w:proofErr w:type="spellEnd"/>
      <w:r w:rsidR="00466808" w:rsidRPr="00AB248B">
        <w:rPr>
          <w:rFonts w:cs="Times New Roman"/>
          <w:szCs w:val="24"/>
        </w:rPr>
        <w:t xml:space="preserve"> nenavázané sondy se pomocí fluorescenčního mikroskopu s příslušnou sadou filtrů hodnotí přítomnost a počet signálů v </w:t>
      </w:r>
      <w:proofErr w:type="spellStart"/>
      <w:r w:rsidR="00466808" w:rsidRPr="00AB248B">
        <w:rPr>
          <w:rFonts w:cs="Times New Roman"/>
          <w:szCs w:val="24"/>
        </w:rPr>
        <w:t>interfázních</w:t>
      </w:r>
      <w:proofErr w:type="spellEnd"/>
      <w:r w:rsidR="00466808" w:rsidRPr="00AB248B">
        <w:rPr>
          <w:rFonts w:cs="Times New Roman"/>
          <w:szCs w:val="24"/>
        </w:rPr>
        <w:t xml:space="preserve"> </w:t>
      </w:r>
      <w:proofErr w:type="gramStart"/>
      <w:r w:rsidR="00466808" w:rsidRPr="00AB248B">
        <w:rPr>
          <w:rFonts w:cs="Times New Roman"/>
          <w:szCs w:val="24"/>
        </w:rPr>
        <w:t xml:space="preserve">jádrech </w:t>
      </w:r>
      <w:r w:rsidR="004414F7">
        <w:rPr>
          <w:rFonts w:cs="Times New Roman"/>
          <w:szCs w:val="24"/>
        </w:rPr>
        <w:t xml:space="preserve"> nebo</w:t>
      </w:r>
      <w:proofErr w:type="gramEnd"/>
      <w:r w:rsidR="004414F7">
        <w:rPr>
          <w:rFonts w:cs="Times New Roman"/>
          <w:szCs w:val="24"/>
        </w:rPr>
        <w:t xml:space="preserve"> na </w:t>
      </w:r>
      <w:proofErr w:type="spellStart"/>
      <w:r w:rsidR="004414F7">
        <w:rPr>
          <w:rFonts w:cs="Times New Roman"/>
          <w:szCs w:val="24"/>
        </w:rPr>
        <w:t>chromosomech.</w:t>
      </w:r>
      <w:r w:rsidR="00466808" w:rsidRPr="00AB248B">
        <w:rPr>
          <w:rFonts w:cs="Times New Roman"/>
          <w:szCs w:val="24"/>
        </w:rPr>
        <w:t>Právě</w:t>
      </w:r>
      <w:proofErr w:type="spellEnd"/>
      <w:r w:rsidR="00466808" w:rsidRPr="00AB248B">
        <w:rPr>
          <w:rFonts w:cs="Times New Roman"/>
          <w:szCs w:val="24"/>
        </w:rPr>
        <w:t xml:space="preserve"> hodnocení buněk v interfázi je obrovskou výhodou této metody oproti klasické cytogenetice, protože odpadá nutnost nalezení </w:t>
      </w:r>
      <w:r w:rsidRPr="00AB248B">
        <w:rPr>
          <w:rFonts w:cs="Times New Roman"/>
          <w:szCs w:val="24"/>
        </w:rPr>
        <w:t>metafází</w:t>
      </w:r>
      <w:r w:rsidR="00D8702C" w:rsidRPr="00AB248B">
        <w:rPr>
          <w:rFonts w:cs="Times New Roman"/>
          <w:szCs w:val="24"/>
        </w:rPr>
        <w:t xml:space="preserve">. </w:t>
      </w:r>
      <w:r w:rsidRPr="00AB248B">
        <w:rPr>
          <w:rFonts w:cs="Times New Roman"/>
          <w:szCs w:val="24"/>
        </w:rPr>
        <w:t xml:space="preserve"> </w:t>
      </w:r>
      <w:r w:rsidR="00466808" w:rsidRPr="00AB248B">
        <w:rPr>
          <w:rFonts w:cs="Times New Roman"/>
          <w:szCs w:val="24"/>
        </w:rPr>
        <w:t xml:space="preserve">Standardně se hodnotí u každého pacienta 200 </w:t>
      </w:r>
      <w:proofErr w:type="spellStart"/>
      <w:r w:rsidR="00466808" w:rsidRPr="00AB248B">
        <w:rPr>
          <w:rFonts w:cs="Times New Roman"/>
          <w:szCs w:val="24"/>
        </w:rPr>
        <w:t>interfázních</w:t>
      </w:r>
      <w:proofErr w:type="spellEnd"/>
      <w:r w:rsidR="00466808" w:rsidRPr="00AB248B">
        <w:rPr>
          <w:rFonts w:cs="Times New Roman"/>
          <w:szCs w:val="24"/>
        </w:rPr>
        <w:t xml:space="preserve"> jader</w:t>
      </w:r>
      <w:r w:rsidRPr="00AB248B">
        <w:rPr>
          <w:rFonts w:cs="Times New Roman"/>
          <w:szCs w:val="24"/>
        </w:rPr>
        <w:t xml:space="preserve"> a </w:t>
      </w:r>
      <w:r w:rsidR="00466808" w:rsidRPr="00AB248B">
        <w:rPr>
          <w:rFonts w:cs="Times New Roman"/>
          <w:szCs w:val="24"/>
        </w:rPr>
        <w:t xml:space="preserve">citlivost metody je </w:t>
      </w:r>
      <w:proofErr w:type="gramStart"/>
      <w:r w:rsidR="00466808" w:rsidRPr="00AB248B">
        <w:rPr>
          <w:rFonts w:cs="Times New Roman"/>
          <w:szCs w:val="24"/>
        </w:rPr>
        <w:t>závis</w:t>
      </w:r>
      <w:r w:rsidRPr="00AB248B">
        <w:rPr>
          <w:rFonts w:cs="Times New Roman"/>
          <w:szCs w:val="24"/>
        </w:rPr>
        <w:t xml:space="preserve">lá </w:t>
      </w:r>
      <w:r w:rsidR="00466808" w:rsidRPr="00AB248B">
        <w:rPr>
          <w:rFonts w:cs="Times New Roman"/>
          <w:szCs w:val="24"/>
        </w:rPr>
        <w:t xml:space="preserve"> na</w:t>
      </w:r>
      <w:proofErr w:type="gramEnd"/>
      <w:r w:rsidR="00466808" w:rsidRPr="00AB248B">
        <w:rPr>
          <w:rFonts w:cs="Times New Roman"/>
          <w:szCs w:val="24"/>
        </w:rPr>
        <w:t xml:space="preserve"> velikosti sondy pokrývající chromosomový úsek nebo gen.</w:t>
      </w:r>
    </w:p>
    <w:p w:rsidR="00AC328D" w:rsidRDefault="00AC328D" w:rsidP="00AB248B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000000"/>
          <w:szCs w:val="24"/>
        </w:rPr>
      </w:pPr>
      <w:proofErr w:type="spellStart"/>
      <w:r w:rsidRPr="00AB248B">
        <w:rPr>
          <w:rFonts w:cs="Times New Roman"/>
          <w:color w:val="000000"/>
          <w:szCs w:val="24"/>
        </w:rPr>
        <w:t>Interfázní</w:t>
      </w:r>
      <w:proofErr w:type="spellEnd"/>
      <w:r w:rsidRPr="00AB248B">
        <w:rPr>
          <w:rFonts w:cs="Times New Roman"/>
          <w:color w:val="000000"/>
          <w:szCs w:val="24"/>
        </w:rPr>
        <w:t xml:space="preserve"> FISH může být </w:t>
      </w:r>
      <w:proofErr w:type="gramStart"/>
      <w:r w:rsidRPr="00AB248B">
        <w:rPr>
          <w:rFonts w:cs="Times New Roman"/>
          <w:color w:val="000000"/>
          <w:szCs w:val="24"/>
        </w:rPr>
        <w:t>použita  jako</w:t>
      </w:r>
      <w:proofErr w:type="gramEnd"/>
      <w:r w:rsidRPr="00AB248B">
        <w:rPr>
          <w:rFonts w:cs="Times New Roman"/>
          <w:color w:val="000000"/>
          <w:szCs w:val="24"/>
        </w:rPr>
        <w:t xml:space="preserve"> samostatná diagnostická metoda pro některé diagnózy je povinná nebo doporučená</w:t>
      </w:r>
      <w:r w:rsidR="004414F7">
        <w:rPr>
          <w:rFonts w:cs="Times New Roman"/>
          <w:color w:val="000000"/>
          <w:szCs w:val="24"/>
        </w:rPr>
        <w:t xml:space="preserve"> pro jiné hematologické malignity</w:t>
      </w:r>
      <w:r w:rsidR="00FA1222" w:rsidRPr="00AB248B">
        <w:rPr>
          <w:rFonts w:cs="Times New Roman"/>
          <w:color w:val="000000"/>
          <w:szCs w:val="24"/>
        </w:rPr>
        <w:t xml:space="preserve">, </w:t>
      </w:r>
      <w:r w:rsidR="001F024D" w:rsidRPr="00AB248B">
        <w:rPr>
          <w:rFonts w:cs="Times New Roman"/>
          <w:color w:val="000000"/>
          <w:szCs w:val="24"/>
        </w:rPr>
        <w:t xml:space="preserve">jak ukazují tabulky </w:t>
      </w:r>
      <w:r w:rsidRPr="00AB248B">
        <w:rPr>
          <w:rFonts w:cs="Times New Roman"/>
          <w:color w:val="000000"/>
          <w:szCs w:val="24"/>
        </w:rPr>
        <w:t xml:space="preserve">(Tab.1, 2) </w:t>
      </w:r>
    </w:p>
    <w:p w:rsidR="004414F7" w:rsidRPr="00AB248B" w:rsidRDefault="004414F7" w:rsidP="00AB248B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000000"/>
          <w:szCs w:val="24"/>
        </w:rPr>
      </w:pPr>
    </w:p>
    <w:p w:rsidR="00466808" w:rsidRPr="00AB248B" w:rsidRDefault="004B34A0" w:rsidP="00AB248B">
      <w:pPr>
        <w:pStyle w:val="Nadpis3"/>
        <w:spacing w:line="240" w:lineRule="auto"/>
        <w:rPr>
          <w:rFonts w:cs="Times New Roman"/>
          <w:i/>
        </w:rPr>
      </w:pPr>
      <w:r w:rsidRPr="00AB248B">
        <w:rPr>
          <w:rFonts w:cs="Times New Roman"/>
          <w:i/>
        </w:rPr>
        <w:t xml:space="preserve">Mnohobarevná fluorescenční in </w:t>
      </w:r>
      <w:proofErr w:type="spellStart"/>
      <w:r w:rsidRPr="00AB248B">
        <w:rPr>
          <w:rFonts w:cs="Times New Roman"/>
          <w:i/>
        </w:rPr>
        <w:t>situ</w:t>
      </w:r>
      <w:proofErr w:type="spellEnd"/>
      <w:r w:rsidRPr="00AB248B">
        <w:rPr>
          <w:rFonts w:cs="Times New Roman"/>
          <w:i/>
        </w:rPr>
        <w:t xml:space="preserve"> hybridizace</w:t>
      </w:r>
      <w:r w:rsidR="004414F7">
        <w:rPr>
          <w:rFonts w:cs="Times New Roman"/>
          <w:i/>
        </w:rPr>
        <w:t xml:space="preserve"> (</w:t>
      </w:r>
      <w:proofErr w:type="spellStart"/>
      <w:r w:rsidR="00466808" w:rsidRPr="00AB248B">
        <w:rPr>
          <w:rFonts w:cs="Times New Roman"/>
          <w:i/>
        </w:rPr>
        <w:t>mFISH</w:t>
      </w:r>
      <w:proofErr w:type="spellEnd"/>
      <w:r w:rsidR="004414F7">
        <w:rPr>
          <w:rFonts w:cs="Times New Roman"/>
          <w:i/>
        </w:rPr>
        <w:t>)</w:t>
      </w:r>
      <w:r w:rsidR="00466808" w:rsidRPr="00AB248B">
        <w:rPr>
          <w:rFonts w:cs="Times New Roman"/>
          <w:i/>
        </w:rPr>
        <w:t xml:space="preserve"> </w:t>
      </w:r>
      <w:r w:rsidR="004414F7">
        <w:rPr>
          <w:rFonts w:cs="Times New Roman"/>
          <w:i/>
        </w:rPr>
        <w:t>a mnohobarevné pruhování (</w:t>
      </w:r>
      <w:proofErr w:type="spellStart"/>
      <w:r w:rsidR="004414F7">
        <w:rPr>
          <w:rFonts w:cs="Times New Roman"/>
          <w:i/>
        </w:rPr>
        <w:t>mBAND</w:t>
      </w:r>
      <w:proofErr w:type="spellEnd"/>
      <w:r w:rsidR="004414F7">
        <w:rPr>
          <w:rFonts w:cs="Times New Roman"/>
          <w:i/>
        </w:rPr>
        <w:t>)</w:t>
      </w:r>
    </w:p>
    <w:p w:rsidR="00D32759" w:rsidRPr="00AB248B" w:rsidRDefault="004B34A0" w:rsidP="00AB248B">
      <w:pPr>
        <w:spacing w:line="240" w:lineRule="auto"/>
        <w:rPr>
          <w:rFonts w:cs="Times New Roman"/>
          <w:szCs w:val="24"/>
        </w:rPr>
      </w:pPr>
      <w:r w:rsidRPr="00AB248B">
        <w:rPr>
          <w:rFonts w:eastAsiaTheme="majorEastAsia" w:cs="Times New Roman"/>
          <w:szCs w:val="24"/>
        </w:rPr>
        <w:t xml:space="preserve">Dalším pokrokem v metodě FISH bylo zavedení metody </w:t>
      </w:r>
      <w:r w:rsidR="00466808" w:rsidRPr="00AB248B">
        <w:rPr>
          <w:rFonts w:eastAsiaTheme="majorEastAsia" w:cs="Times New Roman"/>
          <w:szCs w:val="24"/>
        </w:rPr>
        <w:t xml:space="preserve">mnohobarevné fluorescenční </w:t>
      </w:r>
      <w:r w:rsidR="00466808" w:rsidRPr="00AB248B">
        <w:rPr>
          <w:rFonts w:eastAsiaTheme="majorEastAsia" w:cs="Times New Roman"/>
          <w:i/>
          <w:szCs w:val="24"/>
        </w:rPr>
        <w:t xml:space="preserve">in </w:t>
      </w:r>
      <w:proofErr w:type="spellStart"/>
      <w:r w:rsidR="00466808" w:rsidRPr="00AB248B">
        <w:rPr>
          <w:rFonts w:eastAsiaTheme="majorEastAsia" w:cs="Times New Roman"/>
          <w:i/>
          <w:szCs w:val="24"/>
        </w:rPr>
        <w:t>situ</w:t>
      </w:r>
      <w:proofErr w:type="spellEnd"/>
      <w:r w:rsidR="00466808" w:rsidRPr="00AB248B">
        <w:rPr>
          <w:rFonts w:eastAsiaTheme="majorEastAsia" w:cs="Times New Roman"/>
          <w:szCs w:val="24"/>
        </w:rPr>
        <w:t xml:space="preserve"> hybridizace (</w:t>
      </w:r>
      <w:proofErr w:type="spellStart"/>
      <w:r w:rsidR="00466808" w:rsidRPr="00AB248B">
        <w:rPr>
          <w:rFonts w:eastAsiaTheme="majorEastAsia" w:cs="Times New Roman"/>
          <w:szCs w:val="24"/>
        </w:rPr>
        <w:t>mFISH</w:t>
      </w:r>
      <w:proofErr w:type="spellEnd"/>
      <w:r w:rsidR="00466808" w:rsidRPr="00AB248B">
        <w:rPr>
          <w:rFonts w:eastAsiaTheme="majorEastAsia" w:cs="Times New Roman"/>
          <w:szCs w:val="24"/>
        </w:rPr>
        <w:t>)</w:t>
      </w:r>
      <w:r w:rsidR="00AB248B">
        <w:rPr>
          <w:rFonts w:eastAsiaTheme="majorEastAsia" w:cs="Times New Roman"/>
          <w:szCs w:val="24"/>
        </w:rPr>
        <w:t xml:space="preserve">. </w:t>
      </w:r>
      <w:r w:rsidR="00466808" w:rsidRPr="00AB248B">
        <w:rPr>
          <w:rFonts w:eastAsiaTheme="majorEastAsia" w:cs="Times New Roman"/>
          <w:szCs w:val="24"/>
        </w:rPr>
        <w:t xml:space="preserve">Princip metody je </w:t>
      </w:r>
      <w:r w:rsidRPr="00AB248B">
        <w:rPr>
          <w:rFonts w:eastAsiaTheme="majorEastAsia" w:cs="Times New Roman"/>
          <w:szCs w:val="24"/>
        </w:rPr>
        <w:t xml:space="preserve">shodný s klasickou </w:t>
      </w:r>
      <w:proofErr w:type="gramStart"/>
      <w:r w:rsidRPr="00AB248B">
        <w:rPr>
          <w:rFonts w:eastAsiaTheme="majorEastAsia" w:cs="Times New Roman"/>
          <w:szCs w:val="24"/>
        </w:rPr>
        <w:t xml:space="preserve">metodou </w:t>
      </w:r>
      <w:r w:rsidR="00466808" w:rsidRPr="00AB248B">
        <w:rPr>
          <w:rFonts w:eastAsiaTheme="majorEastAsia" w:cs="Times New Roman"/>
          <w:szCs w:val="24"/>
        </w:rPr>
        <w:t xml:space="preserve"> FISH</w:t>
      </w:r>
      <w:proofErr w:type="gramEnd"/>
      <w:r w:rsidR="00466808" w:rsidRPr="00AB248B">
        <w:rPr>
          <w:rFonts w:eastAsiaTheme="majorEastAsia" w:cs="Times New Roman"/>
          <w:szCs w:val="24"/>
        </w:rPr>
        <w:t xml:space="preserve">, </w:t>
      </w:r>
      <w:r w:rsidRPr="00AB248B">
        <w:rPr>
          <w:rFonts w:eastAsiaTheme="majorEastAsia" w:cs="Times New Roman"/>
          <w:szCs w:val="24"/>
        </w:rPr>
        <w:t xml:space="preserve">přičemž hybridizace je prováděna se směsí </w:t>
      </w:r>
      <w:proofErr w:type="spellStart"/>
      <w:r w:rsidRPr="00AB248B">
        <w:rPr>
          <w:rFonts w:eastAsiaTheme="majorEastAsia" w:cs="Times New Roman"/>
          <w:szCs w:val="24"/>
        </w:rPr>
        <w:t>celochromosomových</w:t>
      </w:r>
      <w:proofErr w:type="spellEnd"/>
      <w:r w:rsidRPr="00AB248B">
        <w:rPr>
          <w:rFonts w:eastAsiaTheme="majorEastAsia" w:cs="Times New Roman"/>
          <w:szCs w:val="24"/>
        </w:rPr>
        <w:t xml:space="preserve"> sond, které odpovídají každému chromosomu v karyotypu. Sondy pro každý chromosom jsou připraveny kombinací 5 různých </w:t>
      </w:r>
      <w:proofErr w:type="spellStart"/>
      <w:r w:rsidRPr="00AB248B">
        <w:rPr>
          <w:rFonts w:eastAsiaTheme="majorEastAsia" w:cs="Times New Roman"/>
          <w:szCs w:val="24"/>
        </w:rPr>
        <w:t>fluorochromů</w:t>
      </w:r>
      <w:proofErr w:type="spellEnd"/>
      <w:r w:rsidRPr="00AB248B">
        <w:rPr>
          <w:rFonts w:eastAsiaTheme="majorEastAsia" w:cs="Times New Roman"/>
          <w:szCs w:val="24"/>
        </w:rPr>
        <w:t xml:space="preserve"> a základem je výpočet kombinací barev 2</w:t>
      </w:r>
      <w:r w:rsidR="005D4BDF" w:rsidRPr="00AB248B">
        <w:rPr>
          <w:rFonts w:eastAsiaTheme="majorEastAsia" w:cs="Times New Roman"/>
          <w:szCs w:val="24"/>
          <w:vertAlign w:val="superscript"/>
        </w:rPr>
        <w:t>N</w:t>
      </w:r>
      <w:r w:rsidRPr="00AB248B">
        <w:rPr>
          <w:rFonts w:eastAsiaTheme="majorEastAsia" w:cs="Times New Roman"/>
          <w:szCs w:val="24"/>
        </w:rPr>
        <w:t xml:space="preserve">-1, tedy </w:t>
      </w:r>
      <w:proofErr w:type="gramStart"/>
      <w:r w:rsidR="005D4BDF" w:rsidRPr="00AB248B">
        <w:rPr>
          <w:rFonts w:eastAsiaTheme="majorEastAsia" w:cs="Times New Roman"/>
          <w:szCs w:val="24"/>
        </w:rPr>
        <w:t xml:space="preserve">kombinace </w:t>
      </w:r>
      <w:r w:rsidRPr="00AB248B">
        <w:rPr>
          <w:rFonts w:eastAsiaTheme="majorEastAsia" w:cs="Times New Roman"/>
          <w:szCs w:val="24"/>
        </w:rPr>
        <w:t xml:space="preserve"> 5</w:t>
      </w:r>
      <w:proofErr w:type="gramEnd"/>
      <w:r w:rsidR="005D4BDF" w:rsidRPr="00AB248B">
        <w:rPr>
          <w:rFonts w:eastAsiaTheme="majorEastAsia" w:cs="Times New Roman"/>
          <w:szCs w:val="24"/>
        </w:rPr>
        <w:t xml:space="preserve">ti barev </w:t>
      </w:r>
      <w:r w:rsidRPr="00AB248B">
        <w:rPr>
          <w:rFonts w:eastAsiaTheme="majorEastAsia" w:cs="Times New Roman"/>
          <w:szCs w:val="24"/>
        </w:rPr>
        <w:t xml:space="preserve">  </w:t>
      </w:r>
      <w:r w:rsidRPr="00AB248B">
        <w:rPr>
          <w:rFonts w:cs="Times New Roman"/>
          <w:szCs w:val="24"/>
        </w:rPr>
        <w:t xml:space="preserve">pokrývá </w:t>
      </w:r>
      <w:r w:rsidR="00466808" w:rsidRPr="00AB248B">
        <w:rPr>
          <w:rFonts w:cs="Times New Roman"/>
          <w:szCs w:val="24"/>
        </w:rPr>
        <w:t xml:space="preserve">22 </w:t>
      </w:r>
      <w:proofErr w:type="spellStart"/>
      <w:r w:rsidR="00466808" w:rsidRPr="00AB248B">
        <w:rPr>
          <w:rFonts w:cs="Times New Roman"/>
          <w:szCs w:val="24"/>
        </w:rPr>
        <w:t>autosomů</w:t>
      </w:r>
      <w:proofErr w:type="spellEnd"/>
      <w:r w:rsidR="00466808" w:rsidRPr="00AB248B">
        <w:rPr>
          <w:rFonts w:cs="Times New Roman"/>
          <w:szCs w:val="24"/>
        </w:rPr>
        <w:t xml:space="preserve"> </w:t>
      </w:r>
      <w:r w:rsidRPr="00AB248B">
        <w:rPr>
          <w:rFonts w:cs="Times New Roman"/>
          <w:szCs w:val="24"/>
        </w:rPr>
        <w:t xml:space="preserve">a </w:t>
      </w:r>
      <w:r w:rsidR="00466808" w:rsidRPr="00AB248B">
        <w:rPr>
          <w:rFonts w:cs="Times New Roman"/>
          <w:szCs w:val="24"/>
        </w:rPr>
        <w:t xml:space="preserve">2 </w:t>
      </w:r>
      <w:proofErr w:type="spellStart"/>
      <w:r w:rsidR="00466808" w:rsidRPr="00AB248B">
        <w:rPr>
          <w:rFonts w:cs="Times New Roman"/>
          <w:szCs w:val="24"/>
        </w:rPr>
        <w:t>gonosomy</w:t>
      </w:r>
      <w:proofErr w:type="spellEnd"/>
      <w:r w:rsidRPr="00AB248B">
        <w:rPr>
          <w:rFonts w:cs="Times New Roman"/>
          <w:szCs w:val="24"/>
        </w:rPr>
        <w:t xml:space="preserve">. </w:t>
      </w:r>
      <w:r w:rsidR="00466808" w:rsidRPr="00AB248B">
        <w:rPr>
          <w:rFonts w:cs="Times New Roman"/>
          <w:szCs w:val="24"/>
        </w:rPr>
        <w:t xml:space="preserve">Pro snadnější hodnocení a rozlišení </w:t>
      </w:r>
      <w:r w:rsidRPr="00AB248B">
        <w:rPr>
          <w:rFonts w:cs="Times New Roman"/>
          <w:szCs w:val="24"/>
        </w:rPr>
        <w:t xml:space="preserve">kombinací barev </w:t>
      </w:r>
      <w:r w:rsidR="00466808" w:rsidRPr="00AB248B">
        <w:rPr>
          <w:rFonts w:cs="Times New Roman"/>
          <w:szCs w:val="24"/>
        </w:rPr>
        <w:t xml:space="preserve">jednotlivých chromosomů </w:t>
      </w:r>
      <w:r w:rsidRPr="00AB248B">
        <w:rPr>
          <w:rFonts w:cs="Times New Roman"/>
          <w:szCs w:val="24"/>
        </w:rPr>
        <w:t xml:space="preserve">je karyotyp pomocí </w:t>
      </w:r>
      <w:r w:rsidR="00466808" w:rsidRPr="00AB248B">
        <w:rPr>
          <w:rFonts w:cs="Times New Roman"/>
          <w:szCs w:val="24"/>
        </w:rPr>
        <w:t xml:space="preserve">speciálním softwaru </w:t>
      </w:r>
      <w:r w:rsidRPr="00AB248B">
        <w:rPr>
          <w:rFonts w:cs="Times New Roman"/>
          <w:szCs w:val="24"/>
        </w:rPr>
        <w:t xml:space="preserve">hodnocen přiřazením jednotlivým </w:t>
      </w:r>
      <w:proofErr w:type="gramStart"/>
      <w:r w:rsidRPr="00AB248B">
        <w:rPr>
          <w:rFonts w:cs="Times New Roman"/>
          <w:szCs w:val="24"/>
        </w:rPr>
        <w:t>kombinacím</w:t>
      </w:r>
      <w:r w:rsidR="00D32759" w:rsidRPr="00AB248B">
        <w:rPr>
          <w:rFonts w:cs="Times New Roman"/>
          <w:szCs w:val="24"/>
        </w:rPr>
        <w:t xml:space="preserve">  </w:t>
      </w:r>
      <w:proofErr w:type="spellStart"/>
      <w:r w:rsidR="004414F7">
        <w:rPr>
          <w:rFonts w:cs="Times New Roman"/>
          <w:szCs w:val="24"/>
        </w:rPr>
        <w:t>pseudobarvy</w:t>
      </w:r>
      <w:proofErr w:type="spellEnd"/>
      <w:proofErr w:type="gramEnd"/>
      <w:r w:rsidR="004414F7">
        <w:rPr>
          <w:rFonts w:cs="Times New Roman"/>
          <w:szCs w:val="24"/>
        </w:rPr>
        <w:t>.</w:t>
      </w:r>
      <w:r w:rsidR="00466808" w:rsidRPr="00AB248B">
        <w:rPr>
          <w:rFonts w:cs="Times New Roman"/>
          <w:szCs w:val="24"/>
        </w:rPr>
        <w:t xml:space="preserve"> </w:t>
      </w:r>
      <w:proofErr w:type="spellStart"/>
      <w:r w:rsidR="00466808" w:rsidRPr="00AB248B">
        <w:rPr>
          <w:rFonts w:cs="Times New Roman"/>
          <w:szCs w:val="24"/>
        </w:rPr>
        <w:t>mFISH</w:t>
      </w:r>
      <w:proofErr w:type="spellEnd"/>
      <w:r w:rsidR="00466808" w:rsidRPr="00AB248B">
        <w:rPr>
          <w:rFonts w:cs="Times New Roman"/>
          <w:szCs w:val="24"/>
        </w:rPr>
        <w:t xml:space="preserve"> </w:t>
      </w:r>
      <w:r w:rsidRPr="00AB248B">
        <w:rPr>
          <w:rFonts w:cs="Times New Roman"/>
          <w:szCs w:val="24"/>
        </w:rPr>
        <w:t xml:space="preserve">analyzuje </w:t>
      </w:r>
      <w:proofErr w:type="gramStart"/>
      <w:r w:rsidRPr="00AB248B">
        <w:rPr>
          <w:rFonts w:cs="Times New Roman"/>
          <w:szCs w:val="24"/>
        </w:rPr>
        <w:t xml:space="preserve">celý </w:t>
      </w:r>
      <w:r w:rsidR="00466808" w:rsidRPr="00AB248B">
        <w:rPr>
          <w:rFonts w:cs="Times New Roman"/>
          <w:szCs w:val="24"/>
        </w:rPr>
        <w:t xml:space="preserve"> lidský</w:t>
      </w:r>
      <w:proofErr w:type="gramEnd"/>
      <w:r w:rsidR="00466808" w:rsidRPr="00AB248B">
        <w:rPr>
          <w:rFonts w:cs="Times New Roman"/>
          <w:szCs w:val="24"/>
        </w:rPr>
        <w:t xml:space="preserve"> genom v</w:t>
      </w:r>
      <w:r w:rsidR="00D32759" w:rsidRPr="00AB248B">
        <w:rPr>
          <w:rFonts w:cs="Times New Roman"/>
          <w:szCs w:val="24"/>
        </w:rPr>
        <w:t> </w:t>
      </w:r>
      <w:r w:rsidRPr="00AB248B">
        <w:rPr>
          <w:rFonts w:cs="Times New Roman"/>
          <w:szCs w:val="24"/>
        </w:rPr>
        <w:t>jedn</w:t>
      </w:r>
      <w:r w:rsidR="00D32759" w:rsidRPr="00AB248B">
        <w:rPr>
          <w:rFonts w:cs="Times New Roman"/>
          <w:szCs w:val="24"/>
        </w:rPr>
        <w:t xml:space="preserve">om vyšetření.  </w:t>
      </w:r>
      <w:r w:rsidRPr="00AB248B">
        <w:rPr>
          <w:rFonts w:cs="Times New Roman"/>
          <w:szCs w:val="24"/>
        </w:rPr>
        <w:t xml:space="preserve"> </w:t>
      </w:r>
      <w:r w:rsidR="00466808" w:rsidRPr="00AB248B">
        <w:rPr>
          <w:rFonts w:cs="Times New Roman"/>
          <w:szCs w:val="24"/>
        </w:rPr>
        <w:t xml:space="preserve">Metodou </w:t>
      </w:r>
      <w:proofErr w:type="spellStart"/>
      <w:r w:rsidR="00466808" w:rsidRPr="00AB248B">
        <w:rPr>
          <w:rFonts w:cs="Times New Roman"/>
          <w:szCs w:val="24"/>
        </w:rPr>
        <w:lastRenderedPageBreak/>
        <w:t>mFISH</w:t>
      </w:r>
      <w:proofErr w:type="spellEnd"/>
      <w:r w:rsidR="00466808" w:rsidRPr="00AB248B">
        <w:rPr>
          <w:rFonts w:cs="Times New Roman"/>
          <w:szCs w:val="24"/>
        </w:rPr>
        <w:t xml:space="preserve"> dokážeme </w:t>
      </w:r>
      <w:proofErr w:type="spellStart"/>
      <w:r w:rsidR="00466808" w:rsidRPr="00AB248B">
        <w:rPr>
          <w:rFonts w:cs="Times New Roman"/>
          <w:szCs w:val="24"/>
        </w:rPr>
        <w:t>idetifikovat</w:t>
      </w:r>
      <w:proofErr w:type="spellEnd"/>
      <w:r w:rsidR="00466808" w:rsidRPr="00AB248B">
        <w:rPr>
          <w:rFonts w:cs="Times New Roman"/>
          <w:szCs w:val="24"/>
        </w:rPr>
        <w:t xml:space="preserve"> balancované i nebalancované </w:t>
      </w:r>
      <w:proofErr w:type="gramStart"/>
      <w:r w:rsidR="00466808" w:rsidRPr="00AB248B">
        <w:rPr>
          <w:rFonts w:cs="Times New Roman"/>
          <w:szCs w:val="24"/>
        </w:rPr>
        <w:t>translokace</w:t>
      </w:r>
      <w:proofErr w:type="gramEnd"/>
      <w:r w:rsidR="00466808" w:rsidRPr="00AB248B">
        <w:rPr>
          <w:rFonts w:cs="Times New Roman"/>
          <w:szCs w:val="24"/>
        </w:rPr>
        <w:t xml:space="preserve"> a </w:t>
      </w:r>
      <w:r w:rsidRPr="00AB248B">
        <w:rPr>
          <w:rFonts w:cs="Times New Roman"/>
          <w:szCs w:val="24"/>
        </w:rPr>
        <w:t xml:space="preserve">především přesně určit </w:t>
      </w:r>
      <w:r w:rsidR="00466808" w:rsidRPr="00AB248B">
        <w:rPr>
          <w:rFonts w:cs="Times New Roman"/>
          <w:szCs w:val="24"/>
        </w:rPr>
        <w:t>komplexní přestavby chromosomů</w:t>
      </w:r>
      <w:r w:rsidRPr="00AB248B">
        <w:rPr>
          <w:rFonts w:cs="Times New Roman"/>
          <w:szCs w:val="24"/>
        </w:rPr>
        <w:t xml:space="preserve"> a komplexní karyotyp</w:t>
      </w:r>
      <w:r w:rsidR="005D4BDF" w:rsidRPr="00AB248B">
        <w:rPr>
          <w:rFonts w:cs="Times New Roman"/>
          <w:szCs w:val="24"/>
        </w:rPr>
        <w:t xml:space="preserve"> </w:t>
      </w:r>
      <w:r w:rsidR="004414F7">
        <w:rPr>
          <w:rFonts w:cs="Times New Roman"/>
          <w:szCs w:val="24"/>
        </w:rPr>
        <w:t>i</w:t>
      </w:r>
      <w:r w:rsidR="005D4BDF" w:rsidRPr="00AB248B">
        <w:rPr>
          <w:rFonts w:cs="Times New Roman"/>
          <w:szCs w:val="24"/>
        </w:rPr>
        <w:t xml:space="preserve"> přítomné </w:t>
      </w:r>
      <w:proofErr w:type="spellStart"/>
      <w:r w:rsidR="005D4BDF" w:rsidRPr="00AB248B">
        <w:rPr>
          <w:rFonts w:cs="Times New Roman"/>
          <w:szCs w:val="24"/>
        </w:rPr>
        <w:t>marker</w:t>
      </w:r>
      <w:proofErr w:type="spellEnd"/>
      <w:r w:rsidR="005D4BDF" w:rsidRPr="00AB248B">
        <w:rPr>
          <w:rFonts w:cs="Times New Roman"/>
          <w:szCs w:val="24"/>
        </w:rPr>
        <w:t xml:space="preserve"> chromosomy</w:t>
      </w:r>
      <w:r w:rsidR="00466808" w:rsidRPr="00AB248B">
        <w:rPr>
          <w:rFonts w:cs="Times New Roman"/>
          <w:szCs w:val="24"/>
        </w:rPr>
        <w:t>.</w:t>
      </w:r>
    </w:p>
    <w:p w:rsidR="004414F7" w:rsidRDefault="00D32759" w:rsidP="004414F7">
      <w:pPr>
        <w:pStyle w:val="Nadpis3"/>
        <w:spacing w:line="240" w:lineRule="auto"/>
        <w:rPr>
          <w:rFonts w:cs="Times New Roman"/>
          <w:b w:val="0"/>
        </w:rPr>
      </w:pPr>
      <w:r w:rsidRPr="00AB248B">
        <w:rPr>
          <w:rFonts w:cs="Times New Roman"/>
          <w:b w:val="0"/>
        </w:rPr>
        <w:t xml:space="preserve">Další variantou metody FISH je </w:t>
      </w:r>
      <w:proofErr w:type="gramStart"/>
      <w:r w:rsidRPr="004414F7">
        <w:rPr>
          <w:rFonts w:cs="Times New Roman"/>
          <w:b w:val="0"/>
        </w:rPr>
        <w:t>metoda</w:t>
      </w:r>
      <w:r w:rsidRPr="00AB248B">
        <w:rPr>
          <w:rFonts w:cs="Times New Roman"/>
          <w:b w:val="0"/>
          <w:i/>
        </w:rPr>
        <w:t xml:space="preserve"> </w:t>
      </w:r>
      <w:r w:rsidRPr="00AB248B">
        <w:rPr>
          <w:rFonts w:cs="Times New Roman"/>
          <w:i/>
        </w:rPr>
        <w:t xml:space="preserve"> </w:t>
      </w:r>
      <w:proofErr w:type="spellStart"/>
      <w:r w:rsidR="00466808" w:rsidRPr="00AB248B">
        <w:rPr>
          <w:rFonts w:cs="Times New Roman"/>
          <w:i/>
        </w:rPr>
        <w:t>mBAND</w:t>
      </w:r>
      <w:proofErr w:type="spellEnd"/>
      <w:proofErr w:type="gramEnd"/>
      <w:r w:rsidRPr="00AB248B">
        <w:rPr>
          <w:rFonts w:cs="Times New Roman"/>
        </w:rPr>
        <w:t xml:space="preserve">, </w:t>
      </w:r>
      <w:r w:rsidRPr="00AB248B">
        <w:rPr>
          <w:rFonts w:cs="Times New Roman"/>
          <w:b w:val="0"/>
        </w:rPr>
        <w:t>využívající</w:t>
      </w:r>
      <w:r w:rsidR="00466808" w:rsidRPr="00AB248B">
        <w:rPr>
          <w:rFonts w:cs="Times New Roman"/>
          <w:b w:val="0"/>
        </w:rPr>
        <w:t xml:space="preserve"> sond </w:t>
      </w:r>
      <w:r w:rsidR="004414F7">
        <w:rPr>
          <w:rFonts w:cs="Times New Roman"/>
          <w:b w:val="0"/>
        </w:rPr>
        <w:t xml:space="preserve">opět </w:t>
      </w:r>
      <w:r w:rsidR="00466808" w:rsidRPr="00AB248B">
        <w:rPr>
          <w:rFonts w:cs="Times New Roman"/>
          <w:b w:val="0"/>
        </w:rPr>
        <w:t xml:space="preserve">značených kombinací </w:t>
      </w:r>
      <w:proofErr w:type="spellStart"/>
      <w:r w:rsidR="00466808" w:rsidRPr="00AB248B">
        <w:rPr>
          <w:rFonts w:cs="Times New Roman"/>
          <w:b w:val="0"/>
        </w:rPr>
        <w:t>fluorochromů</w:t>
      </w:r>
      <w:proofErr w:type="spellEnd"/>
      <w:r w:rsidR="00AB248B">
        <w:rPr>
          <w:rFonts w:cs="Times New Roman"/>
          <w:b w:val="0"/>
        </w:rPr>
        <w:t xml:space="preserve">. </w:t>
      </w:r>
      <w:r w:rsidR="00466808" w:rsidRPr="00AB248B">
        <w:rPr>
          <w:rFonts w:cs="Times New Roman"/>
          <w:b w:val="0"/>
        </w:rPr>
        <w:t xml:space="preserve">Jedná se o </w:t>
      </w:r>
      <w:r w:rsidRPr="00AB248B">
        <w:rPr>
          <w:rFonts w:cs="Times New Roman"/>
          <w:b w:val="0"/>
        </w:rPr>
        <w:t xml:space="preserve">určitou formu </w:t>
      </w:r>
      <w:r w:rsidR="00466808" w:rsidRPr="00AB248B">
        <w:rPr>
          <w:rFonts w:cs="Times New Roman"/>
          <w:b w:val="0"/>
        </w:rPr>
        <w:t>modifikac</w:t>
      </w:r>
      <w:r w:rsidRPr="00AB248B">
        <w:rPr>
          <w:rFonts w:cs="Times New Roman"/>
          <w:b w:val="0"/>
        </w:rPr>
        <w:t xml:space="preserve">e </w:t>
      </w:r>
      <w:r w:rsidR="00466808" w:rsidRPr="00AB248B">
        <w:rPr>
          <w:rFonts w:cs="Times New Roman"/>
          <w:b w:val="0"/>
        </w:rPr>
        <w:t xml:space="preserve">metody </w:t>
      </w:r>
      <w:proofErr w:type="spellStart"/>
      <w:r w:rsidR="00466808" w:rsidRPr="00AB248B">
        <w:rPr>
          <w:rFonts w:cs="Times New Roman"/>
          <w:b w:val="0"/>
        </w:rPr>
        <w:t>mFISH</w:t>
      </w:r>
      <w:proofErr w:type="spellEnd"/>
      <w:r w:rsidR="00466808" w:rsidRPr="00AB248B">
        <w:rPr>
          <w:rFonts w:cs="Times New Roman"/>
          <w:b w:val="0"/>
        </w:rPr>
        <w:t xml:space="preserve">, kdy se na jednotlivé části </w:t>
      </w:r>
      <w:r w:rsidRPr="00AB248B">
        <w:rPr>
          <w:rFonts w:cs="Times New Roman"/>
          <w:b w:val="0"/>
        </w:rPr>
        <w:t xml:space="preserve">každého </w:t>
      </w:r>
      <w:r w:rsidR="00466808" w:rsidRPr="00AB248B">
        <w:rPr>
          <w:rFonts w:cs="Times New Roman"/>
          <w:b w:val="0"/>
        </w:rPr>
        <w:t xml:space="preserve">chromosomu </w:t>
      </w:r>
      <w:proofErr w:type="spellStart"/>
      <w:r w:rsidR="00466808" w:rsidRPr="00AB248B">
        <w:rPr>
          <w:rFonts w:cs="Times New Roman"/>
          <w:b w:val="0"/>
        </w:rPr>
        <w:t>hybridizují</w:t>
      </w:r>
      <w:proofErr w:type="spellEnd"/>
      <w:r w:rsidR="00466808" w:rsidRPr="00AB248B">
        <w:rPr>
          <w:rFonts w:cs="Times New Roman"/>
          <w:b w:val="0"/>
        </w:rPr>
        <w:t xml:space="preserve"> různě označené </w:t>
      </w:r>
      <w:r w:rsidRPr="00AB248B">
        <w:rPr>
          <w:rFonts w:cs="Times New Roman"/>
          <w:b w:val="0"/>
        </w:rPr>
        <w:t xml:space="preserve">úseky daného chromosomu tvořící sondu pro daný chromosom. </w:t>
      </w:r>
      <w:r w:rsidR="00466808" w:rsidRPr="00AB248B">
        <w:rPr>
          <w:rFonts w:cs="Times New Roman"/>
          <w:b w:val="0"/>
        </w:rPr>
        <w:t xml:space="preserve">Po nasnímání a zobrazení v softwaru lze pak na základě nasnímaných intenzit </w:t>
      </w:r>
      <w:proofErr w:type="spellStart"/>
      <w:r w:rsidR="00466808" w:rsidRPr="00AB248B">
        <w:rPr>
          <w:rFonts w:cs="Times New Roman"/>
          <w:b w:val="0"/>
        </w:rPr>
        <w:t>fluorochromů</w:t>
      </w:r>
      <w:proofErr w:type="spellEnd"/>
      <w:r w:rsidR="00466808" w:rsidRPr="00AB248B">
        <w:rPr>
          <w:rFonts w:cs="Times New Roman"/>
          <w:b w:val="0"/>
        </w:rPr>
        <w:t xml:space="preserve"> podél chromosomu a mapy značení jednotlivých částí chromosomu</w:t>
      </w:r>
      <w:r w:rsidR="004414F7">
        <w:rPr>
          <w:rFonts w:cs="Times New Roman"/>
          <w:b w:val="0"/>
        </w:rPr>
        <w:t>,</w:t>
      </w:r>
      <w:r w:rsidR="00466808" w:rsidRPr="00AB248B">
        <w:rPr>
          <w:rFonts w:cs="Times New Roman"/>
          <w:b w:val="0"/>
        </w:rPr>
        <w:t xml:space="preserve"> určit strukturní změny daného chromosomu</w:t>
      </w:r>
      <w:r w:rsidR="00AB248B">
        <w:rPr>
          <w:rFonts w:cs="Times New Roman"/>
          <w:b w:val="0"/>
        </w:rPr>
        <w:t>.</w:t>
      </w:r>
      <w:r w:rsidR="004414F7">
        <w:rPr>
          <w:rFonts w:cs="Times New Roman"/>
          <w:b w:val="0"/>
        </w:rPr>
        <w:t xml:space="preserve"> </w:t>
      </w:r>
      <w:r w:rsidR="00466808" w:rsidRPr="004414F7">
        <w:rPr>
          <w:rFonts w:cs="Times New Roman"/>
          <w:b w:val="0"/>
        </w:rPr>
        <w:t xml:space="preserve">Mnohobarevné pruhování lze využít pro rozlišení </w:t>
      </w:r>
      <w:proofErr w:type="spellStart"/>
      <w:r w:rsidR="00466808" w:rsidRPr="004414F7">
        <w:rPr>
          <w:rFonts w:cs="Times New Roman"/>
          <w:b w:val="0"/>
        </w:rPr>
        <w:t>intrachromosomových</w:t>
      </w:r>
      <w:proofErr w:type="spellEnd"/>
      <w:r w:rsidR="00466808" w:rsidRPr="004414F7">
        <w:rPr>
          <w:rFonts w:cs="Times New Roman"/>
          <w:b w:val="0"/>
        </w:rPr>
        <w:t xml:space="preserve"> přestaveb, zejména pro lokalizaci místa zlomu.</w:t>
      </w:r>
    </w:p>
    <w:p w:rsidR="004414F7" w:rsidRPr="004414F7" w:rsidRDefault="004414F7" w:rsidP="004414F7">
      <w:pPr>
        <w:spacing w:line="240" w:lineRule="auto"/>
      </w:pPr>
    </w:p>
    <w:p w:rsidR="004414F7" w:rsidRDefault="00616E62" w:rsidP="004414F7">
      <w:pPr>
        <w:spacing w:line="240" w:lineRule="auto"/>
        <w:jc w:val="left"/>
        <w:rPr>
          <w:rFonts w:cs="Times New Roman"/>
          <w:b/>
          <w:i/>
          <w:szCs w:val="24"/>
        </w:rPr>
      </w:pPr>
      <w:proofErr w:type="spellStart"/>
      <w:r w:rsidRPr="004414F7">
        <w:rPr>
          <w:rFonts w:cs="Times New Roman"/>
          <w:b/>
          <w:i/>
          <w:szCs w:val="24"/>
        </w:rPr>
        <w:t>A</w:t>
      </w:r>
      <w:r w:rsidR="004414F7" w:rsidRPr="004414F7">
        <w:rPr>
          <w:rFonts w:cs="Times New Roman"/>
          <w:b/>
          <w:i/>
          <w:szCs w:val="24"/>
        </w:rPr>
        <w:t>rray</w:t>
      </w:r>
      <w:r w:rsidRPr="004414F7">
        <w:rPr>
          <w:rFonts w:cs="Times New Roman"/>
          <w:b/>
          <w:i/>
          <w:szCs w:val="24"/>
        </w:rPr>
        <w:t>CGH-array</w:t>
      </w:r>
      <w:proofErr w:type="spellEnd"/>
      <w:r w:rsidRPr="004414F7">
        <w:rPr>
          <w:rFonts w:cs="Times New Roman"/>
          <w:b/>
          <w:i/>
          <w:szCs w:val="24"/>
        </w:rPr>
        <w:t xml:space="preserve"> komparativní genomová hybridizace</w:t>
      </w:r>
    </w:p>
    <w:p w:rsidR="00D77676" w:rsidRPr="004414F7" w:rsidRDefault="00D77676" w:rsidP="004414F7">
      <w:pPr>
        <w:spacing w:line="240" w:lineRule="auto"/>
        <w:jc w:val="left"/>
        <w:rPr>
          <w:rFonts w:cs="Times New Roman"/>
          <w:b/>
          <w:i/>
          <w:szCs w:val="24"/>
        </w:rPr>
      </w:pPr>
      <w:r w:rsidRPr="00AB248B">
        <w:rPr>
          <w:rFonts w:cs="Times New Roman"/>
          <w:szCs w:val="24"/>
        </w:rPr>
        <w:t xml:space="preserve">K překonání některých limitací klasické cytogenetiky a metod FISH je možné použít </w:t>
      </w:r>
      <w:r w:rsidR="00390B5F" w:rsidRPr="00AB248B">
        <w:rPr>
          <w:rFonts w:cs="Times New Roman"/>
          <w:szCs w:val="24"/>
        </w:rPr>
        <w:t>čipové</w:t>
      </w:r>
      <w:r w:rsidRPr="00AB248B">
        <w:rPr>
          <w:rFonts w:cs="Times New Roman"/>
          <w:szCs w:val="24"/>
        </w:rPr>
        <w:t xml:space="preserve"> technologie, které určují změny v počtu kopií (CNA) a mohou určit získané ztráty </w:t>
      </w:r>
      <w:proofErr w:type="spellStart"/>
      <w:r w:rsidRPr="00AB248B">
        <w:rPr>
          <w:rFonts w:cs="Times New Roman"/>
          <w:szCs w:val="24"/>
        </w:rPr>
        <w:t>heterozygozity</w:t>
      </w:r>
      <w:proofErr w:type="spellEnd"/>
      <w:r w:rsidRPr="00AB248B">
        <w:rPr>
          <w:rFonts w:cs="Times New Roman"/>
          <w:szCs w:val="24"/>
        </w:rPr>
        <w:t xml:space="preserve"> (</w:t>
      </w:r>
      <w:proofErr w:type="spellStart"/>
      <w:r w:rsidRPr="00AB248B">
        <w:rPr>
          <w:rFonts w:cs="Times New Roman"/>
          <w:szCs w:val="24"/>
        </w:rPr>
        <w:t>aCN</w:t>
      </w:r>
      <w:proofErr w:type="spellEnd"/>
      <w:r w:rsidRPr="00AB248B">
        <w:rPr>
          <w:rFonts w:cs="Times New Roman"/>
          <w:szCs w:val="24"/>
        </w:rPr>
        <w:t xml:space="preserve">-LOH). </w:t>
      </w:r>
      <w:r w:rsidR="008A6E5D" w:rsidRPr="00AB248B">
        <w:rPr>
          <w:rFonts w:cs="Times New Roman"/>
          <w:szCs w:val="24"/>
        </w:rPr>
        <w:t xml:space="preserve">Metoda </w:t>
      </w:r>
      <w:proofErr w:type="spellStart"/>
      <w:r w:rsidR="008A6E5D" w:rsidRPr="00AB248B">
        <w:rPr>
          <w:rFonts w:cs="Times New Roman"/>
          <w:szCs w:val="24"/>
        </w:rPr>
        <w:t>arrayCGH</w:t>
      </w:r>
      <w:proofErr w:type="spellEnd"/>
      <w:r w:rsidR="008A6E5D" w:rsidRPr="00AB248B">
        <w:rPr>
          <w:rFonts w:cs="Times New Roman"/>
          <w:szCs w:val="24"/>
        </w:rPr>
        <w:t xml:space="preserve"> je molekulárně cytogenetická metoda, založená na kompetitivní hybridizaci normální a nádorové DNA k DNA cílům, kterými jsou fragmenty </w:t>
      </w:r>
      <w:proofErr w:type="spellStart"/>
      <w:r w:rsidR="008A6E5D" w:rsidRPr="00AB248B">
        <w:rPr>
          <w:rFonts w:cs="Times New Roman"/>
          <w:szCs w:val="24"/>
        </w:rPr>
        <w:t>genomické</w:t>
      </w:r>
      <w:proofErr w:type="spellEnd"/>
      <w:r w:rsidR="008A6E5D" w:rsidRPr="00AB248B">
        <w:rPr>
          <w:rFonts w:cs="Times New Roman"/>
          <w:szCs w:val="24"/>
        </w:rPr>
        <w:t xml:space="preserve"> DNA </w:t>
      </w:r>
      <w:r w:rsidR="009F5AB3" w:rsidRPr="00AB248B">
        <w:rPr>
          <w:rFonts w:cs="Times New Roman"/>
          <w:szCs w:val="24"/>
        </w:rPr>
        <w:t xml:space="preserve">nebo </w:t>
      </w:r>
      <w:proofErr w:type="spellStart"/>
      <w:r w:rsidR="009F5AB3" w:rsidRPr="00AB248B">
        <w:rPr>
          <w:rFonts w:cs="Times New Roman"/>
          <w:szCs w:val="24"/>
        </w:rPr>
        <w:t>oligonukleotidy</w:t>
      </w:r>
      <w:proofErr w:type="spellEnd"/>
      <w:r w:rsidR="009F5AB3" w:rsidRPr="00AB248B">
        <w:rPr>
          <w:rFonts w:cs="Times New Roman"/>
          <w:szCs w:val="24"/>
        </w:rPr>
        <w:t xml:space="preserve"> </w:t>
      </w:r>
      <w:r w:rsidR="008A6E5D" w:rsidRPr="00AB248B">
        <w:rPr>
          <w:rFonts w:cs="Times New Roman"/>
          <w:szCs w:val="24"/>
        </w:rPr>
        <w:t xml:space="preserve">umístěné na hybridizačním skle, které označujeme </w:t>
      </w:r>
      <w:proofErr w:type="spellStart"/>
      <w:r w:rsidR="008A6E5D" w:rsidRPr="00AB248B">
        <w:rPr>
          <w:rFonts w:cs="Times New Roman"/>
          <w:szCs w:val="24"/>
        </w:rPr>
        <w:t>microarray</w:t>
      </w:r>
      <w:proofErr w:type="spellEnd"/>
      <w:r w:rsidR="008A6E5D" w:rsidRPr="00AB248B">
        <w:rPr>
          <w:rFonts w:cs="Times New Roman"/>
          <w:szCs w:val="24"/>
        </w:rPr>
        <w:t xml:space="preserve"> nebo čip</w:t>
      </w:r>
      <w:r w:rsidR="00AB248B">
        <w:rPr>
          <w:rFonts w:cs="Times New Roman"/>
          <w:szCs w:val="24"/>
        </w:rPr>
        <w:t>.</w:t>
      </w:r>
      <w:r w:rsidR="004414F7">
        <w:rPr>
          <w:rFonts w:cs="Times New Roman"/>
          <w:szCs w:val="24"/>
        </w:rPr>
        <w:t xml:space="preserve"> </w:t>
      </w:r>
    </w:p>
    <w:p w:rsidR="00D77676" w:rsidRDefault="00D77676" w:rsidP="00AB248B">
      <w:pPr>
        <w:spacing w:line="240" w:lineRule="auto"/>
        <w:rPr>
          <w:rFonts w:cs="Times New Roman"/>
          <w:szCs w:val="24"/>
        </w:rPr>
      </w:pPr>
      <w:r w:rsidRPr="00AB248B">
        <w:rPr>
          <w:rFonts w:cs="Times New Roman"/>
          <w:szCs w:val="24"/>
        </w:rPr>
        <w:t xml:space="preserve">Jednou za základních podmínek úspěšné hybridizace je získání velmi kvalitní normální a nádorové DNA. </w:t>
      </w:r>
      <w:r w:rsidR="00BE6204">
        <w:rPr>
          <w:rFonts w:cs="Times New Roman"/>
          <w:szCs w:val="24"/>
        </w:rPr>
        <w:t>Následně jsou f</w:t>
      </w:r>
      <w:r w:rsidR="004414F7">
        <w:rPr>
          <w:rFonts w:cs="Times New Roman"/>
          <w:szCs w:val="24"/>
        </w:rPr>
        <w:t xml:space="preserve">ragmenty </w:t>
      </w:r>
      <w:proofErr w:type="spellStart"/>
      <w:r w:rsidR="004414F7">
        <w:rPr>
          <w:rFonts w:cs="Times New Roman"/>
          <w:szCs w:val="24"/>
        </w:rPr>
        <w:t>genomické</w:t>
      </w:r>
      <w:proofErr w:type="spellEnd"/>
      <w:r w:rsidR="004414F7">
        <w:rPr>
          <w:rFonts w:cs="Times New Roman"/>
          <w:szCs w:val="24"/>
        </w:rPr>
        <w:t xml:space="preserve"> a normální DNA značeny rozdílnými </w:t>
      </w:r>
      <w:proofErr w:type="spellStart"/>
      <w:r w:rsidR="004414F7">
        <w:rPr>
          <w:rFonts w:cs="Times New Roman"/>
          <w:szCs w:val="24"/>
        </w:rPr>
        <w:t>fluorochromy</w:t>
      </w:r>
      <w:proofErr w:type="spellEnd"/>
      <w:r w:rsidR="004414F7">
        <w:rPr>
          <w:rFonts w:cs="Times New Roman"/>
          <w:szCs w:val="24"/>
        </w:rPr>
        <w:t xml:space="preserve">, denaturovány a následně </w:t>
      </w:r>
      <w:proofErr w:type="spellStart"/>
      <w:r w:rsidR="004414F7">
        <w:rPr>
          <w:rFonts w:cs="Times New Roman"/>
          <w:szCs w:val="24"/>
        </w:rPr>
        <w:t>hybridizovány</w:t>
      </w:r>
      <w:proofErr w:type="spellEnd"/>
      <w:r w:rsidR="004414F7">
        <w:rPr>
          <w:rFonts w:cs="Times New Roman"/>
          <w:szCs w:val="24"/>
        </w:rPr>
        <w:t xml:space="preserve"> k fragmentům DNA na hybridizačním skle-čipu. </w:t>
      </w:r>
      <w:r w:rsidRPr="00AB248B">
        <w:rPr>
          <w:rFonts w:cs="Times New Roman"/>
          <w:szCs w:val="24"/>
        </w:rPr>
        <w:t xml:space="preserve">Výsledek hybridizace </w:t>
      </w:r>
      <w:proofErr w:type="spellStart"/>
      <w:r w:rsidRPr="00AB248B">
        <w:rPr>
          <w:rFonts w:cs="Times New Roman"/>
          <w:szCs w:val="24"/>
        </w:rPr>
        <w:t>jednořetězcových</w:t>
      </w:r>
      <w:proofErr w:type="spellEnd"/>
      <w:r w:rsidRPr="00AB248B">
        <w:rPr>
          <w:rFonts w:cs="Times New Roman"/>
          <w:szCs w:val="24"/>
        </w:rPr>
        <w:t xml:space="preserve">, </w:t>
      </w:r>
      <w:r w:rsidR="00191076" w:rsidRPr="00AB248B">
        <w:rPr>
          <w:rFonts w:cs="Times New Roman"/>
          <w:szCs w:val="24"/>
        </w:rPr>
        <w:t xml:space="preserve">rozdílně </w:t>
      </w:r>
      <w:r w:rsidRPr="00AB248B">
        <w:rPr>
          <w:rFonts w:cs="Times New Roman"/>
          <w:szCs w:val="24"/>
        </w:rPr>
        <w:t xml:space="preserve">fluorescenčně označených fragmentů </w:t>
      </w:r>
      <w:proofErr w:type="spellStart"/>
      <w:r w:rsidRPr="00AB248B">
        <w:rPr>
          <w:rFonts w:cs="Times New Roman"/>
          <w:szCs w:val="24"/>
        </w:rPr>
        <w:t>genomické</w:t>
      </w:r>
      <w:proofErr w:type="spellEnd"/>
      <w:r w:rsidRPr="00AB248B">
        <w:rPr>
          <w:rFonts w:cs="Times New Roman"/>
          <w:szCs w:val="24"/>
        </w:rPr>
        <w:t xml:space="preserve"> </w:t>
      </w:r>
      <w:r w:rsidR="00191076" w:rsidRPr="00AB248B">
        <w:rPr>
          <w:rFonts w:cs="Times New Roman"/>
          <w:szCs w:val="24"/>
        </w:rPr>
        <w:t xml:space="preserve">a nádorové DNA je hodnocen na základě měření intenzity </w:t>
      </w:r>
      <w:proofErr w:type="spellStart"/>
      <w:r w:rsidR="00191076" w:rsidRPr="00AB248B">
        <w:rPr>
          <w:rFonts w:cs="Times New Roman"/>
          <w:szCs w:val="24"/>
        </w:rPr>
        <w:t>přihybridizované</w:t>
      </w:r>
      <w:proofErr w:type="spellEnd"/>
      <w:r w:rsidR="00191076" w:rsidRPr="00AB248B">
        <w:rPr>
          <w:rFonts w:cs="Times New Roman"/>
          <w:szCs w:val="24"/>
        </w:rPr>
        <w:t xml:space="preserve"> DNA k fragmentů na </w:t>
      </w:r>
      <w:r w:rsidR="00F90548" w:rsidRPr="00AB248B">
        <w:rPr>
          <w:rFonts w:cs="Times New Roman"/>
          <w:szCs w:val="24"/>
        </w:rPr>
        <w:t>čipu</w:t>
      </w:r>
      <w:r w:rsidR="00191076" w:rsidRPr="00AB248B">
        <w:rPr>
          <w:rFonts w:cs="Times New Roman"/>
          <w:szCs w:val="24"/>
        </w:rPr>
        <w:t>. Poměr obou naměřených intenzit je porovn</w:t>
      </w:r>
      <w:r w:rsidR="00BE6204">
        <w:rPr>
          <w:rFonts w:cs="Times New Roman"/>
          <w:szCs w:val="24"/>
        </w:rPr>
        <w:t>án a podle stanovených hranic na</w:t>
      </w:r>
      <w:r w:rsidR="00191076" w:rsidRPr="00AB248B">
        <w:rPr>
          <w:rFonts w:cs="Times New Roman"/>
          <w:szCs w:val="24"/>
        </w:rPr>
        <w:t>měřených intenzit pak určuje</w:t>
      </w:r>
      <w:r w:rsidR="00BE6204">
        <w:rPr>
          <w:rFonts w:cs="Times New Roman"/>
          <w:szCs w:val="24"/>
        </w:rPr>
        <w:t>me</w:t>
      </w:r>
      <w:r w:rsidR="00191076" w:rsidRPr="00AB248B">
        <w:rPr>
          <w:rFonts w:cs="Times New Roman"/>
          <w:szCs w:val="24"/>
        </w:rPr>
        <w:t xml:space="preserve"> oblasti se ztrátou genetického materiálu nebo naopak se ziskem genetického materiálu</w:t>
      </w:r>
      <w:r w:rsidR="00AB248B">
        <w:rPr>
          <w:rFonts w:cs="Times New Roman"/>
          <w:szCs w:val="24"/>
        </w:rPr>
        <w:t xml:space="preserve">. </w:t>
      </w:r>
      <w:proofErr w:type="spellStart"/>
      <w:r w:rsidR="000C6819" w:rsidRPr="00AB248B">
        <w:rPr>
          <w:rFonts w:cs="Times New Roman"/>
          <w:szCs w:val="24"/>
        </w:rPr>
        <w:t>SNPs</w:t>
      </w:r>
      <w:proofErr w:type="spellEnd"/>
      <w:r w:rsidR="000C6819" w:rsidRPr="00AB248B">
        <w:rPr>
          <w:rFonts w:cs="Times New Roman"/>
          <w:szCs w:val="24"/>
        </w:rPr>
        <w:t xml:space="preserve"> </w:t>
      </w:r>
      <w:proofErr w:type="spellStart"/>
      <w:r w:rsidR="000C6819" w:rsidRPr="00AB248B">
        <w:rPr>
          <w:rFonts w:cs="Times New Roman"/>
          <w:szCs w:val="24"/>
        </w:rPr>
        <w:t>array</w:t>
      </w:r>
      <w:proofErr w:type="spellEnd"/>
      <w:r w:rsidR="000C6819" w:rsidRPr="00AB248B">
        <w:rPr>
          <w:rFonts w:cs="Times New Roman"/>
          <w:szCs w:val="24"/>
        </w:rPr>
        <w:t xml:space="preserve"> jsou další variantou </w:t>
      </w:r>
      <w:proofErr w:type="spellStart"/>
      <w:r w:rsidR="000C6819" w:rsidRPr="00AB248B">
        <w:rPr>
          <w:rFonts w:cs="Times New Roman"/>
          <w:szCs w:val="24"/>
        </w:rPr>
        <w:t>celogenomových</w:t>
      </w:r>
      <w:proofErr w:type="spellEnd"/>
      <w:r w:rsidR="000C6819" w:rsidRPr="00AB248B">
        <w:rPr>
          <w:rFonts w:cs="Times New Roman"/>
          <w:szCs w:val="24"/>
        </w:rPr>
        <w:t xml:space="preserve"> </w:t>
      </w:r>
      <w:r w:rsidR="002B7260" w:rsidRPr="00AB248B">
        <w:rPr>
          <w:rFonts w:cs="Times New Roman"/>
          <w:szCs w:val="24"/>
        </w:rPr>
        <w:t xml:space="preserve">čipových metod, využívající </w:t>
      </w:r>
      <w:proofErr w:type="spellStart"/>
      <w:r w:rsidR="002B7260" w:rsidRPr="00AB248B">
        <w:rPr>
          <w:rFonts w:cs="Times New Roman"/>
          <w:szCs w:val="24"/>
        </w:rPr>
        <w:t>jednonukleotidov</w:t>
      </w:r>
      <w:r w:rsidR="00BE6204">
        <w:rPr>
          <w:rFonts w:cs="Times New Roman"/>
          <w:szCs w:val="24"/>
        </w:rPr>
        <w:t>é</w:t>
      </w:r>
      <w:proofErr w:type="spellEnd"/>
      <w:r w:rsidR="002B7260" w:rsidRPr="00AB248B">
        <w:rPr>
          <w:rFonts w:cs="Times New Roman"/>
          <w:szCs w:val="24"/>
        </w:rPr>
        <w:t xml:space="preserve"> polymorfism</w:t>
      </w:r>
      <w:r w:rsidR="00BE6204">
        <w:rPr>
          <w:rFonts w:cs="Times New Roman"/>
          <w:szCs w:val="24"/>
        </w:rPr>
        <w:t>y</w:t>
      </w:r>
      <w:r w:rsidR="002B7260" w:rsidRPr="00AB248B">
        <w:rPr>
          <w:rFonts w:cs="Times New Roman"/>
          <w:szCs w:val="24"/>
        </w:rPr>
        <w:t xml:space="preserve"> v lidském genomu </w:t>
      </w:r>
      <w:r w:rsidR="00B95601" w:rsidRPr="00AB248B">
        <w:rPr>
          <w:rFonts w:cs="Times New Roman"/>
          <w:szCs w:val="24"/>
        </w:rPr>
        <w:t xml:space="preserve">a </w:t>
      </w:r>
      <w:r w:rsidR="00F0452A" w:rsidRPr="00AB248B">
        <w:rPr>
          <w:rFonts w:cs="Times New Roman"/>
          <w:szCs w:val="24"/>
        </w:rPr>
        <w:t xml:space="preserve">čip pak obsahuje </w:t>
      </w:r>
      <w:proofErr w:type="spellStart"/>
      <w:r w:rsidR="00F0452A" w:rsidRPr="00AB248B">
        <w:rPr>
          <w:rFonts w:cs="Times New Roman"/>
          <w:szCs w:val="24"/>
        </w:rPr>
        <w:t>oligonukleotidy</w:t>
      </w:r>
      <w:proofErr w:type="spellEnd"/>
      <w:r w:rsidR="00F0452A" w:rsidRPr="00AB248B">
        <w:rPr>
          <w:rFonts w:cs="Times New Roman"/>
          <w:szCs w:val="24"/>
        </w:rPr>
        <w:t xml:space="preserve"> příslušných alel</w:t>
      </w:r>
      <w:r w:rsidR="00AB248B" w:rsidRPr="00AB248B">
        <w:rPr>
          <w:rFonts w:cs="Times New Roman"/>
          <w:szCs w:val="24"/>
        </w:rPr>
        <w:t xml:space="preserve">. </w:t>
      </w:r>
      <w:r w:rsidR="00F0452A" w:rsidRPr="00AB248B">
        <w:rPr>
          <w:rFonts w:cs="Times New Roman"/>
          <w:szCs w:val="24"/>
        </w:rPr>
        <w:t xml:space="preserve">Výsledek je shodný s metodou </w:t>
      </w:r>
      <w:proofErr w:type="spellStart"/>
      <w:r w:rsidR="00F0452A" w:rsidRPr="00AB248B">
        <w:rPr>
          <w:rFonts w:cs="Times New Roman"/>
          <w:szCs w:val="24"/>
        </w:rPr>
        <w:t>arr</w:t>
      </w:r>
      <w:r w:rsidR="00D47A9F" w:rsidRPr="00AB248B">
        <w:rPr>
          <w:rFonts w:cs="Times New Roman"/>
          <w:szCs w:val="24"/>
        </w:rPr>
        <w:t>a</w:t>
      </w:r>
      <w:r w:rsidR="00F0452A" w:rsidRPr="00AB248B">
        <w:rPr>
          <w:rFonts w:cs="Times New Roman"/>
          <w:szCs w:val="24"/>
        </w:rPr>
        <w:t>yCGH</w:t>
      </w:r>
      <w:proofErr w:type="spellEnd"/>
      <w:r w:rsidR="00F0452A" w:rsidRPr="00AB248B">
        <w:rPr>
          <w:rFonts w:cs="Times New Roman"/>
          <w:szCs w:val="24"/>
        </w:rPr>
        <w:t xml:space="preserve">, dovoluje určení </w:t>
      </w:r>
      <w:r w:rsidR="00BE6204">
        <w:rPr>
          <w:rFonts w:cs="Times New Roman"/>
          <w:szCs w:val="24"/>
        </w:rPr>
        <w:t xml:space="preserve">jak CNA, tak </w:t>
      </w:r>
      <w:proofErr w:type="spellStart"/>
      <w:r w:rsidR="00F0452A" w:rsidRPr="00AB248B">
        <w:rPr>
          <w:rFonts w:cs="Times New Roman"/>
          <w:szCs w:val="24"/>
        </w:rPr>
        <w:t>aCN</w:t>
      </w:r>
      <w:proofErr w:type="spellEnd"/>
      <w:r w:rsidR="00F0452A" w:rsidRPr="00AB248B">
        <w:rPr>
          <w:rFonts w:cs="Times New Roman"/>
          <w:szCs w:val="24"/>
        </w:rPr>
        <w:t xml:space="preserve">-LOH a je citlivější pro určení </w:t>
      </w:r>
      <w:proofErr w:type="spellStart"/>
      <w:r w:rsidR="00F0452A" w:rsidRPr="00AB248B">
        <w:rPr>
          <w:rFonts w:cs="Times New Roman"/>
          <w:szCs w:val="24"/>
        </w:rPr>
        <w:t>hyperploidií</w:t>
      </w:r>
      <w:proofErr w:type="spellEnd"/>
      <w:r w:rsidR="00F0452A" w:rsidRPr="00AB248B">
        <w:rPr>
          <w:rFonts w:cs="Times New Roman"/>
          <w:szCs w:val="24"/>
        </w:rPr>
        <w:t xml:space="preserve">.  </w:t>
      </w:r>
    </w:p>
    <w:p w:rsidR="00AD7516" w:rsidRPr="00AD7516" w:rsidRDefault="00AD7516" w:rsidP="00AB248B">
      <w:pPr>
        <w:spacing w:line="240" w:lineRule="auto"/>
        <w:rPr>
          <w:rFonts w:cs="Times New Roman"/>
          <w:b/>
          <w:szCs w:val="24"/>
        </w:rPr>
      </w:pPr>
      <w:r w:rsidRPr="00AD7516">
        <w:rPr>
          <w:rFonts w:cs="Times New Roman"/>
          <w:b/>
          <w:szCs w:val="24"/>
        </w:rPr>
        <w:t>Cytogenetika vybraných hematologických malignit.</w:t>
      </w:r>
    </w:p>
    <w:p w:rsidR="002133EF" w:rsidRDefault="00AD7516" w:rsidP="00AB248B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H</w:t>
      </w:r>
      <w:r w:rsidR="009C1C3A" w:rsidRPr="00AB248B">
        <w:rPr>
          <w:rFonts w:cs="Times New Roman"/>
          <w:color w:val="000000"/>
          <w:szCs w:val="24"/>
        </w:rPr>
        <w:t>ematologické maligní onemocnění j</w:t>
      </w:r>
      <w:r>
        <w:rPr>
          <w:rFonts w:cs="Times New Roman"/>
          <w:color w:val="000000"/>
          <w:szCs w:val="24"/>
        </w:rPr>
        <w:t xml:space="preserve">sou </w:t>
      </w:r>
      <w:r w:rsidR="009C1C3A" w:rsidRPr="00AB248B">
        <w:rPr>
          <w:rFonts w:cs="Times New Roman"/>
          <w:color w:val="000000"/>
          <w:szCs w:val="24"/>
        </w:rPr>
        <w:t>definován</w:t>
      </w:r>
      <w:r>
        <w:rPr>
          <w:rFonts w:cs="Times New Roman"/>
          <w:color w:val="000000"/>
          <w:szCs w:val="24"/>
        </w:rPr>
        <w:t xml:space="preserve">a </w:t>
      </w:r>
      <w:r w:rsidR="009C1C3A" w:rsidRPr="00AB248B">
        <w:rPr>
          <w:rFonts w:cs="Times New Roman"/>
          <w:color w:val="000000"/>
          <w:szCs w:val="24"/>
        </w:rPr>
        <w:t xml:space="preserve">spektrem genetických změn, </w:t>
      </w:r>
      <w:r w:rsidR="00931498" w:rsidRPr="00AB248B">
        <w:rPr>
          <w:rFonts w:cs="Times New Roman"/>
          <w:color w:val="000000"/>
          <w:szCs w:val="24"/>
        </w:rPr>
        <w:t xml:space="preserve">některé z nich jsou specifické a nenáhodné </w:t>
      </w:r>
      <w:proofErr w:type="gramStart"/>
      <w:r w:rsidR="00931498" w:rsidRPr="00AB248B">
        <w:rPr>
          <w:rFonts w:cs="Times New Roman"/>
          <w:color w:val="000000"/>
          <w:szCs w:val="24"/>
        </w:rPr>
        <w:t xml:space="preserve">a </w:t>
      </w:r>
      <w:r w:rsidR="009C1C3A" w:rsidRPr="00AB248B">
        <w:rPr>
          <w:rFonts w:cs="Times New Roman"/>
          <w:color w:val="000000"/>
          <w:szCs w:val="24"/>
        </w:rPr>
        <w:t xml:space="preserve"> mají</w:t>
      </w:r>
      <w:proofErr w:type="gramEnd"/>
      <w:r w:rsidR="009C1C3A" w:rsidRPr="00AB248B">
        <w:rPr>
          <w:rFonts w:cs="Times New Roman"/>
          <w:color w:val="000000"/>
          <w:szCs w:val="24"/>
        </w:rPr>
        <w:t xml:space="preserve"> diagnostický a nebo prognostický význam. </w:t>
      </w:r>
      <w:r w:rsidR="003D1224" w:rsidRPr="00AB248B">
        <w:rPr>
          <w:rFonts w:cs="Times New Roman"/>
          <w:color w:val="000000"/>
          <w:szCs w:val="24"/>
        </w:rPr>
        <w:t>Výběr metod pro určení specifických, nenáhodných ale i náhodných aberací u vybraného hematologického onemocnění souvisí s</w:t>
      </w:r>
      <w:r w:rsidR="00931498" w:rsidRPr="00AB248B">
        <w:rPr>
          <w:rFonts w:cs="Times New Roman"/>
          <w:color w:val="000000"/>
          <w:szCs w:val="24"/>
        </w:rPr>
        <w:t xml:space="preserve"> potvrzeným klinickým významem a poznatky </w:t>
      </w:r>
      <w:proofErr w:type="gramStart"/>
      <w:r w:rsidR="00931498" w:rsidRPr="00AB248B">
        <w:rPr>
          <w:rFonts w:cs="Times New Roman"/>
          <w:color w:val="000000"/>
          <w:szCs w:val="24"/>
        </w:rPr>
        <w:t xml:space="preserve">o  </w:t>
      </w:r>
      <w:r w:rsidR="003D1224" w:rsidRPr="00AB248B">
        <w:rPr>
          <w:rFonts w:cs="Times New Roman"/>
          <w:color w:val="000000"/>
          <w:szCs w:val="24"/>
        </w:rPr>
        <w:t>patogenez</w:t>
      </w:r>
      <w:r w:rsidR="00931498" w:rsidRPr="00AB248B">
        <w:rPr>
          <w:rFonts w:cs="Times New Roman"/>
          <w:color w:val="000000"/>
          <w:szCs w:val="24"/>
        </w:rPr>
        <w:t>i</w:t>
      </w:r>
      <w:proofErr w:type="gramEnd"/>
      <w:r w:rsidR="003D1224" w:rsidRPr="00AB248B">
        <w:rPr>
          <w:rFonts w:cs="Times New Roman"/>
          <w:color w:val="000000"/>
          <w:szCs w:val="24"/>
        </w:rPr>
        <w:t xml:space="preserve"> onemocnění. </w:t>
      </w:r>
      <w:r>
        <w:rPr>
          <w:rFonts w:cs="Times New Roman"/>
          <w:color w:val="000000"/>
          <w:szCs w:val="24"/>
        </w:rPr>
        <w:t xml:space="preserve">Cytogenetická </w:t>
      </w:r>
      <w:proofErr w:type="gramStart"/>
      <w:r>
        <w:rPr>
          <w:rFonts w:cs="Times New Roman"/>
          <w:color w:val="000000"/>
          <w:szCs w:val="24"/>
        </w:rPr>
        <w:t xml:space="preserve">vyšetření </w:t>
      </w:r>
      <w:r w:rsidR="003D1224" w:rsidRPr="00AB248B">
        <w:rPr>
          <w:rFonts w:cs="Times New Roman"/>
          <w:color w:val="000000"/>
          <w:szCs w:val="24"/>
        </w:rPr>
        <w:t xml:space="preserve"> </w:t>
      </w:r>
      <w:r>
        <w:rPr>
          <w:rFonts w:cs="Times New Roman"/>
          <w:color w:val="000000"/>
          <w:szCs w:val="24"/>
        </w:rPr>
        <w:t>se</w:t>
      </w:r>
      <w:proofErr w:type="gramEnd"/>
      <w:r>
        <w:rPr>
          <w:rFonts w:cs="Times New Roman"/>
          <w:color w:val="000000"/>
          <w:szCs w:val="24"/>
        </w:rPr>
        <w:t xml:space="preserve"> provádějí jak v době diagnosy, </w:t>
      </w:r>
      <w:r w:rsidR="003D1224" w:rsidRPr="00AB248B">
        <w:rPr>
          <w:rFonts w:cs="Times New Roman"/>
          <w:color w:val="000000"/>
          <w:szCs w:val="24"/>
        </w:rPr>
        <w:t>tak v průběhu onemocnění</w:t>
      </w:r>
      <w:r w:rsidR="0044148B">
        <w:rPr>
          <w:rFonts w:cs="Times New Roman"/>
          <w:color w:val="000000"/>
          <w:szCs w:val="24"/>
        </w:rPr>
        <w:t xml:space="preserve">. Důležité je si </w:t>
      </w:r>
      <w:proofErr w:type="gramStart"/>
      <w:r w:rsidR="0044148B">
        <w:rPr>
          <w:rFonts w:cs="Times New Roman"/>
          <w:color w:val="000000"/>
          <w:szCs w:val="24"/>
        </w:rPr>
        <w:t xml:space="preserve">uvědomit, </w:t>
      </w:r>
      <w:r w:rsidR="003D1224" w:rsidRPr="00AB248B">
        <w:rPr>
          <w:rFonts w:cs="Times New Roman"/>
          <w:color w:val="000000"/>
          <w:szCs w:val="24"/>
        </w:rPr>
        <w:t xml:space="preserve"> </w:t>
      </w:r>
      <w:r w:rsidR="0044148B">
        <w:rPr>
          <w:rFonts w:cs="Times New Roman"/>
          <w:color w:val="000000"/>
          <w:szCs w:val="24"/>
        </w:rPr>
        <w:t>že</w:t>
      </w:r>
      <w:proofErr w:type="gramEnd"/>
      <w:r w:rsidR="0044148B">
        <w:rPr>
          <w:rFonts w:cs="Times New Roman"/>
          <w:color w:val="000000"/>
          <w:szCs w:val="24"/>
        </w:rPr>
        <w:t xml:space="preserve"> zatím </w:t>
      </w:r>
      <w:r w:rsidR="003D1224" w:rsidRPr="00AB248B">
        <w:rPr>
          <w:rFonts w:cs="Times New Roman"/>
          <w:color w:val="000000"/>
          <w:szCs w:val="24"/>
        </w:rPr>
        <w:t xml:space="preserve"> neexistuje metoda, která by odpověděla na všechny genetické otázky</w:t>
      </w:r>
      <w:r w:rsidR="0044148B">
        <w:rPr>
          <w:rFonts w:cs="Times New Roman"/>
          <w:color w:val="000000"/>
          <w:szCs w:val="24"/>
        </w:rPr>
        <w:t xml:space="preserve"> a</w:t>
      </w:r>
      <w:r>
        <w:rPr>
          <w:rFonts w:cs="Times New Roman"/>
          <w:color w:val="000000"/>
          <w:szCs w:val="24"/>
        </w:rPr>
        <w:t xml:space="preserve"> odhalila všechny genetické změny a</w:t>
      </w:r>
      <w:r w:rsidR="0044148B">
        <w:rPr>
          <w:rFonts w:cs="Times New Roman"/>
          <w:color w:val="000000"/>
          <w:szCs w:val="24"/>
        </w:rPr>
        <w:t xml:space="preserve"> proto je </w:t>
      </w:r>
      <w:r w:rsidR="003D1224" w:rsidRPr="00AB248B">
        <w:rPr>
          <w:rFonts w:cs="Times New Roman"/>
          <w:color w:val="000000"/>
          <w:szCs w:val="24"/>
        </w:rPr>
        <w:t xml:space="preserve">vhodné kombinovat různé metody k získání optimálních výsledků. </w:t>
      </w:r>
    </w:p>
    <w:p w:rsidR="0044148B" w:rsidRPr="00AB248B" w:rsidRDefault="0044148B" w:rsidP="00AB248B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:rsidR="00AB248B" w:rsidRDefault="00E24E2A" w:rsidP="00AB248B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 w:rsidRPr="00AB248B">
        <w:rPr>
          <w:rFonts w:cs="Times New Roman"/>
          <w:color w:val="000000"/>
          <w:szCs w:val="24"/>
        </w:rPr>
        <w:t xml:space="preserve">Příkladem </w:t>
      </w:r>
      <w:r w:rsidR="002133EF" w:rsidRPr="00AB248B">
        <w:rPr>
          <w:rFonts w:cs="Times New Roman"/>
          <w:color w:val="000000"/>
          <w:szCs w:val="24"/>
        </w:rPr>
        <w:t xml:space="preserve">je </w:t>
      </w:r>
      <w:r w:rsidRPr="00AB248B">
        <w:rPr>
          <w:rFonts w:cs="Times New Roman"/>
          <w:color w:val="000000"/>
          <w:szCs w:val="24"/>
        </w:rPr>
        <w:t>vyšetřování nemocných s chronickou myeloidní leukémií (CML) a určení první specifické chromosomové změny u nádorů člověka, Filadelfského chromosomu</w:t>
      </w:r>
      <w:r w:rsidR="00931498" w:rsidRPr="00AB248B">
        <w:rPr>
          <w:rFonts w:cs="Times New Roman"/>
          <w:color w:val="000000"/>
          <w:szCs w:val="24"/>
        </w:rPr>
        <w:t xml:space="preserve"> (</w:t>
      </w:r>
      <w:proofErr w:type="spellStart"/>
      <w:r w:rsidR="00931498" w:rsidRPr="00AB248B">
        <w:rPr>
          <w:rFonts w:cs="Times New Roman"/>
          <w:color w:val="000000"/>
          <w:szCs w:val="24"/>
        </w:rPr>
        <w:t>Ph</w:t>
      </w:r>
      <w:proofErr w:type="spellEnd"/>
      <w:r w:rsidR="00931498" w:rsidRPr="00AB248B">
        <w:rPr>
          <w:rFonts w:cs="Times New Roman"/>
          <w:color w:val="000000"/>
          <w:szCs w:val="24"/>
        </w:rPr>
        <w:t xml:space="preserve">). Ten je </w:t>
      </w:r>
      <w:proofErr w:type="gramStart"/>
      <w:r w:rsidR="00931498" w:rsidRPr="00AB248B">
        <w:rPr>
          <w:rFonts w:cs="Times New Roman"/>
          <w:color w:val="000000"/>
          <w:szCs w:val="24"/>
        </w:rPr>
        <w:t xml:space="preserve">výsledkem </w:t>
      </w:r>
      <w:r w:rsidRPr="00AB248B">
        <w:rPr>
          <w:rFonts w:cs="Times New Roman"/>
          <w:color w:val="000000"/>
          <w:szCs w:val="24"/>
        </w:rPr>
        <w:t xml:space="preserve"> reciprok</w:t>
      </w:r>
      <w:r w:rsidR="00931498" w:rsidRPr="00AB248B">
        <w:rPr>
          <w:rFonts w:cs="Times New Roman"/>
          <w:color w:val="000000"/>
          <w:szCs w:val="24"/>
        </w:rPr>
        <w:t>é</w:t>
      </w:r>
      <w:proofErr w:type="gramEnd"/>
      <w:r w:rsidRPr="00AB248B">
        <w:rPr>
          <w:rFonts w:cs="Times New Roman"/>
          <w:color w:val="000000"/>
          <w:szCs w:val="24"/>
        </w:rPr>
        <w:t xml:space="preserve"> translokac</w:t>
      </w:r>
      <w:r w:rsidR="00931498" w:rsidRPr="00AB248B">
        <w:rPr>
          <w:rFonts w:cs="Times New Roman"/>
          <w:color w:val="000000"/>
          <w:szCs w:val="24"/>
        </w:rPr>
        <w:t xml:space="preserve">e mezi chromosomy 9 a 22, </w:t>
      </w:r>
      <w:r w:rsidRPr="00AB248B">
        <w:rPr>
          <w:rFonts w:cs="Times New Roman"/>
          <w:color w:val="000000"/>
          <w:szCs w:val="24"/>
        </w:rPr>
        <w:t xml:space="preserve"> t(9;22)(q34;q11).  Tato změna je přítomná u 90-</w:t>
      </w:r>
      <w:proofErr w:type="gramStart"/>
      <w:r w:rsidRPr="00AB248B">
        <w:rPr>
          <w:rFonts w:cs="Times New Roman"/>
          <w:color w:val="000000"/>
          <w:szCs w:val="24"/>
        </w:rPr>
        <w:t>95%</w:t>
      </w:r>
      <w:proofErr w:type="gramEnd"/>
      <w:r w:rsidRPr="00AB248B">
        <w:rPr>
          <w:rFonts w:cs="Times New Roman"/>
          <w:color w:val="000000"/>
          <w:szCs w:val="24"/>
        </w:rPr>
        <w:t xml:space="preserve"> nemocných v době diagnosy CML. Ostatní nemocní (5-</w:t>
      </w:r>
      <w:proofErr w:type="gramStart"/>
      <w:r w:rsidRPr="00AB248B">
        <w:rPr>
          <w:rFonts w:cs="Times New Roman"/>
          <w:color w:val="000000"/>
          <w:szCs w:val="24"/>
        </w:rPr>
        <w:t>10%</w:t>
      </w:r>
      <w:proofErr w:type="gramEnd"/>
      <w:r w:rsidRPr="00AB248B">
        <w:rPr>
          <w:rFonts w:cs="Times New Roman"/>
          <w:color w:val="000000"/>
          <w:szCs w:val="24"/>
        </w:rPr>
        <w:t xml:space="preserve">) mají variantní translokaci nebo kryptickou přestavbu, která vede k fúzi genů BCR/ABL1. Potvrzením diagnosy CML je tedy přítomnost </w:t>
      </w:r>
      <w:r w:rsidR="004512D8" w:rsidRPr="00AB248B">
        <w:rPr>
          <w:rFonts w:cs="Times New Roman"/>
          <w:color w:val="000000"/>
          <w:szCs w:val="24"/>
        </w:rPr>
        <w:t>fúzního genu</w:t>
      </w:r>
      <w:r w:rsidR="00022F89" w:rsidRPr="00AB248B">
        <w:rPr>
          <w:rFonts w:cs="Times New Roman"/>
          <w:color w:val="000000"/>
          <w:szCs w:val="24"/>
        </w:rPr>
        <w:t xml:space="preserve"> určeného</w:t>
      </w:r>
      <w:r w:rsidR="004512D8" w:rsidRPr="00AB248B">
        <w:rPr>
          <w:rFonts w:cs="Times New Roman"/>
          <w:color w:val="000000"/>
          <w:szCs w:val="24"/>
        </w:rPr>
        <w:t xml:space="preserve"> metodou FISH nebo RT-PCR. Cytogenetické vyšetření je přesto podle </w:t>
      </w:r>
      <w:r w:rsidR="00022F89" w:rsidRPr="00AB248B">
        <w:rPr>
          <w:rFonts w:cs="Times New Roman"/>
          <w:color w:val="000000"/>
          <w:szCs w:val="24"/>
        </w:rPr>
        <w:t xml:space="preserve">evropského </w:t>
      </w:r>
      <w:r w:rsidR="004512D8" w:rsidRPr="00AB248B">
        <w:rPr>
          <w:rFonts w:cs="Times New Roman"/>
          <w:color w:val="000000"/>
          <w:szCs w:val="24"/>
        </w:rPr>
        <w:t>doporučení povinné, protože již v době diagnosy 10-</w:t>
      </w:r>
      <w:proofErr w:type="gramStart"/>
      <w:r w:rsidR="004512D8" w:rsidRPr="00AB248B">
        <w:rPr>
          <w:rFonts w:cs="Times New Roman"/>
          <w:color w:val="000000"/>
          <w:szCs w:val="24"/>
        </w:rPr>
        <w:t>15%</w:t>
      </w:r>
      <w:proofErr w:type="gramEnd"/>
      <w:r w:rsidR="004512D8" w:rsidRPr="00AB248B">
        <w:rPr>
          <w:rFonts w:cs="Times New Roman"/>
          <w:color w:val="000000"/>
          <w:szCs w:val="24"/>
        </w:rPr>
        <w:t xml:space="preserve"> nemocných má přídatné chromosomové změny v </w:t>
      </w:r>
      <w:proofErr w:type="spellStart"/>
      <w:r w:rsidR="004512D8" w:rsidRPr="00AB248B">
        <w:rPr>
          <w:rFonts w:cs="Times New Roman"/>
          <w:color w:val="000000"/>
          <w:szCs w:val="24"/>
        </w:rPr>
        <w:t>Ph</w:t>
      </w:r>
      <w:proofErr w:type="spellEnd"/>
      <w:r w:rsidR="004512D8" w:rsidRPr="00AB248B">
        <w:rPr>
          <w:rFonts w:cs="Times New Roman"/>
          <w:color w:val="000000"/>
          <w:szCs w:val="24"/>
        </w:rPr>
        <w:t xml:space="preserve"> poz</w:t>
      </w:r>
      <w:r w:rsidR="00022F89" w:rsidRPr="00AB248B">
        <w:rPr>
          <w:rFonts w:cs="Times New Roman"/>
          <w:color w:val="000000"/>
          <w:szCs w:val="24"/>
        </w:rPr>
        <w:t>i</w:t>
      </w:r>
      <w:r w:rsidR="004512D8" w:rsidRPr="00AB248B">
        <w:rPr>
          <w:rFonts w:cs="Times New Roman"/>
          <w:color w:val="000000"/>
          <w:szCs w:val="24"/>
        </w:rPr>
        <w:t>t</w:t>
      </w:r>
      <w:r w:rsidR="00022F89" w:rsidRPr="00AB248B">
        <w:rPr>
          <w:rFonts w:cs="Times New Roman"/>
          <w:color w:val="000000"/>
          <w:szCs w:val="24"/>
        </w:rPr>
        <w:t>i</w:t>
      </w:r>
      <w:r w:rsidR="004512D8" w:rsidRPr="00AB248B">
        <w:rPr>
          <w:rFonts w:cs="Times New Roman"/>
          <w:color w:val="000000"/>
          <w:szCs w:val="24"/>
        </w:rPr>
        <w:t xml:space="preserve">vním klonu a jejich určení je významné, protože může odhalit nemocné v pokročilé fázi onemocnění jako je </w:t>
      </w:r>
      <w:r w:rsidR="004512D8" w:rsidRPr="00AB248B">
        <w:rPr>
          <w:rFonts w:cs="Times New Roman"/>
          <w:color w:val="000000"/>
          <w:szCs w:val="24"/>
        </w:rPr>
        <w:lastRenderedPageBreak/>
        <w:t xml:space="preserve">akcelerovaná fáze CML, tedy může být známkou nepříznivé </w:t>
      </w:r>
      <w:proofErr w:type="spellStart"/>
      <w:r w:rsidR="004512D8" w:rsidRPr="00AB248B">
        <w:rPr>
          <w:rFonts w:cs="Times New Roman"/>
          <w:color w:val="000000"/>
          <w:szCs w:val="24"/>
        </w:rPr>
        <w:t>progn</w:t>
      </w:r>
      <w:r w:rsidR="00022F89" w:rsidRPr="00AB248B">
        <w:rPr>
          <w:rFonts w:cs="Times New Roman"/>
          <w:color w:val="000000"/>
          <w:szCs w:val="24"/>
        </w:rPr>
        <w:t>o</w:t>
      </w:r>
      <w:r w:rsidR="004512D8" w:rsidRPr="00AB248B">
        <w:rPr>
          <w:rFonts w:cs="Times New Roman"/>
          <w:color w:val="000000"/>
          <w:szCs w:val="24"/>
        </w:rPr>
        <w:t>sy</w:t>
      </w:r>
      <w:proofErr w:type="spellEnd"/>
      <w:r w:rsidR="004512D8" w:rsidRPr="00AB248B">
        <w:rPr>
          <w:rFonts w:cs="Times New Roman"/>
          <w:color w:val="000000"/>
          <w:szCs w:val="24"/>
        </w:rPr>
        <w:t>. V současném doporučení ELN (</w:t>
      </w:r>
      <w:r w:rsidR="00AB248B" w:rsidRPr="00AB248B">
        <w:rPr>
          <w:rFonts w:cs="Times New Roman"/>
          <w:color w:val="000000"/>
          <w:szCs w:val="24"/>
        </w:rPr>
        <w:t xml:space="preserve">Evropská leukemická </w:t>
      </w:r>
      <w:proofErr w:type="spellStart"/>
      <w:r w:rsidR="00AB248B" w:rsidRPr="00AB248B">
        <w:rPr>
          <w:rFonts w:cs="Times New Roman"/>
          <w:color w:val="000000"/>
          <w:szCs w:val="24"/>
        </w:rPr>
        <w:t>siť</w:t>
      </w:r>
      <w:proofErr w:type="spellEnd"/>
      <w:r w:rsidR="00AB248B" w:rsidRPr="00AB248B">
        <w:rPr>
          <w:rFonts w:cs="Times New Roman"/>
          <w:color w:val="000000"/>
          <w:szCs w:val="24"/>
        </w:rPr>
        <w:t>)</w:t>
      </w:r>
      <w:r w:rsidR="004512D8" w:rsidRPr="00AB248B">
        <w:rPr>
          <w:rFonts w:cs="Times New Roman"/>
          <w:color w:val="000000"/>
          <w:szCs w:val="24"/>
        </w:rPr>
        <w:t xml:space="preserve"> je cytogenetické vyšetření v době diagnosy povinné</w:t>
      </w:r>
      <w:r w:rsidR="00022F89" w:rsidRPr="00AB248B">
        <w:rPr>
          <w:rFonts w:cs="Times New Roman"/>
          <w:color w:val="000000"/>
          <w:szCs w:val="24"/>
        </w:rPr>
        <w:t xml:space="preserve"> </w:t>
      </w:r>
      <w:r w:rsidR="004512D8" w:rsidRPr="00AB248B">
        <w:rPr>
          <w:rFonts w:cs="Times New Roman"/>
          <w:color w:val="000000"/>
          <w:szCs w:val="24"/>
        </w:rPr>
        <w:t>a doporučený počet analyzovaných metafází je 20 právě z důvodů možného odhalení přídatných chromosomových změn.</w:t>
      </w:r>
      <w:r w:rsidR="00022F89" w:rsidRPr="00AB248B">
        <w:rPr>
          <w:rFonts w:cs="Times New Roman"/>
          <w:color w:val="000000"/>
          <w:szCs w:val="24"/>
        </w:rPr>
        <w:t xml:space="preserve"> Metoda FISH je povinná v případech neúspěšného cytogenetického vyšetření nebo nedostatečného počtu metafází nebo </w:t>
      </w:r>
      <w:r w:rsidR="00857464" w:rsidRPr="00AB248B">
        <w:rPr>
          <w:rFonts w:cs="Times New Roman"/>
          <w:color w:val="000000"/>
          <w:szCs w:val="24"/>
        </w:rPr>
        <w:t xml:space="preserve">v případě </w:t>
      </w:r>
      <w:r w:rsidR="00022F89" w:rsidRPr="00AB248B">
        <w:rPr>
          <w:rFonts w:cs="Times New Roman"/>
          <w:color w:val="000000"/>
          <w:szCs w:val="24"/>
        </w:rPr>
        <w:t>nález</w:t>
      </w:r>
      <w:r w:rsidR="00857464" w:rsidRPr="00AB248B">
        <w:rPr>
          <w:rFonts w:cs="Times New Roman"/>
          <w:color w:val="000000"/>
          <w:szCs w:val="24"/>
        </w:rPr>
        <w:t>u</w:t>
      </w:r>
      <w:r w:rsidR="004512D8" w:rsidRPr="00AB248B">
        <w:rPr>
          <w:rFonts w:cs="Times New Roman"/>
          <w:color w:val="000000"/>
          <w:szCs w:val="24"/>
        </w:rPr>
        <w:t xml:space="preserve"> </w:t>
      </w:r>
      <w:r w:rsidR="00022F89" w:rsidRPr="00AB248B">
        <w:rPr>
          <w:rFonts w:cs="Times New Roman"/>
          <w:color w:val="000000"/>
          <w:szCs w:val="24"/>
        </w:rPr>
        <w:t xml:space="preserve">normálního karyotypu s podezřením na kryptickou přestavbu. Cytogenetika je rovněž povinná při monitorování odpovědi na léčbu v období </w:t>
      </w:r>
      <w:r w:rsidR="00857464" w:rsidRPr="00AB248B">
        <w:rPr>
          <w:rFonts w:cs="Times New Roman"/>
          <w:color w:val="000000"/>
          <w:szCs w:val="24"/>
        </w:rPr>
        <w:t xml:space="preserve">po </w:t>
      </w:r>
      <w:r w:rsidR="00022F89" w:rsidRPr="00AB248B">
        <w:rPr>
          <w:rFonts w:cs="Times New Roman"/>
          <w:color w:val="000000"/>
          <w:szCs w:val="24"/>
        </w:rPr>
        <w:t>3, 6 a 12 měsíc</w:t>
      </w:r>
      <w:r w:rsidR="00857464" w:rsidRPr="00AB248B">
        <w:rPr>
          <w:rFonts w:cs="Times New Roman"/>
          <w:color w:val="000000"/>
          <w:szCs w:val="24"/>
        </w:rPr>
        <w:t xml:space="preserve">ích </w:t>
      </w:r>
      <w:proofErr w:type="gramStart"/>
      <w:r w:rsidR="00022F89" w:rsidRPr="00AB248B">
        <w:rPr>
          <w:rFonts w:cs="Times New Roman"/>
          <w:color w:val="000000"/>
          <w:szCs w:val="24"/>
        </w:rPr>
        <w:t>léčby</w:t>
      </w:r>
      <w:proofErr w:type="gramEnd"/>
      <w:r w:rsidR="00022F89" w:rsidRPr="00AB248B">
        <w:rPr>
          <w:rFonts w:cs="Times New Roman"/>
          <w:color w:val="000000"/>
          <w:szCs w:val="24"/>
        </w:rPr>
        <w:t xml:space="preserve"> a to až do dosažení kompletní cytogenetické odpovědi, tedy nenalezení žádné metafáze s </w:t>
      </w:r>
      <w:proofErr w:type="spellStart"/>
      <w:r w:rsidR="00022F89" w:rsidRPr="00AB248B">
        <w:rPr>
          <w:rFonts w:cs="Times New Roman"/>
          <w:color w:val="000000"/>
          <w:szCs w:val="24"/>
        </w:rPr>
        <w:t>Ph</w:t>
      </w:r>
      <w:proofErr w:type="spellEnd"/>
      <w:r w:rsidR="00022F89" w:rsidRPr="00AB248B">
        <w:rPr>
          <w:rFonts w:cs="Times New Roman"/>
          <w:color w:val="000000"/>
          <w:szCs w:val="24"/>
        </w:rPr>
        <w:t xml:space="preserve"> chromosomem mezi 20 hodnocenými</w:t>
      </w:r>
      <w:r w:rsidR="00857464" w:rsidRPr="00AB248B">
        <w:rPr>
          <w:rFonts w:cs="Times New Roman"/>
          <w:color w:val="000000"/>
          <w:szCs w:val="24"/>
        </w:rPr>
        <w:t xml:space="preserve"> metafázemi</w:t>
      </w:r>
      <w:r w:rsidR="00022F89" w:rsidRPr="00AB248B">
        <w:rPr>
          <w:rFonts w:cs="Times New Roman"/>
          <w:color w:val="000000"/>
          <w:szCs w:val="24"/>
        </w:rPr>
        <w:t xml:space="preserve">. Další monitorování odpovědi je stanovováno molekulárně geneticky hladinou BCR/ABL1 </w:t>
      </w:r>
      <w:proofErr w:type="spellStart"/>
      <w:r w:rsidR="00022F89" w:rsidRPr="00AB248B">
        <w:rPr>
          <w:rFonts w:cs="Times New Roman"/>
          <w:color w:val="000000"/>
          <w:szCs w:val="24"/>
        </w:rPr>
        <w:t>transkriptu</w:t>
      </w:r>
      <w:proofErr w:type="spellEnd"/>
      <w:r w:rsidR="00AB248B">
        <w:rPr>
          <w:rFonts w:cs="Times New Roman"/>
          <w:color w:val="000000"/>
          <w:szCs w:val="24"/>
        </w:rPr>
        <w:t xml:space="preserve">. </w:t>
      </w:r>
    </w:p>
    <w:p w:rsidR="0073012D" w:rsidRPr="00AB248B" w:rsidRDefault="008F6AED" w:rsidP="00AB248B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 w:rsidRPr="00AB248B">
        <w:rPr>
          <w:rFonts w:cs="Times New Roman"/>
          <w:color w:val="000000"/>
          <w:szCs w:val="24"/>
        </w:rPr>
        <w:t>U akutní</w:t>
      </w:r>
      <w:r w:rsidR="00C261BB" w:rsidRPr="00AB248B">
        <w:rPr>
          <w:rFonts w:cs="Times New Roman"/>
          <w:color w:val="000000"/>
          <w:szCs w:val="24"/>
        </w:rPr>
        <w:t xml:space="preserve"> myeloidní leukémie (AML) jsou diagnostické podskupiny AML definovány na základě nálezu specifických chromosomových změn</w:t>
      </w:r>
      <w:r w:rsidR="0044148B">
        <w:rPr>
          <w:rFonts w:cs="Times New Roman"/>
          <w:color w:val="000000"/>
          <w:szCs w:val="24"/>
        </w:rPr>
        <w:t xml:space="preserve"> nebo genových mutací</w:t>
      </w:r>
      <w:r w:rsidR="00AB248B">
        <w:rPr>
          <w:rFonts w:cs="Times New Roman"/>
          <w:color w:val="000000"/>
          <w:szCs w:val="24"/>
        </w:rPr>
        <w:t xml:space="preserve">. </w:t>
      </w:r>
      <w:r w:rsidR="00C261BB" w:rsidRPr="00AB248B">
        <w:rPr>
          <w:rFonts w:cs="Times New Roman"/>
          <w:color w:val="000000"/>
          <w:szCs w:val="24"/>
        </w:rPr>
        <w:t>Cytogenetické vyšetření je v diagnose povinné a má prognosti</w:t>
      </w:r>
      <w:r w:rsidR="004D474F" w:rsidRPr="00AB248B">
        <w:rPr>
          <w:rFonts w:cs="Times New Roman"/>
          <w:color w:val="000000"/>
          <w:szCs w:val="24"/>
        </w:rPr>
        <w:t>c</w:t>
      </w:r>
      <w:r w:rsidR="00C261BB" w:rsidRPr="00AB248B">
        <w:rPr>
          <w:rFonts w:cs="Times New Roman"/>
          <w:color w:val="000000"/>
          <w:szCs w:val="24"/>
        </w:rPr>
        <w:t>ký význam</w:t>
      </w:r>
      <w:r w:rsidR="00AB248B">
        <w:rPr>
          <w:rFonts w:cs="Times New Roman"/>
          <w:color w:val="000000"/>
          <w:szCs w:val="24"/>
        </w:rPr>
        <w:t>.</w:t>
      </w:r>
      <w:r w:rsidR="00C261BB" w:rsidRPr="00AB248B">
        <w:rPr>
          <w:rFonts w:cs="Times New Roman"/>
          <w:color w:val="000000"/>
          <w:szCs w:val="24"/>
        </w:rPr>
        <w:t xml:space="preserve"> Stejně tak je povinné molekulárně genetické vyšetření rekurentních mutací</w:t>
      </w:r>
      <w:r w:rsidR="00AB248B">
        <w:rPr>
          <w:rFonts w:cs="Times New Roman"/>
          <w:color w:val="000000"/>
          <w:szCs w:val="24"/>
        </w:rPr>
        <w:t xml:space="preserve">. </w:t>
      </w:r>
      <w:r w:rsidR="0073012D" w:rsidRPr="00AB248B">
        <w:rPr>
          <w:rFonts w:cs="Times New Roman"/>
          <w:color w:val="000000"/>
          <w:szCs w:val="24"/>
        </w:rPr>
        <w:t xml:space="preserve"> Metodou FISH je doporučeno vyšetření přestavby genu MECOM a KMT2A.</w:t>
      </w:r>
      <w:r w:rsidR="0044148B">
        <w:rPr>
          <w:rFonts w:cs="Times New Roman"/>
          <w:color w:val="000000"/>
          <w:szCs w:val="24"/>
        </w:rPr>
        <w:t xml:space="preserve"> Ostatní fúzní geny je možné stanovit metodou FISH, ale jsou stanovovány z důvodů využití pro sledování minimální residuální nemoci (MRN) metodami molekulární genetiky.</w:t>
      </w:r>
    </w:p>
    <w:p w:rsidR="008F6AED" w:rsidRPr="00AB248B" w:rsidRDefault="0073012D" w:rsidP="00AB248B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 w:rsidRPr="00AB248B">
        <w:rPr>
          <w:rFonts w:cs="Times New Roman"/>
          <w:color w:val="000000"/>
          <w:szCs w:val="24"/>
        </w:rPr>
        <w:t xml:space="preserve">Akutní </w:t>
      </w:r>
      <w:proofErr w:type="spellStart"/>
      <w:r w:rsidRPr="00AB248B">
        <w:rPr>
          <w:rFonts w:cs="Times New Roman"/>
          <w:color w:val="000000"/>
          <w:szCs w:val="24"/>
        </w:rPr>
        <w:t>lymfoblastická</w:t>
      </w:r>
      <w:proofErr w:type="spellEnd"/>
      <w:r w:rsidRPr="00AB248B">
        <w:rPr>
          <w:rFonts w:cs="Times New Roman"/>
          <w:color w:val="000000"/>
          <w:szCs w:val="24"/>
        </w:rPr>
        <w:t xml:space="preserve"> leukémie (</w:t>
      </w:r>
      <w:proofErr w:type="gramStart"/>
      <w:r w:rsidRPr="00AB248B">
        <w:rPr>
          <w:rFonts w:cs="Times New Roman"/>
          <w:color w:val="000000"/>
          <w:szCs w:val="24"/>
        </w:rPr>
        <w:t xml:space="preserve">ALL) </w:t>
      </w:r>
      <w:r w:rsidR="00C261BB" w:rsidRPr="00AB248B">
        <w:rPr>
          <w:rFonts w:cs="Times New Roman"/>
          <w:color w:val="000000"/>
          <w:szCs w:val="24"/>
        </w:rPr>
        <w:t xml:space="preserve"> </w:t>
      </w:r>
      <w:r w:rsidR="00E35AD7" w:rsidRPr="00AB248B">
        <w:rPr>
          <w:rFonts w:cs="Times New Roman"/>
          <w:color w:val="000000"/>
          <w:szCs w:val="24"/>
        </w:rPr>
        <w:t>je</w:t>
      </w:r>
      <w:proofErr w:type="gramEnd"/>
      <w:r w:rsidR="00E35AD7" w:rsidRPr="00AB248B">
        <w:rPr>
          <w:rFonts w:cs="Times New Roman"/>
          <w:color w:val="000000"/>
          <w:szCs w:val="24"/>
        </w:rPr>
        <w:t xml:space="preserve"> také charakterizována rekurentními aberacemi prognostického významu. K nejvýznamnějším patří nález </w:t>
      </w:r>
      <w:proofErr w:type="spellStart"/>
      <w:r w:rsidR="00E35AD7" w:rsidRPr="00AB248B">
        <w:rPr>
          <w:rFonts w:cs="Times New Roman"/>
          <w:color w:val="000000"/>
          <w:szCs w:val="24"/>
        </w:rPr>
        <w:t>Ph</w:t>
      </w:r>
      <w:proofErr w:type="spellEnd"/>
      <w:r w:rsidR="00E35AD7" w:rsidRPr="00AB248B">
        <w:rPr>
          <w:rFonts w:cs="Times New Roman"/>
          <w:color w:val="000000"/>
          <w:szCs w:val="24"/>
        </w:rPr>
        <w:t xml:space="preserve"> chromosomu, translokace t(9;</w:t>
      </w:r>
      <w:proofErr w:type="gramStart"/>
      <w:r w:rsidR="00E35AD7" w:rsidRPr="00AB248B">
        <w:rPr>
          <w:rFonts w:cs="Times New Roman"/>
          <w:color w:val="000000"/>
          <w:szCs w:val="24"/>
        </w:rPr>
        <w:t>22)(</w:t>
      </w:r>
      <w:proofErr w:type="gramEnd"/>
      <w:r w:rsidR="00E35AD7" w:rsidRPr="00AB248B">
        <w:rPr>
          <w:rFonts w:cs="Times New Roman"/>
          <w:color w:val="000000"/>
          <w:szCs w:val="24"/>
        </w:rPr>
        <w:t xml:space="preserve">q34;q11) s fúzí genů BCR/ABL1, přestavby genu KMT2A a u dětských ALL nález </w:t>
      </w:r>
      <w:proofErr w:type="spellStart"/>
      <w:r w:rsidR="00E35AD7" w:rsidRPr="00AB248B">
        <w:rPr>
          <w:rFonts w:cs="Times New Roman"/>
          <w:color w:val="000000"/>
          <w:szCs w:val="24"/>
        </w:rPr>
        <w:t>hyperdiploidie</w:t>
      </w:r>
      <w:proofErr w:type="spellEnd"/>
      <w:r w:rsidR="00E35AD7" w:rsidRPr="00AB248B">
        <w:rPr>
          <w:rFonts w:cs="Times New Roman"/>
          <w:color w:val="000000"/>
          <w:szCs w:val="24"/>
        </w:rPr>
        <w:t xml:space="preserve"> a translokace t(12;21)(p13;q22)</w:t>
      </w:r>
      <w:r w:rsidR="00373522">
        <w:rPr>
          <w:rFonts w:cs="Times New Roman"/>
          <w:color w:val="000000"/>
          <w:szCs w:val="24"/>
        </w:rPr>
        <w:t xml:space="preserve">. </w:t>
      </w:r>
      <w:r w:rsidR="00CD40CE" w:rsidRPr="00AB248B">
        <w:rPr>
          <w:rFonts w:cs="Times New Roman"/>
          <w:color w:val="000000"/>
          <w:szCs w:val="24"/>
        </w:rPr>
        <w:t>Doporučení pro analýzy fúzních genů u ALL j</w:t>
      </w:r>
      <w:r w:rsidR="00225331" w:rsidRPr="00AB248B">
        <w:rPr>
          <w:rFonts w:cs="Times New Roman"/>
          <w:color w:val="000000"/>
          <w:szCs w:val="24"/>
        </w:rPr>
        <w:t>sou</w:t>
      </w:r>
      <w:r w:rsidR="00CD40CE" w:rsidRPr="00AB248B">
        <w:rPr>
          <w:rFonts w:cs="Times New Roman"/>
          <w:color w:val="000000"/>
          <w:szCs w:val="24"/>
        </w:rPr>
        <w:t xml:space="preserve"> také součástí evropských doporučení.</w:t>
      </w:r>
    </w:p>
    <w:p w:rsidR="00CD40CE" w:rsidRPr="00AB248B" w:rsidRDefault="00CD40CE" w:rsidP="00AB248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AB248B">
        <w:rPr>
          <w:rFonts w:cs="Times New Roman"/>
          <w:color w:val="000000"/>
          <w:szCs w:val="24"/>
        </w:rPr>
        <w:t xml:space="preserve">Nenáhodné chromosomové změny především prognostického významu můžeme pozorovat i u různých typů myeloproliferativních onemocnění </w:t>
      </w:r>
      <w:r w:rsidRPr="00AB248B">
        <w:rPr>
          <w:rFonts w:cs="Times New Roman"/>
          <w:szCs w:val="24"/>
        </w:rPr>
        <w:t xml:space="preserve">a </w:t>
      </w:r>
      <w:proofErr w:type="spellStart"/>
      <w:r w:rsidRPr="00AB248B">
        <w:rPr>
          <w:rFonts w:cs="Times New Roman"/>
          <w:szCs w:val="24"/>
        </w:rPr>
        <w:t>myelodysplastického</w:t>
      </w:r>
      <w:proofErr w:type="spellEnd"/>
      <w:r w:rsidRPr="00AB248B">
        <w:rPr>
          <w:rFonts w:cs="Times New Roman"/>
          <w:szCs w:val="24"/>
        </w:rPr>
        <w:t xml:space="preserve"> syndromu </w:t>
      </w:r>
      <w:r w:rsidR="00857464" w:rsidRPr="00AB248B">
        <w:rPr>
          <w:rFonts w:cs="Times New Roman"/>
          <w:szCs w:val="24"/>
        </w:rPr>
        <w:t>a doporučení jejich vyšetření je uvedeno v tabulce č.2</w:t>
      </w:r>
      <w:r w:rsidRPr="00AB248B">
        <w:rPr>
          <w:rFonts w:cs="Times New Roman"/>
          <w:szCs w:val="24"/>
        </w:rPr>
        <w:t xml:space="preserve">. </w:t>
      </w:r>
    </w:p>
    <w:p w:rsidR="0010481B" w:rsidRPr="00AB248B" w:rsidRDefault="009107E0" w:rsidP="00AB248B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 w:rsidRPr="00AB248B">
        <w:rPr>
          <w:rFonts w:cs="Times New Roman"/>
          <w:szCs w:val="24"/>
        </w:rPr>
        <w:t>Chronická lym</w:t>
      </w:r>
      <w:r w:rsidR="00793929" w:rsidRPr="00AB248B">
        <w:rPr>
          <w:rFonts w:cs="Times New Roman"/>
          <w:szCs w:val="24"/>
        </w:rPr>
        <w:t xml:space="preserve">fatická leukémie (CLL) </w:t>
      </w:r>
      <w:r w:rsidR="0010481B" w:rsidRPr="00AB248B">
        <w:rPr>
          <w:rFonts w:cs="Times New Roman"/>
          <w:szCs w:val="24"/>
        </w:rPr>
        <w:t>je nejčastějším onemocněním vyššího věku v západním světě. Rekurentní chromosomové změny mají potvrzený prognostický význam a jsou určován</w:t>
      </w:r>
      <w:r w:rsidR="00697F60">
        <w:rPr>
          <w:rFonts w:cs="Times New Roman"/>
          <w:szCs w:val="24"/>
        </w:rPr>
        <w:t xml:space="preserve">y metodou FISH, jak doporučuje </w:t>
      </w:r>
      <w:r w:rsidR="0010481B" w:rsidRPr="00AB248B">
        <w:rPr>
          <w:rFonts w:cs="Times New Roman"/>
          <w:color w:val="000000"/>
          <w:szCs w:val="24"/>
        </w:rPr>
        <w:t xml:space="preserve">IWCLL </w:t>
      </w:r>
      <w:proofErr w:type="spellStart"/>
      <w:r w:rsidR="0010481B" w:rsidRPr="00AB248B">
        <w:rPr>
          <w:rFonts w:cs="Times New Roman"/>
          <w:color w:val="000000"/>
          <w:szCs w:val="24"/>
        </w:rPr>
        <w:t>g</w:t>
      </w:r>
      <w:r w:rsidR="00D72017" w:rsidRPr="00AB248B">
        <w:rPr>
          <w:rFonts w:cs="Times New Roman"/>
          <w:color w:val="000000"/>
          <w:szCs w:val="24"/>
        </w:rPr>
        <w:t>u</w:t>
      </w:r>
      <w:r w:rsidR="0010481B" w:rsidRPr="00AB248B">
        <w:rPr>
          <w:rFonts w:cs="Times New Roman"/>
          <w:color w:val="000000"/>
          <w:szCs w:val="24"/>
        </w:rPr>
        <w:t>idelines</w:t>
      </w:r>
      <w:proofErr w:type="spellEnd"/>
      <w:r w:rsidR="0010481B" w:rsidRPr="00AB248B">
        <w:rPr>
          <w:rFonts w:cs="Times New Roman"/>
          <w:color w:val="000000"/>
          <w:szCs w:val="24"/>
        </w:rPr>
        <w:t xml:space="preserve"> (</w:t>
      </w:r>
      <w:r w:rsidR="00373522">
        <w:rPr>
          <w:rFonts w:cs="Times New Roman"/>
          <w:color w:val="000000"/>
          <w:szCs w:val="24"/>
        </w:rPr>
        <w:t xml:space="preserve">Mezinárodní </w:t>
      </w:r>
      <w:r w:rsidR="004A0B66">
        <w:rPr>
          <w:rFonts w:cs="Times New Roman"/>
          <w:color w:val="000000"/>
          <w:szCs w:val="24"/>
        </w:rPr>
        <w:t xml:space="preserve">workshop </w:t>
      </w:r>
      <w:r w:rsidR="00373522">
        <w:rPr>
          <w:rFonts w:cs="Times New Roman"/>
          <w:color w:val="000000"/>
          <w:szCs w:val="24"/>
        </w:rPr>
        <w:t>CLL</w:t>
      </w:r>
      <w:r w:rsidR="0010481B" w:rsidRPr="00AB248B">
        <w:rPr>
          <w:rFonts w:cs="Times New Roman"/>
          <w:color w:val="000000"/>
          <w:szCs w:val="24"/>
        </w:rPr>
        <w:t xml:space="preserve">). </w:t>
      </w:r>
      <w:r w:rsidR="00A6131C" w:rsidRPr="00AB248B">
        <w:rPr>
          <w:rFonts w:cs="Times New Roman"/>
          <w:color w:val="000000"/>
          <w:szCs w:val="24"/>
        </w:rPr>
        <w:t>Prognosticky ne</w:t>
      </w:r>
      <w:r w:rsidR="00D72017" w:rsidRPr="00AB248B">
        <w:rPr>
          <w:rFonts w:cs="Times New Roman"/>
          <w:color w:val="000000"/>
          <w:szCs w:val="24"/>
        </w:rPr>
        <w:t xml:space="preserve">příznivou </w:t>
      </w:r>
      <w:r w:rsidR="00A6131C" w:rsidRPr="00AB248B">
        <w:rPr>
          <w:rFonts w:cs="Times New Roman"/>
          <w:color w:val="000000"/>
          <w:szCs w:val="24"/>
        </w:rPr>
        <w:t xml:space="preserve">podskupinou jsou nemocní s nálezem </w:t>
      </w:r>
      <w:r w:rsidR="00D72017" w:rsidRPr="00AB248B">
        <w:rPr>
          <w:rFonts w:cs="Times New Roman"/>
          <w:color w:val="000000"/>
          <w:szCs w:val="24"/>
        </w:rPr>
        <w:t xml:space="preserve">delece chromosomu </w:t>
      </w:r>
      <w:proofErr w:type="gramStart"/>
      <w:r w:rsidR="00D72017" w:rsidRPr="00AB248B">
        <w:rPr>
          <w:rFonts w:cs="Times New Roman"/>
          <w:color w:val="000000"/>
          <w:szCs w:val="24"/>
        </w:rPr>
        <w:t>11q</w:t>
      </w:r>
      <w:proofErr w:type="gramEnd"/>
      <w:r w:rsidR="00D72017" w:rsidRPr="00AB248B">
        <w:rPr>
          <w:rFonts w:cs="Times New Roman"/>
          <w:color w:val="000000"/>
          <w:szCs w:val="24"/>
        </w:rPr>
        <w:t xml:space="preserve">, 17p a </w:t>
      </w:r>
      <w:r w:rsidR="00A6131C" w:rsidRPr="00AB248B">
        <w:rPr>
          <w:rFonts w:cs="Times New Roman"/>
          <w:color w:val="000000"/>
          <w:szCs w:val="24"/>
        </w:rPr>
        <w:t>komplexního karyotypu</w:t>
      </w:r>
      <w:r w:rsidR="00D72017" w:rsidRPr="00AB248B">
        <w:rPr>
          <w:rFonts w:cs="Times New Roman"/>
          <w:color w:val="000000"/>
          <w:szCs w:val="24"/>
        </w:rPr>
        <w:t xml:space="preserve">. Pro určení komplexního karyotypu využíváme </w:t>
      </w:r>
      <w:r w:rsidR="00A6131C" w:rsidRPr="00AB248B">
        <w:rPr>
          <w:rFonts w:cs="Times New Roman"/>
          <w:color w:val="000000"/>
          <w:szCs w:val="24"/>
        </w:rPr>
        <w:t xml:space="preserve">klasické cytogenetické vyšetření doplněné metodou mFISH. </w:t>
      </w:r>
    </w:p>
    <w:p w:rsidR="00CD40CE" w:rsidRDefault="0010481B" w:rsidP="00AB248B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 w:rsidRPr="00AB248B">
        <w:rPr>
          <w:rFonts w:cs="Times New Roman"/>
          <w:color w:val="000000"/>
          <w:szCs w:val="24"/>
        </w:rPr>
        <w:t xml:space="preserve">Stejná doporučení </w:t>
      </w:r>
      <w:r w:rsidR="00D72017" w:rsidRPr="00AB248B">
        <w:rPr>
          <w:rFonts w:cs="Times New Roman"/>
          <w:color w:val="000000"/>
          <w:szCs w:val="24"/>
        </w:rPr>
        <w:t xml:space="preserve">platí i pro </w:t>
      </w:r>
      <w:r w:rsidRPr="00AB248B">
        <w:rPr>
          <w:rFonts w:cs="Times New Roman"/>
          <w:color w:val="000000"/>
          <w:szCs w:val="24"/>
        </w:rPr>
        <w:t>užití metody FISH pro prognostickou stratifikaci nemocných s mnohočetným myelomem</w:t>
      </w:r>
      <w:r w:rsidR="00A4561C">
        <w:rPr>
          <w:rFonts w:cs="Times New Roman"/>
          <w:color w:val="000000"/>
          <w:szCs w:val="24"/>
        </w:rPr>
        <w:t>.</w:t>
      </w:r>
      <w:r w:rsidRPr="00AB248B">
        <w:rPr>
          <w:rFonts w:cs="Times New Roman"/>
          <w:color w:val="000000"/>
          <w:szCs w:val="24"/>
        </w:rPr>
        <w:t xml:space="preserve"> </w:t>
      </w:r>
      <w:r w:rsidR="004A0B66">
        <w:rPr>
          <w:rFonts w:cs="Times New Roman"/>
          <w:color w:val="000000"/>
          <w:szCs w:val="24"/>
        </w:rPr>
        <w:t xml:space="preserve">S nepříznivým prognostickým významem je spojena translokace </w:t>
      </w:r>
    </w:p>
    <w:p w:rsidR="00697F60" w:rsidRDefault="004A0B66" w:rsidP="00AB248B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t(4;14</w:t>
      </w:r>
      <w:proofErr w:type="gramStart"/>
      <w:r>
        <w:rPr>
          <w:rFonts w:cs="Times New Roman"/>
          <w:color w:val="000000"/>
          <w:szCs w:val="24"/>
        </w:rPr>
        <w:t>),t</w:t>
      </w:r>
      <w:proofErr w:type="gramEnd"/>
      <w:r>
        <w:rPr>
          <w:rFonts w:cs="Times New Roman"/>
          <w:color w:val="000000"/>
          <w:szCs w:val="24"/>
        </w:rPr>
        <w:t xml:space="preserve">(14;16) a </w:t>
      </w:r>
      <w:r w:rsidRPr="004A0B66">
        <w:rPr>
          <w:rFonts w:cs="Times New Roman"/>
          <w:color w:val="000000"/>
          <w:szCs w:val="24"/>
        </w:rPr>
        <w:t xml:space="preserve">delece </w:t>
      </w:r>
      <w:r w:rsidRPr="004A0B66">
        <w:rPr>
          <w:rFonts w:cs="Times New Roman"/>
          <w:i/>
          <w:color w:val="000000"/>
          <w:szCs w:val="24"/>
        </w:rPr>
        <w:t>TP53</w:t>
      </w:r>
      <w:r>
        <w:rPr>
          <w:rFonts w:cs="Times New Roman"/>
          <w:color w:val="000000"/>
          <w:szCs w:val="24"/>
        </w:rPr>
        <w:t xml:space="preserve">. </w:t>
      </w:r>
    </w:p>
    <w:p w:rsidR="000A3B21" w:rsidRPr="00AB248B" w:rsidRDefault="0010481B" w:rsidP="00AB248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AB248B">
        <w:rPr>
          <w:rFonts w:cs="Times New Roman"/>
          <w:color w:val="000000"/>
          <w:szCs w:val="24"/>
        </w:rPr>
        <w:t xml:space="preserve">Poslední velkou skupinou hematologických malignit, kde určení chromosomových změn má prognostický význam jsou </w:t>
      </w:r>
      <w:proofErr w:type="spellStart"/>
      <w:r w:rsidRPr="00AB248B">
        <w:rPr>
          <w:rFonts w:cs="Times New Roman"/>
          <w:color w:val="000000"/>
          <w:szCs w:val="24"/>
        </w:rPr>
        <w:t>nehodgkinské</w:t>
      </w:r>
      <w:proofErr w:type="spellEnd"/>
      <w:r w:rsidRPr="00AB248B">
        <w:rPr>
          <w:rFonts w:cs="Times New Roman"/>
          <w:color w:val="000000"/>
          <w:szCs w:val="24"/>
        </w:rPr>
        <w:t xml:space="preserve"> lymfomy (NHL). K nejčastějším rekurentním aberacím patří translokace </w:t>
      </w:r>
      <w:proofErr w:type="gramStart"/>
      <w:r w:rsidRPr="00AB248B">
        <w:rPr>
          <w:rFonts w:cs="Times New Roman"/>
          <w:color w:val="000000"/>
          <w:szCs w:val="24"/>
        </w:rPr>
        <w:t>t(</w:t>
      </w:r>
      <w:proofErr w:type="gramEnd"/>
      <w:r w:rsidRPr="00AB248B">
        <w:rPr>
          <w:rFonts w:cs="Times New Roman"/>
          <w:color w:val="000000"/>
          <w:szCs w:val="24"/>
        </w:rPr>
        <w:t xml:space="preserve">11;14) u </w:t>
      </w:r>
      <w:r w:rsidR="000A3B21" w:rsidRPr="00AB248B">
        <w:rPr>
          <w:rFonts w:cs="Times New Roman"/>
          <w:color w:val="000000"/>
          <w:szCs w:val="24"/>
        </w:rPr>
        <w:t>lymfomu z plášťových buněk</w:t>
      </w:r>
      <w:r w:rsidR="00D72017" w:rsidRPr="00AB248B">
        <w:rPr>
          <w:rFonts w:cs="Times New Roman"/>
          <w:color w:val="000000"/>
          <w:szCs w:val="24"/>
        </w:rPr>
        <w:t xml:space="preserve"> (MCL)</w:t>
      </w:r>
      <w:r w:rsidR="00697F60">
        <w:rPr>
          <w:rFonts w:cs="Times New Roman"/>
          <w:color w:val="000000"/>
          <w:szCs w:val="24"/>
        </w:rPr>
        <w:t>, t(14;1</w:t>
      </w:r>
      <w:r w:rsidR="000A3B21" w:rsidRPr="00AB248B">
        <w:rPr>
          <w:rFonts w:cs="Times New Roman"/>
          <w:color w:val="000000"/>
          <w:szCs w:val="24"/>
        </w:rPr>
        <w:t>8) u folikulárního lymfomu</w:t>
      </w:r>
      <w:r w:rsidR="00D72017" w:rsidRPr="00AB248B">
        <w:rPr>
          <w:rFonts w:cs="Times New Roman"/>
          <w:color w:val="000000"/>
          <w:szCs w:val="24"/>
        </w:rPr>
        <w:t xml:space="preserve"> (FL)</w:t>
      </w:r>
      <w:r w:rsidR="000A3B21" w:rsidRPr="00AB248B">
        <w:rPr>
          <w:rFonts w:cs="Times New Roman"/>
          <w:color w:val="000000"/>
          <w:szCs w:val="24"/>
        </w:rPr>
        <w:t xml:space="preserve">, t(8;14) u </w:t>
      </w:r>
      <w:proofErr w:type="spellStart"/>
      <w:r w:rsidR="000A3B21" w:rsidRPr="00AB248B">
        <w:rPr>
          <w:rFonts w:cs="Times New Roman"/>
          <w:color w:val="000000"/>
          <w:szCs w:val="24"/>
        </w:rPr>
        <w:t>Burkitt</w:t>
      </w:r>
      <w:proofErr w:type="spellEnd"/>
      <w:r w:rsidR="000A3B21" w:rsidRPr="00AB248B">
        <w:rPr>
          <w:rFonts w:cs="Times New Roman"/>
          <w:color w:val="000000"/>
          <w:szCs w:val="24"/>
        </w:rPr>
        <w:t xml:space="preserve"> lymfomu</w:t>
      </w:r>
      <w:r w:rsidR="00D72017" w:rsidRPr="00AB248B">
        <w:rPr>
          <w:rFonts w:cs="Times New Roman"/>
          <w:color w:val="000000"/>
          <w:szCs w:val="24"/>
        </w:rPr>
        <w:t xml:space="preserve"> (BL) </w:t>
      </w:r>
      <w:r w:rsidR="00697F60">
        <w:rPr>
          <w:rFonts w:cs="Times New Roman"/>
          <w:color w:val="000000"/>
          <w:szCs w:val="24"/>
        </w:rPr>
        <w:t xml:space="preserve"> </w:t>
      </w:r>
      <w:r w:rsidR="000A3B21" w:rsidRPr="00AB248B">
        <w:rPr>
          <w:rFonts w:cs="Times New Roman"/>
          <w:color w:val="000000"/>
          <w:szCs w:val="24"/>
        </w:rPr>
        <w:t xml:space="preserve">nebo translokace zahrnující gen ALK u difúzních </w:t>
      </w:r>
      <w:proofErr w:type="spellStart"/>
      <w:r w:rsidR="000A3B21" w:rsidRPr="00AB248B">
        <w:rPr>
          <w:rFonts w:cs="Times New Roman"/>
          <w:color w:val="000000"/>
          <w:szCs w:val="24"/>
        </w:rPr>
        <w:t>velkobuněčných</w:t>
      </w:r>
      <w:proofErr w:type="spellEnd"/>
      <w:r w:rsidR="000A3B21" w:rsidRPr="00AB248B">
        <w:rPr>
          <w:rFonts w:cs="Times New Roman"/>
          <w:color w:val="000000"/>
          <w:szCs w:val="24"/>
        </w:rPr>
        <w:t xml:space="preserve"> lymfomů</w:t>
      </w:r>
      <w:r w:rsidR="00D72017" w:rsidRPr="00AB248B">
        <w:rPr>
          <w:rFonts w:cs="Times New Roman"/>
          <w:color w:val="000000"/>
          <w:szCs w:val="24"/>
        </w:rPr>
        <w:t xml:space="preserve"> (DLBCL)</w:t>
      </w:r>
      <w:r w:rsidR="00A4561C">
        <w:rPr>
          <w:rFonts w:cs="Times New Roman"/>
          <w:color w:val="000000"/>
          <w:szCs w:val="24"/>
        </w:rPr>
        <w:t xml:space="preserve">. </w:t>
      </w:r>
      <w:r w:rsidR="000A3B21" w:rsidRPr="00AB248B">
        <w:rPr>
          <w:rFonts w:cs="Times New Roman"/>
          <w:szCs w:val="24"/>
        </w:rPr>
        <w:t>Všechna tato doporučení shrnuje tabulka č. 2</w:t>
      </w:r>
      <w:r w:rsidR="00D72017" w:rsidRPr="00AB248B">
        <w:rPr>
          <w:rFonts w:cs="Times New Roman"/>
          <w:szCs w:val="24"/>
        </w:rPr>
        <w:t>.</w:t>
      </w:r>
    </w:p>
    <w:p w:rsidR="00D72017" w:rsidRPr="00A4561C" w:rsidRDefault="00D72017" w:rsidP="00A456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 w:rsidRPr="00A4561C">
        <w:rPr>
          <w:rFonts w:cs="Times New Roman"/>
          <w:color w:val="000000"/>
          <w:szCs w:val="24"/>
        </w:rPr>
        <w:t xml:space="preserve">Cytogenetika a její metody zůstávají i v éře </w:t>
      </w:r>
      <w:proofErr w:type="spellStart"/>
      <w:r w:rsidRPr="00A4561C">
        <w:rPr>
          <w:rFonts w:cs="Times New Roman"/>
          <w:color w:val="000000"/>
          <w:szCs w:val="24"/>
        </w:rPr>
        <w:t>celogenomoveho</w:t>
      </w:r>
      <w:proofErr w:type="spellEnd"/>
      <w:r w:rsidRPr="00A4561C">
        <w:rPr>
          <w:rFonts w:cs="Times New Roman"/>
          <w:color w:val="000000"/>
          <w:szCs w:val="24"/>
        </w:rPr>
        <w:t xml:space="preserve"> a </w:t>
      </w:r>
      <w:proofErr w:type="spellStart"/>
      <w:r w:rsidRPr="00A4561C">
        <w:rPr>
          <w:rFonts w:cs="Times New Roman"/>
          <w:color w:val="000000"/>
          <w:szCs w:val="24"/>
        </w:rPr>
        <w:t>exomového</w:t>
      </w:r>
      <w:proofErr w:type="spellEnd"/>
      <w:r w:rsidRPr="00A4561C">
        <w:rPr>
          <w:rFonts w:cs="Times New Roman"/>
          <w:color w:val="000000"/>
          <w:szCs w:val="24"/>
        </w:rPr>
        <w:t xml:space="preserve"> </w:t>
      </w:r>
      <w:proofErr w:type="spellStart"/>
      <w:r w:rsidRPr="00A4561C">
        <w:rPr>
          <w:rFonts w:cs="Times New Roman"/>
          <w:color w:val="000000"/>
          <w:szCs w:val="24"/>
        </w:rPr>
        <w:t>sekvenování</w:t>
      </w:r>
      <w:proofErr w:type="spellEnd"/>
      <w:r w:rsidRPr="00A4561C">
        <w:rPr>
          <w:rFonts w:cs="Times New Roman"/>
          <w:color w:val="000000"/>
          <w:szCs w:val="24"/>
        </w:rPr>
        <w:t xml:space="preserve"> stále nedílnou součástí diagnostických a prognostických metod. </w:t>
      </w:r>
    </w:p>
    <w:p w:rsidR="00466808" w:rsidRPr="00CD40CE" w:rsidRDefault="00466808" w:rsidP="00CD40CE">
      <w:pPr>
        <w:rPr>
          <w:rFonts w:asciiTheme="minorHAnsi" w:hAnsiTheme="minorHAnsi" w:cstheme="minorHAnsi"/>
          <w:sz w:val="20"/>
          <w:szCs w:val="20"/>
        </w:rPr>
      </w:pPr>
      <w:r w:rsidRPr="00CD40CE">
        <w:rPr>
          <w:rFonts w:asciiTheme="minorHAnsi" w:hAnsiTheme="minorHAnsi" w:cstheme="minorHAnsi"/>
          <w:sz w:val="20"/>
          <w:szCs w:val="20"/>
        </w:rPr>
        <w:br w:type="page"/>
      </w:r>
    </w:p>
    <w:tbl>
      <w:tblPr>
        <w:tblW w:w="9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141"/>
        <w:gridCol w:w="762"/>
        <w:gridCol w:w="1283"/>
        <w:gridCol w:w="2706"/>
        <w:gridCol w:w="554"/>
        <w:gridCol w:w="230"/>
        <w:gridCol w:w="762"/>
        <w:gridCol w:w="1985"/>
      </w:tblGrid>
      <w:tr w:rsidR="00D9424B" w:rsidRPr="00D9424B" w:rsidTr="008E6A34">
        <w:trPr>
          <w:trHeight w:val="300"/>
        </w:trPr>
        <w:tc>
          <w:tcPr>
            <w:tcW w:w="93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24B" w:rsidRPr="00D9424B" w:rsidRDefault="00D9424B" w:rsidP="00D942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D9424B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 xml:space="preserve">Tabulka č.1: </w:t>
            </w:r>
            <w:proofErr w:type="gramStart"/>
            <w:r w:rsidRPr="00D9424B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Přehled  povinně</w:t>
            </w:r>
            <w:proofErr w:type="gramEnd"/>
            <w:r w:rsidRPr="00D9424B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prováděných metod u hematolog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i</w:t>
            </w:r>
            <w:r w:rsidRPr="00D9424B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ckých malignit (Upraveno podle Evropských doporučení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;</w:t>
            </w:r>
            <w:r w:rsidRPr="00D9424B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D9424B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Rack</w:t>
            </w:r>
            <w:proofErr w:type="spellEnd"/>
            <w:r w:rsidRPr="00D9424B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et al, 2019)</w:t>
            </w:r>
          </w:p>
        </w:tc>
      </w:tr>
      <w:tr w:rsidR="00D9424B" w:rsidRPr="00D9424B" w:rsidTr="008E6A34">
        <w:trPr>
          <w:trHeight w:val="507"/>
        </w:trPr>
        <w:tc>
          <w:tcPr>
            <w:tcW w:w="10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9424B" w:rsidRPr="00D9424B" w:rsidRDefault="00D9424B" w:rsidP="00D9424B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D9424B">
              <w:rPr>
                <w:rFonts w:eastAsia="Times New Roman" w:cs="Times New Roman"/>
                <w:b/>
                <w:color w:val="000000"/>
                <w:sz w:val="20"/>
                <w:szCs w:val="20"/>
                <w:lang w:eastAsia="cs-CZ"/>
              </w:rPr>
              <w:t>Typ onemocnění</w:t>
            </w:r>
          </w:p>
        </w:tc>
        <w:tc>
          <w:tcPr>
            <w:tcW w:w="47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424B" w:rsidRPr="00D9424B" w:rsidRDefault="00D9424B" w:rsidP="00D9424B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D9424B">
              <w:rPr>
                <w:rFonts w:eastAsia="Times New Roman" w:cs="Times New Roman"/>
                <w:b/>
                <w:color w:val="000000"/>
                <w:sz w:val="20"/>
                <w:szCs w:val="20"/>
                <w:lang w:eastAsia="cs-CZ"/>
              </w:rPr>
              <w:t>Metoda</w:t>
            </w:r>
          </w:p>
        </w:tc>
        <w:tc>
          <w:tcPr>
            <w:tcW w:w="353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4B" w:rsidRPr="00D9424B" w:rsidRDefault="00D9424B" w:rsidP="00D9424B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D9424B">
              <w:rPr>
                <w:rFonts w:eastAsia="Times New Roman" w:cs="Times New Roman"/>
                <w:b/>
                <w:color w:val="000000"/>
                <w:sz w:val="20"/>
                <w:szCs w:val="20"/>
                <w:lang w:eastAsia="cs-CZ"/>
              </w:rPr>
              <w:t>Literatura</w:t>
            </w:r>
          </w:p>
        </w:tc>
      </w:tr>
      <w:tr w:rsidR="00D9424B" w:rsidRPr="00D9424B" w:rsidTr="008E6A34">
        <w:trPr>
          <w:trHeight w:val="280"/>
        </w:trPr>
        <w:tc>
          <w:tcPr>
            <w:tcW w:w="9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24B" w:rsidRPr="00D9424B" w:rsidRDefault="00D9424B" w:rsidP="00D942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D9424B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CML</w:t>
            </w:r>
          </w:p>
        </w:tc>
        <w:tc>
          <w:tcPr>
            <w:tcW w:w="48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24B" w:rsidRPr="00D9424B" w:rsidRDefault="00D9424B" w:rsidP="00D942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D9424B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Karyotyp</w:t>
            </w:r>
          </w:p>
        </w:tc>
        <w:tc>
          <w:tcPr>
            <w:tcW w:w="353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4B" w:rsidRPr="00D9424B" w:rsidRDefault="00D9424B" w:rsidP="00D942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D9424B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Baccarani</w:t>
            </w:r>
            <w:proofErr w:type="spellEnd"/>
            <w:r w:rsidRPr="00D9424B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et al, 2013,2015</w:t>
            </w:r>
          </w:p>
        </w:tc>
      </w:tr>
      <w:tr w:rsidR="00D9424B" w:rsidRPr="00D9424B" w:rsidTr="008E6A34">
        <w:trPr>
          <w:trHeight w:val="30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424B" w:rsidRPr="00D9424B" w:rsidRDefault="00D9424B" w:rsidP="00D942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D9424B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9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424B" w:rsidRPr="00D9424B" w:rsidRDefault="00D9424B" w:rsidP="00D942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D9424B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FISH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: </w:t>
            </w:r>
            <w:r w:rsidRPr="00D9424B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BCR/ABL1</w:t>
            </w:r>
          </w:p>
        </w:tc>
        <w:tc>
          <w:tcPr>
            <w:tcW w:w="353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4B" w:rsidRPr="00D9424B" w:rsidRDefault="00D9424B" w:rsidP="00D942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D9424B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Hochhaus</w:t>
            </w:r>
            <w:proofErr w:type="spellEnd"/>
            <w:r w:rsidRPr="00D9424B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et al.2020</w:t>
            </w:r>
          </w:p>
        </w:tc>
      </w:tr>
      <w:tr w:rsidR="00D9424B" w:rsidRPr="00D9424B" w:rsidTr="008E6A34">
        <w:trPr>
          <w:trHeight w:val="280"/>
        </w:trPr>
        <w:tc>
          <w:tcPr>
            <w:tcW w:w="9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24B" w:rsidRPr="00D9424B" w:rsidRDefault="00D9424B" w:rsidP="00D942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D9424B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MDS</w:t>
            </w:r>
          </w:p>
        </w:tc>
        <w:tc>
          <w:tcPr>
            <w:tcW w:w="48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24B" w:rsidRPr="00D9424B" w:rsidRDefault="00D9424B" w:rsidP="00D942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D9424B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Karyotyp</w:t>
            </w:r>
          </w:p>
        </w:tc>
        <w:tc>
          <w:tcPr>
            <w:tcW w:w="353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4B" w:rsidRPr="00D9424B" w:rsidRDefault="00D9424B" w:rsidP="00D942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D9424B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Malcovati</w:t>
            </w:r>
            <w:proofErr w:type="spellEnd"/>
            <w:r w:rsidRPr="00D9424B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et al, 2013</w:t>
            </w:r>
          </w:p>
        </w:tc>
      </w:tr>
      <w:tr w:rsidR="00D9424B" w:rsidRPr="00D9424B" w:rsidTr="008E6A34">
        <w:trPr>
          <w:trHeight w:val="30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424B" w:rsidRPr="00D9424B" w:rsidRDefault="00D9424B" w:rsidP="00D942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D9424B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9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424B" w:rsidRPr="00D9424B" w:rsidRDefault="00D9424B" w:rsidP="00D942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D9424B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FISH: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D9424B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-5/5q</w:t>
            </w:r>
            <w:proofErr w:type="gramStart"/>
            <w:r w:rsidRPr="00D9424B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-,-</w:t>
            </w:r>
            <w:proofErr w:type="gramEnd"/>
            <w:r w:rsidRPr="00D9424B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7/7q-,MECOM,+8,20q-,del</w:t>
            </w:r>
            <w:r w:rsidRPr="00D9424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TP53</w:t>
            </w:r>
          </w:p>
        </w:tc>
        <w:tc>
          <w:tcPr>
            <w:tcW w:w="353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4B" w:rsidRPr="00D9424B" w:rsidRDefault="00D9424B" w:rsidP="00D942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D9424B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9424B" w:rsidRPr="00D9424B" w:rsidTr="008E6A34">
        <w:trPr>
          <w:trHeight w:val="280"/>
        </w:trPr>
        <w:tc>
          <w:tcPr>
            <w:tcW w:w="9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24B" w:rsidRPr="00D9424B" w:rsidRDefault="00D9424B" w:rsidP="00D942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D9424B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AML</w:t>
            </w:r>
          </w:p>
        </w:tc>
        <w:tc>
          <w:tcPr>
            <w:tcW w:w="48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24B" w:rsidRPr="00D9424B" w:rsidRDefault="00D9424B" w:rsidP="00D942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D9424B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Karyotyp</w:t>
            </w:r>
          </w:p>
        </w:tc>
        <w:tc>
          <w:tcPr>
            <w:tcW w:w="353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4B" w:rsidRPr="00D9424B" w:rsidRDefault="00D9424B" w:rsidP="00D942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D9424B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Dohner</w:t>
            </w:r>
            <w:proofErr w:type="spellEnd"/>
            <w:r w:rsidRPr="00D9424B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et al, 2017</w:t>
            </w:r>
          </w:p>
        </w:tc>
      </w:tr>
      <w:tr w:rsidR="00D9424B" w:rsidRPr="00D9424B" w:rsidTr="008E6A34">
        <w:trPr>
          <w:trHeight w:val="30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424B" w:rsidRPr="00D9424B" w:rsidRDefault="00D9424B" w:rsidP="00D942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D9424B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2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9424B" w:rsidRPr="00D9424B" w:rsidRDefault="00D9424B" w:rsidP="00D942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D9424B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FISH: </w:t>
            </w:r>
            <w:r w:rsidRPr="00D9424B">
              <w:rPr>
                <w:rFonts w:eastAsia="Times New Roman" w:cs="Times New Roman"/>
                <w:i/>
                <w:color w:val="000000"/>
                <w:sz w:val="20"/>
                <w:szCs w:val="20"/>
                <w:lang w:eastAsia="cs-CZ"/>
              </w:rPr>
              <w:t>P</w:t>
            </w:r>
            <w:r w:rsidRPr="00D9424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ML/</w:t>
            </w:r>
            <w:proofErr w:type="gramStart"/>
            <w:r w:rsidRPr="00D9424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RARA,CBFB</w:t>
            </w:r>
            <w:proofErr w:type="gramEnd"/>
            <w:r w:rsidRPr="00D9424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/MYH11,RUNX1/RUNX1T,KMT2A,MECOM</w:t>
            </w:r>
          </w:p>
        </w:tc>
      </w:tr>
      <w:tr w:rsidR="00D9424B" w:rsidRPr="00D9424B" w:rsidTr="008E6A34">
        <w:trPr>
          <w:trHeight w:val="280"/>
        </w:trPr>
        <w:tc>
          <w:tcPr>
            <w:tcW w:w="9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24B" w:rsidRPr="00D9424B" w:rsidRDefault="00D9424B" w:rsidP="00D942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D9424B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ALL</w:t>
            </w:r>
          </w:p>
        </w:tc>
        <w:tc>
          <w:tcPr>
            <w:tcW w:w="48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24B" w:rsidRPr="00D9424B" w:rsidRDefault="00D9424B" w:rsidP="00D942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D9424B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Karyotyp</w:t>
            </w:r>
          </w:p>
        </w:tc>
        <w:tc>
          <w:tcPr>
            <w:tcW w:w="353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4B" w:rsidRPr="00D9424B" w:rsidRDefault="00D9424B" w:rsidP="00D942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D9424B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Hoelzer</w:t>
            </w:r>
            <w:proofErr w:type="spellEnd"/>
            <w:r w:rsidRPr="00D9424B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et al, 2016</w:t>
            </w:r>
          </w:p>
        </w:tc>
      </w:tr>
      <w:tr w:rsidR="00D9424B" w:rsidRPr="00D9424B" w:rsidTr="008E6A34">
        <w:trPr>
          <w:trHeight w:val="86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424B" w:rsidRPr="00D9424B" w:rsidRDefault="00D9424B" w:rsidP="00D942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D9424B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9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424B" w:rsidRPr="00D9424B" w:rsidRDefault="00D9424B" w:rsidP="00D942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D9424B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FISH: fúzní geny (specifikováno v Tab.2)</w:t>
            </w:r>
          </w:p>
        </w:tc>
        <w:tc>
          <w:tcPr>
            <w:tcW w:w="353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4B" w:rsidRPr="00D9424B" w:rsidRDefault="00D9424B" w:rsidP="00D942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D9424B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Harrison et al, 2010</w:t>
            </w:r>
          </w:p>
        </w:tc>
      </w:tr>
      <w:tr w:rsidR="00D9424B" w:rsidRPr="00D9424B" w:rsidTr="008E6A34">
        <w:trPr>
          <w:trHeight w:val="280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24B" w:rsidRPr="00D9424B" w:rsidRDefault="00D9424B" w:rsidP="00D942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24B" w:rsidRPr="00D9424B" w:rsidRDefault="00D9424B" w:rsidP="00D9424B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24B" w:rsidRPr="00D9424B" w:rsidRDefault="00D9424B" w:rsidP="00D9424B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</w:tc>
      </w:tr>
      <w:tr w:rsidR="00D9424B" w:rsidRPr="00D9424B" w:rsidTr="008E6A34">
        <w:trPr>
          <w:trHeight w:val="280"/>
        </w:trPr>
        <w:tc>
          <w:tcPr>
            <w:tcW w:w="93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24B" w:rsidRPr="00D9424B" w:rsidRDefault="00D9424B" w:rsidP="00D942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9424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CML-chronická myeloidní leukémie; MDS-</w:t>
            </w:r>
            <w:proofErr w:type="spellStart"/>
            <w:r w:rsidRPr="00D9424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myelodysplastický</w:t>
            </w:r>
            <w:proofErr w:type="spellEnd"/>
            <w:r w:rsidRPr="00D9424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 xml:space="preserve"> syndrom; AML-akutní myeloidní leukémie; ALL-akutní </w:t>
            </w:r>
            <w:proofErr w:type="spellStart"/>
            <w:r w:rsidRPr="00D9424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lymfoblastická</w:t>
            </w:r>
            <w:proofErr w:type="spellEnd"/>
            <w:r w:rsidRPr="00D9424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 xml:space="preserve"> leukémie</w:t>
            </w:r>
          </w:p>
        </w:tc>
      </w:tr>
      <w:tr w:rsidR="008E6A34" w:rsidRPr="008E6A34" w:rsidTr="008E6A34">
        <w:trPr>
          <w:trHeight w:val="340"/>
        </w:trPr>
        <w:tc>
          <w:tcPr>
            <w:tcW w:w="93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A34" w:rsidRPr="008E6A34" w:rsidRDefault="008E6A34" w:rsidP="008E6A34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8E6A34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Tabulka č.2: </w:t>
            </w:r>
            <w:proofErr w:type="gramStart"/>
            <w:r w:rsidRPr="008E6A34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Přehled  cytogenetických</w:t>
            </w:r>
            <w:proofErr w:type="gramEnd"/>
            <w:r w:rsidRPr="008E6A34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vyšetření u hematologických malignit (upraveno podle </w:t>
            </w:r>
            <w:proofErr w:type="spellStart"/>
            <w:r w:rsidRPr="008E6A34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Rack</w:t>
            </w:r>
            <w:proofErr w:type="spellEnd"/>
            <w:r w:rsidRPr="008E6A34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et al, 2019)</w:t>
            </w:r>
          </w:p>
        </w:tc>
      </w:tr>
      <w:tr w:rsidR="008E6A34" w:rsidRPr="008E6A34" w:rsidTr="008E6A34">
        <w:trPr>
          <w:trHeight w:val="320"/>
        </w:trPr>
        <w:tc>
          <w:tcPr>
            <w:tcW w:w="1836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A34" w:rsidRPr="008E6A34" w:rsidRDefault="008E6A34" w:rsidP="008E6A34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E6A3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Typ onemocnění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A34" w:rsidRPr="008E6A34" w:rsidRDefault="008E6A34" w:rsidP="008E6A34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E6A3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Metoda 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A34" w:rsidRPr="008E6A34" w:rsidRDefault="008E6A34" w:rsidP="008E6A34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E6A34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A34" w:rsidRPr="008E6A34" w:rsidRDefault="008E6A34" w:rsidP="008E6A34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E6A34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6A34" w:rsidRPr="008E6A34" w:rsidRDefault="008E6A34" w:rsidP="008E6A34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E6A3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Literatura</w:t>
            </w:r>
          </w:p>
        </w:tc>
      </w:tr>
      <w:tr w:rsidR="008E6A34" w:rsidRPr="008E6A34" w:rsidTr="008E6A34">
        <w:trPr>
          <w:trHeight w:val="580"/>
        </w:trPr>
        <w:tc>
          <w:tcPr>
            <w:tcW w:w="183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A34" w:rsidRPr="008E6A34" w:rsidRDefault="008E6A34" w:rsidP="008E6A34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E6A34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A34" w:rsidRPr="008E6A34" w:rsidRDefault="008E6A34" w:rsidP="008E6A34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E6A3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Cytogenetika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A34" w:rsidRPr="008E6A34" w:rsidRDefault="008E6A34" w:rsidP="008E6A34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E6A3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FISH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A34" w:rsidRPr="008E6A34" w:rsidRDefault="008E6A34" w:rsidP="008E6A34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8E6A3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arrayCGH</w:t>
            </w:r>
            <w:proofErr w:type="spellEnd"/>
            <w:r w:rsidRPr="008E6A3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/SNP </w:t>
            </w:r>
            <w:proofErr w:type="spellStart"/>
            <w:r w:rsidRPr="008E6A3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array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6A34" w:rsidRPr="008E6A34" w:rsidRDefault="008E6A34" w:rsidP="008E6A34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E6A34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8E6A34" w:rsidRPr="008E6A34" w:rsidTr="008E6A34">
        <w:trPr>
          <w:trHeight w:val="320"/>
        </w:trPr>
        <w:tc>
          <w:tcPr>
            <w:tcW w:w="183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A34" w:rsidRPr="008E6A34" w:rsidRDefault="008E6A34" w:rsidP="008E6A34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E6A34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CML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A34" w:rsidRPr="008E6A34" w:rsidRDefault="008E6A34" w:rsidP="008E6A34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E6A34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Karyotyp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A34" w:rsidRPr="008E6A34" w:rsidRDefault="008E6A34" w:rsidP="008E6A34">
            <w:pPr>
              <w:spacing w:after="0" w:line="240" w:lineRule="auto"/>
              <w:jc w:val="left"/>
              <w:rPr>
                <w:rFonts w:eastAsia="Times New Roman" w:cs="Times New Roman"/>
                <w:i/>
                <w:color w:val="000000"/>
                <w:sz w:val="18"/>
                <w:szCs w:val="18"/>
                <w:lang w:eastAsia="cs-CZ"/>
              </w:rPr>
            </w:pPr>
            <w:r w:rsidRPr="008E6A34">
              <w:rPr>
                <w:rFonts w:eastAsia="Times New Roman" w:cs="Times New Roman"/>
                <w:i/>
                <w:color w:val="000000"/>
                <w:sz w:val="18"/>
                <w:szCs w:val="18"/>
                <w:lang w:eastAsia="cs-CZ"/>
              </w:rPr>
              <w:t>BCR/ABL1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A34" w:rsidRPr="008E6A34" w:rsidRDefault="008E6A34" w:rsidP="008E6A34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E6A34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E6A34" w:rsidRPr="008E6A34" w:rsidRDefault="008E6A34" w:rsidP="008E6A34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8E6A34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Hochhaus</w:t>
            </w:r>
            <w:proofErr w:type="spellEnd"/>
            <w:r w:rsidRPr="008E6A34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 xml:space="preserve"> et al, 2020</w:t>
            </w:r>
          </w:p>
        </w:tc>
      </w:tr>
      <w:tr w:rsidR="008E6A34" w:rsidRPr="008E6A34" w:rsidTr="008E6A34">
        <w:trPr>
          <w:trHeight w:val="560"/>
        </w:trPr>
        <w:tc>
          <w:tcPr>
            <w:tcW w:w="183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A34" w:rsidRPr="008E6A34" w:rsidRDefault="008E6A34" w:rsidP="008E6A34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E6A34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 xml:space="preserve">Myeloidní/lymfoidní </w:t>
            </w:r>
            <w:proofErr w:type="spellStart"/>
            <w:proofErr w:type="gramStart"/>
            <w:r w:rsidRPr="008E6A34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neoplázie</w:t>
            </w:r>
            <w:proofErr w:type="spellEnd"/>
            <w:r w:rsidRPr="008E6A34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 xml:space="preserve">  s</w:t>
            </w:r>
            <w:proofErr w:type="gramEnd"/>
            <w:r w:rsidRPr="008E6A34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8E6A34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eosinofílií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A34" w:rsidRPr="008E6A34" w:rsidRDefault="008E6A34" w:rsidP="008E6A34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E6A34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Karyotyp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A34" w:rsidRPr="008E6A34" w:rsidRDefault="008E6A34" w:rsidP="008E6A34">
            <w:pPr>
              <w:spacing w:after="0" w:line="240" w:lineRule="auto"/>
              <w:jc w:val="left"/>
              <w:rPr>
                <w:rFonts w:eastAsia="Times New Roman" w:cs="Times New Roman"/>
                <w:i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8E6A34">
              <w:rPr>
                <w:rFonts w:eastAsia="Times New Roman" w:cs="Times New Roman"/>
                <w:i/>
                <w:color w:val="000000"/>
                <w:sz w:val="18"/>
                <w:szCs w:val="18"/>
                <w:lang w:eastAsia="cs-CZ"/>
              </w:rPr>
              <w:t>PDGFRA,PDGFRB</w:t>
            </w:r>
            <w:proofErr w:type="gramEnd"/>
            <w:r w:rsidRPr="008E6A34">
              <w:rPr>
                <w:rFonts w:eastAsia="Times New Roman" w:cs="Times New Roman"/>
                <w:i/>
                <w:color w:val="000000"/>
                <w:sz w:val="18"/>
                <w:szCs w:val="18"/>
                <w:lang w:eastAsia="cs-CZ"/>
              </w:rPr>
              <w:t>,FGFR1,PCM1/JAK2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A34" w:rsidRPr="008E6A34" w:rsidRDefault="008E6A34" w:rsidP="008E6A34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E6A34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NE*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E6A34" w:rsidRPr="008E6A34" w:rsidRDefault="008E6A34" w:rsidP="008E6A34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8E6A34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Butt</w:t>
            </w:r>
            <w:proofErr w:type="spellEnd"/>
            <w:r w:rsidRPr="008E6A34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 xml:space="preserve"> et al, 2017</w:t>
            </w:r>
          </w:p>
        </w:tc>
      </w:tr>
      <w:tr w:rsidR="008E6A34" w:rsidRPr="008E6A34" w:rsidTr="008E6A34">
        <w:trPr>
          <w:trHeight w:val="560"/>
        </w:trPr>
        <w:tc>
          <w:tcPr>
            <w:tcW w:w="183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A34" w:rsidRPr="008E6A34" w:rsidRDefault="008E6A34" w:rsidP="008E6A34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E6A34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MDS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A34" w:rsidRPr="008E6A34" w:rsidRDefault="008E6A34" w:rsidP="008E6A34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E6A34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Karyotyp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A34" w:rsidRPr="008E6A34" w:rsidRDefault="008E6A34" w:rsidP="008E6A34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8E6A34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del</w:t>
            </w:r>
            <w:proofErr w:type="spellEnd"/>
            <w:r w:rsidRPr="008E6A34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(5</w:t>
            </w:r>
            <w:proofErr w:type="gramStart"/>
            <w:r w:rsidRPr="008E6A34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q)/</w:t>
            </w:r>
            <w:proofErr w:type="gramEnd"/>
            <w:r w:rsidRPr="008E6A34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 xml:space="preserve">-5,del(7q)/-7, </w:t>
            </w:r>
            <w:r w:rsidRPr="008E6A34">
              <w:rPr>
                <w:rFonts w:eastAsia="Times New Roman" w:cs="Times New Roman"/>
                <w:i/>
                <w:color w:val="000000"/>
                <w:sz w:val="18"/>
                <w:szCs w:val="18"/>
                <w:lang w:eastAsia="cs-CZ"/>
              </w:rPr>
              <w:t>MECOM</w:t>
            </w:r>
            <w:r w:rsidRPr="008E6A34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 xml:space="preserve">, +8, </w:t>
            </w:r>
            <w:proofErr w:type="spellStart"/>
            <w:r w:rsidRPr="008E6A34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del</w:t>
            </w:r>
            <w:proofErr w:type="spellEnd"/>
            <w:r w:rsidRPr="008E6A34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(20q),</w:t>
            </w:r>
            <w:proofErr w:type="spellStart"/>
            <w:r w:rsidRPr="008E6A34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del</w:t>
            </w:r>
            <w:proofErr w:type="spellEnd"/>
            <w:r w:rsidRPr="008E6A34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(17p)/</w:t>
            </w:r>
            <w:r w:rsidRPr="008E6A34">
              <w:rPr>
                <w:rFonts w:eastAsia="Times New Roman" w:cs="Times New Roman"/>
                <w:i/>
                <w:color w:val="000000"/>
                <w:sz w:val="18"/>
                <w:szCs w:val="18"/>
                <w:lang w:eastAsia="cs-CZ"/>
              </w:rPr>
              <w:t>TP53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A34" w:rsidRPr="008E6A34" w:rsidRDefault="008E6A34" w:rsidP="008E6A34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E6A34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E6A34" w:rsidRPr="008E6A34" w:rsidRDefault="008E6A34" w:rsidP="008E6A34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8E6A34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Schanz</w:t>
            </w:r>
            <w:proofErr w:type="spellEnd"/>
            <w:r w:rsidRPr="008E6A34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 xml:space="preserve"> et al, </w:t>
            </w:r>
            <w:proofErr w:type="gramStart"/>
            <w:r w:rsidRPr="008E6A34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2012 ;</w:t>
            </w:r>
            <w:proofErr w:type="gramEnd"/>
            <w:r w:rsidRPr="008E6A34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8E6A34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Xu</w:t>
            </w:r>
            <w:proofErr w:type="spellEnd"/>
            <w:r w:rsidRPr="008E6A34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 xml:space="preserve"> et al, 2013</w:t>
            </w:r>
          </w:p>
        </w:tc>
      </w:tr>
      <w:tr w:rsidR="008E6A34" w:rsidRPr="008E6A34" w:rsidTr="008E6A34">
        <w:trPr>
          <w:trHeight w:val="560"/>
        </w:trPr>
        <w:tc>
          <w:tcPr>
            <w:tcW w:w="183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A34" w:rsidRPr="008E6A34" w:rsidRDefault="008E6A34" w:rsidP="008E6A34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E6A34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AML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A34" w:rsidRPr="008E6A34" w:rsidRDefault="008E6A34" w:rsidP="008E6A34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E6A34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Karyotyp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A34" w:rsidRPr="008E6A34" w:rsidRDefault="008E6A34" w:rsidP="008E6A34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E6A34">
              <w:rPr>
                <w:rFonts w:eastAsia="Times New Roman" w:cs="Times New Roman"/>
                <w:i/>
                <w:color w:val="000000"/>
                <w:sz w:val="18"/>
                <w:szCs w:val="18"/>
                <w:lang w:eastAsia="cs-CZ"/>
              </w:rPr>
              <w:t>KMT2A, MECOM</w:t>
            </w:r>
            <w:r w:rsidRPr="008E6A34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 xml:space="preserve">, +8, fúzní geny: </w:t>
            </w:r>
            <w:r w:rsidRPr="008E6A34">
              <w:rPr>
                <w:rFonts w:eastAsia="Times New Roman" w:cs="Times New Roman"/>
                <w:i/>
                <w:color w:val="000000"/>
                <w:sz w:val="18"/>
                <w:szCs w:val="18"/>
                <w:lang w:eastAsia="cs-CZ"/>
              </w:rPr>
              <w:t>PML-RARA, CBFB-MYH11, RUNX1-RUNX1T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A34" w:rsidRPr="008E6A34" w:rsidRDefault="008E6A34" w:rsidP="008E6A34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E6A34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NE*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E6A34" w:rsidRPr="008E6A34" w:rsidRDefault="008E6A34" w:rsidP="008E6A34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8E6A34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Dohner</w:t>
            </w:r>
            <w:proofErr w:type="spellEnd"/>
            <w:r w:rsidRPr="008E6A34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 xml:space="preserve"> et </w:t>
            </w:r>
            <w:proofErr w:type="gramStart"/>
            <w:r w:rsidRPr="008E6A34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al,  2017</w:t>
            </w:r>
            <w:proofErr w:type="gramEnd"/>
            <w:r w:rsidRPr="008E6A34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 xml:space="preserve">  </w:t>
            </w:r>
            <w:proofErr w:type="spellStart"/>
            <w:r w:rsidRPr="008E6A34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Papaemmanuil</w:t>
            </w:r>
            <w:proofErr w:type="spellEnd"/>
            <w:r w:rsidRPr="008E6A34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, E. et al. 2016</w:t>
            </w:r>
          </w:p>
        </w:tc>
      </w:tr>
      <w:tr w:rsidR="008E6A34" w:rsidRPr="008E6A34" w:rsidTr="008E6A34">
        <w:trPr>
          <w:trHeight w:val="560"/>
        </w:trPr>
        <w:tc>
          <w:tcPr>
            <w:tcW w:w="183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A34" w:rsidRPr="008E6A34" w:rsidRDefault="008E6A34" w:rsidP="008E6A34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E6A34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B-ALL dospělí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A34" w:rsidRPr="008E6A34" w:rsidRDefault="008E6A34" w:rsidP="008E6A34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E6A34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Karyotyp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A34" w:rsidRPr="008E6A34" w:rsidRDefault="008E6A34" w:rsidP="008E6A34">
            <w:pPr>
              <w:spacing w:after="0" w:line="240" w:lineRule="auto"/>
              <w:jc w:val="left"/>
              <w:rPr>
                <w:rFonts w:eastAsia="Times New Roman" w:cs="Times New Roman"/>
                <w:i/>
                <w:color w:val="000000"/>
                <w:sz w:val="18"/>
                <w:szCs w:val="18"/>
                <w:lang w:eastAsia="cs-CZ"/>
              </w:rPr>
            </w:pPr>
            <w:r w:rsidRPr="008E6A34">
              <w:rPr>
                <w:rFonts w:eastAsia="Times New Roman" w:cs="Times New Roman"/>
                <w:i/>
                <w:color w:val="000000"/>
                <w:sz w:val="18"/>
                <w:szCs w:val="18"/>
                <w:lang w:eastAsia="cs-CZ"/>
              </w:rPr>
              <w:t>KMT2A, BCR/ABL1, TCF3, CRLF2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A34" w:rsidRPr="008E6A34" w:rsidRDefault="008E6A34" w:rsidP="008E6A34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E6A34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E6A34" w:rsidRPr="008E6A34" w:rsidRDefault="008E6A34" w:rsidP="008E6A34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8E6A34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Moorman</w:t>
            </w:r>
            <w:proofErr w:type="spellEnd"/>
            <w:r w:rsidRPr="008E6A34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 xml:space="preserve">, 2010 </w:t>
            </w:r>
            <w:proofErr w:type="spellStart"/>
            <w:r w:rsidRPr="008E6A34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Schwab&amp;Harrison</w:t>
            </w:r>
            <w:proofErr w:type="spellEnd"/>
            <w:r w:rsidRPr="008E6A34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 xml:space="preserve"> 2018 </w:t>
            </w:r>
          </w:p>
        </w:tc>
      </w:tr>
      <w:tr w:rsidR="008E6A34" w:rsidRPr="008E6A34" w:rsidTr="008E6A34">
        <w:trPr>
          <w:trHeight w:val="580"/>
        </w:trPr>
        <w:tc>
          <w:tcPr>
            <w:tcW w:w="183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A34" w:rsidRPr="008E6A34" w:rsidRDefault="008E6A34" w:rsidP="008E6A34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E6A34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B-ALL děti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A34" w:rsidRPr="008E6A34" w:rsidRDefault="008E6A34" w:rsidP="008E6A34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E6A34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Karyotyp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A34" w:rsidRPr="008E6A34" w:rsidRDefault="008E6A34" w:rsidP="008E6A34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E6A34">
              <w:rPr>
                <w:rFonts w:eastAsia="Times New Roman" w:cs="Times New Roman"/>
                <w:i/>
                <w:color w:val="000000"/>
                <w:sz w:val="18"/>
                <w:szCs w:val="18"/>
                <w:lang w:eastAsia="cs-CZ"/>
              </w:rPr>
              <w:t>KMT2A, ETV6/RUNX</w:t>
            </w:r>
            <w:proofErr w:type="gramStart"/>
            <w:r w:rsidRPr="008E6A34">
              <w:rPr>
                <w:rFonts w:eastAsia="Times New Roman" w:cs="Times New Roman"/>
                <w:i/>
                <w:color w:val="000000"/>
                <w:sz w:val="18"/>
                <w:szCs w:val="18"/>
                <w:lang w:eastAsia="cs-CZ"/>
              </w:rPr>
              <w:t>1,BCR</w:t>
            </w:r>
            <w:proofErr w:type="gramEnd"/>
            <w:r w:rsidRPr="008E6A34">
              <w:rPr>
                <w:rFonts w:eastAsia="Times New Roman" w:cs="Times New Roman"/>
                <w:i/>
                <w:color w:val="000000"/>
                <w:sz w:val="18"/>
                <w:szCs w:val="18"/>
                <w:lang w:eastAsia="cs-CZ"/>
              </w:rPr>
              <w:t>/ABL1,TCF3</w:t>
            </w:r>
            <w:r w:rsidRPr="008E6A34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 xml:space="preserve">  CEP sondy-</w:t>
            </w:r>
            <w:proofErr w:type="spellStart"/>
            <w:r w:rsidRPr="008E6A34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hyperdiploidie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A34" w:rsidRPr="008E6A34" w:rsidRDefault="008E6A34" w:rsidP="008E6A34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E6A34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6A34" w:rsidRPr="008E6A34" w:rsidRDefault="008E6A34" w:rsidP="008E6A34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8E6A34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Moorman</w:t>
            </w:r>
            <w:proofErr w:type="spellEnd"/>
            <w:r w:rsidRPr="008E6A34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 xml:space="preserve">, 2010     </w:t>
            </w:r>
            <w:proofErr w:type="spellStart"/>
            <w:r w:rsidRPr="008E6A34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Tasian</w:t>
            </w:r>
            <w:proofErr w:type="spellEnd"/>
            <w:r w:rsidRPr="008E6A34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 xml:space="preserve"> et al, </w:t>
            </w:r>
            <w:proofErr w:type="gramStart"/>
            <w:r w:rsidRPr="008E6A34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 xml:space="preserve">2017,   </w:t>
            </w:r>
            <w:proofErr w:type="spellStart"/>
            <w:proofErr w:type="gramEnd"/>
            <w:r w:rsidRPr="008E6A34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Liu</w:t>
            </w:r>
            <w:proofErr w:type="spellEnd"/>
            <w:r w:rsidRPr="008E6A34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 xml:space="preserve"> et al, 2016</w:t>
            </w:r>
          </w:p>
        </w:tc>
      </w:tr>
      <w:tr w:rsidR="008E6A34" w:rsidRPr="008E6A34" w:rsidTr="008E6A34">
        <w:trPr>
          <w:trHeight w:val="320"/>
        </w:trPr>
        <w:tc>
          <w:tcPr>
            <w:tcW w:w="183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A34" w:rsidRPr="008E6A34" w:rsidRDefault="008E6A34" w:rsidP="008E6A34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E6A34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T-ALL děti/dospělí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A34" w:rsidRPr="008E6A34" w:rsidRDefault="008E6A34" w:rsidP="008E6A34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E6A34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Karyotyp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A34" w:rsidRPr="008E6A34" w:rsidRDefault="008E6A34" w:rsidP="008E6A34">
            <w:pPr>
              <w:spacing w:after="0" w:line="240" w:lineRule="auto"/>
              <w:jc w:val="left"/>
              <w:rPr>
                <w:rFonts w:eastAsia="Times New Roman" w:cs="Times New Roman"/>
                <w:i/>
                <w:color w:val="000000"/>
                <w:sz w:val="18"/>
                <w:szCs w:val="18"/>
                <w:lang w:eastAsia="cs-CZ"/>
              </w:rPr>
            </w:pPr>
            <w:r w:rsidRPr="008E6A34">
              <w:rPr>
                <w:rFonts w:eastAsia="Times New Roman" w:cs="Times New Roman"/>
                <w:i/>
                <w:color w:val="000000"/>
                <w:sz w:val="18"/>
                <w:szCs w:val="18"/>
                <w:lang w:eastAsia="cs-CZ"/>
              </w:rPr>
              <w:t>TLX</w:t>
            </w:r>
            <w:proofErr w:type="gramStart"/>
            <w:r w:rsidRPr="008E6A34">
              <w:rPr>
                <w:rFonts w:eastAsia="Times New Roman" w:cs="Times New Roman"/>
                <w:i/>
                <w:color w:val="000000"/>
                <w:sz w:val="18"/>
                <w:szCs w:val="18"/>
                <w:lang w:eastAsia="cs-CZ"/>
              </w:rPr>
              <w:t>3,TLX</w:t>
            </w:r>
            <w:proofErr w:type="gramEnd"/>
            <w:r w:rsidRPr="008E6A34">
              <w:rPr>
                <w:rFonts w:eastAsia="Times New Roman" w:cs="Times New Roman"/>
                <w:i/>
                <w:color w:val="000000"/>
                <w:sz w:val="18"/>
                <w:szCs w:val="18"/>
                <w:lang w:eastAsia="cs-CZ"/>
              </w:rPr>
              <w:t>1,KMT2A,TAL1, LMO1, ABL1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A34" w:rsidRPr="008E6A34" w:rsidRDefault="008E6A34" w:rsidP="008E6A34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E6A34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E6A34" w:rsidRPr="008E6A34" w:rsidRDefault="008E6A34" w:rsidP="008E6A34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8E6A34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Mrózek</w:t>
            </w:r>
            <w:proofErr w:type="spellEnd"/>
            <w:r w:rsidRPr="008E6A34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 xml:space="preserve"> et al, 2009</w:t>
            </w:r>
          </w:p>
        </w:tc>
      </w:tr>
      <w:tr w:rsidR="008E6A34" w:rsidRPr="008E6A34" w:rsidTr="008E6A34">
        <w:trPr>
          <w:trHeight w:val="560"/>
        </w:trPr>
        <w:tc>
          <w:tcPr>
            <w:tcW w:w="183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A34" w:rsidRPr="008E6A34" w:rsidRDefault="008E6A34" w:rsidP="008E6A34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E6A34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CLL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A34" w:rsidRPr="008E6A34" w:rsidRDefault="008E6A34" w:rsidP="008E6A34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E6A34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Karyotyp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A34" w:rsidRPr="008E6A34" w:rsidRDefault="008E6A34" w:rsidP="008E6A34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E6A34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 xml:space="preserve">delece </w:t>
            </w:r>
            <w:proofErr w:type="gramStart"/>
            <w:r w:rsidRPr="008E6A34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13q</w:t>
            </w:r>
            <w:proofErr w:type="gramEnd"/>
            <w:r w:rsidRPr="008E6A34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 xml:space="preserve">, </w:t>
            </w:r>
            <w:r w:rsidRPr="008E6A34">
              <w:rPr>
                <w:rFonts w:eastAsia="Times New Roman" w:cs="Times New Roman"/>
                <w:i/>
                <w:color w:val="000000"/>
                <w:sz w:val="18"/>
                <w:szCs w:val="18"/>
                <w:lang w:eastAsia="cs-CZ"/>
              </w:rPr>
              <w:t>ATM, TP53</w:t>
            </w:r>
            <w:r w:rsidRPr="008E6A34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 xml:space="preserve">, </w:t>
            </w:r>
            <w:proofErr w:type="spellStart"/>
            <w:r w:rsidRPr="008E6A34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trisomie</w:t>
            </w:r>
            <w:proofErr w:type="spellEnd"/>
            <w:r w:rsidRPr="008E6A34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 xml:space="preserve"> 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A34" w:rsidRPr="008E6A34" w:rsidRDefault="008E6A34" w:rsidP="008E6A34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E6A34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E6A34" w:rsidRPr="008E6A34" w:rsidRDefault="008E6A34" w:rsidP="008E6A34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8E6A34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Hallek</w:t>
            </w:r>
            <w:proofErr w:type="spellEnd"/>
            <w:r w:rsidRPr="008E6A34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 xml:space="preserve"> et al, </w:t>
            </w:r>
            <w:proofErr w:type="gramStart"/>
            <w:r w:rsidRPr="008E6A34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 xml:space="preserve">2018  </w:t>
            </w:r>
            <w:proofErr w:type="spellStart"/>
            <w:r w:rsidRPr="008E6A34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Schweighofer</w:t>
            </w:r>
            <w:proofErr w:type="spellEnd"/>
            <w:proofErr w:type="gramEnd"/>
            <w:r w:rsidRPr="008E6A34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 xml:space="preserve"> et al, 2013</w:t>
            </w:r>
          </w:p>
        </w:tc>
      </w:tr>
      <w:tr w:rsidR="008E6A34" w:rsidRPr="008E6A34" w:rsidTr="008E6A34">
        <w:trPr>
          <w:trHeight w:val="560"/>
        </w:trPr>
        <w:tc>
          <w:tcPr>
            <w:tcW w:w="183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A34" w:rsidRPr="008E6A34" w:rsidRDefault="008E6A34" w:rsidP="008E6A34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E6A34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MM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A34" w:rsidRPr="008E6A34" w:rsidRDefault="008E6A34" w:rsidP="008E6A34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E6A34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A34" w:rsidRPr="008E6A34" w:rsidRDefault="008E6A34" w:rsidP="008E6A34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E6A34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t(4;14</w:t>
            </w:r>
            <w:proofErr w:type="gramStart"/>
            <w:r w:rsidRPr="008E6A34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),t</w:t>
            </w:r>
            <w:proofErr w:type="gramEnd"/>
            <w:r w:rsidRPr="008E6A34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 xml:space="preserve">(14;16),delece </w:t>
            </w:r>
            <w:r w:rsidRPr="008E6A34">
              <w:rPr>
                <w:rFonts w:eastAsia="Times New Roman" w:cs="Times New Roman"/>
                <w:i/>
                <w:color w:val="000000"/>
                <w:sz w:val="18"/>
                <w:szCs w:val="18"/>
                <w:lang w:eastAsia="cs-CZ"/>
              </w:rPr>
              <w:t>TP53</w:t>
            </w:r>
            <w:r w:rsidRPr="008E6A34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, zisk 1q/</w:t>
            </w:r>
            <w:proofErr w:type="spellStart"/>
            <w:r w:rsidRPr="008E6A34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del</w:t>
            </w:r>
            <w:proofErr w:type="spellEnd"/>
            <w:r w:rsidRPr="008E6A34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(1p), t(11;14),t(14;20), CEP sondy-ploidie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A34" w:rsidRPr="008E6A34" w:rsidRDefault="008E6A34" w:rsidP="008E6A34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E6A34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E6A34" w:rsidRPr="008E6A34" w:rsidRDefault="008E6A34" w:rsidP="008E6A34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8E6A34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Sonneveld</w:t>
            </w:r>
            <w:proofErr w:type="spellEnd"/>
            <w:r w:rsidRPr="008E6A34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 xml:space="preserve"> et al, 2016 </w:t>
            </w:r>
            <w:proofErr w:type="spellStart"/>
            <w:r w:rsidRPr="008E6A34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Avet-Loiseau</w:t>
            </w:r>
            <w:proofErr w:type="spellEnd"/>
            <w:r w:rsidRPr="008E6A34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 xml:space="preserve"> H et al, 2009</w:t>
            </w:r>
          </w:p>
        </w:tc>
      </w:tr>
      <w:tr w:rsidR="008E6A34" w:rsidRPr="008E6A34" w:rsidTr="008E6A34">
        <w:trPr>
          <w:trHeight w:val="860"/>
        </w:trPr>
        <w:tc>
          <w:tcPr>
            <w:tcW w:w="183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A34" w:rsidRPr="008E6A34" w:rsidRDefault="008E6A34" w:rsidP="008E6A34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E6A34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Jiné B buněčné malignity (B-NHL, BL)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A34" w:rsidRPr="008E6A34" w:rsidRDefault="008E6A34" w:rsidP="008E6A34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E6A34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 xml:space="preserve">Karyotyp 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A34" w:rsidRPr="008E6A34" w:rsidRDefault="008E6A34" w:rsidP="008E6A34">
            <w:pPr>
              <w:spacing w:after="0" w:line="240" w:lineRule="auto"/>
              <w:jc w:val="left"/>
              <w:rPr>
                <w:rFonts w:eastAsia="Times New Roman" w:cs="Times New Roman"/>
                <w:i/>
                <w:color w:val="000000"/>
                <w:sz w:val="18"/>
                <w:szCs w:val="18"/>
                <w:lang w:eastAsia="cs-CZ"/>
              </w:rPr>
            </w:pPr>
            <w:r w:rsidRPr="008E6A34">
              <w:rPr>
                <w:rFonts w:eastAsia="Times New Roman" w:cs="Times New Roman"/>
                <w:i/>
                <w:color w:val="000000"/>
                <w:sz w:val="18"/>
                <w:szCs w:val="18"/>
                <w:lang w:eastAsia="cs-CZ"/>
              </w:rPr>
              <w:t>IGH, CCND1, MYC, BCL2, ALK, BCL6, NMYC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A34" w:rsidRPr="008E6A34" w:rsidRDefault="008E6A34" w:rsidP="008E6A34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E6A34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E6A34" w:rsidRPr="008E6A34" w:rsidRDefault="008E6A34" w:rsidP="008E6A34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8E6A34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Swerdlow</w:t>
            </w:r>
            <w:proofErr w:type="spellEnd"/>
            <w:r w:rsidRPr="008E6A34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 xml:space="preserve"> et al, 2016; </w:t>
            </w:r>
            <w:proofErr w:type="spellStart"/>
            <w:r w:rsidRPr="008E6A34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Armitage</w:t>
            </w:r>
            <w:proofErr w:type="spellEnd"/>
            <w:r w:rsidRPr="008E6A34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 xml:space="preserve"> et al, 2017; </w:t>
            </w:r>
            <w:proofErr w:type="spellStart"/>
            <w:r w:rsidRPr="008E6A34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Tirado</w:t>
            </w:r>
            <w:proofErr w:type="spellEnd"/>
            <w:r w:rsidRPr="008E6A34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 xml:space="preserve"> et al, 2012</w:t>
            </w:r>
          </w:p>
        </w:tc>
      </w:tr>
      <w:tr w:rsidR="008E6A34" w:rsidRPr="008E6A34" w:rsidTr="008E6A34">
        <w:trPr>
          <w:gridAfter w:val="2"/>
          <w:wAfter w:w="2747" w:type="dxa"/>
          <w:trHeight w:val="320"/>
        </w:trPr>
        <w:tc>
          <w:tcPr>
            <w:tcW w:w="66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6A34" w:rsidRPr="008E6A34" w:rsidRDefault="008E6A34" w:rsidP="008E6A34">
            <w:pPr>
              <w:spacing w:after="0" w:line="240" w:lineRule="auto"/>
              <w:jc w:val="left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cs-CZ"/>
              </w:rPr>
            </w:pPr>
            <w:r w:rsidRPr="008E6A34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cs-CZ"/>
              </w:rPr>
              <w:t>CML-chronická myeloidní leukémie</w:t>
            </w:r>
            <w:r>
              <w:rPr>
                <w:rFonts w:eastAsia="Times New Roman" w:cs="Times New Roman"/>
                <w:bCs/>
                <w:color w:val="000000"/>
                <w:sz w:val="16"/>
                <w:szCs w:val="16"/>
                <w:lang w:eastAsia="cs-CZ"/>
              </w:rPr>
              <w:t>;</w:t>
            </w:r>
            <w:r w:rsidRPr="008E6A34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cs-CZ"/>
              </w:rPr>
              <w:t xml:space="preserve"> MDS- </w:t>
            </w:r>
            <w:proofErr w:type="spellStart"/>
            <w:r w:rsidRPr="008E6A34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cs-CZ"/>
              </w:rPr>
              <w:t>myelodysplastický</w:t>
            </w:r>
            <w:proofErr w:type="spellEnd"/>
            <w:r w:rsidRPr="008E6A34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cs-CZ"/>
              </w:rPr>
              <w:t xml:space="preserve"> syndrom</w:t>
            </w:r>
            <w:r>
              <w:rPr>
                <w:rFonts w:eastAsia="Times New Roman" w:cs="Times New Roman"/>
                <w:bCs/>
                <w:color w:val="000000"/>
                <w:sz w:val="16"/>
                <w:szCs w:val="16"/>
                <w:lang w:eastAsia="cs-CZ"/>
              </w:rPr>
              <w:t xml:space="preserve">; </w:t>
            </w:r>
            <w:r w:rsidRPr="008E6A34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cs-CZ"/>
              </w:rPr>
              <w:t>AML-akutní myeloidní leukémie</w:t>
            </w:r>
            <w:r>
              <w:rPr>
                <w:rFonts w:eastAsia="Times New Roman" w:cs="Times New Roman"/>
                <w:bCs/>
                <w:color w:val="000000"/>
                <w:sz w:val="16"/>
                <w:szCs w:val="16"/>
                <w:lang w:eastAsia="cs-CZ"/>
              </w:rPr>
              <w:t xml:space="preserve">; </w:t>
            </w:r>
            <w:r w:rsidRPr="008E6A34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cs-CZ"/>
              </w:rPr>
              <w:t xml:space="preserve">B-ALL-B-buněčná akutní </w:t>
            </w:r>
            <w:proofErr w:type="spellStart"/>
            <w:r w:rsidRPr="008E6A34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cs-CZ"/>
              </w:rPr>
              <w:t>lymfoblastická</w:t>
            </w:r>
            <w:proofErr w:type="spellEnd"/>
            <w:r w:rsidRPr="008E6A34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cs-CZ"/>
              </w:rPr>
              <w:t xml:space="preserve"> leukémie</w:t>
            </w:r>
            <w:r>
              <w:rPr>
                <w:rFonts w:eastAsia="Times New Roman" w:cs="Times New Roman"/>
                <w:bCs/>
                <w:color w:val="000000"/>
                <w:sz w:val="16"/>
                <w:szCs w:val="16"/>
                <w:lang w:eastAsia="cs-CZ"/>
              </w:rPr>
              <w:t xml:space="preserve">; </w:t>
            </w:r>
            <w:r w:rsidRPr="008E6A34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cs-CZ"/>
              </w:rPr>
              <w:t xml:space="preserve">T-ALL-T-buněčná akutní </w:t>
            </w:r>
            <w:proofErr w:type="spellStart"/>
            <w:r w:rsidRPr="008E6A34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cs-CZ"/>
              </w:rPr>
              <w:t>lymfoblastická</w:t>
            </w:r>
            <w:proofErr w:type="spellEnd"/>
            <w:r w:rsidRPr="008E6A34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cs-CZ"/>
              </w:rPr>
              <w:t xml:space="preserve"> leukémie</w:t>
            </w:r>
            <w:r>
              <w:rPr>
                <w:rFonts w:eastAsia="Times New Roman" w:cs="Times New Roman"/>
                <w:bCs/>
                <w:color w:val="000000"/>
                <w:sz w:val="16"/>
                <w:szCs w:val="16"/>
                <w:lang w:eastAsia="cs-CZ"/>
              </w:rPr>
              <w:t xml:space="preserve">; </w:t>
            </w:r>
            <w:r w:rsidRPr="008E6A34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cs-CZ"/>
              </w:rPr>
              <w:t xml:space="preserve">CLL-chronická </w:t>
            </w:r>
            <w:proofErr w:type="gramStart"/>
            <w:r w:rsidRPr="008E6A34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cs-CZ"/>
              </w:rPr>
              <w:t xml:space="preserve">lymfocytární  </w:t>
            </w:r>
            <w:proofErr w:type="spellStart"/>
            <w:r w:rsidRPr="008E6A34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cs-CZ"/>
              </w:rPr>
              <w:t>leukémi</w:t>
            </w:r>
            <w:proofErr w:type="spellEnd"/>
            <w:proofErr w:type="gramEnd"/>
            <w:r>
              <w:rPr>
                <w:rFonts w:eastAsia="Times New Roman" w:cs="Times New Roman"/>
                <w:bCs/>
                <w:color w:val="000000"/>
                <w:sz w:val="16"/>
                <w:szCs w:val="16"/>
                <w:lang w:eastAsia="cs-CZ"/>
              </w:rPr>
              <w:t xml:space="preserve">; </w:t>
            </w:r>
            <w:r w:rsidRPr="008E6A34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cs-CZ"/>
              </w:rPr>
              <w:t>MM-mnohočetný myelom</w:t>
            </w:r>
            <w:r>
              <w:rPr>
                <w:rFonts w:eastAsia="Times New Roman" w:cs="Times New Roman"/>
                <w:bCs/>
                <w:color w:val="000000"/>
                <w:sz w:val="16"/>
                <w:szCs w:val="16"/>
                <w:lang w:eastAsia="cs-CZ"/>
              </w:rPr>
              <w:t xml:space="preserve">; </w:t>
            </w:r>
            <w:r w:rsidRPr="008E6A34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cs-CZ"/>
              </w:rPr>
              <w:t>B-NHL-</w:t>
            </w:r>
            <w:proofErr w:type="spellStart"/>
            <w:r w:rsidRPr="008E6A34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cs-CZ"/>
              </w:rPr>
              <w:t>nehodkinský</w:t>
            </w:r>
            <w:proofErr w:type="spellEnd"/>
            <w:r w:rsidRPr="008E6A34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cs-CZ"/>
              </w:rPr>
              <w:t xml:space="preserve"> lymfo</w:t>
            </w:r>
            <w:r>
              <w:rPr>
                <w:rFonts w:eastAsia="Times New Roman" w:cs="Times New Roman"/>
                <w:bCs/>
                <w:color w:val="000000"/>
                <w:sz w:val="16"/>
                <w:szCs w:val="16"/>
                <w:lang w:eastAsia="cs-CZ"/>
              </w:rPr>
              <w:t>;</w:t>
            </w:r>
            <w:r w:rsidRPr="008E6A34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cs-CZ"/>
              </w:rPr>
              <w:t xml:space="preserve"> BL-</w:t>
            </w:r>
            <w:proofErr w:type="spellStart"/>
            <w:r w:rsidRPr="008E6A34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cs-CZ"/>
              </w:rPr>
              <w:t>Burkittův</w:t>
            </w:r>
            <w:proofErr w:type="spellEnd"/>
            <w:r w:rsidRPr="008E6A34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cs-CZ"/>
              </w:rPr>
              <w:t xml:space="preserve">  lymfom</w:t>
            </w:r>
            <w:r>
              <w:rPr>
                <w:rFonts w:eastAsia="Times New Roman" w:cs="Times New Roman"/>
                <w:bCs/>
                <w:color w:val="000000"/>
                <w:sz w:val="16"/>
                <w:szCs w:val="16"/>
                <w:lang w:eastAsia="cs-CZ"/>
              </w:rPr>
              <w:t>;</w:t>
            </w:r>
          </w:p>
        </w:tc>
      </w:tr>
      <w:tr w:rsidR="008E6A34" w:rsidRPr="008E6A34" w:rsidTr="008E6A34">
        <w:trPr>
          <w:gridAfter w:val="2"/>
          <w:wAfter w:w="2747" w:type="dxa"/>
          <w:trHeight w:val="320"/>
        </w:trPr>
        <w:tc>
          <w:tcPr>
            <w:tcW w:w="66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6A34" w:rsidRDefault="008E6A34" w:rsidP="008E6A34">
            <w:pPr>
              <w:spacing w:after="0" w:line="240" w:lineRule="auto"/>
              <w:jc w:val="left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cs-CZ"/>
              </w:rPr>
            </w:pPr>
            <w:r w:rsidRPr="008E6A34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cs-CZ"/>
              </w:rPr>
              <w:t xml:space="preserve">NE*-vyšetření může být provedeno v případě nálezu komplexního karyotypu </w:t>
            </w:r>
          </w:p>
          <w:p w:rsidR="008E6A34" w:rsidRPr="008E6A34" w:rsidRDefault="008E6A34" w:rsidP="008E6A34">
            <w:pPr>
              <w:spacing w:after="0" w:line="240" w:lineRule="auto"/>
              <w:jc w:val="left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cs-CZ"/>
              </w:rPr>
            </w:pPr>
            <w:r w:rsidRPr="008E6A34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cs-CZ"/>
              </w:rPr>
              <w:t>CEP-centromerické sondy</w:t>
            </w:r>
          </w:p>
        </w:tc>
      </w:tr>
      <w:tr w:rsidR="008E6A34" w:rsidRPr="008E6A34" w:rsidTr="008E6A34">
        <w:trPr>
          <w:gridAfter w:val="2"/>
          <w:wAfter w:w="2747" w:type="dxa"/>
          <w:trHeight w:val="320"/>
        </w:trPr>
        <w:tc>
          <w:tcPr>
            <w:tcW w:w="66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A34" w:rsidRPr="008E6A34" w:rsidRDefault="008E6A34" w:rsidP="008E6A34">
            <w:pPr>
              <w:spacing w:after="0" w:line="240" w:lineRule="auto"/>
              <w:jc w:val="left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cs-CZ"/>
              </w:rPr>
            </w:pPr>
          </w:p>
        </w:tc>
        <w:bookmarkStart w:id="0" w:name="_GoBack"/>
        <w:bookmarkEnd w:id="0"/>
      </w:tr>
    </w:tbl>
    <w:p w:rsidR="00D9424B" w:rsidRDefault="00D9424B" w:rsidP="00C04D41">
      <w:pPr>
        <w:rPr>
          <w:rFonts w:cs="Times New Roman"/>
          <w:b/>
          <w:szCs w:val="24"/>
        </w:rPr>
      </w:pPr>
    </w:p>
    <w:p w:rsidR="00D9424B" w:rsidRDefault="00D9424B" w:rsidP="00C04D41">
      <w:pPr>
        <w:rPr>
          <w:rFonts w:cs="Times New Roman"/>
          <w:b/>
          <w:szCs w:val="24"/>
        </w:rPr>
      </w:pPr>
    </w:p>
    <w:p w:rsidR="00BF30E4" w:rsidRPr="00AD7516" w:rsidRDefault="007825B1" w:rsidP="00C04D41">
      <w:pPr>
        <w:rPr>
          <w:rFonts w:cs="Times New Roman"/>
          <w:b/>
          <w:szCs w:val="24"/>
        </w:rPr>
      </w:pPr>
      <w:r w:rsidRPr="00AD7516">
        <w:rPr>
          <w:rFonts w:cs="Times New Roman"/>
          <w:b/>
          <w:szCs w:val="24"/>
        </w:rPr>
        <w:lastRenderedPageBreak/>
        <w:t>Literatura:</w:t>
      </w:r>
    </w:p>
    <w:p w:rsidR="00A4561C" w:rsidRPr="00AD7516" w:rsidRDefault="00A4561C" w:rsidP="00A4561C">
      <w:pPr>
        <w:spacing w:line="240" w:lineRule="auto"/>
        <w:rPr>
          <w:lang w:eastAsia="cs-CZ"/>
        </w:rPr>
      </w:pPr>
      <w:r>
        <w:rPr>
          <w:bdr w:val="none" w:sz="0" w:space="0" w:color="auto" w:frame="1"/>
          <w:lang w:eastAsia="cs-CZ"/>
        </w:rPr>
        <w:t xml:space="preserve"> </w:t>
      </w:r>
      <w:proofErr w:type="spellStart"/>
      <w:r w:rsidRPr="00AD7516">
        <w:rPr>
          <w:bdr w:val="none" w:sz="0" w:space="0" w:color="auto" w:frame="1"/>
          <w:lang w:eastAsia="cs-CZ"/>
        </w:rPr>
        <w:t>Avet-Loiseau</w:t>
      </w:r>
      <w:proofErr w:type="spellEnd"/>
      <w:r w:rsidRPr="00AD7516">
        <w:rPr>
          <w:bdr w:val="none" w:sz="0" w:space="0" w:color="auto" w:frame="1"/>
          <w:lang w:eastAsia="cs-CZ"/>
        </w:rPr>
        <w:t> H</w:t>
      </w:r>
      <w:r w:rsidR="00F41DE4">
        <w:rPr>
          <w:lang w:eastAsia="cs-CZ"/>
        </w:rPr>
        <w:t xml:space="preserve">, </w:t>
      </w:r>
      <w:r w:rsidRPr="00AD7516">
        <w:rPr>
          <w:lang w:eastAsia="cs-CZ"/>
        </w:rPr>
        <w:t xml:space="preserve">et al. </w:t>
      </w:r>
      <w:proofErr w:type="spellStart"/>
      <w:r w:rsidRPr="00AD7516">
        <w:rPr>
          <w:bdr w:val="none" w:sz="0" w:space="0" w:color="auto" w:frame="1"/>
          <w:lang w:eastAsia="cs-CZ"/>
        </w:rPr>
        <w:t>Prognostic</w:t>
      </w:r>
      <w:proofErr w:type="spellEnd"/>
      <w:r w:rsidRPr="00AD7516">
        <w:rPr>
          <w:bdr w:val="none" w:sz="0" w:space="0" w:color="auto" w:frame="1"/>
          <w:lang w:eastAsia="cs-CZ"/>
        </w:rPr>
        <w:t xml:space="preserve"> </w:t>
      </w:r>
      <w:proofErr w:type="spellStart"/>
      <w:r w:rsidRPr="00AD7516">
        <w:rPr>
          <w:bdr w:val="none" w:sz="0" w:space="0" w:color="auto" w:frame="1"/>
          <w:lang w:eastAsia="cs-CZ"/>
        </w:rPr>
        <w:t>significance</w:t>
      </w:r>
      <w:proofErr w:type="spellEnd"/>
      <w:r w:rsidRPr="00AD7516">
        <w:rPr>
          <w:bdr w:val="none" w:sz="0" w:space="0" w:color="auto" w:frame="1"/>
          <w:lang w:eastAsia="cs-CZ"/>
        </w:rPr>
        <w:t xml:space="preserve"> </w:t>
      </w:r>
      <w:proofErr w:type="spellStart"/>
      <w:r w:rsidRPr="00AD7516">
        <w:rPr>
          <w:bdr w:val="none" w:sz="0" w:space="0" w:color="auto" w:frame="1"/>
          <w:lang w:eastAsia="cs-CZ"/>
        </w:rPr>
        <w:t>of</w:t>
      </w:r>
      <w:proofErr w:type="spellEnd"/>
      <w:r w:rsidRPr="00AD7516">
        <w:rPr>
          <w:bdr w:val="none" w:sz="0" w:space="0" w:color="auto" w:frame="1"/>
          <w:lang w:eastAsia="cs-CZ"/>
        </w:rPr>
        <w:t xml:space="preserve"> copy-</w:t>
      </w:r>
      <w:proofErr w:type="spellStart"/>
      <w:r w:rsidRPr="00AD7516">
        <w:rPr>
          <w:bdr w:val="none" w:sz="0" w:space="0" w:color="auto" w:frame="1"/>
          <w:lang w:eastAsia="cs-CZ"/>
        </w:rPr>
        <w:t>number</w:t>
      </w:r>
      <w:proofErr w:type="spellEnd"/>
      <w:r w:rsidRPr="00AD7516">
        <w:rPr>
          <w:bdr w:val="none" w:sz="0" w:space="0" w:color="auto" w:frame="1"/>
          <w:lang w:eastAsia="cs-CZ"/>
        </w:rPr>
        <w:t xml:space="preserve"> </w:t>
      </w:r>
      <w:proofErr w:type="spellStart"/>
      <w:r w:rsidRPr="00AD7516">
        <w:rPr>
          <w:bdr w:val="none" w:sz="0" w:space="0" w:color="auto" w:frame="1"/>
          <w:lang w:eastAsia="cs-CZ"/>
        </w:rPr>
        <w:t>alterations</w:t>
      </w:r>
      <w:proofErr w:type="spellEnd"/>
      <w:r w:rsidRPr="00AD7516">
        <w:rPr>
          <w:bdr w:val="none" w:sz="0" w:space="0" w:color="auto" w:frame="1"/>
          <w:lang w:eastAsia="cs-CZ"/>
        </w:rPr>
        <w:t xml:space="preserve"> in </w:t>
      </w:r>
      <w:proofErr w:type="spellStart"/>
      <w:r w:rsidRPr="00AD7516">
        <w:rPr>
          <w:bdr w:val="none" w:sz="0" w:space="0" w:color="auto" w:frame="1"/>
          <w:lang w:eastAsia="cs-CZ"/>
        </w:rPr>
        <w:t>multiple</w:t>
      </w:r>
      <w:proofErr w:type="spellEnd"/>
      <w:r w:rsidRPr="00AD7516">
        <w:rPr>
          <w:bdr w:val="none" w:sz="0" w:space="0" w:color="auto" w:frame="1"/>
          <w:lang w:eastAsia="cs-CZ"/>
        </w:rPr>
        <w:t xml:space="preserve"> </w:t>
      </w:r>
      <w:proofErr w:type="spellStart"/>
      <w:r w:rsidRPr="00AD7516">
        <w:rPr>
          <w:bdr w:val="none" w:sz="0" w:space="0" w:color="auto" w:frame="1"/>
          <w:lang w:eastAsia="cs-CZ"/>
        </w:rPr>
        <w:t>myeloma</w:t>
      </w:r>
      <w:proofErr w:type="spellEnd"/>
      <w:r w:rsidRPr="00AD7516">
        <w:rPr>
          <w:bdr w:val="none" w:sz="0" w:space="0" w:color="auto" w:frame="1"/>
          <w:lang w:eastAsia="cs-CZ"/>
        </w:rPr>
        <w:t xml:space="preserve">. J </w:t>
      </w:r>
      <w:proofErr w:type="spellStart"/>
      <w:r w:rsidRPr="00AD7516">
        <w:rPr>
          <w:bdr w:val="none" w:sz="0" w:space="0" w:color="auto" w:frame="1"/>
          <w:lang w:eastAsia="cs-CZ"/>
        </w:rPr>
        <w:t>Clin</w:t>
      </w:r>
      <w:proofErr w:type="spellEnd"/>
      <w:r w:rsidRPr="00AD7516">
        <w:rPr>
          <w:bdr w:val="none" w:sz="0" w:space="0" w:color="auto" w:frame="1"/>
          <w:lang w:eastAsia="cs-CZ"/>
        </w:rPr>
        <w:t xml:space="preserve"> </w:t>
      </w:r>
      <w:proofErr w:type="spellStart"/>
      <w:r w:rsidRPr="00AD7516">
        <w:rPr>
          <w:bdr w:val="none" w:sz="0" w:space="0" w:color="auto" w:frame="1"/>
          <w:lang w:eastAsia="cs-CZ"/>
        </w:rPr>
        <w:t>Oncol</w:t>
      </w:r>
      <w:proofErr w:type="spellEnd"/>
      <w:r w:rsidRPr="00AD7516">
        <w:rPr>
          <w:bdr w:val="none" w:sz="0" w:space="0" w:color="auto" w:frame="1"/>
          <w:lang w:eastAsia="cs-CZ"/>
        </w:rPr>
        <w:t> </w:t>
      </w:r>
      <w:r w:rsidRPr="00AD7516">
        <w:rPr>
          <w:i/>
          <w:iCs/>
          <w:bdr w:val="none" w:sz="0" w:space="0" w:color="auto" w:frame="1"/>
          <w:lang w:eastAsia="cs-CZ"/>
        </w:rPr>
        <w:t>27</w:t>
      </w:r>
      <w:r w:rsidRPr="00AD7516">
        <w:rPr>
          <w:bdr w:val="none" w:sz="0" w:space="0" w:color="auto" w:frame="1"/>
          <w:lang w:eastAsia="cs-CZ"/>
        </w:rPr>
        <w:t>(27): 4585-4590, 2009</w:t>
      </w:r>
      <w:r w:rsidRPr="00AD7516">
        <w:rPr>
          <w:lang w:eastAsia="cs-CZ"/>
        </w:rPr>
        <w:t xml:space="preserve"> </w:t>
      </w:r>
    </w:p>
    <w:p w:rsidR="00A4561C" w:rsidRPr="00AD7516" w:rsidRDefault="00A4561C" w:rsidP="00A4561C">
      <w:pPr>
        <w:spacing w:line="240" w:lineRule="auto"/>
        <w:rPr>
          <w:lang w:eastAsia="cs-CZ"/>
        </w:rPr>
      </w:pPr>
      <w:proofErr w:type="spellStart"/>
      <w:r w:rsidRPr="00AD7516">
        <w:rPr>
          <w:lang w:eastAsia="cs-CZ"/>
        </w:rPr>
        <w:t>Armitage</w:t>
      </w:r>
      <w:proofErr w:type="spellEnd"/>
      <w:r w:rsidRPr="00AD7516">
        <w:rPr>
          <w:lang w:eastAsia="cs-CZ"/>
        </w:rPr>
        <w:t xml:space="preserve">, J. O, </w:t>
      </w:r>
      <w:r w:rsidR="00F41DE4">
        <w:rPr>
          <w:lang w:eastAsia="cs-CZ"/>
        </w:rPr>
        <w:t xml:space="preserve">et al. </w:t>
      </w:r>
      <w:r w:rsidRPr="00AD7516">
        <w:rPr>
          <w:lang w:eastAsia="cs-CZ"/>
        </w:rPr>
        <w:t xml:space="preserve"> Non-</w:t>
      </w:r>
      <w:proofErr w:type="spellStart"/>
      <w:r w:rsidRPr="00AD7516">
        <w:rPr>
          <w:lang w:eastAsia="cs-CZ"/>
        </w:rPr>
        <w:t>Hodgkin</w:t>
      </w:r>
      <w:proofErr w:type="spellEnd"/>
      <w:r w:rsidRPr="00AD7516">
        <w:rPr>
          <w:lang w:eastAsia="cs-CZ"/>
        </w:rPr>
        <w:t xml:space="preserve"> </w:t>
      </w:r>
      <w:proofErr w:type="spellStart"/>
      <w:r w:rsidRPr="00AD7516">
        <w:rPr>
          <w:lang w:eastAsia="cs-CZ"/>
        </w:rPr>
        <w:t>lymphoma</w:t>
      </w:r>
      <w:proofErr w:type="spellEnd"/>
      <w:r w:rsidRPr="00AD7516">
        <w:rPr>
          <w:lang w:eastAsia="cs-CZ"/>
        </w:rPr>
        <w:t xml:space="preserve">. </w:t>
      </w:r>
      <w:r w:rsidRPr="00AD7516">
        <w:rPr>
          <w:i/>
          <w:iCs/>
          <w:lang w:eastAsia="cs-CZ"/>
        </w:rPr>
        <w:t xml:space="preserve">Lancet </w:t>
      </w:r>
      <w:r w:rsidRPr="00AD7516">
        <w:rPr>
          <w:bCs/>
          <w:lang w:eastAsia="cs-CZ"/>
        </w:rPr>
        <w:t>390</w:t>
      </w:r>
      <w:r w:rsidRPr="00AD7516">
        <w:rPr>
          <w:lang w:eastAsia="cs-CZ"/>
        </w:rPr>
        <w:t>, 298-</w:t>
      </w:r>
      <w:proofErr w:type="gramStart"/>
      <w:r w:rsidRPr="00AD7516">
        <w:rPr>
          <w:lang w:eastAsia="cs-CZ"/>
        </w:rPr>
        <w:t>310,doi</w:t>
      </w:r>
      <w:proofErr w:type="gramEnd"/>
      <w:r w:rsidRPr="00AD7516">
        <w:rPr>
          <w:lang w:eastAsia="cs-CZ"/>
        </w:rPr>
        <w:t xml:space="preserve">:10.1016/S0140-6736(16)32407-2 (2017). </w:t>
      </w:r>
    </w:p>
    <w:p w:rsidR="00A4561C" w:rsidRPr="00AD7516" w:rsidRDefault="00A4561C" w:rsidP="00A4561C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proofErr w:type="spellStart"/>
      <w:r w:rsidRPr="00AD7516">
        <w:rPr>
          <w:rFonts w:cs="Times New Roman"/>
          <w:szCs w:val="24"/>
        </w:rPr>
        <w:t>Baccarani</w:t>
      </w:r>
      <w:proofErr w:type="spellEnd"/>
      <w:r w:rsidRPr="00AD7516">
        <w:rPr>
          <w:rFonts w:cs="Times New Roman"/>
          <w:szCs w:val="24"/>
        </w:rPr>
        <w:t xml:space="preserve"> M, </w:t>
      </w:r>
      <w:r w:rsidR="00F41DE4">
        <w:rPr>
          <w:rFonts w:cs="Times New Roman"/>
          <w:szCs w:val="24"/>
        </w:rPr>
        <w:t>et al</w:t>
      </w:r>
      <w:r w:rsidRPr="00AD7516">
        <w:rPr>
          <w:rFonts w:cs="Times New Roman"/>
          <w:szCs w:val="24"/>
        </w:rPr>
        <w:t xml:space="preserve">. A </w:t>
      </w:r>
      <w:proofErr w:type="spellStart"/>
      <w:r w:rsidRPr="00AD7516">
        <w:rPr>
          <w:rFonts w:cs="Times New Roman"/>
          <w:szCs w:val="24"/>
        </w:rPr>
        <w:t>review</w:t>
      </w:r>
      <w:proofErr w:type="spellEnd"/>
      <w:r w:rsidRPr="00AD7516">
        <w:rPr>
          <w:rFonts w:cs="Times New Roman"/>
          <w:szCs w:val="24"/>
        </w:rPr>
        <w:t xml:space="preserve"> </w:t>
      </w:r>
      <w:proofErr w:type="spellStart"/>
      <w:r w:rsidRPr="00AD7516">
        <w:rPr>
          <w:rFonts w:cs="Times New Roman"/>
          <w:szCs w:val="24"/>
        </w:rPr>
        <w:t>of</w:t>
      </w:r>
      <w:proofErr w:type="spellEnd"/>
      <w:r w:rsidRPr="00AD7516">
        <w:rPr>
          <w:rFonts w:cs="Times New Roman"/>
          <w:szCs w:val="24"/>
        </w:rPr>
        <w:t xml:space="preserve"> </w:t>
      </w:r>
      <w:proofErr w:type="spellStart"/>
      <w:r w:rsidRPr="00AD7516">
        <w:rPr>
          <w:rFonts w:cs="Times New Roman"/>
          <w:szCs w:val="24"/>
        </w:rPr>
        <w:t>the</w:t>
      </w:r>
      <w:proofErr w:type="spellEnd"/>
      <w:r w:rsidRPr="00AD7516">
        <w:rPr>
          <w:rFonts w:cs="Times New Roman"/>
          <w:szCs w:val="24"/>
        </w:rPr>
        <w:t xml:space="preserve"> </w:t>
      </w:r>
      <w:proofErr w:type="spellStart"/>
      <w:r w:rsidRPr="00AD7516">
        <w:rPr>
          <w:rFonts w:cs="Times New Roman"/>
          <w:szCs w:val="24"/>
        </w:rPr>
        <w:t>European</w:t>
      </w:r>
      <w:proofErr w:type="spellEnd"/>
      <w:r w:rsidRPr="00AD7516">
        <w:rPr>
          <w:rFonts w:cs="Times New Roman"/>
          <w:szCs w:val="24"/>
        </w:rPr>
        <w:t xml:space="preserve"> </w:t>
      </w:r>
      <w:proofErr w:type="spellStart"/>
      <w:r w:rsidRPr="00AD7516">
        <w:rPr>
          <w:rFonts w:cs="Times New Roman"/>
          <w:szCs w:val="24"/>
        </w:rPr>
        <w:t>LeukemiaNet</w:t>
      </w:r>
      <w:proofErr w:type="spellEnd"/>
      <w:r w:rsidRPr="00AD7516">
        <w:rPr>
          <w:rFonts w:cs="Times New Roman"/>
          <w:szCs w:val="24"/>
        </w:rPr>
        <w:t xml:space="preserve"> </w:t>
      </w:r>
      <w:proofErr w:type="spellStart"/>
      <w:r w:rsidRPr="00AD7516">
        <w:rPr>
          <w:rFonts w:cs="Times New Roman"/>
          <w:szCs w:val="24"/>
        </w:rPr>
        <w:t>recommendations</w:t>
      </w:r>
      <w:proofErr w:type="spellEnd"/>
      <w:r w:rsidRPr="00AD7516">
        <w:rPr>
          <w:rFonts w:cs="Times New Roman"/>
          <w:szCs w:val="24"/>
        </w:rPr>
        <w:t xml:space="preserve"> </w:t>
      </w:r>
      <w:proofErr w:type="spellStart"/>
      <w:r w:rsidRPr="00AD7516">
        <w:rPr>
          <w:rFonts w:cs="Times New Roman"/>
          <w:szCs w:val="24"/>
        </w:rPr>
        <w:t>for</w:t>
      </w:r>
      <w:proofErr w:type="spellEnd"/>
      <w:r w:rsidRPr="00AD7516">
        <w:rPr>
          <w:rFonts w:cs="Times New Roman"/>
          <w:szCs w:val="24"/>
        </w:rPr>
        <w:t xml:space="preserve"> </w:t>
      </w:r>
      <w:proofErr w:type="spellStart"/>
      <w:r w:rsidRPr="00AD7516">
        <w:rPr>
          <w:rFonts w:cs="Times New Roman"/>
          <w:szCs w:val="24"/>
        </w:rPr>
        <w:t>the</w:t>
      </w:r>
      <w:proofErr w:type="spellEnd"/>
      <w:r w:rsidRPr="00AD7516">
        <w:rPr>
          <w:rFonts w:cs="Times New Roman"/>
          <w:szCs w:val="24"/>
        </w:rPr>
        <w:t xml:space="preserve"> management </w:t>
      </w:r>
      <w:proofErr w:type="spellStart"/>
      <w:r w:rsidRPr="00AD7516">
        <w:rPr>
          <w:rFonts w:cs="Times New Roman"/>
          <w:szCs w:val="24"/>
        </w:rPr>
        <w:t>of</w:t>
      </w:r>
      <w:proofErr w:type="spellEnd"/>
      <w:r w:rsidRPr="00AD7516">
        <w:rPr>
          <w:rFonts w:cs="Times New Roman"/>
          <w:szCs w:val="24"/>
        </w:rPr>
        <w:t xml:space="preserve"> CML. Ann </w:t>
      </w:r>
      <w:proofErr w:type="spellStart"/>
      <w:r w:rsidRPr="00AD7516">
        <w:rPr>
          <w:rFonts w:cs="Times New Roman"/>
          <w:szCs w:val="24"/>
        </w:rPr>
        <w:t>Hematol</w:t>
      </w:r>
      <w:proofErr w:type="spellEnd"/>
      <w:r w:rsidRPr="00AD7516">
        <w:rPr>
          <w:rFonts w:cs="Times New Roman"/>
          <w:szCs w:val="24"/>
        </w:rPr>
        <w:t>. 2015;</w:t>
      </w:r>
    </w:p>
    <w:p w:rsidR="00A4561C" w:rsidRPr="00AD7516" w:rsidRDefault="00A4561C" w:rsidP="00A4561C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A4561C" w:rsidRPr="00AD7516" w:rsidRDefault="00A4561C" w:rsidP="00A4561C">
      <w:pPr>
        <w:spacing w:line="240" w:lineRule="auto"/>
      </w:pPr>
      <w:proofErr w:type="spellStart"/>
      <w:r w:rsidRPr="00AD7516">
        <w:t>Butt</w:t>
      </w:r>
      <w:proofErr w:type="spellEnd"/>
      <w:r w:rsidRPr="00AD7516">
        <w:t xml:space="preserve"> NM, et al. </w:t>
      </w:r>
      <w:proofErr w:type="spellStart"/>
      <w:r w:rsidRPr="00AD7516">
        <w:t>Guideline</w:t>
      </w:r>
      <w:proofErr w:type="spellEnd"/>
      <w:r w:rsidRPr="00AD7516">
        <w:t xml:space="preserve"> </w:t>
      </w:r>
      <w:proofErr w:type="spellStart"/>
      <w:r w:rsidRPr="00AD7516">
        <w:t>for</w:t>
      </w:r>
      <w:proofErr w:type="spellEnd"/>
      <w:r w:rsidRPr="00AD7516">
        <w:t xml:space="preserve"> </w:t>
      </w:r>
      <w:proofErr w:type="spellStart"/>
      <w:r w:rsidRPr="00AD7516">
        <w:t>the</w:t>
      </w:r>
      <w:proofErr w:type="spellEnd"/>
      <w:r w:rsidRPr="00AD7516">
        <w:t xml:space="preserve"> </w:t>
      </w:r>
      <w:proofErr w:type="spellStart"/>
      <w:r w:rsidRPr="00AD7516">
        <w:t>investigation</w:t>
      </w:r>
      <w:proofErr w:type="spellEnd"/>
      <w:r w:rsidRPr="00AD7516">
        <w:t xml:space="preserve"> and management </w:t>
      </w:r>
      <w:proofErr w:type="spellStart"/>
      <w:r w:rsidRPr="00AD7516">
        <w:t>of</w:t>
      </w:r>
      <w:proofErr w:type="spellEnd"/>
      <w:r w:rsidRPr="00AD7516">
        <w:t xml:space="preserve"> </w:t>
      </w:r>
      <w:proofErr w:type="spellStart"/>
      <w:r w:rsidRPr="00AD7516">
        <w:t>eosinophilia</w:t>
      </w:r>
      <w:proofErr w:type="spellEnd"/>
      <w:r w:rsidRPr="00AD7516">
        <w:t xml:space="preserve">. Br J </w:t>
      </w:r>
      <w:proofErr w:type="spellStart"/>
      <w:r w:rsidRPr="00AD7516">
        <w:t>Haematol</w:t>
      </w:r>
      <w:proofErr w:type="spellEnd"/>
      <w:r w:rsidRPr="00AD7516">
        <w:t xml:space="preserve">. </w:t>
      </w:r>
      <w:proofErr w:type="gramStart"/>
      <w:r w:rsidRPr="00AD7516">
        <w:t>2017;176:553</w:t>
      </w:r>
      <w:proofErr w:type="gramEnd"/>
      <w:r w:rsidRPr="00AD7516">
        <w:t>–72.</w:t>
      </w:r>
    </w:p>
    <w:p w:rsidR="003B4869" w:rsidRPr="00AD7516" w:rsidRDefault="0013161E" w:rsidP="00A4561C">
      <w:pPr>
        <w:spacing w:after="0" w:line="240" w:lineRule="auto"/>
        <w:rPr>
          <w:rFonts w:eastAsia="Times New Roman" w:cs="Times New Roman"/>
          <w:szCs w:val="24"/>
          <w:lang w:eastAsia="cs-CZ"/>
        </w:rPr>
      </w:pPr>
      <w:proofErr w:type="spellStart"/>
      <w:r w:rsidRPr="00AD7516">
        <w:rPr>
          <w:rFonts w:eastAsia="Times New Roman" w:cs="Times New Roman"/>
          <w:color w:val="1A1A1A"/>
          <w:szCs w:val="24"/>
          <w:shd w:val="clear" w:color="auto" w:fill="FFFFFF"/>
          <w:lang w:eastAsia="cs-CZ"/>
        </w:rPr>
        <w:t>Decker</w:t>
      </w:r>
      <w:proofErr w:type="spellEnd"/>
      <w:r w:rsidRPr="00AD7516">
        <w:rPr>
          <w:rFonts w:eastAsia="Times New Roman" w:cs="Times New Roman"/>
          <w:color w:val="1A1A1A"/>
          <w:szCs w:val="24"/>
          <w:shd w:val="clear" w:color="auto" w:fill="FFFFFF"/>
          <w:lang w:eastAsia="cs-CZ"/>
        </w:rPr>
        <w:t xml:space="preserve"> T, </w:t>
      </w:r>
      <w:proofErr w:type="spellStart"/>
      <w:r w:rsidRPr="00AD7516">
        <w:rPr>
          <w:rFonts w:eastAsia="Times New Roman" w:cs="Times New Roman"/>
          <w:color w:val="1A1A1A"/>
          <w:szCs w:val="24"/>
          <w:shd w:val="clear" w:color="auto" w:fill="FFFFFF"/>
          <w:lang w:eastAsia="cs-CZ"/>
        </w:rPr>
        <w:t>Schneller</w:t>
      </w:r>
      <w:proofErr w:type="spellEnd"/>
      <w:r w:rsidRPr="00AD7516">
        <w:rPr>
          <w:rFonts w:eastAsia="Times New Roman" w:cs="Times New Roman"/>
          <w:color w:val="1A1A1A"/>
          <w:szCs w:val="24"/>
          <w:shd w:val="clear" w:color="auto" w:fill="FFFFFF"/>
          <w:lang w:eastAsia="cs-CZ"/>
        </w:rPr>
        <w:t xml:space="preserve"> F, </w:t>
      </w:r>
      <w:proofErr w:type="spellStart"/>
      <w:r w:rsidRPr="00AD7516">
        <w:rPr>
          <w:rFonts w:eastAsia="Times New Roman" w:cs="Times New Roman"/>
          <w:color w:val="1A1A1A"/>
          <w:szCs w:val="24"/>
          <w:shd w:val="clear" w:color="auto" w:fill="FFFFFF"/>
          <w:lang w:eastAsia="cs-CZ"/>
        </w:rPr>
        <w:t>Kronschnabl</w:t>
      </w:r>
      <w:proofErr w:type="spellEnd"/>
      <w:r w:rsidRPr="00AD7516">
        <w:rPr>
          <w:rFonts w:eastAsia="Times New Roman" w:cs="Times New Roman"/>
          <w:color w:val="1A1A1A"/>
          <w:szCs w:val="24"/>
          <w:shd w:val="clear" w:color="auto" w:fill="FFFFFF"/>
          <w:lang w:eastAsia="cs-CZ"/>
        </w:rPr>
        <w:t xml:space="preserve"> M, et al. </w:t>
      </w:r>
      <w:proofErr w:type="spellStart"/>
      <w:r w:rsidRPr="00AD7516">
        <w:rPr>
          <w:rFonts w:eastAsia="Times New Roman" w:cs="Times New Roman"/>
          <w:color w:val="1A1A1A"/>
          <w:szCs w:val="24"/>
          <w:shd w:val="clear" w:color="auto" w:fill="FFFFFF"/>
          <w:lang w:eastAsia="cs-CZ"/>
        </w:rPr>
        <w:t>Immunostimulatory</w:t>
      </w:r>
      <w:proofErr w:type="spellEnd"/>
      <w:r w:rsidRPr="00AD7516">
        <w:rPr>
          <w:rFonts w:eastAsia="Times New Roman" w:cs="Times New Roman"/>
          <w:color w:val="1A1A1A"/>
          <w:szCs w:val="24"/>
          <w:shd w:val="clear" w:color="auto" w:fill="FFFFFF"/>
          <w:lang w:eastAsia="cs-CZ"/>
        </w:rPr>
        <w:t xml:space="preserve"> </w:t>
      </w:r>
      <w:proofErr w:type="spellStart"/>
      <w:r w:rsidRPr="00AD7516">
        <w:rPr>
          <w:rFonts w:eastAsia="Times New Roman" w:cs="Times New Roman"/>
          <w:color w:val="1A1A1A"/>
          <w:szCs w:val="24"/>
          <w:shd w:val="clear" w:color="auto" w:fill="FFFFFF"/>
          <w:lang w:eastAsia="cs-CZ"/>
        </w:rPr>
        <w:t>CpG-oligonucleotides</w:t>
      </w:r>
      <w:proofErr w:type="spellEnd"/>
      <w:r w:rsidRPr="00AD7516">
        <w:rPr>
          <w:rFonts w:eastAsia="Times New Roman" w:cs="Times New Roman"/>
          <w:color w:val="1A1A1A"/>
          <w:szCs w:val="24"/>
          <w:shd w:val="clear" w:color="auto" w:fill="FFFFFF"/>
          <w:lang w:eastAsia="cs-CZ"/>
        </w:rPr>
        <w:t xml:space="preserve"> </w:t>
      </w:r>
      <w:proofErr w:type="spellStart"/>
      <w:r w:rsidRPr="00AD7516">
        <w:rPr>
          <w:rFonts w:eastAsia="Times New Roman" w:cs="Times New Roman"/>
          <w:color w:val="1A1A1A"/>
          <w:szCs w:val="24"/>
          <w:shd w:val="clear" w:color="auto" w:fill="FFFFFF"/>
          <w:lang w:eastAsia="cs-CZ"/>
        </w:rPr>
        <w:t>induce</w:t>
      </w:r>
      <w:proofErr w:type="spellEnd"/>
      <w:r w:rsidRPr="00AD7516">
        <w:rPr>
          <w:rFonts w:eastAsia="Times New Roman" w:cs="Times New Roman"/>
          <w:color w:val="1A1A1A"/>
          <w:szCs w:val="24"/>
          <w:shd w:val="clear" w:color="auto" w:fill="FFFFFF"/>
          <w:lang w:eastAsia="cs-CZ"/>
        </w:rPr>
        <w:t xml:space="preserve"> </w:t>
      </w:r>
      <w:proofErr w:type="spellStart"/>
      <w:r w:rsidRPr="00AD7516">
        <w:rPr>
          <w:rFonts w:eastAsia="Times New Roman" w:cs="Times New Roman"/>
          <w:color w:val="1A1A1A"/>
          <w:szCs w:val="24"/>
          <w:shd w:val="clear" w:color="auto" w:fill="FFFFFF"/>
          <w:lang w:eastAsia="cs-CZ"/>
        </w:rPr>
        <w:t>functional</w:t>
      </w:r>
      <w:proofErr w:type="spellEnd"/>
      <w:r w:rsidRPr="00AD7516">
        <w:rPr>
          <w:rFonts w:eastAsia="Times New Roman" w:cs="Times New Roman"/>
          <w:color w:val="1A1A1A"/>
          <w:szCs w:val="24"/>
          <w:shd w:val="clear" w:color="auto" w:fill="FFFFFF"/>
          <w:lang w:eastAsia="cs-CZ"/>
        </w:rPr>
        <w:t xml:space="preserve"> </w:t>
      </w:r>
      <w:proofErr w:type="spellStart"/>
      <w:r w:rsidRPr="00AD7516">
        <w:rPr>
          <w:rFonts w:eastAsia="Times New Roman" w:cs="Times New Roman"/>
          <w:color w:val="1A1A1A"/>
          <w:szCs w:val="24"/>
          <w:shd w:val="clear" w:color="auto" w:fill="FFFFFF"/>
          <w:lang w:eastAsia="cs-CZ"/>
        </w:rPr>
        <w:t>high</w:t>
      </w:r>
      <w:proofErr w:type="spellEnd"/>
      <w:r w:rsidRPr="00AD7516">
        <w:rPr>
          <w:rFonts w:eastAsia="Times New Roman" w:cs="Times New Roman"/>
          <w:color w:val="1A1A1A"/>
          <w:szCs w:val="24"/>
          <w:shd w:val="clear" w:color="auto" w:fill="FFFFFF"/>
          <w:lang w:eastAsia="cs-CZ"/>
        </w:rPr>
        <w:t xml:space="preserve"> </w:t>
      </w:r>
      <w:proofErr w:type="spellStart"/>
      <w:r w:rsidRPr="00AD7516">
        <w:rPr>
          <w:rFonts w:eastAsia="Times New Roman" w:cs="Times New Roman"/>
          <w:color w:val="1A1A1A"/>
          <w:szCs w:val="24"/>
          <w:shd w:val="clear" w:color="auto" w:fill="FFFFFF"/>
          <w:lang w:eastAsia="cs-CZ"/>
        </w:rPr>
        <w:t>affinity</w:t>
      </w:r>
      <w:proofErr w:type="spellEnd"/>
      <w:r w:rsidRPr="00AD7516">
        <w:rPr>
          <w:rFonts w:eastAsia="Times New Roman" w:cs="Times New Roman"/>
          <w:color w:val="1A1A1A"/>
          <w:szCs w:val="24"/>
          <w:shd w:val="clear" w:color="auto" w:fill="FFFFFF"/>
          <w:lang w:eastAsia="cs-CZ"/>
        </w:rPr>
        <w:t xml:space="preserve"> IL-2 </w:t>
      </w:r>
      <w:proofErr w:type="spellStart"/>
      <w:r w:rsidRPr="00AD7516">
        <w:rPr>
          <w:rFonts w:eastAsia="Times New Roman" w:cs="Times New Roman"/>
          <w:color w:val="1A1A1A"/>
          <w:szCs w:val="24"/>
          <w:shd w:val="clear" w:color="auto" w:fill="FFFFFF"/>
          <w:lang w:eastAsia="cs-CZ"/>
        </w:rPr>
        <w:t>receptors</w:t>
      </w:r>
      <w:proofErr w:type="spellEnd"/>
      <w:r w:rsidRPr="00AD7516">
        <w:rPr>
          <w:rFonts w:eastAsia="Times New Roman" w:cs="Times New Roman"/>
          <w:color w:val="1A1A1A"/>
          <w:szCs w:val="24"/>
          <w:shd w:val="clear" w:color="auto" w:fill="FFFFFF"/>
          <w:lang w:eastAsia="cs-CZ"/>
        </w:rPr>
        <w:t xml:space="preserve"> on B-CLL </w:t>
      </w:r>
      <w:proofErr w:type="spellStart"/>
      <w:r w:rsidRPr="00AD7516">
        <w:rPr>
          <w:rFonts w:eastAsia="Times New Roman" w:cs="Times New Roman"/>
          <w:color w:val="1A1A1A"/>
          <w:szCs w:val="24"/>
          <w:shd w:val="clear" w:color="auto" w:fill="FFFFFF"/>
          <w:lang w:eastAsia="cs-CZ"/>
        </w:rPr>
        <w:t>cells</w:t>
      </w:r>
      <w:proofErr w:type="spellEnd"/>
      <w:r w:rsidRPr="00AD7516">
        <w:rPr>
          <w:rFonts w:eastAsia="Times New Roman" w:cs="Times New Roman"/>
          <w:color w:val="1A1A1A"/>
          <w:szCs w:val="24"/>
          <w:shd w:val="clear" w:color="auto" w:fill="FFFFFF"/>
          <w:lang w:eastAsia="cs-CZ"/>
        </w:rPr>
        <w:t xml:space="preserve">: </w:t>
      </w:r>
      <w:proofErr w:type="spellStart"/>
      <w:r w:rsidRPr="00AD7516">
        <w:rPr>
          <w:rFonts w:eastAsia="Times New Roman" w:cs="Times New Roman"/>
          <w:color w:val="1A1A1A"/>
          <w:szCs w:val="24"/>
          <w:shd w:val="clear" w:color="auto" w:fill="FFFFFF"/>
          <w:lang w:eastAsia="cs-CZ"/>
        </w:rPr>
        <w:t>costimulation</w:t>
      </w:r>
      <w:proofErr w:type="spellEnd"/>
      <w:r w:rsidRPr="00AD7516">
        <w:rPr>
          <w:rFonts w:eastAsia="Times New Roman" w:cs="Times New Roman"/>
          <w:color w:val="1A1A1A"/>
          <w:szCs w:val="24"/>
          <w:shd w:val="clear" w:color="auto" w:fill="FFFFFF"/>
          <w:lang w:eastAsia="cs-CZ"/>
        </w:rPr>
        <w:t xml:space="preserve"> </w:t>
      </w:r>
      <w:proofErr w:type="spellStart"/>
      <w:r w:rsidRPr="00AD7516">
        <w:rPr>
          <w:rFonts w:eastAsia="Times New Roman" w:cs="Times New Roman"/>
          <w:color w:val="1A1A1A"/>
          <w:szCs w:val="24"/>
          <w:shd w:val="clear" w:color="auto" w:fill="FFFFFF"/>
          <w:lang w:eastAsia="cs-CZ"/>
        </w:rPr>
        <w:t>with</w:t>
      </w:r>
      <w:proofErr w:type="spellEnd"/>
      <w:r w:rsidRPr="00AD7516">
        <w:rPr>
          <w:rFonts w:eastAsia="Times New Roman" w:cs="Times New Roman"/>
          <w:color w:val="1A1A1A"/>
          <w:szCs w:val="24"/>
          <w:shd w:val="clear" w:color="auto" w:fill="FFFFFF"/>
          <w:lang w:eastAsia="cs-CZ"/>
        </w:rPr>
        <w:t xml:space="preserve"> IL-2 </w:t>
      </w:r>
      <w:proofErr w:type="spellStart"/>
      <w:r w:rsidRPr="00AD7516">
        <w:rPr>
          <w:rFonts w:eastAsia="Times New Roman" w:cs="Times New Roman"/>
          <w:color w:val="1A1A1A"/>
          <w:szCs w:val="24"/>
          <w:shd w:val="clear" w:color="auto" w:fill="FFFFFF"/>
          <w:lang w:eastAsia="cs-CZ"/>
        </w:rPr>
        <w:t>results</w:t>
      </w:r>
      <w:proofErr w:type="spellEnd"/>
      <w:r w:rsidRPr="00AD7516">
        <w:rPr>
          <w:rFonts w:eastAsia="Times New Roman" w:cs="Times New Roman"/>
          <w:color w:val="1A1A1A"/>
          <w:szCs w:val="24"/>
          <w:shd w:val="clear" w:color="auto" w:fill="FFFFFF"/>
          <w:lang w:eastAsia="cs-CZ"/>
        </w:rPr>
        <w:t xml:space="preserve"> in a </w:t>
      </w:r>
      <w:proofErr w:type="spellStart"/>
      <w:r w:rsidRPr="00AD7516">
        <w:rPr>
          <w:rFonts w:eastAsia="Times New Roman" w:cs="Times New Roman"/>
          <w:color w:val="1A1A1A"/>
          <w:szCs w:val="24"/>
          <w:shd w:val="clear" w:color="auto" w:fill="FFFFFF"/>
          <w:lang w:eastAsia="cs-CZ"/>
        </w:rPr>
        <w:t>highly</w:t>
      </w:r>
      <w:proofErr w:type="spellEnd"/>
      <w:r w:rsidRPr="00AD7516">
        <w:rPr>
          <w:rFonts w:eastAsia="Times New Roman" w:cs="Times New Roman"/>
          <w:color w:val="1A1A1A"/>
          <w:szCs w:val="24"/>
          <w:shd w:val="clear" w:color="auto" w:fill="FFFFFF"/>
          <w:lang w:eastAsia="cs-CZ"/>
        </w:rPr>
        <w:t xml:space="preserve"> </w:t>
      </w:r>
      <w:proofErr w:type="spellStart"/>
      <w:r w:rsidRPr="00AD7516">
        <w:rPr>
          <w:rFonts w:eastAsia="Times New Roman" w:cs="Times New Roman"/>
          <w:color w:val="1A1A1A"/>
          <w:szCs w:val="24"/>
          <w:shd w:val="clear" w:color="auto" w:fill="FFFFFF"/>
          <w:lang w:eastAsia="cs-CZ"/>
        </w:rPr>
        <w:t>immunogenic</w:t>
      </w:r>
      <w:proofErr w:type="spellEnd"/>
      <w:r w:rsidRPr="00AD7516">
        <w:rPr>
          <w:rFonts w:eastAsia="Times New Roman" w:cs="Times New Roman"/>
          <w:color w:val="1A1A1A"/>
          <w:szCs w:val="24"/>
          <w:shd w:val="clear" w:color="auto" w:fill="FFFFFF"/>
          <w:lang w:eastAsia="cs-CZ"/>
        </w:rPr>
        <w:t xml:space="preserve"> </w:t>
      </w:r>
      <w:proofErr w:type="spellStart"/>
      <w:r w:rsidRPr="00AD7516">
        <w:rPr>
          <w:rFonts w:eastAsia="Times New Roman" w:cs="Times New Roman"/>
          <w:color w:val="1A1A1A"/>
          <w:szCs w:val="24"/>
          <w:shd w:val="clear" w:color="auto" w:fill="FFFFFF"/>
          <w:lang w:eastAsia="cs-CZ"/>
        </w:rPr>
        <w:t>phenotype</w:t>
      </w:r>
      <w:proofErr w:type="spellEnd"/>
      <w:r w:rsidRPr="00AD7516">
        <w:rPr>
          <w:rFonts w:eastAsia="Times New Roman" w:cs="Times New Roman"/>
          <w:color w:val="1A1A1A"/>
          <w:szCs w:val="24"/>
          <w:shd w:val="clear" w:color="auto" w:fill="FFFFFF"/>
          <w:lang w:eastAsia="cs-CZ"/>
        </w:rPr>
        <w:t>. </w:t>
      </w:r>
      <w:r w:rsidRPr="00AD7516">
        <w:rPr>
          <w:rFonts w:eastAsia="Times New Roman" w:cs="Times New Roman"/>
          <w:i/>
          <w:iCs/>
          <w:color w:val="1A1A1A"/>
          <w:szCs w:val="24"/>
          <w:lang w:eastAsia="cs-CZ"/>
        </w:rPr>
        <w:t xml:space="preserve">Exp </w:t>
      </w:r>
      <w:proofErr w:type="spellStart"/>
      <w:r w:rsidRPr="00AD7516">
        <w:rPr>
          <w:rFonts w:eastAsia="Times New Roman" w:cs="Times New Roman"/>
          <w:i/>
          <w:iCs/>
          <w:color w:val="1A1A1A"/>
          <w:szCs w:val="24"/>
          <w:lang w:eastAsia="cs-CZ"/>
        </w:rPr>
        <w:t>Hemato</w:t>
      </w:r>
      <w:r w:rsidR="00E70596" w:rsidRPr="00AD7516">
        <w:rPr>
          <w:rFonts w:eastAsia="Times New Roman" w:cs="Times New Roman"/>
          <w:i/>
          <w:iCs/>
          <w:color w:val="1A1A1A"/>
          <w:szCs w:val="24"/>
          <w:lang w:eastAsia="cs-CZ"/>
        </w:rPr>
        <w:t>l</w:t>
      </w:r>
      <w:proofErr w:type="spellEnd"/>
      <w:r w:rsidR="00E70596" w:rsidRPr="00AD7516">
        <w:rPr>
          <w:rFonts w:eastAsia="Times New Roman" w:cs="Times New Roman"/>
          <w:i/>
          <w:iCs/>
          <w:color w:val="1A1A1A"/>
          <w:szCs w:val="24"/>
          <w:lang w:eastAsia="cs-CZ"/>
        </w:rPr>
        <w:t xml:space="preserve"> </w:t>
      </w:r>
      <w:proofErr w:type="gramStart"/>
      <w:r w:rsidR="003B4869" w:rsidRPr="00AD7516">
        <w:rPr>
          <w:rFonts w:eastAsia="Times New Roman" w:cs="Times New Roman"/>
          <w:color w:val="323232"/>
          <w:szCs w:val="24"/>
          <w:lang w:eastAsia="cs-CZ"/>
        </w:rPr>
        <w:t>2000</w:t>
      </w:r>
      <w:r w:rsidR="00E70596" w:rsidRPr="00AD7516">
        <w:rPr>
          <w:rFonts w:eastAsia="Times New Roman" w:cs="Times New Roman"/>
          <w:color w:val="323232"/>
          <w:szCs w:val="24"/>
          <w:lang w:eastAsia="cs-CZ"/>
        </w:rPr>
        <w:t>;28:</w:t>
      </w:r>
      <w:r w:rsidR="003B4869" w:rsidRPr="00AD7516">
        <w:rPr>
          <w:rFonts w:eastAsia="Times New Roman" w:cs="Times New Roman"/>
          <w:color w:val="323232"/>
          <w:szCs w:val="24"/>
          <w:lang w:eastAsia="cs-CZ"/>
        </w:rPr>
        <w:t>558</w:t>
      </w:r>
      <w:proofErr w:type="gramEnd"/>
      <w:r w:rsidR="003B4869" w:rsidRPr="00AD7516">
        <w:rPr>
          <w:rFonts w:eastAsia="Times New Roman" w:cs="Times New Roman"/>
          <w:color w:val="323232"/>
          <w:szCs w:val="24"/>
          <w:lang w:eastAsia="cs-CZ"/>
        </w:rPr>
        <w:t>-568</w:t>
      </w:r>
    </w:p>
    <w:p w:rsidR="00E70596" w:rsidRPr="00AD7516" w:rsidRDefault="00E70596" w:rsidP="00C04D41">
      <w:pPr>
        <w:spacing w:after="0" w:line="240" w:lineRule="auto"/>
        <w:rPr>
          <w:rFonts w:eastAsia="Times New Roman" w:cs="Times New Roman"/>
          <w:szCs w:val="24"/>
          <w:lang w:eastAsia="cs-CZ"/>
        </w:rPr>
      </w:pPr>
    </w:p>
    <w:p w:rsidR="00A4561C" w:rsidRPr="00AD7516" w:rsidRDefault="00A4561C" w:rsidP="00A456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FF"/>
          <w:szCs w:val="24"/>
        </w:rPr>
      </w:pPr>
      <w:proofErr w:type="spellStart"/>
      <w:r w:rsidRPr="00AD7516">
        <w:rPr>
          <w:rFonts w:cs="Times New Roman"/>
          <w:color w:val="000000"/>
          <w:szCs w:val="24"/>
        </w:rPr>
        <w:t>European</w:t>
      </w:r>
      <w:proofErr w:type="spellEnd"/>
      <w:r w:rsidRPr="00AD7516">
        <w:rPr>
          <w:rFonts w:cs="Times New Roman"/>
          <w:color w:val="000000"/>
          <w:szCs w:val="24"/>
        </w:rPr>
        <w:t xml:space="preserve"> </w:t>
      </w:r>
      <w:proofErr w:type="spellStart"/>
      <w:r w:rsidRPr="00AD7516">
        <w:rPr>
          <w:rFonts w:cs="Times New Roman"/>
          <w:color w:val="000000"/>
          <w:szCs w:val="24"/>
        </w:rPr>
        <w:t>Leukaemia</w:t>
      </w:r>
      <w:proofErr w:type="spellEnd"/>
      <w:r w:rsidRPr="00AD7516">
        <w:rPr>
          <w:rFonts w:cs="Times New Roman"/>
          <w:color w:val="000000"/>
          <w:szCs w:val="24"/>
        </w:rPr>
        <w:t xml:space="preserve"> Network </w:t>
      </w:r>
      <w:hyperlink r:id="rId6" w:history="1">
        <w:r w:rsidRPr="00AD7516">
          <w:rPr>
            <w:rStyle w:val="Hypertextovodkaz"/>
            <w:rFonts w:cs="Times New Roman"/>
            <w:szCs w:val="24"/>
          </w:rPr>
          <w:t>http://www.leukemia-net.org/</w:t>
        </w:r>
      </w:hyperlink>
      <w:r w:rsidRPr="00AD7516">
        <w:rPr>
          <w:rFonts w:cs="Times New Roman"/>
          <w:color w:val="0000FF"/>
          <w:szCs w:val="24"/>
        </w:rPr>
        <w:t xml:space="preserve"> </w:t>
      </w:r>
      <w:proofErr w:type="spellStart"/>
      <w:r w:rsidRPr="00AD7516">
        <w:rPr>
          <w:rFonts w:cs="Times New Roman"/>
          <w:color w:val="0000FF"/>
          <w:szCs w:val="24"/>
        </w:rPr>
        <w:t>content</w:t>
      </w:r>
      <w:proofErr w:type="spellEnd"/>
      <w:r w:rsidRPr="00AD7516">
        <w:rPr>
          <w:rFonts w:cs="Times New Roman"/>
          <w:color w:val="0000FF"/>
          <w:szCs w:val="24"/>
        </w:rPr>
        <w:t>/</w:t>
      </w:r>
      <w:proofErr w:type="spellStart"/>
      <w:r w:rsidRPr="00AD7516">
        <w:rPr>
          <w:rFonts w:cs="Times New Roman"/>
          <w:color w:val="0000FF"/>
          <w:szCs w:val="24"/>
        </w:rPr>
        <w:t>home</w:t>
      </w:r>
      <w:proofErr w:type="spellEnd"/>
      <w:r w:rsidRPr="00AD7516">
        <w:rPr>
          <w:rFonts w:cs="Times New Roman"/>
          <w:color w:val="0000FF"/>
          <w:szCs w:val="24"/>
        </w:rPr>
        <w:t>/index_eng.html</w:t>
      </w:r>
    </w:p>
    <w:p w:rsidR="00A4561C" w:rsidRPr="00AD7516" w:rsidRDefault="00A4561C" w:rsidP="00A456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FF"/>
          <w:szCs w:val="24"/>
        </w:rPr>
      </w:pPr>
    </w:p>
    <w:p w:rsidR="00A4561C" w:rsidRPr="00AD7516" w:rsidRDefault="00A4561C" w:rsidP="00A4561C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proofErr w:type="spellStart"/>
      <w:r w:rsidRPr="00AD7516">
        <w:rPr>
          <w:rFonts w:cs="Times New Roman"/>
          <w:szCs w:val="24"/>
        </w:rPr>
        <w:t>Greenberg</w:t>
      </w:r>
      <w:proofErr w:type="spellEnd"/>
      <w:r w:rsidRPr="00AD7516">
        <w:rPr>
          <w:rFonts w:cs="Times New Roman"/>
          <w:szCs w:val="24"/>
        </w:rPr>
        <w:t xml:space="preserve"> PL, </w:t>
      </w:r>
      <w:proofErr w:type="spellStart"/>
      <w:r w:rsidRPr="00AD7516">
        <w:rPr>
          <w:rFonts w:cs="Times New Roman"/>
          <w:szCs w:val="24"/>
        </w:rPr>
        <w:t>Tuechler</w:t>
      </w:r>
      <w:proofErr w:type="spellEnd"/>
      <w:r w:rsidRPr="00AD7516">
        <w:rPr>
          <w:rFonts w:cs="Times New Roman"/>
          <w:szCs w:val="24"/>
        </w:rPr>
        <w:t xml:space="preserve"> H, </w:t>
      </w:r>
      <w:proofErr w:type="spellStart"/>
      <w:r w:rsidRPr="00AD7516">
        <w:rPr>
          <w:rFonts w:cs="Times New Roman"/>
          <w:szCs w:val="24"/>
        </w:rPr>
        <w:t>Schanz</w:t>
      </w:r>
      <w:proofErr w:type="spellEnd"/>
      <w:r w:rsidRPr="00AD7516">
        <w:rPr>
          <w:rFonts w:cs="Times New Roman"/>
          <w:szCs w:val="24"/>
        </w:rPr>
        <w:t xml:space="preserve"> J, </w:t>
      </w:r>
      <w:proofErr w:type="spellStart"/>
      <w:r w:rsidRPr="00AD7516">
        <w:rPr>
          <w:rFonts w:cs="Times New Roman"/>
          <w:szCs w:val="24"/>
        </w:rPr>
        <w:t>Sanz</w:t>
      </w:r>
      <w:proofErr w:type="spellEnd"/>
      <w:r w:rsidRPr="00AD7516">
        <w:rPr>
          <w:rFonts w:cs="Times New Roman"/>
          <w:szCs w:val="24"/>
        </w:rPr>
        <w:t xml:space="preserve"> G, </w:t>
      </w:r>
      <w:proofErr w:type="spellStart"/>
      <w:r w:rsidRPr="00AD7516">
        <w:rPr>
          <w:rFonts w:cs="Times New Roman"/>
          <w:szCs w:val="24"/>
        </w:rPr>
        <w:t>Garcia-Manero</w:t>
      </w:r>
      <w:proofErr w:type="spellEnd"/>
      <w:r w:rsidRPr="00AD7516">
        <w:rPr>
          <w:rFonts w:cs="Times New Roman"/>
          <w:szCs w:val="24"/>
        </w:rPr>
        <w:t xml:space="preserve"> G, </w:t>
      </w:r>
      <w:proofErr w:type="spellStart"/>
      <w:r w:rsidRPr="00AD7516">
        <w:rPr>
          <w:rFonts w:cs="Times New Roman"/>
          <w:szCs w:val="24"/>
        </w:rPr>
        <w:t>Solé</w:t>
      </w:r>
      <w:proofErr w:type="spellEnd"/>
      <w:r w:rsidRPr="00AD7516">
        <w:rPr>
          <w:rFonts w:cs="Times New Roman"/>
          <w:szCs w:val="24"/>
        </w:rPr>
        <w:t xml:space="preserve"> F, et al. </w:t>
      </w:r>
      <w:proofErr w:type="spellStart"/>
      <w:r w:rsidRPr="00AD7516">
        <w:rPr>
          <w:rFonts w:cs="Times New Roman"/>
          <w:szCs w:val="24"/>
        </w:rPr>
        <w:t>Revised</w:t>
      </w:r>
      <w:proofErr w:type="spellEnd"/>
      <w:r w:rsidRPr="00AD7516">
        <w:rPr>
          <w:rFonts w:cs="Times New Roman"/>
          <w:szCs w:val="24"/>
        </w:rPr>
        <w:t xml:space="preserve"> </w:t>
      </w:r>
      <w:proofErr w:type="spellStart"/>
      <w:r w:rsidRPr="00AD7516">
        <w:rPr>
          <w:rFonts w:cs="Times New Roman"/>
          <w:szCs w:val="24"/>
        </w:rPr>
        <w:t>international</w:t>
      </w:r>
      <w:proofErr w:type="spellEnd"/>
      <w:r w:rsidRPr="00AD7516">
        <w:rPr>
          <w:rFonts w:cs="Times New Roman"/>
          <w:szCs w:val="24"/>
        </w:rPr>
        <w:t xml:space="preserve"> </w:t>
      </w:r>
      <w:proofErr w:type="spellStart"/>
      <w:r w:rsidRPr="00AD7516">
        <w:rPr>
          <w:rFonts w:cs="Times New Roman"/>
          <w:szCs w:val="24"/>
        </w:rPr>
        <w:t>prognostic</w:t>
      </w:r>
      <w:proofErr w:type="spellEnd"/>
      <w:r w:rsidRPr="00AD7516">
        <w:rPr>
          <w:rFonts w:cs="Times New Roman"/>
          <w:szCs w:val="24"/>
        </w:rPr>
        <w:t xml:space="preserve"> </w:t>
      </w:r>
      <w:proofErr w:type="spellStart"/>
      <w:r w:rsidRPr="00AD7516">
        <w:rPr>
          <w:rFonts w:cs="Times New Roman"/>
          <w:szCs w:val="24"/>
        </w:rPr>
        <w:t>scoring</w:t>
      </w:r>
      <w:proofErr w:type="spellEnd"/>
      <w:r w:rsidRPr="00AD7516">
        <w:rPr>
          <w:rFonts w:cs="Times New Roman"/>
          <w:szCs w:val="24"/>
        </w:rPr>
        <w:t xml:space="preserve"> </w:t>
      </w:r>
      <w:proofErr w:type="spellStart"/>
      <w:r w:rsidRPr="00AD7516">
        <w:rPr>
          <w:rFonts w:cs="Times New Roman"/>
          <w:szCs w:val="24"/>
        </w:rPr>
        <w:t>system</w:t>
      </w:r>
      <w:proofErr w:type="spellEnd"/>
      <w:r w:rsidRPr="00AD7516">
        <w:rPr>
          <w:rFonts w:cs="Times New Roman"/>
          <w:szCs w:val="24"/>
        </w:rPr>
        <w:t xml:space="preserve"> </w:t>
      </w:r>
      <w:proofErr w:type="spellStart"/>
      <w:r w:rsidRPr="00AD7516">
        <w:rPr>
          <w:rFonts w:cs="Times New Roman"/>
          <w:szCs w:val="24"/>
        </w:rPr>
        <w:t>for</w:t>
      </w:r>
      <w:proofErr w:type="spellEnd"/>
      <w:r w:rsidRPr="00AD7516">
        <w:rPr>
          <w:rFonts w:cs="Times New Roman"/>
          <w:szCs w:val="24"/>
        </w:rPr>
        <w:t xml:space="preserve"> </w:t>
      </w:r>
      <w:proofErr w:type="spellStart"/>
      <w:r w:rsidRPr="00AD7516">
        <w:rPr>
          <w:rFonts w:cs="Times New Roman"/>
          <w:szCs w:val="24"/>
        </w:rPr>
        <w:t>myelodysplastic</w:t>
      </w:r>
      <w:proofErr w:type="spellEnd"/>
      <w:r w:rsidRPr="00AD7516">
        <w:rPr>
          <w:rFonts w:cs="Times New Roman"/>
          <w:szCs w:val="24"/>
        </w:rPr>
        <w:t xml:space="preserve"> </w:t>
      </w:r>
      <w:proofErr w:type="spellStart"/>
      <w:r w:rsidRPr="00AD7516">
        <w:rPr>
          <w:rFonts w:cs="Times New Roman"/>
          <w:szCs w:val="24"/>
        </w:rPr>
        <w:t>syndromes</w:t>
      </w:r>
      <w:proofErr w:type="spellEnd"/>
      <w:r w:rsidRPr="00AD7516">
        <w:rPr>
          <w:rFonts w:cs="Times New Roman"/>
          <w:szCs w:val="24"/>
        </w:rPr>
        <w:t xml:space="preserve">. </w:t>
      </w:r>
      <w:proofErr w:type="spellStart"/>
      <w:r w:rsidRPr="00AD7516">
        <w:rPr>
          <w:rFonts w:cs="Times New Roman"/>
          <w:szCs w:val="24"/>
        </w:rPr>
        <w:t>Blood</w:t>
      </w:r>
      <w:proofErr w:type="spellEnd"/>
      <w:r w:rsidRPr="00AD7516">
        <w:rPr>
          <w:rFonts w:cs="Times New Roman"/>
          <w:szCs w:val="24"/>
        </w:rPr>
        <w:t xml:space="preserve">. </w:t>
      </w:r>
      <w:proofErr w:type="gramStart"/>
      <w:r w:rsidRPr="00AD7516">
        <w:rPr>
          <w:rFonts w:cs="Times New Roman"/>
          <w:szCs w:val="24"/>
        </w:rPr>
        <w:t>2012;120:2454</w:t>
      </w:r>
      <w:proofErr w:type="gramEnd"/>
      <w:r w:rsidRPr="00AD7516">
        <w:rPr>
          <w:rFonts w:cs="Times New Roman"/>
          <w:szCs w:val="24"/>
        </w:rPr>
        <w:t>–65.</w:t>
      </w:r>
    </w:p>
    <w:p w:rsidR="00A4561C" w:rsidRPr="00AD7516" w:rsidRDefault="00A4561C" w:rsidP="00A456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FF"/>
          <w:szCs w:val="24"/>
        </w:rPr>
      </w:pPr>
    </w:p>
    <w:p w:rsidR="00A4561C" w:rsidRPr="00AD7516" w:rsidRDefault="00A4561C" w:rsidP="00A4561C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AD7516">
        <w:rPr>
          <w:rFonts w:cs="Times New Roman"/>
          <w:szCs w:val="24"/>
        </w:rPr>
        <w:t xml:space="preserve">Gong JZ, </w:t>
      </w:r>
      <w:proofErr w:type="spellStart"/>
      <w:r w:rsidRPr="00AD7516">
        <w:rPr>
          <w:rFonts w:cs="Times New Roman"/>
          <w:szCs w:val="24"/>
        </w:rPr>
        <w:t>Cook</w:t>
      </w:r>
      <w:proofErr w:type="spellEnd"/>
      <w:r w:rsidRPr="00AD7516">
        <w:rPr>
          <w:rFonts w:cs="Times New Roman"/>
          <w:szCs w:val="24"/>
        </w:rPr>
        <w:t xml:space="preserve"> JR, </w:t>
      </w:r>
      <w:proofErr w:type="spellStart"/>
      <w:r w:rsidRPr="00AD7516">
        <w:rPr>
          <w:rFonts w:cs="Times New Roman"/>
          <w:szCs w:val="24"/>
        </w:rPr>
        <w:t>Greiner</w:t>
      </w:r>
      <w:proofErr w:type="spellEnd"/>
      <w:r w:rsidRPr="00AD7516">
        <w:rPr>
          <w:rFonts w:cs="Times New Roman"/>
          <w:szCs w:val="24"/>
        </w:rPr>
        <w:t xml:space="preserve"> TC, </w:t>
      </w:r>
      <w:proofErr w:type="spellStart"/>
      <w:r w:rsidRPr="00AD7516">
        <w:rPr>
          <w:rFonts w:cs="Times New Roman"/>
          <w:szCs w:val="24"/>
        </w:rPr>
        <w:t>Hedvat</w:t>
      </w:r>
      <w:proofErr w:type="spellEnd"/>
      <w:r w:rsidRPr="00AD7516">
        <w:rPr>
          <w:rFonts w:cs="Times New Roman"/>
          <w:szCs w:val="24"/>
        </w:rPr>
        <w:t xml:space="preserve"> C, </w:t>
      </w:r>
      <w:proofErr w:type="spellStart"/>
      <w:r w:rsidRPr="00AD7516">
        <w:rPr>
          <w:rFonts w:cs="Times New Roman"/>
          <w:szCs w:val="24"/>
        </w:rPr>
        <w:t>Hill</w:t>
      </w:r>
      <w:proofErr w:type="spellEnd"/>
      <w:r w:rsidRPr="00AD7516">
        <w:rPr>
          <w:rFonts w:cs="Times New Roman"/>
          <w:szCs w:val="24"/>
        </w:rPr>
        <w:t xml:space="preserve"> CE, Lim MS, et al. </w:t>
      </w:r>
      <w:proofErr w:type="spellStart"/>
      <w:r w:rsidRPr="00AD7516">
        <w:rPr>
          <w:rFonts w:cs="Times New Roman"/>
          <w:szCs w:val="24"/>
        </w:rPr>
        <w:t>Laboratory</w:t>
      </w:r>
      <w:proofErr w:type="spellEnd"/>
      <w:r w:rsidRPr="00AD7516">
        <w:rPr>
          <w:rFonts w:cs="Times New Roman"/>
          <w:szCs w:val="24"/>
        </w:rPr>
        <w:t xml:space="preserve"> </w:t>
      </w:r>
      <w:proofErr w:type="spellStart"/>
      <w:r w:rsidRPr="00AD7516">
        <w:rPr>
          <w:rFonts w:cs="Times New Roman"/>
          <w:szCs w:val="24"/>
        </w:rPr>
        <w:t>practice</w:t>
      </w:r>
      <w:proofErr w:type="spellEnd"/>
      <w:r w:rsidRPr="00AD7516">
        <w:rPr>
          <w:rFonts w:cs="Times New Roman"/>
          <w:szCs w:val="24"/>
        </w:rPr>
        <w:t xml:space="preserve"> </w:t>
      </w:r>
      <w:proofErr w:type="spellStart"/>
      <w:r w:rsidRPr="00AD7516">
        <w:rPr>
          <w:rFonts w:cs="Times New Roman"/>
          <w:szCs w:val="24"/>
        </w:rPr>
        <w:t>guidelines</w:t>
      </w:r>
      <w:proofErr w:type="spellEnd"/>
      <w:r w:rsidRPr="00AD7516">
        <w:rPr>
          <w:rFonts w:cs="Times New Roman"/>
          <w:szCs w:val="24"/>
        </w:rPr>
        <w:t xml:space="preserve"> </w:t>
      </w:r>
      <w:proofErr w:type="spellStart"/>
      <w:r w:rsidRPr="00AD7516">
        <w:rPr>
          <w:rFonts w:cs="Times New Roman"/>
          <w:szCs w:val="24"/>
        </w:rPr>
        <w:t>for</w:t>
      </w:r>
      <w:proofErr w:type="spellEnd"/>
      <w:r w:rsidRPr="00AD7516">
        <w:rPr>
          <w:rFonts w:cs="Times New Roman"/>
          <w:szCs w:val="24"/>
        </w:rPr>
        <w:t xml:space="preserve"> </w:t>
      </w:r>
      <w:proofErr w:type="spellStart"/>
      <w:r w:rsidRPr="00AD7516">
        <w:rPr>
          <w:rFonts w:cs="Times New Roman"/>
          <w:szCs w:val="24"/>
        </w:rPr>
        <w:t>detecting</w:t>
      </w:r>
      <w:proofErr w:type="spellEnd"/>
      <w:r w:rsidRPr="00AD7516">
        <w:rPr>
          <w:rFonts w:cs="Times New Roman"/>
          <w:szCs w:val="24"/>
        </w:rPr>
        <w:t xml:space="preserve"> and reporting JAK2 and MPL </w:t>
      </w:r>
      <w:proofErr w:type="spellStart"/>
      <w:r w:rsidRPr="00AD7516">
        <w:rPr>
          <w:rFonts w:cs="Times New Roman"/>
          <w:szCs w:val="24"/>
        </w:rPr>
        <w:t>mutations</w:t>
      </w:r>
      <w:proofErr w:type="spellEnd"/>
      <w:r w:rsidRPr="00AD7516">
        <w:rPr>
          <w:rFonts w:cs="Times New Roman"/>
          <w:szCs w:val="24"/>
        </w:rPr>
        <w:t xml:space="preserve"> in </w:t>
      </w:r>
      <w:proofErr w:type="spellStart"/>
      <w:r w:rsidRPr="00AD7516">
        <w:rPr>
          <w:rFonts w:cs="Times New Roman"/>
          <w:szCs w:val="24"/>
        </w:rPr>
        <w:t>myeloproliferative</w:t>
      </w:r>
      <w:proofErr w:type="spellEnd"/>
      <w:r w:rsidRPr="00AD7516">
        <w:rPr>
          <w:rFonts w:cs="Times New Roman"/>
          <w:szCs w:val="24"/>
        </w:rPr>
        <w:t xml:space="preserve"> </w:t>
      </w:r>
      <w:proofErr w:type="spellStart"/>
      <w:r w:rsidRPr="00AD7516">
        <w:rPr>
          <w:rFonts w:cs="Times New Roman"/>
          <w:szCs w:val="24"/>
        </w:rPr>
        <w:t>neoplasms</w:t>
      </w:r>
      <w:proofErr w:type="spellEnd"/>
      <w:r w:rsidRPr="00AD7516">
        <w:rPr>
          <w:rFonts w:cs="Times New Roman"/>
          <w:szCs w:val="24"/>
        </w:rPr>
        <w:t xml:space="preserve">: a report </w:t>
      </w:r>
      <w:proofErr w:type="spellStart"/>
      <w:r w:rsidRPr="00AD7516">
        <w:rPr>
          <w:rFonts w:cs="Times New Roman"/>
          <w:szCs w:val="24"/>
        </w:rPr>
        <w:t>of</w:t>
      </w:r>
      <w:proofErr w:type="spellEnd"/>
      <w:r w:rsidRPr="00AD7516">
        <w:rPr>
          <w:rFonts w:cs="Times New Roman"/>
          <w:szCs w:val="24"/>
        </w:rPr>
        <w:t xml:space="preserve"> </w:t>
      </w:r>
      <w:proofErr w:type="spellStart"/>
      <w:r w:rsidRPr="00AD7516">
        <w:rPr>
          <w:rFonts w:cs="Times New Roman"/>
          <w:szCs w:val="24"/>
        </w:rPr>
        <w:t>the</w:t>
      </w:r>
      <w:proofErr w:type="spellEnd"/>
      <w:r w:rsidRPr="00AD7516">
        <w:rPr>
          <w:rFonts w:cs="Times New Roman"/>
          <w:szCs w:val="24"/>
        </w:rPr>
        <w:t xml:space="preserve"> </w:t>
      </w:r>
      <w:proofErr w:type="spellStart"/>
      <w:r w:rsidRPr="00AD7516">
        <w:rPr>
          <w:rFonts w:cs="Times New Roman"/>
          <w:szCs w:val="24"/>
        </w:rPr>
        <w:t>association</w:t>
      </w:r>
      <w:proofErr w:type="spellEnd"/>
      <w:r w:rsidRPr="00AD7516">
        <w:rPr>
          <w:rFonts w:cs="Times New Roman"/>
          <w:szCs w:val="24"/>
        </w:rPr>
        <w:t xml:space="preserve"> </w:t>
      </w:r>
      <w:proofErr w:type="spellStart"/>
      <w:r w:rsidRPr="00AD7516">
        <w:rPr>
          <w:rFonts w:cs="Times New Roman"/>
          <w:szCs w:val="24"/>
        </w:rPr>
        <w:t>for</w:t>
      </w:r>
      <w:proofErr w:type="spellEnd"/>
      <w:r w:rsidRPr="00AD7516">
        <w:rPr>
          <w:rFonts w:cs="Times New Roman"/>
          <w:szCs w:val="24"/>
        </w:rPr>
        <w:t xml:space="preserve"> </w:t>
      </w:r>
      <w:proofErr w:type="spellStart"/>
      <w:r w:rsidRPr="00AD7516">
        <w:rPr>
          <w:rFonts w:cs="Times New Roman"/>
          <w:szCs w:val="24"/>
        </w:rPr>
        <w:t>molecular</w:t>
      </w:r>
      <w:proofErr w:type="spellEnd"/>
      <w:r w:rsidRPr="00AD7516">
        <w:rPr>
          <w:rFonts w:cs="Times New Roman"/>
          <w:szCs w:val="24"/>
        </w:rPr>
        <w:t xml:space="preserve"> </w:t>
      </w:r>
      <w:proofErr w:type="spellStart"/>
      <w:r w:rsidRPr="00AD7516">
        <w:rPr>
          <w:rFonts w:cs="Times New Roman"/>
          <w:szCs w:val="24"/>
        </w:rPr>
        <w:t>pathology</w:t>
      </w:r>
      <w:proofErr w:type="spellEnd"/>
      <w:r w:rsidRPr="00AD7516">
        <w:rPr>
          <w:rFonts w:cs="Times New Roman"/>
          <w:szCs w:val="24"/>
        </w:rPr>
        <w:t xml:space="preserve">. J Mol </w:t>
      </w:r>
      <w:proofErr w:type="spellStart"/>
      <w:r w:rsidRPr="00AD7516">
        <w:rPr>
          <w:rFonts w:cs="Times New Roman"/>
          <w:szCs w:val="24"/>
        </w:rPr>
        <w:t>Diagn</w:t>
      </w:r>
      <w:proofErr w:type="spellEnd"/>
      <w:r w:rsidRPr="00AD7516">
        <w:rPr>
          <w:rFonts w:cs="Times New Roman"/>
          <w:szCs w:val="24"/>
        </w:rPr>
        <w:t xml:space="preserve"> </w:t>
      </w:r>
      <w:proofErr w:type="gramStart"/>
      <w:r w:rsidRPr="00AD7516">
        <w:rPr>
          <w:rFonts w:cs="Times New Roman"/>
          <w:szCs w:val="24"/>
        </w:rPr>
        <w:t>2013;15:733</w:t>
      </w:r>
      <w:proofErr w:type="gramEnd"/>
      <w:r w:rsidRPr="00AD7516">
        <w:rPr>
          <w:rFonts w:cs="Times New Roman"/>
          <w:szCs w:val="24"/>
        </w:rPr>
        <w:t>–44</w:t>
      </w:r>
    </w:p>
    <w:p w:rsidR="00A4561C" w:rsidRPr="00AD7516" w:rsidRDefault="00A4561C" w:rsidP="00A456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FF"/>
          <w:szCs w:val="24"/>
        </w:rPr>
      </w:pPr>
    </w:p>
    <w:p w:rsidR="00A4561C" w:rsidRPr="00AD7516" w:rsidRDefault="00A4561C" w:rsidP="00A4561C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proofErr w:type="spellStart"/>
      <w:r w:rsidRPr="00AD7516">
        <w:rPr>
          <w:rFonts w:cs="Times New Roman"/>
          <w:szCs w:val="24"/>
        </w:rPr>
        <w:t>Grimwade</w:t>
      </w:r>
      <w:proofErr w:type="spellEnd"/>
      <w:r w:rsidRPr="00AD7516">
        <w:rPr>
          <w:rFonts w:cs="Times New Roman"/>
          <w:szCs w:val="24"/>
        </w:rPr>
        <w:t xml:space="preserve"> D, </w:t>
      </w:r>
      <w:proofErr w:type="spellStart"/>
      <w:r w:rsidRPr="00AD7516">
        <w:rPr>
          <w:rFonts w:cs="Times New Roman"/>
          <w:szCs w:val="24"/>
        </w:rPr>
        <w:t>Hills</w:t>
      </w:r>
      <w:proofErr w:type="spellEnd"/>
      <w:r w:rsidRPr="00AD7516">
        <w:rPr>
          <w:rFonts w:cs="Times New Roman"/>
          <w:szCs w:val="24"/>
        </w:rPr>
        <w:t xml:space="preserve"> RK, </w:t>
      </w:r>
      <w:proofErr w:type="spellStart"/>
      <w:r w:rsidRPr="00AD7516">
        <w:rPr>
          <w:rFonts w:cs="Times New Roman"/>
          <w:szCs w:val="24"/>
        </w:rPr>
        <w:t>Moorman</w:t>
      </w:r>
      <w:proofErr w:type="spellEnd"/>
      <w:r w:rsidRPr="00AD7516">
        <w:rPr>
          <w:rFonts w:cs="Times New Roman"/>
          <w:szCs w:val="24"/>
        </w:rPr>
        <w:t xml:space="preserve"> AV, </w:t>
      </w:r>
      <w:proofErr w:type="spellStart"/>
      <w:r w:rsidRPr="00AD7516">
        <w:rPr>
          <w:rFonts w:cs="Times New Roman"/>
          <w:szCs w:val="24"/>
        </w:rPr>
        <w:t>Walker</w:t>
      </w:r>
      <w:proofErr w:type="spellEnd"/>
      <w:r w:rsidRPr="00AD7516">
        <w:rPr>
          <w:rFonts w:cs="Times New Roman"/>
          <w:szCs w:val="24"/>
        </w:rPr>
        <w:t xml:space="preserve"> H, </w:t>
      </w:r>
      <w:proofErr w:type="spellStart"/>
      <w:r w:rsidRPr="00AD7516">
        <w:rPr>
          <w:rFonts w:cs="Times New Roman"/>
          <w:szCs w:val="24"/>
        </w:rPr>
        <w:t>Chatters</w:t>
      </w:r>
      <w:proofErr w:type="spellEnd"/>
      <w:r w:rsidRPr="00AD7516">
        <w:rPr>
          <w:rFonts w:cs="Times New Roman"/>
          <w:szCs w:val="24"/>
        </w:rPr>
        <w:t xml:space="preserve"> S, </w:t>
      </w:r>
      <w:proofErr w:type="spellStart"/>
      <w:r w:rsidRPr="00AD7516">
        <w:rPr>
          <w:rFonts w:cs="Times New Roman"/>
          <w:szCs w:val="24"/>
        </w:rPr>
        <w:t>Goldstone</w:t>
      </w:r>
      <w:proofErr w:type="spellEnd"/>
      <w:r w:rsidRPr="00AD7516">
        <w:rPr>
          <w:rFonts w:cs="Times New Roman"/>
          <w:szCs w:val="24"/>
        </w:rPr>
        <w:t xml:space="preserve"> AH, et al. </w:t>
      </w:r>
      <w:proofErr w:type="spellStart"/>
      <w:r w:rsidRPr="00AD7516">
        <w:rPr>
          <w:rFonts w:cs="Times New Roman"/>
          <w:szCs w:val="24"/>
        </w:rPr>
        <w:t>Refinement</w:t>
      </w:r>
      <w:proofErr w:type="spellEnd"/>
      <w:r w:rsidRPr="00AD7516">
        <w:rPr>
          <w:rFonts w:cs="Times New Roman"/>
          <w:szCs w:val="24"/>
        </w:rPr>
        <w:t xml:space="preserve"> </w:t>
      </w:r>
      <w:proofErr w:type="spellStart"/>
      <w:r w:rsidRPr="00AD7516">
        <w:rPr>
          <w:rFonts w:cs="Times New Roman"/>
          <w:szCs w:val="24"/>
        </w:rPr>
        <w:t>of</w:t>
      </w:r>
      <w:proofErr w:type="spellEnd"/>
      <w:r w:rsidRPr="00AD7516">
        <w:rPr>
          <w:rFonts w:cs="Times New Roman"/>
          <w:szCs w:val="24"/>
        </w:rPr>
        <w:t xml:space="preserve"> </w:t>
      </w:r>
      <w:proofErr w:type="spellStart"/>
      <w:r w:rsidRPr="00AD7516">
        <w:rPr>
          <w:rFonts w:cs="Times New Roman"/>
          <w:szCs w:val="24"/>
        </w:rPr>
        <w:t>cytogenetic</w:t>
      </w:r>
      <w:proofErr w:type="spellEnd"/>
      <w:r w:rsidRPr="00AD7516">
        <w:rPr>
          <w:rFonts w:cs="Times New Roman"/>
          <w:szCs w:val="24"/>
        </w:rPr>
        <w:t xml:space="preserve"> </w:t>
      </w:r>
      <w:proofErr w:type="spellStart"/>
      <w:r w:rsidRPr="00AD7516">
        <w:rPr>
          <w:rFonts w:cs="Times New Roman"/>
          <w:szCs w:val="24"/>
        </w:rPr>
        <w:t>classification</w:t>
      </w:r>
      <w:proofErr w:type="spellEnd"/>
      <w:r w:rsidRPr="00AD7516">
        <w:rPr>
          <w:rFonts w:cs="Times New Roman"/>
          <w:szCs w:val="24"/>
        </w:rPr>
        <w:t xml:space="preserve"> in AML: </w:t>
      </w:r>
      <w:proofErr w:type="spellStart"/>
      <w:r w:rsidRPr="00AD7516">
        <w:rPr>
          <w:rFonts w:cs="Times New Roman"/>
          <w:szCs w:val="24"/>
        </w:rPr>
        <w:t>determination</w:t>
      </w:r>
      <w:proofErr w:type="spellEnd"/>
      <w:r w:rsidRPr="00AD7516">
        <w:rPr>
          <w:rFonts w:cs="Times New Roman"/>
          <w:szCs w:val="24"/>
        </w:rPr>
        <w:t xml:space="preserve"> </w:t>
      </w:r>
      <w:proofErr w:type="spellStart"/>
      <w:r w:rsidRPr="00AD7516">
        <w:rPr>
          <w:rFonts w:cs="Times New Roman"/>
          <w:szCs w:val="24"/>
        </w:rPr>
        <w:t>of</w:t>
      </w:r>
      <w:proofErr w:type="spellEnd"/>
      <w:r w:rsidRPr="00AD7516">
        <w:rPr>
          <w:rFonts w:cs="Times New Roman"/>
          <w:szCs w:val="24"/>
        </w:rPr>
        <w:t xml:space="preserve"> </w:t>
      </w:r>
      <w:proofErr w:type="spellStart"/>
      <w:r w:rsidRPr="00AD7516">
        <w:rPr>
          <w:rFonts w:cs="Times New Roman"/>
          <w:szCs w:val="24"/>
        </w:rPr>
        <w:t>prognostic</w:t>
      </w:r>
      <w:proofErr w:type="spellEnd"/>
      <w:r w:rsidRPr="00AD7516">
        <w:rPr>
          <w:rFonts w:cs="Times New Roman"/>
          <w:szCs w:val="24"/>
        </w:rPr>
        <w:t xml:space="preserve"> </w:t>
      </w:r>
      <w:proofErr w:type="spellStart"/>
      <w:r w:rsidRPr="00AD7516">
        <w:rPr>
          <w:rFonts w:cs="Times New Roman"/>
          <w:szCs w:val="24"/>
        </w:rPr>
        <w:t>significance</w:t>
      </w:r>
      <w:proofErr w:type="spellEnd"/>
      <w:r w:rsidRPr="00AD7516">
        <w:rPr>
          <w:rFonts w:cs="Times New Roman"/>
          <w:szCs w:val="24"/>
        </w:rPr>
        <w:t xml:space="preserve"> </w:t>
      </w:r>
      <w:proofErr w:type="spellStart"/>
      <w:r w:rsidRPr="00AD7516">
        <w:rPr>
          <w:rFonts w:cs="Times New Roman"/>
          <w:szCs w:val="24"/>
        </w:rPr>
        <w:t>of</w:t>
      </w:r>
      <w:proofErr w:type="spellEnd"/>
      <w:r w:rsidRPr="00AD7516">
        <w:rPr>
          <w:rFonts w:cs="Times New Roman"/>
          <w:szCs w:val="24"/>
        </w:rPr>
        <w:t xml:space="preserve"> </w:t>
      </w:r>
      <w:proofErr w:type="spellStart"/>
      <w:r w:rsidRPr="00AD7516">
        <w:rPr>
          <w:rFonts w:cs="Times New Roman"/>
          <w:szCs w:val="24"/>
        </w:rPr>
        <w:t>rare</w:t>
      </w:r>
      <w:proofErr w:type="spellEnd"/>
      <w:r w:rsidRPr="00AD7516">
        <w:rPr>
          <w:rFonts w:cs="Times New Roman"/>
          <w:szCs w:val="24"/>
        </w:rPr>
        <w:t xml:space="preserve"> </w:t>
      </w:r>
      <w:proofErr w:type="spellStart"/>
      <w:r w:rsidRPr="00AD7516">
        <w:rPr>
          <w:rFonts w:cs="Times New Roman"/>
          <w:szCs w:val="24"/>
        </w:rPr>
        <w:t>recurring</w:t>
      </w:r>
      <w:proofErr w:type="spellEnd"/>
      <w:r w:rsidRPr="00AD7516">
        <w:rPr>
          <w:rFonts w:cs="Times New Roman"/>
          <w:szCs w:val="24"/>
        </w:rPr>
        <w:t xml:space="preserve"> </w:t>
      </w:r>
      <w:proofErr w:type="spellStart"/>
      <w:r w:rsidRPr="00AD7516">
        <w:rPr>
          <w:rFonts w:cs="Times New Roman"/>
          <w:szCs w:val="24"/>
        </w:rPr>
        <w:t>chromosomal</w:t>
      </w:r>
      <w:proofErr w:type="spellEnd"/>
      <w:r w:rsidRPr="00AD7516">
        <w:rPr>
          <w:rFonts w:cs="Times New Roman"/>
          <w:szCs w:val="24"/>
        </w:rPr>
        <w:t xml:space="preserve"> </w:t>
      </w:r>
      <w:proofErr w:type="spellStart"/>
      <w:r w:rsidRPr="00AD7516">
        <w:rPr>
          <w:rFonts w:cs="Times New Roman"/>
          <w:szCs w:val="24"/>
        </w:rPr>
        <w:t>abnormalities</w:t>
      </w:r>
      <w:proofErr w:type="spellEnd"/>
      <w:r w:rsidRPr="00AD7516">
        <w:rPr>
          <w:rFonts w:cs="Times New Roman"/>
          <w:szCs w:val="24"/>
        </w:rPr>
        <w:t xml:space="preserve"> </w:t>
      </w:r>
      <w:proofErr w:type="spellStart"/>
      <w:r w:rsidRPr="00AD7516">
        <w:rPr>
          <w:rFonts w:cs="Times New Roman"/>
          <w:szCs w:val="24"/>
        </w:rPr>
        <w:t>amongst</w:t>
      </w:r>
      <w:proofErr w:type="spellEnd"/>
      <w:r w:rsidRPr="00AD7516">
        <w:rPr>
          <w:rFonts w:cs="Times New Roman"/>
          <w:szCs w:val="24"/>
        </w:rPr>
        <w:t xml:space="preserve"> 5635 </w:t>
      </w:r>
      <w:proofErr w:type="spellStart"/>
      <w:r w:rsidRPr="00AD7516">
        <w:rPr>
          <w:rFonts w:cs="Times New Roman"/>
          <w:szCs w:val="24"/>
        </w:rPr>
        <w:t>younger</w:t>
      </w:r>
      <w:proofErr w:type="spellEnd"/>
      <w:r w:rsidRPr="00AD7516">
        <w:rPr>
          <w:rFonts w:cs="Times New Roman"/>
          <w:szCs w:val="24"/>
        </w:rPr>
        <w:t xml:space="preserve"> </w:t>
      </w:r>
      <w:proofErr w:type="spellStart"/>
      <w:r w:rsidRPr="00AD7516">
        <w:rPr>
          <w:rFonts w:cs="Times New Roman"/>
          <w:szCs w:val="24"/>
        </w:rPr>
        <w:t>adults</w:t>
      </w:r>
      <w:proofErr w:type="spellEnd"/>
      <w:r w:rsidRPr="00AD7516">
        <w:rPr>
          <w:rFonts w:cs="Times New Roman"/>
          <w:szCs w:val="24"/>
        </w:rPr>
        <w:t xml:space="preserve"> </w:t>
      </w:r>
      <w:proofErr w:type="spellStart"/>
      <w:r w:rsidRPr="00AD7516">
        <w:rPr>
          <w:rFonts w:cs="Times New Roman"/>
          <w:szCs w:val="24"/>
        </w:rPr>
        <w:t>treated</w:t>
      </w:r>
      <w:proofErr w:type="spellEnd"/>
      <w:r w:rsidRPr="00AD7516">
        <w:rPr>
          <w:rFonts w:cs="Times New Roman"/>
          <w:szCs w:val="24"/>
        </w:rPr>
        <w:t xml:space="preserve"> in </w:t>
      </w:r>
      <w:proofErr w:type="spellStart"/>
      <w:r w:rsidRPr="00AD7516">
        <w:rPr>
          <w:rFonts w:cs="Times New Roman"/>
          <w:szCs w:val="24"/>
        </w:rPr>
        <w:t>the</w:t>
      </w:r>
      <w:proofErr w:type="spellEnd"/>
      <w:r w:rsidRPr="00AD7516">
        <w:rPr>
          <w:rFonts w:cs="Times New Roman"/>
          <w:szCs w:val="24"/>
        </w:rPr>
        <w:t xml:space="preserve"> UK MRC </w:t>
      </w:r>
      <w:proofErr w:type="spellStart"/>
      <w:r w:rsidRPr="00AD7516">
        <w:rPr>
          <w:rFonts w:cs="Times New Roman"/>
          <w:szCs w:val="24"/>
        </w:rPr>
        <w:t>trials</w:t>
      </w:r>
      <w:proofErr w:type="spellEnd"/>
      <w:r w:rsidRPr="00AD7516">
        <w:rPr>
          <w:rFonts w:cs="Times New Roman"/>
          <w:szCs w:val="24"/>
        </w:rPr>
        <w:t xml:space="preserve">. </w:t>
      </w:r>
      <w:proofErr w:type="spellStart"/>
      <w:r w:rsidRPr="00AD7516">
        <w:rPr>
          <w:rFonts w:cs="Times New Roman"/>
          <w:szCs w:val="24"/>
        </w:rPr>
        <w:t>Blood</w:t>
      </w:r>
      <w:proofErr w:type="spellEnd"/>
      <w:r w:rsidRPr="00AD7516">
        <w:rPr>
          <w:rFonts w:cs="Times New Roman"/>
          <w:szCs w:val="24"/>
        </w:rPr>
        <w:t xml:space="preserve">. </w:t>
      </w:r>
      <w:proofErr w:type="gramStart"/>
      <w:r w:rsidRPr="00AD7516">
        <w:rPr>
          <w:rFonts w:cs="Times New Roman"/>
          <w:szCs w:val="24"/>
        </w:rPr>
        <w:t>2010;116:354</w:t>
      </w:r>
      <w:proofErr w:type="gramEnd"/>
      <w:r w:rsidRPr="00AD7516">
        <w:rPr>
          <w:rFonts w:cs="Times New Roman"/>
          <w:szCs w:val="24"/>
        </w:rPr>
        <w:t>–65.</w:t>
      </w:r>
    </w:p>
    <w:p w:rsidR="00A4561C" w:rsidRPr="00AD7516" w:rsidRDefault="00A4561C" w:rsidP="00A456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FF"/>
          <w:szCs w:val="24"/>
        </w:rPr>
      </w:pPr>
    </w:p>
    <w:p w:rsidR="00A4561C" w:rsidRPr="00AD7516" w:rsidRDefault="00A4561C" w:rsidP="00A4561C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proofErr w:type="spellStart"/>
      <w:r w:rsidRPr="00AD7516">
        <w:rPr>
          <w:rFonts w:cs="Times New Roman"/>
          <w:szCs w:val="24"/>
        </w:rPr>
        <w:t>Hallek</w:t>
      </w:r>
      <w:proofErr w:type="spellEnd"/>
      <w:r w:rsidRPr="00AD7516">
        <w:rPr>
          <w:rFonts w:cs="Times New Roman"/>
          <w:szCs w:val="24"/>
        </w:rPr>
        <w:t xml:space="preserve"> M, </w:t>
      </w:r>
      <w:proofErr w:type="spellStart"/>
      <w:r w:rsidRPr="00AD7516">
        <w:rPr>
          <w:rFonts w:cs="Times New Roman"/>
          <w:szCs w:val="24"/>
        </w:rPr>
        <w:t>Cheson</w:t>
      </w:r>
      <w:proofErr w:type="spellEnd"/>
      <w:r w:rsidRPr="00AD7516">
        <w:rPr>
          <w:rFonts w:cs="Times New Roman"/>
          <w:szCs w:val="24"/>
        </w:rPr>
        <w:t xml:space="preserve"> BD, </w:t>
      </w:r>
      <w:proofErr w:type="spellStart"/>
      <w:r w:rsidRPr="00AD7516">
        <w:rPr>
          <w:rFonts w:cs="Times New Roman"/>
          <w:szCs w:val="24"/>
        </w:rPr>
        <w:t>Catovsky</w:t>
      </w:r>
      <w:proofErr w:type="spellEnd"/>
      <w:r w:rsidRPr="00AD7516">
        <w:rPr>
          <w:rFonts w:cs="Times New Roman"/>
          <w:szCs w:val="24"/>
        </w:rPr>
        <w:t xml:space="preserve"> D, </w:t>
      </w:r>
      <w:proofErr w:type="spellStart"/>
      <w:r w:rsidRPr="00AD7516">
        <w:rPr>
          <w:rFonts w:cs="Times New Roman"/>
          <w:szCs w:val="24"/>
        </w:rPr>
        <w:t>Caligaris-Cappio</w:t>
      </w:r>
      <w:proofErr w:type="spellEnd"/>
      <w:r w:rsidRPr="00AD7516">
        <w:rPr>
          <w:rFonts w:cs="Times New Roman"/>
          <w:szCs w:val="24"/>
        </w:rPr>
        <w:t xml:space="preserve"> F, </w:t>
      </w:r>
      <w:proofErr w:type="spellStart"/>
      <w:r w:rsidRPr="00AD7516">
        <w:rPr>
          <w:rFonts w:cs="Times New Roman"/>
          <w:szCs w:val="24"/>
        </w:rPr>
        <w:t>Dighiero</w:t>
      </w:r>
      <w:proofErr w:type="spellEnd"/>
      <w:r w:rsidRPr="00AD7516">
        <w:rPr>
          <w:rFonts w:cs="Times New Roman"/>
          <w:szCs w:val="24"/>
        </w:rPr>
        <w:t xml:space="preserve"> G, </w:t>
      </w:r>
      <w:proofErr w:type="spellStart"/>
      <w:r w:rsidRPr="00AD7516">
        <w:rPr>
          <w:rFonts w:cs="Times New Roman"/>
          <w:szCs w:val="24"/>
        </w:rPr>
        <w:t>Dohner</w:t>
      </w:r>
      <w:proofErr w:type="spellEnd"/>
      <w:r w:rsidRPr="00AD7516">
        <w:rPr>
          <w:rFonts w:cs="Times New Roman"/>
          <w:szCs w:val="24"/>
        </w:rPr>
        <w:t xml:space="preserve"> H, et al. </w:t>
      </w:r>
      <w:proofErr w:type="spellStart"/>
      <w:r w:rsidRPr="00AD7516">
        <w:rPr>
          <w:rFonts w:cs="Times New Roman"/>
          <w:szCs w:val="24"/>
        </w:rPr>
        <w:t>iwCLL</w:t>
      </w:r>
      <w:proofErr w:type="spellEnd"/>
      <w:r w:rsidRPr="00AD7516">
        <w:rPr>
          <w:rFonts w:cs="Times New Roman"/>
          <w:szCs w:val="24"/>
        </w:rPr>
        <w:t xml:space="preserve"> </w:t>
      </w:r>
      <w:proofErr w:type="spellStart"/>
      <w:r w:rsidRPr="00AD7516">
        <w:rPr>
          <w:rFonts w:cs="Times New Roman"/>
          <w:szCs w:val="24"/>
        </w:rPr>
        <w:t>guidelines</w:t>
      </w:r>
      <w:proofErr w:type="spellEnd"/>
      <w:r w:rsidRPr="00AD7516">
        <w:rPr>
          <w:rFonts w:cs="Times New Roman"/>
          <w:szCs w:val="24"/>
        </w:rPr>
        <w:t xml:space="preserve"> </w:t>
      </w:r>
      <w:proofErr w:type="spellStart"/>
      <w:r w:rsidRPr="00AD7516">
        <w:rPr>
          <w:rFonts w:cs="Times New Roman"/>
          <w:szCs w:val="24"/>
        </w:rPr>
        <w:t>for</w:t>
      </w:r>
      <w:proofErr w:type="spellEnd"/>
      <w:r w:rsidRPr="00AD7516">
        <w:rPr>
          <w:rFonts w:cs="Times New Roman"/>
          <w:szCs w:val="24"/>
        </w:rPr>
        <w:t xml:space="preserve"> </w:t>
      </w:r>
      <w:proofErr w:type="spellStart"/>
      <w:r w:rsidRPr="00AD7516">
        <w:rPr>
          <w:rFonts w:cs="Times New Roman"/>
          <w:szCs w:val="24"/>
        </w:rPr>
        <w:t>diagnosis</w:t>
      </w:r>
      <w:proofErr w:type="spellEnd"/>
      <w:r w:rsidRPr="00AD7516">
        <w:rPr>
          <w:rFonts w:cs="Times New Roman"/>
          <w:szCs w:val="24"/>
        </w:rPr>
        <w:t xml:space="preserve">, </w:t>
      </w:r>
      <w:proofErr w:type="spellStart"/>
      <w:r w:rsidRPr="00AD7516">
        <w:rPr>
          <w:rFonts w:cs="Times New Roman"/>
          <w:szCs w:val="24"/>
        </w:rPr>
        <w:t>indications</w:t>
      </w:r>
      <w:proofErr w:type="spellEnd"/>
      <w:r w:rsidRPr="00AD7516">
        <w:rPr>
          <w:rFonts w:cs="Times New Roman"/>
          <w:szCs w:val="24"/>
        </w:rPr>
        <w:t xml:space="preserve"> </w:t>
      </w:r>
      <w:proofErr w:type="spellStart"/>
      <w:r w:rsidRPr="00AD7516">
        <w:rPr>
          <w:rFonts w:cs="Times New Roman"/>
          <w:szCs w:val="24"/>
        </w:rPr>
        <w:t>for</w:t>
      </w:r>
      <w:proofErr w:type="spellEnd"/>
      <w:r w:rsidRPr="00AD7516">
        <w:rPr>
          <w:rFonts w:cs="Times New Roman"/>
          <w:szCs w:val="24"/>
        </w:rPr>
        <w:t xml:space="preserve"> </w:t>
      </w:r>
      <w:proofErr w:type="spellStart"/>
      <w:r w:rsidRPr="00AD7516">
        <w:rPr>
          <w:rFonts w:cs="Times New Roman"/>
          <w:szCs w:val="24"/>
        </w:rPr>
        <w:t>treatment</w:t>
      </w:r>
      <w:proofErr w:type="spellEnd"/>
      <w:r w:rsidRPr="00AD7516">
        <w:rPr>
          <w:rFonts w:cs="Times New Roman"/>
          <w:szCs w:val="24"/>
        </w:rPr>
        <w:t xml:space="preserve">, response </w:t>
      </w:r>
      <w:proofErr w:type="spellStart"/>
      <w:r w:rsidRPr="00AD7516">
        <w:rPr>
          <w:rFonts w:cs="Times New Roman"/>
          <w:szCs w:val="24"/>
        </w:rPr>
        <w:t>assessment</w:t>
      </w:r>
      <w:proofErr w:type="spellEnd"/>
      <w:r w:rsidRPr="00AD7516">
        <w:rPr>
          <w:rFonts w:cs="Times New Roman"/>
          <w:szCs w:val="24"/>
        </w:rPr>
        <w:t xml:space="preserve">, and </w:t>
      </w:r>
      <w:proofErr w:type="spellStart"/>
      <w:r w:rsidRPr="00AD7516">
        <w:rPr>
          <w:rFonts w:cs="Times New Roman"/>
          <w:szCs w:val="24"/>
        </w:rPr>
        <w:t>supportive</w:t>
      </w:r>
      <w:proofErr w:type="spellEnd"/>
      <w:r w:rsidRPr="00AD7516">
        <w:rPr>
          <w:rFonts w:cs="Times New Roman"/>
          <w:szCs w:val="24"/>
        </w:rPr>
        <w:t xml:space="preserve"> management </w:t>
      </w:r>
      <w:proofErr w:type="spellStart"/>
      <w:r w:rsidRPr="00AD7516">
        <w:rPr>
          <w:rFonts w:cs="Times New Roman"/>
          <w:szCs w:val="24"/>
        </w:rPr>
        <w:t>of</w:t>
      </w:r>
      <w:proofErr w:type="spellEnd"/>
      <w:r w:rsidRPr="00AD7516">
        <w:rPr>
          <w:rFonts w:cs="Times New Roman"/>
          <w:szCs w:val="24"/>
        </w:rPr>
        <w:t xml:space="preserve"> CLL. </w:t>
      </w:r>
      <w:proofErr w:type="spellStart"/>
      <w:r w:rsidRPr="00AD7516">
        <w:rPr>
          <w:rFonts w:cs="Times New Roman"/>
          <w:szCs w:val="24"/>
        </w:rPr>
        <w:t>Blood</w:t>
      </w:r>
      <w:proofErr w:type="spellEnd"/>
      <w:r w:rsidRPr="00AD7516">
        <w:rPr>
          <w:rFonts w:cs="Times New Roman"/>
          <w:szCs w:val="24"/>
        </w:rPr>
        <w:t xml:space="preserve">. </w:t>
      </w:r>
      <w:proofErr w:type="gramStart"/>
      <w:r w:rsidRPr="00AD7516">
        <w:rPr>
          <w:rFonts w:cs="Times New Roman"/>
          <w:szCs w:val="24"/>
        </w:rPr>
        <w:t>2018;131:2745</w:t>
      </w:r>
      <w:proofErr w:type="gramEnd"/>
      <w:r w:rsidRPr="00AD7516">
        <w:rPr>
          <w:rFonts w:cs="Times New Roman"/>
          <w:szCs w:val="24"/>
        </w:rPr>
        <w:t>–60.</w:t>
      </w:r>
    </w:p>
    <w:p w:rsidR="00A4561C" w:rsidRPr="00AD7516" w:rsidRDefault="00A4561C" w:rsidP="00A4561C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A4561C" w:rsidRPr="00AD7516" w:rsidRDefault="00A4561C" w:rsidP="00A4561C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proofErr w:type="spellStart"/>
      <w:r w:rsidRPr="00AD7516">
        <w:rPr>
          <w:rFonts w:cs="Times New Roman"/>
          <w:color w:val="000000" w:themeColor="text1"/>
          <w:szCs w:val="24"/>
        </w:rPr>
        <w:t>Heinrichs</w:t>
      </w:r>
      <w:proofErr w:type="spellEnd"/>
      <w:r w:rsidRPr="00AD7516">
        <w:rPr>
          <w:rFonts w:cs="Times New Roman"/>
          <w:color w:val="000000" w:themeColor="text1"/>
          <w:szCs w:val="24"/>
        </w:rPr>
        <w:t xml:space="preserve"> S, </w:t>
      </w:r>
      <w:proofErr w:type="spellStart"/>
      <w:r w:rsidRPr="00AD7516">
        <w:rPr>
          <w:rFonts w:cs="Times New Roman"/>
          <w:color w:val="000000" w:themeColor="text1"/>
          <w:szCs w:val="24"/>
        </w:rPr>
        <w:t>Li</w:t>
      </w:r>
      <w:proofErr w:type="spellEnd"/>
      <w:r w:rsidRPr="00AD7516">
        <w:rPr>
          <w:rFonts w:cs="Times New Roman"/>
          <w:color w:val="000000" w:themeColor="text1"/>
          <w:szCs w:val="24"/>
        </w:rPr>
        <w:t xml:space="preserve"> C, </w:t>
      </w:r>
      <w:proofErr w:type="spellStart"/>
      <w:r w:rsidRPr="00AD7516">
        <w:rPr>
          <w:rFonts w:cs="Times New Roman"/>
          <w:color w:val="000000" w:themeColor="text1"/>
          <w:szCs w:val="24"/>
        </w:rPr>
        <w:t>Look</w:t>
      </w:r>
      <w:proofErr w:type="spellEnd"/>
      <w:r w:rsidRPr="00AD7516">
        <w:rPr>
          <w:rFonts w:cs="Times New Roman"/>
          <w:color w:val="000000" w:themeColor="text1"/>
          <w:szCs w:val="24"/>
        </w:rPr>
        <w:t xml:space="preserve"> AT. SNP </w:t>
      </w:r>
      <w:proofErr w:type="spellStart"/>
      <w:r w:rsidRPr="00AD7516">
        <w:rPr>
          <w:rFonts w:cs="Times New Roman"/>
          <w:color w:val="000000"/>
          <w:szCs w:val="24"/>
        </w:rPr>
        <w:t>array</w:t>
      </w:r>
      <w:proofErr w:type="spellEnd"/>
      <w:r w:rsidRPr="00AD7516">
        <w:rPr>
          <w:rFonts w:cs="Times New Roman"/>
          <w:color w:val="000000"/>
          <w:szCs w:val="24"/>
        </w:rPr>
        <w:t xml:space="preserve"> </w:t>
      </w:r>
      <w:proofErr w:type="spellStart"/>
      <w:r w:rsidRPr="00AD7516">
        <w:rPr>
          <w:rFonts w:cs="Times New Roman"/>
          <w:color w:val="000000"/>
          <w:szCs w:val="24"/>
        </w:rPr>
        <w:t>analysis</w:t>
      </w:r>
      <w:proofErr w:type="spellEnd"/>
      <w:r w:rsidRPr="00AD7516">
        <w:rPr>
          <w:rFonts w:cs="Times New Roman"/>
          <w:color w:val="000000"/>
          <w:szCs w:val="24"/>
        </w:rPr>
        <w:t xml:space="preserve"> in </w:t>
      </w:r>
      <w:proofErr w:type="spellStart"/>
      <w:r w:rsidRPr="00AD7516">
        <w:rPr>
          <w:rFonts w:cs="Times New Roman"/>
          <w:color w:val="000000"/>
          <w:szCs w:val="24"/>
        </w:rPr>
        <w:t>hematologic</w:t>
      </w:r>
      <w:proofErr w:type="spellEnd"/>
      <w:r w:rsidRPr="00AD7516">
        <w:rPr>
          <w:rFonts w:cs="Times New Roman"/>
          <w:color w:val="000000"/>
          <w:szCs w:val="24"/>
        </w:rPr>
        <w:t xml:space="preserve"> </w:t>
      </w:r>
      <w:proofErr w:type="spellStart"/>
      <w:r w:rsidRPr="00AD7516">
        <w:rPr>
          <w:rFonts w:cs="Times New Roman"/>
          <w:color w:val="000000"/>
          <w:szCs w:val="24"/>
        </w:rPr>
        <w:t>malignancies</w:t>
      </w:r>
      <w:proofErr w:type="spellEnd"/>
      <w:r w:rsidRPr="00AD7516">
        <w:rPr>
          <w:rFonts w:cs="Times New Roman"/>
          <w:color w:val="000000"/>
          <w:szCs w:val="24"/>
        </w:rPr>
        <w:t xml:space="preserve">: </w:t>
      </w:r>
      <w:proofErr w:type="spellStart"/>
      <w:r w:rsidRPr="00AD7516">
        <w:rPr>
          <w:rFonts w:cs="Times New Roman"/>
          <w:color w:val="000000"/>
          <w:szCs w:val="24"/>
        </w:rPr>
        <w:t>avoiding</w:t>
      </w:r>
      <w:proofErr w:type="spellEnd"/>
      <w:r w:rsidRPr="00AD7516">
        <w:rPr>
          <w:rFonts w:cs="Times New Roman"/>
          <w:color w:val="000000"/>
          <w:szCs w:val="24"/>
        </w:rPr>
        <w:t xml:space="preserve"> </w:t>
      </w:r>
      <w:proofErr w:type="spellStart"/>
      <w:r w:rsidRPr="00AD7516">
        <w:rPr>
          <w:rFonts w:cs="Times New Roman"/>
          <w:color w:val="000000"/>
          <w:szCs w:val="24"/>
        </w:rPr>
        <w:t>false</w:t>
      </w:r>
      <w:proofErr w:type="spellEnd"/>
      <w:r w:rsidRPr="00AD7516">
        <w:rPr>
          <w:rFonts w:cs="Times New Roman"/>
          <w:color w:val="000000"/>
          <w:szCs w:val="24"/>
        </w:rPr>
        <w:t xml:space="preserve"> </w:t>
      </w:r>
      <w:proofErr w:type="spellStart"/>
      <w:r w:rsidRPr="00AD7516">
        <w:rPr>
          <w:rFonts w:cs="Times New Roman"/>
          <w:color w:val="000000"/>
          <w:szCs w:val="24"/>
        </w:rPr>
        <w:t>discoveries</w:t>
      </w:r>
      <w:proofErr w:type="spellEnd"/>
      <w:r w:rsidRPr="00AD7516">
        <w:rPr>
          <w:rFonts w:cs="Times New Roman"/>
          <w:color w:val="000000"/>
          <w:szCs w:val="24"/>
        </w:rPr>
        <w:t xml:space="preserve">. </w:t>
      </w:r>
      <w:proofErr w:type="spellStart"/>
      <w:r w:rsidRPr="00AD7516">
        <w:rPr>
          <w:rFonts w:cs="Times New Roman"/>
          <w:color w:val="000000"/>
          <w:szCs w:val="24"/>
        </w:rPr>
        <w:t>Blood</w:t>
      </w:r>
      <w:proofErr w:type="spellEnd"/>
      <w:r w:rsidRPr="00AD7516">
        <w:rPr>
          <w:rFonts w:cs="Times New Roman"/>
          <w:color w:val="000000"/>
          <w:szCs w:val="24"/>
        </w:rPr>
        <w:t xml:space="preserve"> 2010;27:</w:t>
      </w:r>
      <w:r w:rsidRPr="00AD7516">
        <w:rPr>
          <w:rFonts w:cs="Times New Roman"/>
          <w:szCs w:val="24"/>
        </w:rPr>
        <w:t xml:space="preserve"> 94(</w:t>
      </w:r>
      <w:proofErr w:type="spellStart"/>
      <w:r w:rsidRPr="00AD7516">
        <w:rPr>
          <w:rFonts w:cs="Times New Roman"/>
          <w:szCs w:val="24"/>
        </w:rPr>
        <w:t>Suppl</w:t>
      </w:r>
      <w:proofErr w:type="spellEnd"/>
      <w:r w:rsidRPr="00AD7516">
        <w:rPr>
          <w:rFonts w:cs="Times New Roman"/>
          <w:szCs w:val="24"/>
        </w:rPr>
        <w:t xml:space="preserve"> 2</w:t>
      </w:r>
      <w:proofErr w:type="gramStart"/>
      <w:r w:rsidRPr="00AD7516">
        <w:rPr>
          <w:rFonts w:cs="Times New Roman"/>
          <w:szCs w:val="24"/>
        </w:rPr>
        <w:t>):S</w:t>
      </w:r>
      <w:proofErr w:type="gramEnd"/>
      <w:r w:rsidRPr="00AD7516">
        <w:rPr>
          <w:rFonts w:cs="Times New Roman"/>
          <w:szCs w:val="24"/>
        </w:rPr>
        <w:t>141–7.</w:t>
      </w:r>
    </w:p>
    <w:p w:rsidR="00A4561C" w:rsidRPr="00AD7516" w:rsidRDefault="00A4561C" w:rsidP="00A4561C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A4561C" w:rsidRPr="00AD7516" w:rsidRDefault="00A4561C" w:rsidP="00A4561C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proofErr w:type="spellStart"/>
      <w:r w:rsidRPr="00AD7516">
        <w:rPr>
          <w:rFonts w:cs="Times New Roman"/>
          <w:szCs w:val="24"/>
        </w:rPr>
        <w:t>Hochhaus</w:t>
      </w:r>
      <w:proofErr w:type="spellEnd"/>
      <w:r w:rsidRPr="00AD7516">
        <w:rPr>
          <w:rFonts w:cs="Times New Roman"/>
          <w:szCs w:val="24"/>
        </w:rPr>
        <w:t xml:space="preserve"> A, </w:t>
      </w:r>
      <w:proofErr w:type="spellStart"/>
      <w:r w:rsidRPr="00AD7516">
        <w:rPr>
          <w:rFonts w:cs="Times New Roman"/>
          <w:szCs w:val="24"/>
        </w:rPr>
        <w:t>Baccarani</w:t>
      </w:r>
      <w:proofErr w:type="spellEnd"/>
      <w:r w:rsidRPr="00AD7516">
        <w:rPr>
          <w:rFonts w:cs="Times New Roman"/>
          <w:szCs w:val="24"/>
        </w:rPr>
        <w:t xml:space="preserve"> M, Silver RT, et al.  </w:t>
      </w:r>
      <w:proofErr w:type="spellStart"/>
      <w:r w:rsidRPr="00AD7516">
        <w:rPr>
          <w:rFonts w:cs="Times New Roman"/>
          <w:szCs w:val="24"/>
        </w:rPr>
        <w:t>European</w:t>
      </w:r>
      <w:proofErr w:type="spellEnd"/>
      <w:r w:rsidRPr="00AD7516">
        <w:rPr>
          <w:rFonts w:cs="Times New Roman"/>
          <w:szCs w:val="24"/>
        </w:rPr>
        <w:t xml:space="preserve"> </w:t>
      </w:r>
      <w:proofErr w:type="spellStart"/>
      <w:r w:rsidRPr="00AD7516">
        <w:rPr>
          <w:rFonts w:cs="Times New Roman"/>
          <w:szCs w:val="24"/>
        </w:rPr>
        <w:t>LeukemiaNet</w:t>
      </w:r>
      <w:proofErr w:type="spellEnd"/>
      <w:r w:rsidRPr="00AD7516">
        <w:rPr>
          <w:rFonts w:cs="Times New Roman"/>
          <w:szCs w:val="24"/>
        </w:rPr>
        <w:t xml:space="preserve"> 2020 </w:t>
      </w:r>
      <w:proofErr w:type="spellStart"/>
      <w:r w:rsidRPr="00AD7516">
        <w:rPr>
          <w:rFonts w:cs="Times New Roman"/>
          <w:szCs w:val="24"/>
        </w:rPr>
        <w:t>recommendations</w:t>
      </w:r>
      <w:proofErr w:type="spellEnd"/>
      <w:r w:rsidRPr="00AD7516">
        <w:rPr>
          <w:rFonts w:cs="Times New Roman"/>
          <w:szCs w:val="24"/>
        </w:rPr>
        <w:t xml:space="preserve"> </w:t>
      </w:r>
      <w:proofErr w:type="spellStart"/>
      <w:r w:rsidRPr="00AD7516">
        <w:rPr>
          <w:rFonts w:cs="Times New Roman"/>
          <w:szCs w:val="24"/>
        </w:rPr>
        <w:t>for</w:t>
      </w:r>
      <w:proofErr w:type="spellEnd"/>
      <w:r w:rsidRPr="00AD7516">
        <w:rPr>
          <w:rFonts w:cs="Times New Roman"/>
          <w:szCs w:val="24"/>
        </w:rPr>
        <w:t xml:space="preserve"> </w:t>
      </w:r>
      <w:proofErr w:type="spellStart"/>
      <w:r w:rsidRPr="00AD7516">
        <w:rPr>
          <w:rFonts w:cs="Times New Roman"/>
          <w:szCs w:val="24"/>
        </w:rPr>
        <w:t>treating</w:t>
      </w:r>
      <w:proofErr w:type="spellEnd"/>
      <w:r w:rsidRPr="00AD7516">
        <w:rPr>
          <w:rFonts w:cs="Times New Roman"/>
          <w:szCs w:val="24"/>
        </w:rPr>
        <w:t xml:space="preserve"> </w:t>
      </w:r>
      <w:proofErr w:type="spellStart"/>
      <w:r w:rsidRPr="00AD7516">
        <w:rPr>
          <w:rFonts w:cs="Times New Roman"/>
          <w:szCs w:val="24"/>
        </w:rPr>
        <w:t>chronic</w:t>
      </w:r>
      <w:proofErr w:type="spellEnd"/>
      <w:r w:rsidRPr="00AD7516">
        <w:rPr>
          <w:rFonts w:cs="Times New Roman"/>
          <w:szCs w:val="24"/>
        </w:rPr>
        <w:t xml:space="preserve"> </w:t>
      </w:r>
      <w:proofErr w:type="spellStart"/>
      <w:r w:rsidRPr="00AD7516">
        <w:rPr>
          <w:rFonts w:cs="Times New Roman"/>
          <w:szCs w:val="24"/>
        </w:rPr>
        <w:t>myeloid</w:t>
      </w:r>
      <w:proofErr w:type="spellEnd"/>
      <w:r w:rsidRPr="00AD7516">
        <w:rPr>
          <w:rFonts w:cs="Times New Roman"/>
          <w:szCs w:val="24"/>
        </w:rPr>
        <w:t xml:space="preserve"> </w:t>
      </w:r>
      <w:proofErr w:type="spellStart"/>
      <w:r w:rsidRPr="00AD7516">
        <w:rPr>
          <w:rFonts w:cs="Times New Roman"/>
          <w:szCs w:val="24"/>
        </w:rPr>
        <w:t>leukemia</w:t>
      </w:r>
      <w:proofErr w:type="spellEnd"/>
      <w:r w:rsidRPr="00AD7516">
        <w:rPr>
          <w:rFonts w:cs="Times New Roman"/>
          <w:szCs w:val="24"/>
        </w:rPr>
        <w:t xml:space="preserve">. </w:t>
      </w:r>
      <w:proofErr w:type="spellStart"/>
      <w:r w:rsidRPr="00AD7516">
        <w:rPr>
          <w:rFonts w:cs="Times New Roman"/>
          <w:szCs w:val="24"/>
        </w:rPr>
        <w:t>Leukemia</w:t>
      </w:r>
      <w:proofErr w:type="spellEnd"/>
      <w:r w:rsidRPr="00AD7516">
        <w:rPr>
          <w:rFonts w:cs="Times New Roman"/>
          <w:szCs w:val="24"/>
        </w:rPr>
        <w:t xml:space="preserve"> 2020; https://doi.org/10.1038/s41375-020-0776-2</w:t>
      </w:r>
      <w:r w:rsidR="004D396B" w:rsidRPr="00AD7516">
        <w:rPr>
          <w:rFonts w:cs="Times New Roman"/>
          <w:szCs w:val="24"/>
        </w:rPr>
        <w:t>.</w:t>
      </w:r>
    </w:p>
    <w:p w:rsidR="00A4561C" w:rsidRPr="00AD7516" w:rsidRDefault="00A4561C" w:rsidP="00A456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FF"/>
          <w:szCs w:val="24"/>
        </w:rPr>
      </w:pPr>
    </w:p>
    <w:p w:rsidR="00A4561C" w:rsidRPr="00AD7516" w:rsidRDefault="00A4561C" w:rsidP="00A4561C">
      <w:pPr>
        <w:spacing w:after="0" w:line="240" w:lineRule="auto"/>
        <w:rPr>
          <w:rFonts w:cs="Times New Roman"/>
          <w:color w:val="000000"/>
          <w:szCs w:val="24"/>
        </w:rPr>
      </w:pPr>
      <w:r w:rsidRPr="00AD7516">
        <w:rPr>
          <w:rFonts w:cs="Times New Roman"/>
          <w:color w:val="000000"/>
          <w:szCs w:val="24"/>
        </w:rPr>
        <w:t xml:space="preserve">Chudoba I, </w:t>
      </w:r>
      <w:proofErr w:type="spellStart"/>
      <w:r w:rsidRPr="00AD7516">
        <w:rPr>
          <w:rFonts w:cs="Times New Roman"/>
          <w:color w:val="000000"/>
          <w:szCs w:val="24"/>
        </w:rPr>
        <w:t>Hickmann</w:t>
      </w:r>
      <w:proofErr w:type="spellEnd"/>
      <w:r w:rsidRPr="00AD7516">
        <w:rPr>
          <w:rFonts w:cs="Times New Roman"/>
          <w:color w:val="000000"/>
          <w:szCs w:val="24"/>
        </w:rPr>
        <w:t xml:space="preserve"> G, Friedrich T et al. </w:t>
      </w:r>
      <w:proofErr w:type="spellStart"/>
      <w:r w:rsidRPr="00AD7516">
        <w:rPr>
          <w:rFonts w:cs="Times New Roman"/>
          <w:color w:val="000000"/>
          <w:szCs w:val="24"/>
        </w:rPr>
        <w:t>mBAND</w:t>
      </w:r>
      <w:proofErr w:type="spellEnd"/>
      <w:r w:rsidRPr="00AD7516">
        <w:rPr>
          <w:rFonts w:cs="Times New Roman"/>
          <w:color w:val="000000"/>
          <w:szCs w:val="24"/>
        </w:rPr>
        <w:t xml:space="preserve">: a </w:t>
      </w:r>
      <w:proofErr w:type="spellStart"/>
      <w:r w:rsidRPr="00AD7516">
        <w:rPr>
          <w:rFonts w:cs="Times New Roman"/>
          <w:color w:val="000000"/>
          <w:szCs w:val="24"/>
        </w:rPr>
        <w:t>high</w:t>
      </w:r>
      <w:proofErr w:type="spellEnd"/>
      <w:r w:rsidRPr="00AD7516">
        <w:rPr>
          <w:rFonts w:cs="Times New Roman"/>
          <w:color w:val="000000"/>
          <w:szCs w:val="24"/>
        </w:rPr>
        <w:t xml:space="preserve"> </w:t>
      </w:r>
      <w:proofErr w:type="spellStart"/>
      <w:r w:rsidRPr="00AD7516">
        <w:rPr>
          <w:rFonts w:cs="Times New Roman"/>
          <w:color w:val="000000"/>
          <w:szCs w:val="24"/>
        </w:rPr>
        <w:t>resolution</w:t>
      </w:r>
      <w:proofErr w:type="spellEnd"/>
      <w:r w:rsidRPr="00AD7516">
        <w:rPr>
          <w:rFonts w:cs="Times New Roman"/>
          <w:color w:val="000000"/>
          <w:szCs w:val="24"/>
        </w:rPr>
        <w:t xml:space="preserve"> </w:t>
      </w:r>
      <w:proofErr w:type="spellStart"/>
      <w:r w:rsidRPr="00AD7516">
        <w:rPr>
          <w:rFonts w:cs="Times New Roman"/>
          <w:color w:val="000000"/>
          <w:szCs w:val="24"/>
        </w:rPr>
        <w:t>multicolor</w:t>
      </w:r>
      <w:proofErr w:type="spellEnd"/>
      <w:r w:rsidRPr="00AD7516">
        <w:rPr>
          <w:rFonts w:cs="Times New Roman"/>
          <w:color w:val="000000"/>
          <w:szCs w:val="24"/>
        </w:rPr>
        <w:t xml:space="preserve"> </w:t>
      </w:r>
      <w:proofErr w:type="spellStart"/>
      <w:r w:rsidRPr="00AD7516">
        <w:rPr>
          <w:rFonts w:cs="Times New Roman"/>
          <w:color w:val="000000"/>
          <w:szCs w:val="24"/>
        </w:rPr>
        <w:t>banding</w:t>
      </w:r>
      <w:proofErr w:type="spellEnd"/>
      <w:r w:rsidRPr="00AD7516">
        <w:rPr>
          <w:rFonts w:cs="Times New Roman"/>
          <w:color w:val="000000"/>
          <w:szCs w:val="24"/>
        </w:rPr>
        <w:t xml:space="preserve"> </w:t>
      </w:r>
      <w:proofErr w:type="spellStart"/>
      <w:r w:rsidRPr="00AD7516">
        <w:rPr>
          <w:rFonts w:cs="Times New Roman"/>
          <w:color w:val="000000"/>
          <w:szCs w:val="24"/>
        </w:rPr>
        <w:t>technique</w:t>
      </w:r>
      <w:proofErr w:type="spellEnd"/>
      <w:r w:rsidRPr="00AD7516">
        <w:rPr>
          <w:rFonts w:cs="Times New Roman"/>
          <w:color w:val="000000"/>
          <w:szCs w:val="24"/>
        </w:rPr>
        <w:t xml:space="preserve"> </w:t>
      </w:r>
      <w:proofErr w:type="spellStart"/>
      <w:r w:rsidRPr="00AD7516">
        <w:rPr>
          <w:rFonts w:cs="Times New Roman"/>
          <w:color w:val="000000"/>
          <w:szCs w:val="24"/>
        </w:rPr>
        <w:t>for</w:t>
      </w:r>
      <w:proofErr w:type="spellEnd"/>
      <w:r w:rsidRPr="00AD7516">
        <w:rPr>
          <w:rFonts w:cs="Times New Roman"/>
          <w:color w:val="000000"/>
          <w:szCs w:val="24"/>
        </w:rPr>
        <w:t xml:space="preserve"> </w:t>
      </w:r>
      <w:proofErr w:type="spellStart"/>
      <w:r w:rsidRPr="00AD7516">
        <w:rPr>
          <w:rFonts w:cs="Times New Roman"/>
          <w:color w:val="000000"/>
          <w:szCs w:val="24"/>
        </w:rPr>
        <w:t>the</w:t>
      </w:r>
      <w:proofErr w:type="spellEnd"/>
      <w:r w:rsidRPr="00AD7516">
        <w:rPr>
          <w:rFonts w:cs="Times New Roman"/>
          <w:color w:val="000000"/>
          <w:szCs w:val="24"/>
        </w:rPr>
        <w:t xml:space="preserve"> </w:t>
      </w:r>
      <w:proofErr w:type="spellStart"/>
      <w:r w:rsidRPr="00AD7516">
        <w:rPr>
          <w:rFonts w:cs="Times New Roman"/>
          <w:color w:val="000000"/>
          <w:szCs w:val="24"/>
        </w:rPr>
        <w:t>detection</w:t>
      </w:r>
      <w:proofErr w:type="spellEnd"/>
      <w:r w:rsidRPr="00AD7516">
        <w:rPr>
          <w:rFonts w:cs="Times New Roman"/>
          <w:color w:val="000000"/>
          <w:szCs w:val="24"/>
        </w:rPr>
        <w:t xml:space="preserve"> </w:t>
      </w:r>
      <w:proofErr w:type="spellStart"/>
      <w:r w:rsidRPr="00AD7516">
        <w:rPr>
          <w:rFonts w:cs="Times New Roman"/>
          <w:color w:val="000000"/>
          <w:szCs w:val="24"/>
        </w:rPr>
        <w:t>of</w:t>
      </w:r>
      <w:proofErr w:type="spellEnd"/>
      <w:r w:rsidRPr="00AD7516">
        <w:rPr>
          <w:rFonts w:cs="Times New Roman"/>
          <w:color w:val="000000"/>
          <w:szCs w:val="24"/>
        </w:rPr>
        <w:t xml:space="preserve"> </w:t>
      </w:r>
      <w:proofErr w:type="spellStart"/>
      <w:r w:rsidRPr="00AD7516">
        <w:rPr>
          <w:rFonts w:cs="Times New Roman"/>
          <w:color w:val="000000"/>
          <w:szCs w:val="24"/>
        </w:rPr>
        <w:t>complex</w:t>
      </w:r>
      <w:proofErr w:type="spellEnd"/>
      <w:r w:rsidRPr="00AD7516">
        <w:rPr>
          <w:rFonts w:cs="Times New Roman"/>
          <w:color w:val="000000"/>
          <w:szCs w:val="24"/>
        </w:rPr>
        <w:t xml:space="preserve"> </w:t>
      </w:r>
      <w:proofErr w:type="spellStart"/>
      <w:r w:rsidRPr="00AD7516">
        <w:rPr>
          <w:rFonts w:cs="Times New Roman"/>
          <w:color w:val="000000"/>
          <w:szCs w:val="24"/>
        </w:rPr>
        <w:t>intrachromosomal</w:t>
      </w:r>
      <w:proofErr w:type="spellEnd"/>
      <w:r w:rsidRPr="00AD7516">
        <w:rPr>
          <w:rFonts w:cs="Times New Roman"/>
          <w:color w:val="000000"/>
          <w:szCs w:val="24"/>
        </w:rPr>
        <w:t xml:space="preserve"> </w:t>
      </w:r>
      <w:proofErr w:type="spellStart"/>
      <w:r w:rsidRPr="00AD7516">
        <w:rPr>
          <w:rFonts w:cs="Times New Roman"/>
          <w:color w:val="000000"/>
          <w:szCs w:val="24"/>
        </w:rPr>
        <w:t>aberrations</w:t>
      </w:r>
      <w:proofErr w:type="spellEnd"/>
      <w:r w:rsidRPr="00AD7516">
        <w:rPr>
          <w:rFonts w:cs="Times New Roman"/>
          <w:color w:val="000000"/>
          <w:szCs w:val="24"/>
        </w:rPr>
        <w:t xml:space="preserve">. </w:t>
      </w:r>
      <w:proofErr w:type="spellStart"/>
      <w:r w:rsidRPr="00AD7516">
        <w:rPr>
          <w:rFonts w:cs="Times New Roman"/>
          <w:color w:val="000000"/>
          <w:szCs w:val="24"/>
        </w:rPr>
        <w:t>Cytogenet</w:t>
      </w:r>
      <w:proofErr w:type="spellEnd"/>
      <w:r w:rsidRPr="00AD7516">
        <w:rPr>
          <w:rFonts w:cs="Times New Roman"/>
          <w:color w:val="000000"/>
          <w:szCs w:val="24"/>
        </w:rPr>
        <w:t xml:space="preserve"> Genome Res.2004;104:390-3. </w:t>
      </w:r>
    </w:p>
    <w:p w:rsidR="004D396B" w:rsidRPr="00AD7516" w:rsidRDefault="004D396B" w:rsidP="00A4561C">
      <w:pPr>
        <w:spacing w:after="0" w:line="240" w:lineRule="auto"/>
        <w:rPr>
          <w:rFonts w:cs="Times New Roman"/>
          <w:color w:val="000000"/>
          <w:szCs w:val="24"/>
        </w:rPr>
      </w:pPr>
    </w:p>
    <w:p w:rsidR="004D396B" w:rsidRPr="00AD7516" w:rsidRDefault="004D396B" w:rsidP="004D396B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proofErr w:type="spellStart"/>
      <w:r w:rsidRPr="00AD7516">
        <w:rPr>
          <w:rFonts w:cs="Times New Roman"/>
          <w:szCs w:val="24"/>
        </w:rPr>
        <w:t>Ijssel</w:t>
      </w:r>
      <w:proofErr w:type="spellEnd"/>
      <w:r w:rsidRPr="00AD7516">
        <w:rPr>
          <w:rFonts w:cs="Times New Roman"/>
          <w:szCs w:val="24"/>
        </w:rPr>
        <w:t xml:space="preserve"> P, </w:t>
      </w:r>
      <w:proofErr w:type="spellStart"/>
      <w:r w:rsidRPr="00AD7516">
        <w:rPr>
          <w:rFonts w:cs="Times New Roman"/>
          <w:szCs w:val="24"/>
        </w:rPr>
        <w:t>Ylstra</w:t>
      </w:r>
      <w:proofErr w:type="spellEnd"/>
      <w:r w:rsidRPr="00AD7516">
        <w:rPr>
          <w:rFonts w:cs="Times New Roman"/>
          <w:szCs w:val="24"/>
        </w:rPr>
        <w:t xml:space="preserve"> B. </w:t>
      </w:r>
      <w:proofErr w:type="spellStart"/>
      <w:r w:rsidRPr="00AD7516">
        <w:rPr>
          <w:rFonts w:cs="Times New Roman"/>
          <w:color w:val="000000"/>
          <w:szCs w:val="24"/>
        </w:rPr>
        <w:t>Oligonucleotide</w:t>
      </w:r>
      <w:proofErr w:type="spellEnd"/>
      <w:r w:rsidRPr="00AD7516">
        <w:rPr>
          <w:rFonts w:cs="Times New Roman"/>
          <w:color w:val="000000"/>
          <w:szCs w:val="24"/>
        </w:rPr>
        <w:t xml:space="preserve"> </w:t>
      </w:r>
      <w:proofErr w:type="spellStart"/>
      <w:r w:rsidRPr="00AD7516">
        <w:rPr>
          <w:rFonts w:cs="Times New Roman"/>
          <w:color w:val="000000"/>
          <w:szCs w:val="24"/>
        </w:rPr>
        <w:t>array</w:t>
      </w:r>
      <w:proofErr w:type="spellEnd"/>
      <w:r w:rsidRPr="00AD7516">
        <w:rPr>
          <w:rFonts w:cs="Times New Roman"/>
          <w:color w:val="000000"/>
          <w:szCs w:val="24"/>
        </w:rPr>
        <w:t xml:space="preserve"> </w:t>
      </w:r>
      <w:proofErr w:type="spellStart"/>
      <w:r w:rsidRPr="00AD7516">
        <w:rPr>
          <w:rFonts w:cs="Times New Roman"/>
          <w:color w:val="000000"/>
          <w:szCs w:val="24"/>
        </w:rPr>
        <w:t>comparative</w:t>
      </w:r>
      <w:proofErr w:type="spellEnd"/>
      <w:r w:rsidRPr="00AD7516">
        <w:rPr>
          <w:rFonts w:cs="Times New Roman"/>
          <w:color w:val="000000"/>
          <w:szCs w:val="24"/>
        </w:rPr>
        <w:t xml:space="preserve"> </w:t>
      </w:r>
      <w:proofErr w:type="spellStart"/>
      <w:r w:rsidRPr="00AD7516">
        <w:rPr>
          <w:rFonts w:cs="Times New Roman"/>
          <w:color w:val="000000"/>
          <w:szCs w:val="24"/>
        </w:rPr>
        <w:t>genomic</w:t>
      </w:r>
      <w:proofErr w:type="spellEnd"/>
      <w:r w:rsidRPr="00AD7516">
        <w:rPr>
          <w:rFonts w:cs="Times New Roman"/>
          <w:color w:val="000000"/>
          <w:szCs w:val="24"/>
        </w:rPr>
        <w:t xml:space="preserve"> </w:t>
      </w:r>
      <w:proofErr w:type="spellStart"/>
      <w:r w:rsidRPr="00AD7516">
        <w:rPr>
          <w:rFonts w:cs="Times New Roman"/>
          <w:color w:val="000000"/>
          <w:szCs w:val="24"/>
        </w:rPr>
        <w:t>hybridization</w:t>
      </w:r>
      <w:proofErr w:type="spellEnd"/>
      <w:r w:rsidRPr="00AD7516">
        <w:rPr>
          <w:rFonts w:cs="Times New Roman"/>
          <w:color w:val="000000"/>
          <w:szCs w:val="24"/>
        </w:rPr>
        <w:t xml:space="preserve">. </w:t>
      </w:r>
      <w:proofErr w:type="spellStart"/>
      <w:r w:rsidRPr="00AD7516">
        <w:rPr>
          <w:rFonts w:cs="Times New Roman"/>
          <w:color w:val="000000"/>
          <w:szCs w:val="24"/>
        </w:rPr>
        <w:t>Methods</w:t>
      </w:r>
      <w:proofErr w:type="spellEnd"/>
      <w:r w:rsidRPr="00AD7516">
        <w:rPr>
          <w:rFonts w:cs="Times New Roman"/>
          <w:color w:val="000000"/>
          <w:szCs w:val="24"/>
        </w:rPr>
        <w:t xml:space="preserve"> Mol </w:t>
      </w:r>
      <w:proofErr w:type="spellStart"/>
      <w:r w:rsidRPr="00AD7516">
        <w:rPr>
          <w:rFonts w:cs="Times New Roman"/>
          <w:color w:val="000000"/>
          <w:szCs w:val="24"/>
        </w:rPr>
        <w:t>Biol</w:t>
      </w:r>
      <w:proofErr w:type="spellEnd"/>
      <w:r w:rsidRPr="00AD7516">
        <w:rPr>
          <w:rFonts w:cs="Times New Roman"/>
          <w:color w:val="000000"/>
          <w:szCs w:val="24"/>
        </w:rPr>
        <w:t xml:space="preserve"> </w:t>
      </w:r>
      <w:proofErr w:type="gramStart"/>
      <w:r w:rsidRPr="00AD7516">
        <w:rPr>
          <w:rFonts w:cs="Times New Roman"/>
          <w:color w:val="000000"/>
          <w:szCs w:val="24"/>
        </w:rPr>
        <w:t>2007;396:207</w:t>
      </w:r>
      <w:proofErr w:type="gramEnd"/>
      <w:r w:rsidRPr="00AD7516">
        <w:rPr>
          <w:rFonts w:cs="Times New Roman"/>
          <w:color w:val="000000"/>
          <w:szCs w:val="24"/>
        </w:rPr>
        <w:t>-21.</w:t>
      </w:r>
    </w:p>
    <w:p w:rsidR="004D396B" w:rsidRPr="00AD7516" w:rsidRDefault="004D396B" w:rsidP="004D396B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cs-CZ"/>
        </w:rPr>
      </w:pPr>
      <w:proofErr w:type="spellStart"/>
      <w:r w:rsidRPr="00AD7516">
        <w:rPr>
          <w:rFonts w:eastAsia="Times New Roman" w:cs="Times New Roman"/>
          <w:szCs w:val="24"/>
          <w:lang w:eastAsia="cs-CZ"/>
        </w:rPr>
        <w:lastRenderedPageBreak/>
        <w:t>Liu</w:t>
      </w:r>
      <w:proofErr w:type="spellEnd"/>
      <w:r w:rsidRPr="00AD7516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proofErr w:type="gramStart"/>
      <w:r w:rsidRPr="00AD7516">
        <w:rPr>
          <w:rFonts w:eastAsia="Times New Roman" w:cs="Times New Roman"/>
          <w:szCs w:val="24"/>
          <w:lang w:eastAsia="cs-CZ"/>
        </w:rPr>
        <w:t>BY,Wang</w:t>
      </w:r>
      <w:proofErr w:type="spellEnd"/>
      <w:proofErr w:type="gramEnd"/>
      <w:r w:rsidRPr="00AD7516">
        <w:rPr>
          <w:rFonts w:eastAsia="Times New Roman" w:cs="Times New Roman"/>
          <w:szCs w:val="24"/>
          <w:lang w:eastAsia="cs-CZ"/>
        </w:rPr>
        <w:t xml:space="preserve"> WN, </w:t>
      </w:r>
      <w:proofErr w:type="spellStart"/>
      <w:r w:rsidRPr="00AD7516">
        <w:rPr>
          <w:rFonts w:eastAsia="Times New Roman" w:cs="Times New Roman"/>
          <w:szCs w:val="24"/>
          <w:lang w:eastAsia="cs-CZ"/>
        </w:rPr>
        <w:t>Zhang</w:t>
      </w:r>
      <w:proofErr w:type="spellEnd"/>
      <w:r w:rsidRPr="00AD7516">
        <w:rPr>
          <w:rFonts w:eastAsia="Times New Roman" w:cs="Times New Roman"/>
          <w:szCs w:val="24"/>
          <w:lang w:eastAsia="cs-CZ"/>
        </w:rPr>
        <w:t xml:space="preserve"> JY, et al. </w:t>
      </w:r>
      <w:proofErr w:type="spellStart"/>
      <w:r w:rsidRPr="00AD7516">
        <w:rPr>
          <w:rFonts w:eastAsia="Times New Roman" w:cs="Times New Roman"/>
          <w:szCs w:val="24"/>
          <w:lang w:eastAsia="cs-CZ"/>
        </w:rPr>
        <w:t>Genomic</w:t>
      </w:r>
      <w:proofErr w:type="spellEnd"/>
      <w:r w:rsidRPr="00AD7516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AD7516">
        <w:rPr>
          <w:rFonts w:eastAsia="Times New Roman" w:cs="Times New Roman"/>
          <w:szCs w:val="24"/>
          <w:lang w:eastAsia="cs-CZ"/>
        </w:rPr>
        <w:t>Profiling</w:t>
      </w:r>
      <w:proofErr w:type="spellEnd"/>
      <w:r w:rsidRPr="00AD7516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AD7516">
        <w:rPr>
          <w:rFonts w:eastAsia="Times New Roman" w:cs="Times New Roman"/>
          <w:szCs w:val="24"/>
          <w:lang w:eastAsia="cs-CZ"/>
        </w:rPr>
        <w:t>of</w:t>
      </w:r>
      <w:proofErr w:type="spellEnd"/>
      <w:r w:rsidRPr="00AD7516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AD7516">
        <w:rPr>
          <w:rFonts w:eastAsia="Times New Roman" w:cs="Times New Roman"/>
          <w:szCs w:val="24"/>
          <w:lang w:eastAsia="cs-CZ"/>
        </w:rPr>
        <w:t>Adult</w:t>
      </w:r>
      <w:proofErr w:type="spellEnd"/>
      <w:r w:rsidRPr="00AD7516">
        <w:rPr>
          <w:rFonts w:eastAsia="Times New Roman" w:cs="Times New Roman"/>
          <w:szCs w:val="24"/>
          <w:lang w:eastAsia="cs-CZ"/>
        </w:rPr>
        <w:t xml:space="preserve"> and </w:t>
      </w:r>
      <w:proofErr w:type="spellStart"/>
      <w:r w:rsidRPr="00AD7516">
        <w:rPr>
          <w:rFonts w:eastAsia="Times New Roman" w:cs="Times New Roman"/>
          <w:szCs w:val="24"/>
          <w:lang w:eastAsia="cs-CZ"/>
        </w:rPr>
        <w:t>Pediatric</w:t>
      </w:r>
      <w:proofErr w:type="spellEnd"/>
      <w:r w:rsidRPr="00AD7516">
        <w:rPr>
          <w:rFonts w:eastAsia="Times New Roman" w:cs="Times New Roman"/>
          <w:szCs w:val="24"/>
          <w:lang w:eastAsia="cs-CZ"/>
        </w:rPr>
        <w:t xml:space="preserve"> B-cell </w:t>
      </w:r>
      <w:proofErr w:type="spellStart"/>
      <w:r w:rsidRPr="00AD7516">
        <w:rPr>
          <w:rFonts w:eastAsia="Times New Roman" w:cs="Times New Roman"/>
          <w:szCs w:val="24"/>
          <w:lang w:eastAsia="cs-CZ"/>
        </w:rPr>
        <w:t>AcuteLymphoblastic</w:t>
      </w:r>
      <w:proofErr w:type="spellEnd"/>
      <w:r w:rsidRPr="00AD7516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AD7516">
        <w:rPr>
          <w:rFonts w:eastAsia="Times New Roman" w:cs="Times New Roman"/>
          <w:szCs w:val="24"/>
          <w:lang w:eastAsia="cs-CZ"/>
        </w:rPr>
        <w:t>Leukemia</w:t>
      </w:r>
      <w:proofErr w:type="spellEnd"/>
      <w:r w:rsidRPr="00AD7516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AD7516">
        <w:rPr>
          <w:rFonts w:eastAsia="Times New Roman" w:cs="Times New Roman"/>
          <w:szCs w:val="24"/>
          <w:lang w:eastAsia="cs-CZ"/>
        </w:rPr>
        <w:t>EBioMedicine</w:t>
      </w:r>
      <w:proofErr w:type="spellEnd"/>
      <w:r w:rsidRPr="00AD7516">
        <w:rPr>
          <w:rFonts w:eastAsia="Times New Roman" w:cs="Times New Roman"/>
          <w:szCs w:val="24"/>
          <w:lang w:eastAsia="cs-CZ"/>
        </w:rPr>
        <w:t xml:space="preserve"> 8 (2016) 173–183.</w:t>
      </w:r>
    </w:p>
    <w:p w:rsidR="004D396B" w:rsidRPr="00AD7516" w:rsidRDefault="004D396B" w:rsidP="004D396B">
      <w:pPr>
        <w:spacing w:after="0" w:line="240" w:lineRule="auto"/>
        <w:rPr>
          <w:rFonts w:eastAsia="Times New Roman" w:cs="Times New Roman"/>
          <w:szCs w:val="24"/>
          <w:lang w:eastAsia="cs-CZ"/>
        </w:rPr>
      </w:pPr>
      <w:proofErr w:type="spellStart"/>
      <w:r w:rsidRPr="00AD7516">
        <w:rPr>
          <w:rFonts w:eastAsia="Times New Roman" w:cs="Times New Roman"/>
          <w:color w:val="333333"/>
          <w:szCs w:val="24"/>
          <w:shd w:val="clear" w:color="auto" w:fill="FFFFFF"/>
          <w:lang w:eastAsia="cs-CZ"/>
        </w:rPr>
        <w:t>Lucito</w:t>
      </w:r>
      <w:proofErr w:type="spellEnd"/>
      <w:r w:rsidRPr="00AD7516">
        <w:rPr>
          <w:rFonts w:eastAsia="Times New Roman" w:cs="Times New Roman"/>
          <w:color w:val="333333"/>
          <w:szCs w:val="24"/>
          <w:shd w:val="clear" w:color="auto" w:fill="FFFFFF"/>
          <w:lang w:eastAsia="cs-CZ"/>
        </w:rPr>
        <w:t>, R., </w:t>
      </w:r>
      <w:r w:rsidRPr="00AD7516">
        <w:rPr>
          <w:rFonts w:eastAsia="Times New Roman" w:cs="Times New Roman"/>
          <w:i/>
          <w:iCs/>
          <w:color w:val="333333"/>
          <w:szCs w:val="24"/>
          <w:bdr w:val="none" w:sz="0" w:space="0" w:color="auto" w:frame="1"/>
          <w:lang w:eastAsia="cs-CZ"/>
        </w:rPr>
        <w:t>et al</w:t>
      </w:r>
      <w:r w:rsidRPr="00AD7516">
        <w:rPr>
          <w:rFonts w:eastAsia="Times New Roman" w:cs="Times New Roman"/>
          <w:color w:val="333333"/>
          <w:szCs w:val="24"/>
          <w:shd w:val="clear" w:color="auto" w:fill="FFFFFF"/>
          <w:lang w:eastAsia="cs-CZ"/>
        </w:rPr>
        <w:t xml:space="preserve">. </w:t>
      </w:r>
      <w:proofErr w:type="spellStart"/>
      <w:r w:rsidRPr="00AD7516">
        <w:rPr>
          <w:rFonts w:eastAsia="Times New Roman" w:cs="Times New Roman"/>
          <w:color w:val="333333"/>
          <w:szCs w:val="24"/>
          <w:shd w:val="clear" w:color="auto" w:fill="FFFFFF"/>
          <w:lang w:eastAsia="cs-CZ"/>
        </w:rPr>
        <w:t>Representational</w:t>
      </w:r>
      <w:proofErr w:type="spellEnd"/>
      <w:r w:rsidRPr="00AD7516">
        <w:rPr>
          <w:rFonts w:eastAsia="Times New Roman" w:cs="Times New Roman"/>
          <w:color w:val="333333"/>
          <w:szCs w:val="24"/>
          <w:shd w:val="clear" w:color="auto" w:fill="FFFFFF"/>
          <w:lang w:eastAsia="cs-CZ"/>
        </w:rPr>
        <w:t xml:space="preserve"> </w:t>
      </w:r>
      <w:proofErr w:type="spellStart"/>
      <w:r w:rsidRPr="00AD7516">
        <w:rPr>
          <w:rFonts w:eastAsia="Times New Roman" w:cs="Times New Roman"/>
          <w:color w:val="333333"/>
          <w:szCs w:val="24"/>
          <w:shd w:val="clear" w:color="auto" w:fill="FFFFFF"/>
          <w:lang w:eastAsia="cs-CZ"/>
        </w:rPr>
        <w:t>oligonucleotide</w:t>
      </w:r>
      <w:proofErr w:type="spellEnd"/>
      <w:r w:rsidRPr="00AD7516">
        <w:rPr>
          <w:rFonts w:eastAsia="Times New Roman" w:cs="Times New Roman"/>
          <w:color w:val="333333"/>
          <w:szCs w:val="24"/>
          <w:shd w:val="clear" w:color="auto" w:fill="FFFFFF"/>
          <w:lang w:eastAsia="cs-CZ"/>
        </w:rPr>
        <w:t xml:space="preserve"> </w:t>
      </w:r>
      <w:proofErr w:type="spellStart"/>
      <w:r w:rsidRPr="00AD7516">
        <w:rPr>
          <w:rFonts w:eastAsia="Times New Roman" w:cs="Times New Roman"/>
          <w:color w:val="333333"/>
          <w:szCs w:val="24"/>
          <w:shd w:val="clear" w:color="auto" w:fill="FFFFFF"/>
          <w:lang w:eastAsia="cs-CZ"/>
        </w:rPr>
        <w:t>microarray</w:t>
      </w:r>
      <w:proofErr w:type="spellEnd"/>
      <w:r w:rsidRPr="00AD7516">
        <w:rPr>
          <w:rFonts w:eastAsia="Times New Roman" w:cs="Times New Roman"/>
          <w:color w:val="333333"/>
          <w:szCs w:val="24"/>
          <w:shd w:val="clear" w:color="auto" w:fill="FFFFFF"/>
          <w:lang w:eastAsia="cs-CZ"/>
        </w:rPr>
        <w:t xml:space="preserve"> </w:t>
      </w:r>
      <w:proofErr w:type="spellStart"/>
      <w:r w:rsidRPr="00AD7516">
        <w:rPr>
          <w:rFonts w:eastAsia="Times New Roman" w:cs="Times New Roman"/>
          <w:color w:val="333333"/>
          <w:szCs w:val="24"/>
          <w:shd w:val="clear" w:color="auto" w:fill="FFFFFF"/>
          <w:lang w:eastAsia="cs-CZ"/>
        </w:rPr>
        <w:t>analysis</w:t>
      </w:r>
      <w:proofErr w:type="spellEnd"/>
      <w:r w:rsidRPr="00AD7516">
        <w:rPr>
          <w:rFonts w:eastAsia="Times New Roman" w:cs="Times New Roman"/>
          <w:color w:val="333333"/>
          <w:szCs w:val="24"/>
          <w:shd w:val="clear" w:color="auto" w:fill="FFFFFF"/>
          <w:lang w:eastAsia="cs-CZ"/>
        </w:rPr>
        <w:t xml:space="preserve">: A </w:t>
      </w:r>
      <w:proofErr w:type="spellStart"/>
      <w:r w:rsidRPr="00AD7516">
        <w:rPr>
          <w:rFonts w:eastAsia="Times New Roman" w:cs="Times New Roman"/>
          <w:color w:val="333333"/>
          <w:szCs w:val="24"/>
          <w:shd w:val="clear" w:color="auto" w:fill="FFFFFF"/>
          <w:lang w:eastAsia="cs-CZ"/>
        </w:rPr>
        <w:t>high-resolution</w:t>
      </w:r>
      <w:proofErr w:type="spellEnd"/>
      <w:r w:rsidRPr="00AD7516">
        <w:rPr>
          <w:rFonts w:eastAsia="Times New Roman" w:cs="Times New Roman"/>
          <w:color w:val="333333"/>
          <w:szCs w:val="24"/>
          <w:shd w:val="clear" w:color="auto" w:fill="FFFFFF"/>
          <w:lang w:eastAsia="cs-CZ"/>
        </w:rPr>
        <w:t xml:space="preserve"> </w:t>
      </w:r>
      <w:proofErr w:type="spellStart"/>
      <w:r w:rsidRPr="00AD7516">
        <w:rPr>
          <w:rFonts w:eastAsia="Times New Roman" w:cs="Times New Roman"/>
          <w:color w:val="333333"/>
          <w:szCs w:val="24"/>
          <w:shd w:val="clear" w:color="auto" w:fill="FFFFFF"/>
          <w:lang w:eastAsia="cs-CZ"/>
        </w:rPr>
        <w:t>method</w:t>
      </w:r>
      <w:proofErr w:type="spellEnd"/>
      <w:r w:rsidRPr="00AD7516">
        <w:rPr>
          <w:rFonts w:eastAsia="Times New Roman" w:cs="Times New Roman"/>
          <w:color w:val="333333"/>
          <w:szCs w:val="24"/>
          <w:shd w:val="clear" w:color="auto" w:fill="FFFFFF"/>
          <w:lang w:eastAsia="cs-CZ"/>
        </w:rPr>
        <w:t xml:space="preserve"> to </w:t>
      </w:r>
      <w:proofErr w:type="spellStart"/>
      <w:r w:rsidRPr="00AD7516">
        <w:rPr>
          <w:rFonts w:eastAsia="Times New Roman" w:cs="Times New Roman"/>
          <w:color w:val="333333"/>
          <w:szCs w:val="24"/>
          <w:shd w:val="clear" w:color="auto" w:fill="FFFFFF"/>
          <w:lang w:eastAsia="cs-CZ"/>
        </w:rPr>
        <w:t>detect</w:t>
      </w:r>
      <w:proofErr w:type="spellEnd"/>
      <w:r w:rsidRPr="00AD7516">
        <w:rPr>
          <w:rFonts w:eastAsia="Times New Roman" w:cs="Times New Roman"/>
          <w:color w:val="333333"/>
          <w:szCs w:val="24"/>
          <w:shd w:val="clear" w:color="auto" w:fill="FFFFFF"/>
          <w:lang w:eastAsia="cs-CZ"/>
        </w:rPr>
        <w:t xml:space="preserve"> genome copy </w:t>
      </w:r>
      <w:proofErr w:type="spellStart"/>
      <w:r w:rsidRPr="00AD7516">
        <w:rPr>
          <w:rFonts w:eastAsia="Times New Roman" w:cs="Times New Roman"/>
          <w:color w:val="333333"/>
          <w:szCs w:val="24"/>
          <w:shd w:val="clear" w:color="auto" w:fill="FFFFFF"/>
          <w:lang w:eastAsia="cs-CZ"/>
        </w:rPr>
        <w:t>number</w:t>
      </w:r>
      <w:proofErr w:type="spellEnd"/>
      <w:r w:rsidRPr="00AD7516">
        <w:rPr>
          <w:rFonts w:eastAsia="Times New Roman" w:cs="Times New Roman"/>
          <w:color w:val="333333"/>
          <w:szCs w:val="24"/>
          <w:shd w:val="clear" w:color="auto" w:fill="FFFFFF"/>
          <w:lang w:eastAsia="cs-CZ"/>
        </w:rPr>
        <w:t xml:space="preserve"> </w:t>
      </w:r>
      <w:proofErr w:type="spellStart"/>
      <w:r w:rsidRPr="00AD7516">
        <w:rPr>
          <w:rFonts w:eastAsia="Times New Roman" w:cs="Times New Roman"/>
          <w:color w:val="333333"/>
          <w:szCs w:val="24"/>
          <w:shd w:val="clear" w:color="auto" w:fill="FFFFFF"/>
          <w:lang w:eastAsia="cs-CZ"/>
        </w:rPr>
        <w:t>variation</w:t>
      </w:r>
      <w:proofErr w:type="spellEnd"/>
      <w:r w:rsidRPr="00AD7516">
        <w:rPr>
          <w:rFonts w:eastAsia="Times New Roman" w:cs="Times New Roman"/>
          <w:color w:val="333333"/>
          <w:szCs w:val="24"/>
          <w:shd w:val="clear" w:color="auto" w:fill="FFFFFF"/>
          <w:lang w:eastAsia="cs-CZ"/>
        </w:rPr>
        <w:t>. </w:t>
      </w:r>
      <w:r w:rsidRPr="00AD7516">
        <w:rPr>
          <w:rFonts w:eastAsia="Times New Roman" w:cs="Times New Roman"/>
          <w:i/>
          <w:iCs/>
          <w:color w:val="333333"/>
          <w:szCs w:val="24"/>
          <w:bdr w:val="none" w:sz="0" w:space="0" w:color="auto" w:frame="1"/>
          <w:lang w:eastAsia="cs-CZ"/>
        </w:rPr>
        <w:t xml:space="preserve">Genome </w:t>
      </w:r>
      <w:proofErr w:type="spellStart"/>
      <w:r w:rsidRPr="00AD7516">
        <w:rPr>
          <w:rFonts w:eastAsia="Times New Roman" w:cs="Times New Roman"/>
          <w:i/>
          <w:iCs/>
          <w:color w:val="333333"/>
          <w:szCs w:val="24"/>
          <w:bdr w:val="none" w:sz="0" w:space="0" w:color="auto" w:frame="1"/>
          <w:lang w:eastAsia="cs-CZ"/>
        </w:rPr>
        <w:t>Research</w:t>
      </w:r>
      <w:proofErr w:type="spellEnd"/>
      <w:r w:rsidRPr="00AD7516">
        <w:rPr>
          <w:rFonts w:eastAsia="Times New Roman" w:cs="Times New Roman"/>
          <w:color w:val="333333"/>
          <w:szCs w:val="24"/>
          <w:shd w:val="clear" w:color="auto" w:fill="FFFFFF"/>
          <w:lang w:eastAsia="cs-CZ"/>
        </w:rPr>
        <w:t> </w:t>
      </w:r>
      <w:r w:rsidRPr="00AD7516">
        <w:rPr>
          <w:rFonts w:eastAsia="Times New Roman" w:cs="Times New Roman"/>
          <w:bCs/>
          <w:color w:val="333333"/>
          <w:szCs w:val="24"/>
          <w:lang w:eastAsia="cs-CZ"/>
        </w:rPr>
        <w:t>13</w:t>
      </w:r>
      <w:r w:rsidRPr="00AD7516">
        <w:rPr>
          <w:rFonts w:eastAsia="Times New Roman" w:cs="Times New Roman"/>
          <w:color w:val="333333"/>
          <w:szCs w:val="24"/>
          <w:shd w:val="clear" w:color="auto" w:fill="FFFFFF"/>
          <w:lang w:eastAsia="cs-CZ"/>
        </w:rPr>
        <w:t>, 2291–2305 (2003)</w:t>
      </w:r>
    </w:p>
    <w:p w:rsidR="004D396B" w:rsidRPr="00AD7516" w:rsidRDefault="00E70596" w:rsidP="004D396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AD7516">
        <w:rPr>
          <w:rFonts w:asciiTheme="minorHAnsi" w:eastAsia="Times New Roman" w:hAnsiTheme="minorHAnsi" w:cstheme="minorHAnsi"/>
          <w:sz w:val="20"/>
          <w:szCs w:val="20"/>
          <w:lang w:eastAsia="cs-CZ"/>
        </w:rPr>
        <w:br/>
      </w:r>
      <w:proofErr w:type="spellStart"/>
      <w:r w:rsidR="004D396B" w:rsidRPr="00AD7516">
        <w:rPr>
          <w:rFonts w:cs="Times New Roman"/>
          <w:szCs w:val="24"/>
        </w:rPr>
        <w:t>Malcovati</w:t>
      </w:r>
      <w:proofErr w:type="spellEnd"/>
      <w:r w:rsidR="004D396B" w:rsidRPr="00AD7516">
        <w:rPr>
          <w:rFonts w:cs="Times New Roman"/>
          <w:szCs w:val="24"/>
        </w:rPr>
        <w:t xml:space="preserve"> L, </w:t>
      </w:r>
      <w:proofErr w:type="spellStart"/>
      <w:r w:rsidR="004D396B" w:rsidRPr="00AD7516">
        <w:rPr>
          <w:rFonts w:cs="Times New Roman"/>
          <w:szCs w:val="24"/>
        </w:rPr>
        <w:t>Hellström</w:t>
      </w:r>
      <w:proofErr w:type="spellEnd"/>
      <w:r w:rsidR="004D396B" w:rsidRPr="00AD7516">
        <w:rPr>
          <w:rFonts w:cs="Times New Roman"/>
          <w:szCs w:val="24"/>
        </w:rPr>
        <w:t xml:space="preserve">-Lindberg E, </w:t>
      </w:r>
      <w:proofErr w:type="spellStart"/>
      <w:r w:rsidR="004D396B" w:rsidRPr="00AD7516">
        <w:rPr>
          <w:rFonts w:cs="Times New Roman"/>
          <w:szCs w:val="24"/>
        </w:rPr>
        <w:t>Bowen</w:t>
      </w:r>
      <w:proofErr w:type="spellEnd"/>
      <w:r w:rsidR="004D396B" w:rsidRPr="00AD7516">
        <w:rPr>
          <w:rFonts w:cs="Times New Roman"/>
          <w:szCs w:val="24"/>
        </w:rPr>
        <w:t xml:space="preserve"> D, </w:t>
      </w:r>
      <w:proofErr w:type="spellStart"/>
      <w:r w:rsidR="004D396B" w:rsidRPr="00AD7516">
        <w:rPr>
          <w:rFonts w:cs="Times New Roman"/>
          <w:szCs w:val="24"/>
        </w:rPr>
        <w:t>Adès</w:t>
      </w:r>
      <w:proofErr w:type="spellEnd"/>
      <w:r w:rsidR="004D396B" w:rsidRPr="00AD7516">
        <w:rPr>
          <w:rFonts w:cs="Times New Roman"/>
          <w:szCs w:val="24"/>
        </w:rPr>
        <w:t xml:space="preserve"> L, </w:t>
      </w:r>
      <w:proofErr w:type="spellStart"/>
      <w:r w:rsidR="004D396B" w:rsidRPr="00AD7516">
        <w:rPr>
          <w:rFonts w:cs="Times New Roman"/>
          <w:szCs w:val="24"/>
        </w:rPr>
        <w:t>Cermak</w:t>
      </w:r>
      <w:proofErr w:type="spellEnd"/>
      <w:r w:rsidR="004D396B" w:rsidRPr="00AD7516">
        <w:rPr>
          <w:rFonts w:cs="Times New Roman"/>
          <w:szCs w:val="24"/>
        </w:rPr>
        <w:t xml:space="preserve"> J, </w:t>
      </w:r>
      <w:proofErr w:type="spellStart"/>
      <w:r w:rsidR="004D396B" w:rsidRPr="00AD7516">
        <w:rPr>
          <w:rFonts w:cs="Times New Roman"/>
          <w:szCs w:val="24"/>
        </w:rPr>
        <w:t>del</w:t>
      </w:r>
      <w:proofErr w:type="spellEnd"/>
      <w:r w:rsidR="004D396B" w:rsidRPr="00AD7516">
        <w:rPr>
          <w:rFonts w:cs="Times New Roman"/>
          <w:szCs w:val="24"/>
        </w:rPr>
        <w:t xml:space="preserve"> </w:t>
      </w:r>
      <w:proofErr w:type="spellStart"/>
      <w:r w:rsidR="004D396B" w:rsidRPr="00AD7516">
        <w:rPr>
          <w:rFonts w:cs="Times New Roman"/>
          <w:szCs w:val="24"/>
        </w:rPr>
        <w:t>Cañizo</w:t>
      </w:r>
      <w:proofErr w:type="spellEnd"/>
      <w:r w:rsidR="004D396B" w:rsidRPr="00AD7516">
        <w:rPr>
          <w:rFonts w:cs="Times New Roman"/>
          <w:szCs w:val="24"/>
        </w:rPr>
        <w:t xml:space="preserve"> C, et al. </w:t>
      </w:r>
      <w:proofErr w:type="spellStart"/>
      <w:r w:rsidR="004D396B" w:rsidRPr="00AD7516">
        <w:rPr>
          <w:rFonts w:cs="Times New Roman"/>
          <w:szCs w:val="24"/>
        </w:rPr>
        <w:t>Diagnosis</w:t>
      </w:r>
      <w:proofErr w:type="spellEnd"/>
      <w:r w:rsidR="004D396B" w:rsidRPr="00AD7516">
        <w:rPr>
          <w:rFonts w:cs="Times New Roman"/>
          <w:szCs w:val="24"/>
        </w:rPr>
        <w:t xml:space="preserve"> and </w:t>
      </w:r>
      <w:proofErr w:type="spellStart"/>
      <w:r w:rsidR="004D396B" w:rsidRPr="00AD7516">
        <w:rPr>
          <w:rFonts w:cs="Times New Roman"/>
          <w:szCs w:val="24"/>
        </w:rPr>
        <w:t>treatment</w:t>
      </w:r>
      <w:proofErr w:type="spellEnd"/>
      <w:r w:rsidR="004D396B" w:rsidRPr="00AD7516">
        <w:rPr>
          <w:rFonts w:cs="Times New Roman"/>
          <w:szCs w:val="24"/>
        </w:rPr>
        <w:t xml:space="preserve"> </w:t>
      </w:r>
      <w:proofErr w:type="spellStart"/>
      <w:r w:rsidR="004D396B" w:rsidRPr="00AD7516">
        <w:rPr>
          <w:rFonts w:cs="Times New Roman"/>
          <w:szCs w:val="24"/>
        </w:rPr>
        <w:t>of</w:t>
      </w:r>
      <w:proofErr w:type="spellEnd"/>
      <w:r w:rsidR="004D396B" w:rsidRPr="00AD7516">
        <w:rPr>
          <w:rFonts w:cs="Times New Roman"/>
          <w:szCs w:val="24"/>
        </w:rPr>
        <w:t xml:space="preserve"> </w:t>
      </w:r>
      <w:proofErr w:type="spellStart"/>
      <w:r w:rsidR="004D396B" w:rsidRPr="00AD7516">
        <w:rPr>
          <w:rFonts w:cs="Times New Roman"/>
          <w:szCs w:val="24"/>
        </w:rPr>
        <w:t>primary</w:t>
      </w:r>
      <w:proofErr w:type="spellEnd"/>
      <w:r w:rsidR="004D396B" w:rsidRPr="00AD7516">
        <w:rPr>
          <w:rFonts w:cs="Times New Roman"/>
          <w:szCs w:val="24"/>
        </w:rPr>
        <w:t xml:space="preserve"> </w:t>
      </w:r>
      <w:proofErr w:type="spellStart"/>
      <w:r w:rsidR="004D396B" w:rsidRPr="00AD7516">
        <w:rPr>
          <w:rFonts w:cs="Times New Roman"/>
          <w:szCs w:val="24"/>
        </w:rPr>
        <w:t>myelodysplastic</w:t>
      </w:r>
      <w:proofErr w:type="spellEnd"/>
      <w:r w:rsidR="004D396B" w:rsidRPr="00AD7516">
        <w:rPr>
          <w:rFonts w:cs="Times New Roman"/>
          <w:szCs w:val="24"/>
        </w:rPr>
        <w:t xml:space="preserve"> </w:t>
      </w:r>
      <w:proofErr w:type="spellStart"/>
      <w:r w:rsidR="004D396B" w:rsidRPr="00AD7516">
        <w:rPr>
          <w:rFonts w:cs="Times New Roman"/>
          <w:szCs w:val="24"/>
        </w:rPr>
        <w:t>syndromes</w:t>
      </w:r>
      <w:proofErr w:type="spellEnd"/>
      <w:r w:rsidR="004D396B" w:rsidRPr="00AD7516">
        <w:rPr>
          <w:rFonts w:cs="Times New Roman"/>
          <w:szCs w:val="24"/>
        </w:rPr>
        <w:t xml:space="preserve"> in </w:t>
      </w:r>
      <w:proofErr w:type="spellStart"/>
      <w:r w:rsidR="004D396B" w:rsidRPr="00AD7516">
        <w:rPr>
          <w:rFonts w:cs="Times New Roman"/>
          <w:szCs w:val="24"/>
        </w:rPr>
        <w:t>adults</w:t>
      </w:r>
      <w:proofErr w:type="spellEnd"/>
      <w:r w:rsidR="004D396B" w:rsidRPr="00AD7516">
        <w:rPr>
          <w:rFonts w:cs="Times New Roman"/>
          <w:szCs w:val="24"/>
        </w:rPr>
        <w:t xml:space="preserve">: </w:t>
      </w:r>
      <w:proofErr w:type="spellStart"/>
      <w:r w:rsidR="004D396B" w:rsidRPr="00AD7516">
        <w:rPr>
          <w:rFonts w:cs="Times New Roman"/>
          <w:szCs w:val="24"/>
        </w:rPr>
        <w:t>recommendations</w:t>
      </w:r>
      <w:proofErr w:type="spellEnd"/>
      <w:r w:rsidR="004D396B" w:rsidRPr="00AD7516">
        <w:rPr>
          <w:rFonts w:cs="Times New Roman"/>
          <w:szCs w:val="24"/>
        </w:rPr>
        <w:t xml:space="preserve"> </w:t>
      </w:r>
      <w:proofErr w:type="spellStart"/>
      <w:r w:rsidR="004D396B" w:rsidRPr="00AD7516">
        <w:rPr>
          <w:rFonts w:cs="Times New Roman"/>
          <w:szCs w:val="24"/>
        </w:rPr>
        <w:t>from</w:t>
      </w:r>
      <w:proofErr w:type="spellEnd"/>
      <w:r w:rsidR="004D396B" w:rsidRPr="00AD7516">
        <w:rPr>
          <w:rFonts w:cs="Times New Roman"/>
          <w:szCs w:val="24"/>
        </w:rPr>
        <w:t xml:space="preserve"> </w:t>
      </w:r>
      <w:proofErr w:type="spellStart"/>
      <w:r w:rsidR="004D396B" w:rsidRPr="00AD7516">
        <w:rPr>
          <w:rFonts w:cs="Times New Roman"/>
          <w:szCs w:val="24"/>
        </w:rPr>
        <w:t>the</w:t>
      </w:r>
      <w:proofErr w:type="spellEnd"/>
      <w:r w:rsidR="004D396B" w:rsidRPr="00AD7516">
        <w:rPr>
          <w:rFonts w:cs="Times New Roman"/>
          <w:szCs w:val="24"/>
        </w:rPr>
        <w:t xml:space="preserve"> </w:t>
      </w:r>
      <w:proofErr w:type="spellStart"/>
      <w:r w:rsidR="004D396B" w:rsidRPr="00AD7516">
        <w:rPr>
          <w:rFonts w:cs="Times New Roman"/>
          <w:szCs w:val="24"/>
        </w:rPr>
        <w:t>European</w:t>
      </w:r>
      <w:proofErr w:type="spellEnd"/>
      <w:r w:rsidR="004D396B" w:rsidRPr="00AD7516">
        <w:rPr>
          <w:rFonts w:cs="Times New Roman"/>
          <w:szCs w:val="24"/>
        </w:rPr>
        <w:t xml:space="preserve"> </w:t>
      </w:r>
      <w:proofErr w:type="spellStart"/>
      <w:r w:rsidR="004D396B" w:rsidRPr="00AD7516">
        <w:rPr>
          <w:rFonts w:cs="Times New Roman"/>
          <w:szCs w:val="24"/>
        </w:rPr>
        <w:t>LeukemiaNet</w:t>
      </w:r>
      <w:proofErr w:type="spellEnd"/>
      <w:r w:rsidR="004D396B" w:rsidRPr="00AD7516">
        <w:rPr>
          <w:rFonts w:cs="Times New Roman"/>
          <w:szCs w:val="24"/>
        </w:rPr>
        <w:t xml:space="preserve">. </w:t>
      </w:r>
      <w:proofErr w:type="spellStart"/>
      <w:r w:rsidR="004D396B" w:rsidRPr="00AD7516">
        <w:rPr>
          <w:rFonts w:cs="Times New Roman"/>
          <w:szCs w:val="24"/>
        </w:rPr>
        <w:t>Blood</w:t>
      </w:r>
      <w:proofErr w:type="spellEnd"/>
      <w:r w:rsidR="004D396B" w:rsidRPr="00AD7516">
        <w:rPr>
          <w:rFonts w:cs="Times New Roman"/>
          <w:szCs w:val="24"/>
        </w:rPr>
        <w:t xml:space="preserve">. </w:t>
      </w:r>
      <w:proofErr w:type="gramStart"/>
      <w:r w:rsidR="004D396B" w:rsidRPr="00AD7516">
        <w:rPr>
          <w:rFonts w:cs="Times New Roman"/>
          <w:szCs w:val="24"/>
        </w:rPr>
        <w:t>2013;122:2943</w:t>
      </w:r>
      <w:proofErr w:type="gramEnd"/>
      <w:r w:rsidR="004D396B" w:rsidRPr="00AD7516">
        <w:rPr>
          <w:rFonts w:cs="Times New Roman"/>
          <w:szCs w:val="24"/>
        </w:rPr>
        <w:t>–64</w:t>
      </w:r>
      <w:r w:rsidR="004D396B" w:rsidRPr="00AD7516">
        <w:rPr>
          <w:rFonts w:asciiTheme="minorHAnsi" w:hAnsiTheme="minorHAnsi" w:cstheme="minorHAnsi"/>
          <w:sz w:val="20"/>
          <w:szCs w:val="20"/>
        </w:rPr>
        <w:t>.</w:t>
      </w:r>
    </w:p>
    <w:p w:rsidR="004D396B" w:rsidRPr="00AD7516" w:rsidRDefault="004D396B" w:rsidP="004D396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E70596" w:rsidRPr="00AD7516" w:rsidRDefault="00E70596" w:rsidP="00C04D41">
      <w:pPr>
        <w:spacing w:after="0" w:line="240" w:lineRule="auto"/>
        <w:rPr>
          <w:rFonts w:eastAsia="Times New Roman" w:cs="Times New Roman"/>
          <w:szCs w:val="24"/>
          <w:lang w:eastAsia="cs-CZ"/>
        </w:rPr>
      </w:pPr>
      <w:proofErr w:type="spellStart"/>
      <w:r w:rsidRPr="00AD7516">
        <w:rPr>
          <w:rFonts w:eastAsia="Times New Roman" w:cs="Times New Roman"/>
          <w:color w:val="333333"/>
          <w:spacing w:val="2"/>
          <w:szCs w:val="24"/>
          <w:shd w:val="clear" w:color="auto" w:fill="FCFCFC"/>
          <w:lang w:eastAsia="cs-CZ"/>
        </w:rPr>
        <w:t>McGowan</w:t>
      </w:r>
      <w:proofErr w:type="spellEnd"/>
      <w:r w:rsidRPr="00AD7516">
        <w:rPr>
          <w:rFonts w:eastAsia="Times New Roman" w:cs="Times New Roman"/>
          <w:color w:val="333333"/>
          <w:spacing w:val="2"/>
          <w:szCs w:val="24"/>
          <w:shd w:val="clear" w:color="auto" w:fill="FCFCFC"/>
          <w:lang w:eastAsia="cs-CZ"/>
        </w:rPr>
        <w:t xml:space="preserve">-Jordan J, </w:t>
      </w:r>
      <w:proofErr w:type="spellStart"/>
      <w:r w:rsidRPr="00AD7516">
        <w:rPr>
          <w:rFonts w:eastAsia="Times New Roman" w:cs="Times New Roman"/>
          <w:color w:val="333333"/>
          <w:spacing w:val="2"/>
          <w:szCs w:val="24"/>
          <w:shd w:val="clear" w:color="auto" w:fill="FCFCFC"/>
          <w:lang w:eastAsia="cs-CZ"/>
        </w:rPr>
        <w:t>Simons</w:t>
      </w:r>
      <w:proofErr w:type="spellEnd"/>
      <w:r w:rsidRPr="00AD7516">
        <w:rPr>
          <w:rFonts w:eastAsia="Times New Roman" w:cs="Times New Roman"/>
          <w:color w:val="333333"/>
          <w:spacing w:val="2"/>
          <w:szCs w:val="24"/>
          <w:shd w:val="clear" w:color="auto" w:fill="FCFCFC"/>
          <w:lang w:eastAsia="cs-CZ"/>
        </w:rPr>
        <w:t xml:space="preserve"> A, Schmid M (</w:t>
      </w:r>
      <w:proofErr w:type="spellStart"/>
      <w:r w:rsidRPr="00AD7516">
        <w:rPr>
          <w:rFonts w:eastAsia="Times New Roman" w:cs="Times New Roman"/>
          <w:color w:val="333333"/>
          <w:spacing w:val="2"/>
          <w:szCs w:val="24"/>
          <w:shd w:val="clear" w:color="auto" w:fill="FCFCFC"/>
          <w:lang w:eastAsia="cs-CZ"/>
        </w:rPr>
        <w:t>eds</w:t>
      </w:r>
      <w:proofErr w:type="spellEnd"/>
      <w:r w:rsidRPr="00AD7516">
        <w:rPr>
          <w:rFonts w:eastAsia="Times New Roman" w:cs="Times New Roman"/>
          <w:color w:val="333333"/>
          <w:spacing w:val="2"/>
          <w:szCs w:val="24"/>
          <w:shd w:val="clear" w:color="auto" w:fill="FCFCFC"/>
          <w:lang w:eastAsia="cs-CZ"/>
        </w:rPr>
        <w:t xml:space="preserve">) (2016) </w:t>
      </w:r>
      <w:proofErr w:type="spellStart"/>
      <w:r w:rsidRPr="00AD7516">
        <w:rPr>
          <w:rFonts w:eastAsia="Times New Roman" w:cs="Times New Roman"/>
          <w:color w:val="333333"/>
          <w:spacing w:val="2"/>
          <w:szCs w:val="24"/>
          <w:shd w:val="clear" w:color="auto" w:fill="FCFCFC"/>
          <w:lang w:eastAsia="cs-CZ"/>
        </w:rPr>
        <w:t>An</w:t>
      </w:r>
      <w:proofErr w:type="spellEnd"/>
      <w:r w:rsidRPr="00AD7516">
        <w:rPr>
          <w:rFonts w:eastAsia="Times New Roman" w:cs="Times New Roman"/>
          <w:color w:val="333333"/>
          <w:spacing w:val="2"/>
          <w:szCs w:val="24"/>
          <w:shd w:val="clear" w:color="auto" w:fill="FCFCFC"/>
          <w:lang w:eastAsia="cs-CZ"/>
        </w:rPr>
        <w:t xml:space="preserve"> </w:t>
      </w:r>
      <w:proofErr w:type="spellStart"/>
      <w:r w:rsidRPr="00AD7516">
        <w:rPr>
          <w:rFonts w:eastAsia="Times New Roman" w:cs="Times New Roman"/>
          <w:color w:val="333333"/>
          <w:spacing w:val="2"/>
          <w:szCs w:val="24"/>
          <w:shd w:val="clear" w:color="auto" w:fill="FCFCFC"/>
          <w:lang w:eastAsia="cs-CZ"/>
        </w:rPr>
        <w:t>international</w:t>
      </w:r>
      <w:proofErr w:type="spellEnd"/>
      <w:r w:rsidRPr="00AD7516">
        <w:rPr>
          <w:rFonts w:eastAsia="Times New Roman" w:cs="Times New Roman"/>
          <w:color w:val="333333"/>
          <w:spacing w:val="2"/>
          <w:szCs w:val="24"/>
          <w:shd w:val="clear" w:color="auto" w:fill="FCFCFC"/>
          <w:lang w:eastAsia="cs-CZ"/>
        </w:rPr>
        <w:t xml:space="preserve"> </w:t>
      </w:r>
      <w:proofErr w:type="spellStart"/>
      <w:r w:rsidRPr="00AD7516">
        <w:rPr>
          <w:rFonts w:eastAsia="Times New Roman" w:cs="Times New Roman"/>
          <w:color w:val="333333"/>
          <w:spacing w:val="2"/>
          <w:szCs w:val="24"/>
          <w:shd w:val="clear" w:color="auto" w:fill="FCFCFC"/>
          <w:lang w:eastAsia="cs-CZ"/>
        </w:rPr>
        <w:t>system</w:t>
      </w:r>
      <w:proofErr w:type="spellEnd"/>
      <w:r w:rsidRPr="00AD7516">
        <w:rPr>
          <w:rFonts w:eastAsia="Times New Roman" w:cs="Times New Roman"/>
          <w:color w:val="333333"/>
          <w:spacing w:val="2"/>
          <w:szCs w:val="24"/>
          <w:shd w:val="clear" w:color="auto" w:fill="FCFCFC"/>
          <w:lang w:eastAsia="cs-CZ"/>
        </w:rPr>
        <w:t xml:space="preserve"> </w:t>
      </w:r>
      <w:proofErr w:type="spellStart"/>
      <w:r w:rsidRPr="00AD7516">
        <w:rPr>
          <w:rFonts w:eastAsia="Times New Roman" w:cs="Times New Roman"/>
          <w:color w:val="333333"/>
          <w:spacing w:val="2"/>
          <w:szCs w:val="24"/>
          <w:shd w:val="clear" w:color="auto" w:fill="FCFCFC"/>
          <w:lang w:eastAsia="cs-CZ"/>
        </w:rPr>
        <w:t>for</w:t>
      </w:r>
      <w:proofErr w:type="spellEnd"/>
      <w:r w:rsidRPr="00AD7516">
        <w:rPr>
          <w:rFonts w:eastAsia="Times New Roman" w:cs="Times New Roman"/>
          <w:color w:val="333333"/>
          <w:spacing w:val="2"/>
          <w:szCs w:val="24"/>
          <w:shd w:val="clear" w:color="auto" w:fill="FCFCFC"/>
          <w:lang w:eastAsia="cs-CZ"/>
        </w:rPr>
        <w:t xml:space="preserve"> </w:t>
      </w:r>
      <w:proofErr w:type="spellStart"/>
      <w:r w:rsidRPr="00AD7516">
        <w:rPr>
          <w:rFonts w:eastAsia="Times New Roman" w:cs="Times New Roman"/>
          <w:color w:val="333333"/>
          <w:spacing w:val="2"/>
          <w:szCs w:val="24"/>
          <w:shd w:val="clear" w:color="auto" w:fill="FCFCFC"/>
          <w:lang w:eastAsia="cs-CZ"/>
        </w:rPr>
        <w:t>human</w:t>
      </w:r>
      <w:proofErr w:type="spellEnd"/>
      <w:r w:rsidRPr="00AD7516">
        <w:rPr>
          <w:rFonts w:eastAsia="Times New Roman" w:cs="Times New Roman"/>
          <w:color w:val="333333"/>
          <w:spacing w:val="2"/>
          <w:szCs w:val="24"/>
          <w:shd w:val="clear" w:color="auto" w:fill="FCFCFC"/>
          <w:lang w:eastAsia="cs-CZ"/>
        </w:rPr>
        <w:t xml:space="preserve"> </w:t>
      </w:r>
      <w:proofErr w:type="spellStart"/>
      <w:r w:rsidRPr="00AD7516">
        <w:rPr>
          <w:rFonts w:eastAsia="Times New Roman" w:cs="Times New Roman"/>
          <w:color w:val="333333"/>
          <w:spacing w:val="2"/>
          <w:szCs w:val="24"/>
          <w:shd w:val="clear" w:color="auto" w:fill="FCFCFC"/>
          <w:lang w:eastAsia="cs-CZ"/>
        </w:rPr>
        <w:t>cytogenomic</w:t>
      </w:r>
      <w:proofErr w:type="spellEnd"/>
      <w:r w:rsidRPr="00AD7516">
        <w:rPr>
          <w:rFonts w:eastAsia="Times New Roman" w:cs="Times New Roman"/>
          <w:color w:val="333333"/>
          <w:spacing w:val="2"/>
          <w:szCs w:val="24"/>
          <w:shd w:val="clear" w:color="auto" w:fill="FCFCFC"/>
          <w:lang w:eastAsia="cs-CZ"/>
        </w:rPr>
        <w:t xml:space="preserve"> </w:t>
      </w:r>
      <w:proofErr w:type="spellStart"/>
      <w:r w:rsidRPr="00AD7516">
        <w:rPr>
          <w:rFonts w:eastAsia="Times New Roman" w:cs="Times New Roman"/>
          <w:color w:val="333333"/>
          <w:spacing w:val="2"/>
          <w:szCs w:val="24"/>
          <w:shd w:val="clear" w:color="auto" w:fill="FCFCFC"/>
          <w:lang w:eastAsia="cs-CZ"/>
        </w:rPr>
        <w:t>nomenclature</w:t>
      </w:r>
      <w:proofErr w:type="spellEnd"/>
      <w:r w:rsidRPr="00AD7516">
        <w:rPr>
          <w:rFonts w:eastAsia="Times New Roman" w:cs="Times New Roman"/>
          <w:color w:val="333333"/>
          <w:spacing w:val="2"/>
          <w:szCs w:val="24"/>
          <w:shd w:val="clear" w:color="auto" w:fill="FCFCFC"/>
          <w:lang w:eastAsia="cs-CZ"/>
        </w:rPr>
        <w:t xml:space="preserve">. S. </w:t>
      </w:r>
      <w:proofErr w:type="spellStart"/>
      <w:r w:rsidRPr="00AD7516">
        <w:rPr>
          <w:rFonts w:eastAsia="Times New Roman" w:cs="Times New Roman"/>
          <w:color w:val="333333"/>
          <w:spacing w:val="2"/>
          <w:szCs w:val="24"/>
          <w:shd w:val="clear" w:color="auto" w:fill="FCFCFC"/>
          <w:lang w:eastAsia="cs-CZ"/>
        </w:rPr>
        <w:t>Karger</w:t>
      </w:r>
      <w:proofErr w:type="spellEnd"/>
      <w:r w:rsidRPr="00AD7516">
        <w:rPr>
          <w:rFonts w:eastAsia="Times New Roman" w:cs="Times New Roman"/>
          <w:color w:val="333333"/>
          <w:spacing w:val="2"/>
          <w:szCs w:val="24"/>
          <w:shd w:val="clear" w:color="auto" w:fill="FCFCFC"/>
          <w:lang w:eastAsia="cs-CZ"/>
        </w:rPr>
        <w:t xml:space="preserve">, </w:t>
      </w:r>
      <w:proofErr w:type="spellStart"/>
      <w:r w:rsidRPr="00AD7516">
        <w:rPr>
          <w:rFonts w:eastAsia="Times New Roman" w:cs="Times New Roman"/>
          <w:color w:val="333333"/>
          <w:spacing w:val="2"/>
          <w:szCs w:val="24"/>
          <w:shd w:val="clear" w:color="auto" w:fill="FCFCFC"/>
          <w:lang w:eastAsia="cs-CZ"/>
        </w:rPr>
        <w:t>Basel</w:t>
      </w:r>
      <w:proofErr w:type="spellEnd"/>
      <w:r w:rsidRPr="00AD7516">
        <w:rPr>
          <w:rFonts w:eastAsia="Times New Roman" w:cs="Times New Roman"/>
          <w:color w:val="333333"/>
          <w:spacing w:val="2"/>
          <w:szCs w:val="24"/>
          <w:shd w:val="clear" w:color="auto" w:fill="FCFCFC"/>
          <w:lang w:eastAsia="cs-CZ"/>
        </w:rPr>
        <w:t xml:space="preserve">. </w:t>
      </w:r>
    </w:p>
    <w:p w:rsidR="0013161E" w:rsidRPr="00AD7516" w:rsidRDefault="0013161E" w:rsidP="00C04D41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iCs/>
          <w:color w:val="1A1A1A"/>
          <w:sz w:val="20"/>
          <w:szCs w:val="20"/>
          <w:lang w:eastAsia="cs-CZ"/>
        </w:rPr>
      </w:pPr>
    </w:p>
    <w:p w:rsidR="004D396B" w:rsidRPr="00AD7516" w:rsidRDefault="004D396B" w:rsidP="004D396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proofErr w:type="spellStart"/>
      <w:r w:rsidRPr="00AD7516">
        <w:rPr>
          <w:rFonts w:cs="Times New Roman"/>
          <w:szCs w:val="24"/>
        </w:rPr>
        <w:t>Moorman</w:t>
      </w:r>
      <w:proofErr w:type="spellEnd"/>
      <w:r w:rsidRPr="00AD7516">
        <w:rPr>
          <w:rFonts w:cs="Times New Roman"/>
          <w:szCs w:val="24"/>
        </w:rPr>
        <w:t xml:space="preserve"> AV. </w:t>
      </w:r>
      <w:proofErr w:type="spellStart"/>
      <w:r w:rsidRPr="00AD7516">
        <w:rPr>
          <w:rFonts w:cs="Times New Roman"/>
          <w:szCs w:val="24"/>
        </w:rPr>
        <w:t>The</w:t>
      </w:r>
      <w:proofErr w:type="spellEnd"/>
      <w:r w:rsidRPr="00AD7516">
        <w:rPr>
          <w:rFonts w:cs="Times New Roman"/>
          <w:szCs w:val="24"/>
        </w:rPr>
        <w:t xml:space="preserve"> </w:t>
      </w:r>
      <w:proofErr w:type="spellStart"/>
      <w:r w:rsidRPr="00AD7516">
        <w:rPr>
          <w:rFonts w:cs="Times New Roman"/>
          <w:szCs w:val="24"/>
        </w:rPr>
        <w:t>clinical</w:t>
      </w:r>
      <w:proofErr w:type="spellEnd"/>
      <w:r w:rsidRPr="00AD7516">
        <w:rPr>
          <w:rFonts w:cs="Times New Roman"/>
          <w:szCs w:val="24"/>
        </w:rPr>
        <w:t xml:space="preserve"> relevance </w:t>
      </w:r>
      <w:proofErr w:type="spellStart"/>
      <w:r w:rsidRPr="00AD7516">
        <w:rPr>
          <w:rFonts w:cs="Times New Roman"/>
          <w:szCs w:val="24"/>
        </w:rPr>
        <w:t>of</w:t>
      </w:r>
      <w:proofErr w:type="spellEnd"/>
      <w:r w:rsidRPr="00AD7516">
        <w:rPr>
          <w:rFonts w:cs="Times New Roman"/>
          <w:szCs w:val="24"/>
        </w:rPr>
        <w:t xml:space="preserve"> </w:t>
      </w:r>
      <w:proofErr w:type="spellStart"/>
      <w:r w:rsidRPr="00AD7516">
        <w:rPr>
          <w:rFonts w:cs="Times New Roman"/>
          <w:szCs w:val="24"/>
        </w:rPr>
        <w:t>chromosomal</w:t>
      </w:r>
      <w:proofErr w:type="spellEnd"/>
      <w:r w:rsidRPr="00AD7516">
        <w:rPr>
          <w:rFonts w:cs="Times New Roman"/>
          <w:szCs w:val="24"/>
        </w:rPr>
        <w:t xml:space="preserve"> and </w:t>
      </w:r>
      <w:proofErr w:type="spellStart"/>
      <w:r w:rsidRPr="00AD7516">
        <w:rPr>
          <w:rFonts w:cs="Times New Roman"/>
          <w:szCs w:val="24"/>
        </w:rPr>
        <w:t>genomic</w:t>
      </w:r>
      <w:proofErr w:type="spellEnd"/>
      <w:r w:rsidRPr="00AD7516">
        <w:rPr>
          <w:rFonts w:cs="Times New Roman"/>
          <w:szCs w:val="24"/>
        </w:rPr>
        <w:t xml:space="preserve"> </w:t>
      </w:r>
      <w:proofErr w:type="spellStart"/>
      <w:r w:rsidRPr="00AD7516">
        <w:rPr>
          <w:rFonts w:cs="Times New Roman"/>
          <w:szCs w:val="24"/>
        </w:rPr>
        <w:t>abnormalities</w:t>
      </w:r>
      <w:proofErr w:type="spellEnd"/>
      <w:r w:rsidRPr="00AD7516">
        <w:rPr>
          <w:rFonts w:cs="Times New Roman"/>
          <w:szCs w:val="24"/>
        </w:rPr>
        <w:t xml:space="preserve"> in B-cell </w:t>
      </w:r>
      <w:proofErr w:type="spellStart"/>
      <w:r w:rsidRPr="00AD7516">
        <w:rPr>
          <w:rFonts w:cs="Times New Roman"/>
          <w:szCs w:val="24"/>
        </w:rPr>
        <w:t>precursor</w:t>
      </w:r>
      <w:proofErr w:type="spellEnd"/>
      <w:r w:rsidRPr="00AD7516">
        <w:rPr>
          <w:rFonts w:cs="Times New Roman"/>
          <w:szCs w:val="24"/>
        </w:rPr>
        <w:t xml:space="preserve"> </w:t>
      </w:r>
      <w:proofErr w:type="spellStart"/>
      <w:r w:rsidRPr="00AD7516">
        <w:rPr>
          <w:rFonts w:cs="Times New Roman"/>
          <w:szCs w:val="24"/>
        </w:rPr>
        <w:t>acute</w:t>
      </w:r>
      <w:proofErr w:type="spellEnd"/>
      <w:r w:rsidRPr="00AD7516">
        <w:rPr>
          <w:rFonts w:cs="Times New Roman"/>
          <w:szCs w:val="24"/>
        </w:rPr>
        <w:t xml:space="preserve"> </w:t>
      </w:r>
      <w:proofErr w:type="spellStart"/>
      <w:r w:rsidRPr="00AD7516">
        <w:rPr>
          <w:rFonts w:cs="Times New Roman"/>
          <w:szCs w:val="24"/>
        </w:rPr>
        <w:t>lymphoblastic</w:t>
      </w:r>
      <w:proofErr w:type="spellEnd"/>
      <w:r w:rsidRPr="00AD7516">
        <w:rPr>
          <w:rFonts w:cs="Times New Roman"/>
          <w:szCs w:val="24"/>
        </w:rPr>
        <w:t xml:space="preserve"> </w:t>
      </w:r>
      <w:proofErr w:type="spellStart"/>
      <w:r w:rsidRPr="00AD7516">
        <w:rPr>
          <w:rFonts w:cs="Times New Roman"/>
          <w:szCs w:val="24"/>
        </w:rPr>
        <w:t>leukaemia</w:t>
      </w:r>
      <w:proofErr w:type="spellEnd"/>
      <w:r w:rsidRPr="00AD7516">
        <w:rPr>
          <w:rFonts w:cs="Times New Roman"/>
          <w:szCs w:val="24"/>
        </w:rPr>
        <w:t xml:space="preserve">. </w:t>
      </w:r>
      <w:proofErr w:type="spellStart"/>
      <w:r w:rsidRPr="00AD7516">
        <w:rPr>
          <w:rFonts w:cs="Times New Roman"/>
          <w:szCs w:val="24"/>
        </w:rPr>
        <w:t>Blood</w:t>
      </w:r>
      <w:proofErr w:type="spellEnd"/>
      <w:r w:rsidRPr="00AD7516">
        <w:rPr>
          <w:rFonts w:cs="Times New Roman"/>
          <w:szCs w:val="24"/>
        </w:rPr>
        <w:t xml:space="preserve"> </w:t>
      </w:r>
      <w:proofErr w:type="spellStart"/>
      <w:r w:rsidRPr="00AD7516">
        <w:rPr>
          <w:rFonts w:cs="Times New Roman"/>
          <w:szCs w:val="24"/>
        </w:rPr>
        <w:t>Rev</w:t>
      </w:r>
      <w:proofErr w:type="spellEnd"/>
      <w:r w:rsidRPr="00AD7516">
        <w:rPr>
          <w:rFonts w:cs="Times New Roman"/>
          <w:szCs w:val="24"/>
        </w:rPr>
        <w:t xml:space="preserve">. </w:t>
      </w:r>
      <w:proofErr w:type="gramStart"/>
      <w:r w:rsidRPr="00AD7516">
        <w:rPr>
          <w:rFonts w:cs="Times New Roman"/>
          <w:szCs w:val="24"/>
        </w:rPr>
        <w:t>2012;26:123</w:t>
      </w:r>
      <w:proofErr w:type="gramEnd"/>
      <w:r w:rsidRPr="00AD7516">
        <w:rPr>
          <w:rFonts w:cs="Times New Roman"/>
          <w:szCs w:val="24"/>
        </w:rPr>
        <w:t>–35.</w:t>
      </w:r>
    </w:p>
    <w:p w:rsidR="004D396B" w:rsidRPr="00AD7516" w:rsidRDefault="004D396B" w:rsidP="004D396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4D396B" w:rsidRPr="00AD7516" w:rsidRDefault="004D396B" w:rsidP="004D396B">
      <w:pPr>
        <w:spacing w:after="0" w:line="240" w:lineRule="auto"/>
        <w:rPr>
          <w:rFonts w:eastAsia="Times New Roman" w:cs="Times New Roman"/>
          <w:color w:val="000000"/>
          <w:szCs w:val="24"/>
          <w:shd w:val="clear" w:color="auto" w:fill="FFFFFF"/>
          <w:lang w:eastAsia="cs-CZ"/>
        </w:rPr>
      </w:pPr>
      <w:proofErr w:type="spellStart"/>
      <w:r w:rsidRPr="00AD7516">
        <w:rPr>
          <w:rFonts w:eastAsia="Times New Roman" w:cs="Times New Roman"/>
          <w:color w:val="000000" w:themeColor="text1"/>
          <w:szCs w:val="24"/>
          <w:lang w:eastAsia="cs-CZ"/>
        </w:rPr>
        <w:t>Moorman</w:t>
      </w:r>
      <w:proofErr w:type="spellEnd"/>
      <w:r w:rsidRPr="00AD7516">
        <w:rPr>
          <w:rFonts w:eastAsia="Times New Roman" w:cs="Times New Roman"/>
          <w:color w:val="000000" w:themeColor="text1"/>
          <w:szCs w:val="24"/>
          <w:lang w:eastAsia="cs-CZ"/>
        </w:rPr>
        <w:t xml:space="preserve"> AV. </w:t>
      </w:r>
      <w:r w:rsidRPr="00AD7516">
        <w:rPr>
          <w:rFonts w:cs="Times New Roman"/>
          <w:bCs/>
          <w:color w:val="000000" w:themeColor="text1"/>
          <w:szCs w:val="24"/>
        </w:rPr>
        <w:t xml:space="preserve">New and </w:t>
      </w:r>
      <w:proofErr w:type="spellStart"/>
      <w:r w:rsidRPr="00AD7516">
        <w:rPr>
          <w:rFonts w:cs="Times New Roman"/>
          <w:bCs/>
          <w:color w:val="000000" w:themeColor="text1"/>
          <w:szCs w:val="24"/>
        </w:rPr>
        <w:t>emerging</w:t>
      </w:r>
      <w:proofErr w:type="spellEnd"/>
      <w:r w:rsidRPr="00AD7516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AD7516">
        <w:rPr>
          <w:rFonts w:cs="Times New Roman"/>
          <w:bCs/>
          <w:color w:val="000000" w:themeColor="text1"/>
          <w:szCs w:val="24"/>
        </w:rPr>
        <w:t>prognostic</w:t>
      </w:r>
      <w:proofErr w:type="spellEnd"/>
      <w:r w:rsidRPr="00AD7516">
        <w:rPr>
          <w:rFonts w:cs="Times New Roman"/>
          <w:bCs/>
          <w:color w:val="000000" w:themeColor="text1"/>
          <w:szCs w:val="24"/>
        </w:rPr>
        <w:t xml:space="preserve"> and </w:t>
      </w:r>
      <w:proofErr w:type="spellStart"/>
      <w:r w:rsidRPr="00AD7516">
        <w:rPr>
          <w:rFonts w:cs="Times New Roman"/>
          <w:bCs/>
          <w:color w:val="000000" w:themeColor="text1"/>
          <w:szCs w:val="24"/>
        </w:rPr>
        <w:t>predictive</w:t>
      </w:r>
      <w:proofErr w:type="spellEnd"/>
      <w:r w:rsidRPr="00AD7516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AD7516">
        <w:rPr>
          <w:rFonts w:cs="Times New Roman"/>
          <w:bCs/>
          <w:color w:val="000000" w:themeColor="text1"/>
          <w:szCs w:val="24"/>
        </w:rPr>
        <w:t>genetic</w:t>
      </w:r>
      <w:proofErr w:type="spellEnd"/>
      <w:r w:rsidRPr="00AD7516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AD7516">
        <w:rPr>
          <w:rFonts w:cs="Times New Roman"/>
          <w:bCs/>
          <w:color w:val="000000" w:themeColor="text1"/>
          <w:szCs w:val="24"/>
        </w:rPr>
        <w:t>biomarkers</w:t>
      </w:r>
      <w:proofErr w:type="spellEnd"/>
      <w:r w:rsidRPr="00AD7516">
        <w:rPr>
          <w:rFonts w:cs="Times New Roman"/>
          <w:bCs/>
          <w:color w:val="000000" w:themeColor="text1"/>
          <w:szCs w:val="24"/>
        </w:rPr>
        <w:t xml:space="preserve"> in B-cell </w:t>
      </w:r>
      <w:proofErr w:type="spellStart"/>
      <w:r w:rsidRPr="00AD7516">
        <w:rPr>
          <w:rFonts w:cs="Times New Roman"/>
          <w:bCs/>
          <w:color w:val="000000" w:themeColor="text1"/>
          <w:szCs w:val="24"/>
        </w:rPr>
        <w:t>precursor</w:t>
      </w:r>
      <w:proofErr w:type="spellEnd"/>
      <w:r w:rsidRPr="00AD7516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AD7516">
        <w:rPr>
          <w:rFonts w:cs="Times New Roman"/>
          <w:bCs/>
          <w:color w:val="000000" w:themeColor="text1"/>
          <w:szCs w:val="24"/>
        </w:rPr>
        <w:t>acute</w:t>
      </w:r>
      <w:proofErr w:type="spellEnd"/>
      <w:r w:rsidRPr="00AD7516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AD7516">
        <w:rPr>
          <w:rFonts w:cs="Times New Roman"/>
          <w:bCs/>
          <w:color w:val="000000" w:themeColor="text1"/>
          <w:szCs w:val="24"/>
        </w:rPr>
        <w:t>lymphoblastic</w:t>
      </w:r>
      <w:proofErr w:type="spellEnd"/>
      <w:r w:rsidRPr="00AD7516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AD7516">
        <w:rPr>
          <w:rFonts w:cs="Times New Roman"/>
          <w:bCs/>
          <w:color w:val="000000" w:themeColor="text1"/>
          <w:szCs w:val="24"/>
        </w:rPr>
        <w:t>leukemia</w:t>
      </w:r>
      <w:proofErr w:type="spellEnd"/>
      <w:r w:rsidRPr="00AD7516">
        <w:rPr>
          <w:rFonts w:cs="Times New Roman"/>
          <w:bCs/>
          <w:color w:val="000000" w:themeColor="text1"/>
          <w:szCs w:val="24"/>
        </w:rPr>
        <w:t xml:space="preserve">. </w:t>
      </w:r>
      <w:proofErr w:type="spellStart"/>
      <w:r w:rsidRPr="00AD7516">
        <w:rPr>
          <w:rFonts w:cs="Times New Roman"/>
          <w:bCs/>
          <w:color w:val="000000" w:themeColor="text1"/>
          <w:szCs w:val="24"/>
        </w:rPr>
        <w:t>Haematol</w:t>
      </w:r>
      <w:proofErr w:type="spellEnd"/>
      <w:r w:rsidRPr="00AD7516">
        <w:rPr>
          <w:rFonts w:cs="Times New Roman"/>
          <w:bCs/>
          <w:color w:val="000000" w:themeColor="text1"/>
          <w:szCs w:val="24"/>
        </w:rPr>
        <w:t xml:space="preserve"> 2016;</w:t>
      </w:r>
      <w:r w:rsidRPr="00AD7516">
        <w:rPr>
          <w:rFonts w:cs="Times New Roman"/>
          <w:color w:val="000000"/>
          <w:szCs w:val="24"/>
          <w:shd w:val="clear" w:color="auto" w:fill="FFFFFF"/>
        </w:rPr>
        <w:t xml:space="preserve"> </w:t>
      </w:r>
      <w:r w:rsidRPr="00AD7516">
        <w:rPr>
          <w:rFonts w:eastAsia="Times New Roman" w:cs="Times New Roman"/>
          <w:color w:val="000000"/>
          <w:szCs w:val="24"/>
          <w:shd w:val="clear" w:color="auto" w:fill="FFFFFF"/>
          <w:lang w:eastAsia="cs-CZ"/>
        </w:rPr>
        <w:t xml:space="preserve">101(4):407-16. </w:t>
      </w:r>
    </w:p>
    <w:p w:rsidR="004D396B" w:rsidRPr="00AD7516" w:rsidRDefault="004D396B" w:rsidP="004D396B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proofErr w:type="spellStart"/>
      <w:r w:rsidRPr="00AD7516">
        <w:rPr>
          <w:rFonts w:cs="Times New Roman"/>
          <w:szCs w:val="24"/>
        </w:rPr>
        <w:t>Mrozek</w:t>
      </w:r>
      <w:proofErr w:type="spellEnd"/>
      <w:r w:rsidRPr="00AD7516">
        <w:rPr>
          <w:rFonts w:cs="Times New Roman"/>
          <w:szCs w:val="24"/>
        </w:rPr>
        <w:t xml:space="preserve"> K et al. </w:t>
      </w:r>
      <w:proofErr w:type="spellStart"/>
      <w:r w:rsidRPr="00AD7516">
        <w:rPr>
          <w:rFonts w:eastAsia="Times New Roman" w:cs="Times New Roman"/>
          <w:bCs/>
          <w:szCs w:val="24"/>
          <w:lang w:eastAsia="cs-CZ"/>
        </w:rPr>
        <w:t>Cytogenetics</w:t>
      </w:r>
      <w:proofErr w:type="spellEnd"/>
      <w:r w:rsidRPr="00AD7516">
        <w:rPr>
          <w:rFonts w:eastAsia="Times New Roman" w:cs="Times New Roman"/>
          <w:bCs/>
          <w:szCs w:val="24"/>
          <w:lang w:eastAsia="cs-CZ"/>
        </w:rPr>
        <w:t xml:space="preserve"> and </w:t>
      </w:r>
      <w:proofErr w:type="spellStart"/>
      <w:r w:rsidRPr="00AD7516">
        <w:rPr>
          <w:rFonts w:eastAsia="Times New Roman" w:cs="Times New Roman"/>
          <w:bCs/>
          <w:szCs w:val="24"/>
          <w:lang w:eastAsia="cs-CZ"/>
        </w:rPr>
        <w:t>Molecular</w:t>
      </w:r>
      <w:proofErr w:type="spellEnd"/>
      <w:r w:rsidRPr="00AD7516">
        <w:rPr>
          <w:rFonts w:eastAsia="Times New Roman" w:cs="Times New Roman"/>
          <w:bCs/>
          <w:szCs w:val="24"/>
          <w:lang w:eastAsia="cs-CZ"/>
        </w:rPr>
        <w:t xml:space="preserve"> </w:t>
      </w:r>
      <w:proofErr w:type="spellStart"/>
      <w:r w:rsidRPr="00AD7516">
        <w:rPr>
          <w:rFonts w:eastAsia="Times New Roman" w:cs="Times New Roman"/>
          <w:bCs/>
          <w:szCs w:val="24"/>
          <w:lang w:eastAsia="cs-CZ"/>
        </w:rPr>
        <w:t>Genetics</w:t>
      </w:r>
      <w:proofErr w:type="spellEnd"/>
      <w:r w:rsidRPr="00AD7516">
        <w:rPr>
          <w:rFonts w:eastAsia="Times New Roman" w:cs="Times New Roman"/>
          <w:bCs/>
          <w:szCs w:val="24"/>
          <w:lang w:eastAsia="cs-CZ"/>
        </w:rPr>
        <w:t xml:space="preserve"> </w:t>
      </w:r>
      <w:proofErr w:type="spellStart"/>
      <w:r w:rsidRPr="00AD7516">
        <w:rPr>
          <w:rFonts w:eastAsia="Times New Roman" w:cs="Times New Roman"/>
          <w:bCs/>
          <w:szCs w:val="24"/>
          <w:lang w:eastAsia="cs-CZ"/>
        </w:rPr>
        <w:t>of</w:t>
      </w:r>
      <w:proofErr w:type="spellEnd"/>
      <w:r w:rsidRPr="00AD7516">
        <w:rPr>
          <w:rFonts w:eastAsia="Times New Roman" w:cs="Times New Roman"/>
          <w:bCs/>
          <w:szCs w:val="24"/>
          <w:lang w:eastAsia="cs-CZ"/>
        </w:rPr>
        <w:t xml:space="preserve"> </w:t>
      </w:r>
      <w:proofErr w:type="spellStart"/>
      <w:r w:rsidRPr="00AD7516">
        <w:rPr>
          <w:rFonts w:eastAsia="Times New Roman" w:cs="Times New Roman"/>
          <w:bCs/>
          <w:szCs w:val="24"/>
          <w:lang w:eastAsia="cs-CZ"/>
        </w:rPr>
        <w:t>Acute</w:t>
      </w:r>
      <w:proofErr w:type="spellEnd"/>
      <w:r w:rsidRPr="00AD7516">
        <w:rPr>
          <w:rFonts w:eastAsia="Times New Roman" w:cs="Times New Roman"/>
          <w:bCs/>
          <w:szCs w:val="24"/>
          <w:lang w:eastAsia="cs-CZ"/>
        </w:rPr>
        <w:t xml:space="preserve"> </w:t>
      </w:r>
      <w:proofErr w:type="spellStart"/>
      <w:r w:rsidRPr="00AD7516">
        <w:rPr>
          <w:rFonts w:eastAsia="Times New Roman" w:cs="Times New Roman"/>
          <w:bCs/>
          <w:szCs w:val="24"/>
          <w:lang w:eastAsia="cs-CZ"/>
        </w:rPr>
        <w:t>Lymphoblastic</w:t>
      </w:r>
      <w:proofErr w:type="spellEnd"/>
      <w:r w:rsidRPr="00AD7516">
        <w:rPr>
          <w:rFonts w:eastAsia="Times New Roman" w:cs="Times New Roman"/>
          <w:bCs/>
          <w:szCs w:val="24"/>
          <w:lang w:eastAsia="cs-CZ"/>
        </w:rPr>
        <w:t xml:space="preserve"> </w:t>
      </w:r>
      <w:proofErr w:type="spellStart"/>
      <w:r w:rsidRPr="00AD7516">
        <w:rPr>
          <w:rFonts w:eastAsia="Times New Roman" w:cs="Times New Roman"/>
          <w:bCs/>
          <w:szCs w:val="24"/>
          <w:lang w:eastAsia="cs-CZ"/>
        </w:rPr>
        <w:t>Leukemia</w:t>
      </w:r>
      <w:proofErr w:type="spellEnd"/>
      <w:r w:rsidRPr="00AD7516">
        <w:rPr>
          <w:rFonts w:eastAsia="Times New Roman" w:cs="Times New Roman"/>
          <w:bCs/>
          <w:szCs w:val="24"/>
          <w:lang w:eastAsia="cs-CZ"/>
        </w:rPr>
        <w:t xml:space="preserve">. </w:t>
      </w:r>
      <w:proofErr w:type="spellStart"/>
      <w:r w:rsidRPr="00AD7516">
        <w:rPr>
          <w:rFonts w:eastAsia="Times New Roman" w:cs="Times New Roman"/>
          <w:szCs w:val="24"/>
        </w:rPr>
        <w:t>Hematol</w:t>
      </w:r>
      <w:proofErr w:type="spellEnd"/>
      <w:r w:rsidRPr="00AD7516">
        <w:rPr>
          <w:rFonts w:eastAsia="Times New Roman" w:cs="Times New Roman"/>
          <w:szCs w:val="24"/>
        </w:rPr>
        <w:t xml:space="preserve"> </w:t>
      </w:r>
      <w:proofErr w:type="spellStart"/>
      <w:r w:rsidRPr="00AD7516">
        <w:rPr>
          <w:rFonts w:eastAsia="Times New Roman" w:cs="Times New Roman"/>
          <w:szCs w:val="24"/>
        </w:rPr>
        <w:t>Oncol</w:t>
      </w:r>
      <w:proofErr w:type="spellEnd"/>
      <w:r w:rsidRPr="00AD7516">
        <w:rPr>
          <w:rFonts w:eastAsia="Times New Roman" w:cs="Times New Roman"/>
          <w:szCs w:val="24"/>
        </w:rPr>
        <w:t xml:space="preserve"> </w:t>
      </w:r>
      <w:proofErr w:type="spellStart"/>
      <w:r w:rsidRPr="00AD7516">
        <w:rPr>
          <w:rFonts w:eastAsia="Times New Roman" w:cs="Times New Roman"/>
          <w:szCs w:val="24"/>
        </w:rPr>
        <w:t>Clin</w:t>
      </w:r>
      <w:proofErr w:type="spellEnd"/>
      <w:r w:rsidRPr="00AD7516">
        <w:rPr>
          <w:rFonts w:eastAsia="Times New Roman" w:cs="Times New Roman"/>
          <w:szCs w:val="24"/>
        </w:rPr>
        <w:t xml:space="preserve"> </w:t>
      </w:r>
      <w:proofErr w:type="spellStart"/>
      <w:r w:rsidRPr="00AD7516">
        <w:rPr>
          <w:rFonts w:eastAsia="Times New Roman" w:cs="Times New Roman"/>
          <w:szCs w:val="24"/>
        </w:rPr>
        <w:t>North</w:t>
      </w:r>
      <w:proofErr w:type="spellEnd"/>
      <w:r w:rsidRPr="00AD7516">
        <w:rPr>
          <w:rFonts w:eastAsia="Times New Roman" w:cs="Times New Roman"/>
          <w:szCs w:val="24"/>
        </w:rPr>
        <w:t xml:space="preserve"> </w:t>
      </w:r>
      <w:proofErr w:type="spellStart"/>
      <w:r w:rsidRPr="00AD7516">
        <w:rPr>
          <w:rFonts w:eastAsia="Times New Roman" w:cs="Times New Roman"/>
          <w:szCs w:val="24"/>
        </w:rPr>
        <w:t>Am</w:t>
      </w:r>
      <w:proofErr w:type="spellEnd"/>
      <w:r w:rsidRPr="00AD7516">
        <w:rPr>
          <w:rFonts w:eastAsia="Times New Roman" w:cs="Times New Roman"/>
          <w:szCs w:val="24"/>
        </w:rPr>
        <w:t xml:space="preserve">. 2009; 23(5): 991-1008. </w:t>
      </w:r>
    </w:p>
    <w:p w:rsidR="004D396B" w:rsidRPr="00AD7516" w:rsidRDefault="004D396B" w:rsidP="004D396B">
      <w:pPr>
        <w:spacing w:after="0" w:line="240" w:lineRule="auto"/>
        <w:rPr>
          <w:rFonts w:eastAsia="Times New Roman" w:cs="Times New Roman"/>
          <w:color w:val="222222"/>
          <w:szCs w:val="24"/>
          <w:shd w:val="clear" w:color="auto" w:fill="FFFFFF"/>
          <w:lang w:eastAsia="cs-CZ"/>
        </w:rPr>
      </w:pPr>
      <w:proofErr w:type="spellStart"/>
      <w:r w:rsidRPr="00AD7516">
        <w:rPr>
          <w:rFonts w:eastAsia="Times New Roman" w:cs="Times New Roman"/>
          <w:color w:val="222222"/>
          <w:szCs w:val="24"/>
          <w:shd w:val="clear" w:color="auto" w:fill="FFFFFF"/>
          <w:lang w:eastAsia="cs-CZ"/>
        </w:rPr>
        <w:t>Papaemmanuil</w:t>
      </w:r>
      <w:proofErr w:type="spellEnd"/>
      <w:r w:rsidRPr="00AD7516">
        <w:rPr>
          <w:rFonts w:eastAsia="Times New Roman" w:cs="Times New Roman"/>
          <w:color w:val="222222"/>
          <w:szCs w:val="24"/>
          <w:shd w:val="clear" w:color="auto" w:fill="FFFFFF"/>
          <w:lang w:eastAsia="cs-CZ"/>
        </w:rPr>
        <w:t xml:space="preserve">, E. et al. </w:t>
      </w:r>
      <w:proofErr w:type="spellStart"/>
      <w:r w:rsidRPr="00AD7516">
        <w:rPr>
          <w:rFonts w:eastAsia="Times New Roman" w:cs="Times New Roman"/>
          <w:color w:val="222222"/>
          <w:szCs w:val="24"/>
          <w:shd w:val="clear" w:color="auto" w:fill="FFFFFF"/>
          <w:lang w:eastAsia="cs-CZ"/>
        </w:rPr>
        <w:t>Genomic</w:t>
      </w:r>
      <w:proofErr w:type="spellEnd"/>
      <w:r w:rsidRPr="00AD7516">
        <w:rPr>
          <w:rFonts w:eastAsia="Times New Roman" w:cs="Times New Roman"/>
          <w:color w:val="222222"/>
          <w:szCs w:val="24"/>
          <w:shd w:val="clear" w:color="auto" w:fill="FFFFFF"/>
          <w:lang w:eastAsia="cs-CZ"/>
        </w:rPr>
        <w:t xml:space="preserve"> </w:t>
      </w:r>
      <w:proofErr w:type="spellStart"/>
      <w:r w:rsidRPr="00AD7516">
        <w:rPr>
          <w:rFonts w:eastAsia="Times New Roman" w:cs="Times New Roman"/>
          <w:color w:val="222222"/>
          <w:szCs w:val="24"/>
          <w:shd w:val="clear" w:color="auto" w:fill="FFFFFF"/>
          <w:lang w:eastAsia="cs-CZ"/>
        </w:rPr>
        <w:t>classification</w:t>
      </w:r>
      <w:proofErr w:type="spellEnd"/>
      <w:r w:rsidRPr="00AD7516">
        <w:rPr>
          <w:rFonts w:eastAsia="Times New Roman" w:cs="Times New Roman"/>
          <w:color w:val="222222"/>
          <w:szCs w:val="24"/>
          <w:shd w:val="clear" w:color="auto" w:fill="FFFFFF"/>
          <w:lang w:eastAsia="cs-CZ"/>
        </w:rPr>
        <w:t xml:space="preserve"> and </w:t>
      </w:r>
      <w:proofErr w:type="spellStart"/>
      <w:r w:rsidRPr="00AD7516">
        <w:rPr>
          <w:rFonts w:eastAsia="Times New Roman" w:cs="Times New Roman"/>
          <w:color w:val="222222"/>
          <w:szCs w:val="24"/>
          <w:shd w:val="clear" w:color="auto" w:fill="FFFFFF"/>
          <w:lang w:eastAsia="cs-CZ"/>
        </w:rPr>
        <w:t>prognosis</w:t>
      </w:r>
      <w:proofErr w:type="spellEnd"/>
      <w:r w:rsidRPr="00AD7516">
        <w:rPr>
          <w:rFonts w:eastAsia="Times New Roman" w:cs="Times New Roman"/>
          <w:color w:val="222222"/>
          <w:szCs w:val="24"/>
          <w:shd w:val="clear" w:color="auto" w:fill="FFFFFF"/>
          <w:lang w:eastAsia="cs-CZ"/>
        </w:rPr>
        <w:t xml:space="preserve"> in </w:t>
      </w:r>
      <w:proofErr w:type="spellStart"/>
      <w:r w:rsidRPr="00AD7516">
        <w:rPr>
          <w:rFonts w:eastAsia="Times New Roman" w:cs="Times New Roman"/>
          <w:color w:val="222222"/>
          <w:szCs w:val="24"/>
          <w:shd w:val="clear" w:color="auto" w:fill="FFFFFF"/>
          <w:lang w:eastAsia="cs-CZ"/>
        </w:rPr>
        <w:t>acute</w:t>
      </w:r>
      <w:proofErr w:type="spellEnd"/>
      <w:r w:rsidRPr="00AD7516">
        <w:rPr>
          <w:rFonts w:eastAsia="Times New Roman" w:cs="Times New Roman"/>
          <w:color w:val="222222"/>
          <w:szCs w:val="24"/>
          <w:shd w:val="clear" w:color="auto" w:fill="FFFFFF"/>
          <w:lang w:eastAsia="cs-CZ"/>
        </w:rPr>
        <w:t xml:space="preserve"> </w:t>
      </w:r>
      <w:proofErr w:type="spellStart"/>
      <w:r w:rsidRPr="00AD7516">
        <w:rPr>
          <w:rFonts w:eastAsia="Times New Roman" w:cs="Times New Roman"/>
          <w:color w:val="222222"/>
          <w:szCs w:val="24"/>
          <w:shd w:val="clear" w:color="auto" w:fill="FFFFFF"/>
          <w:lang w:eastAsia="cs-CZ"/>
        </w:rPr>
        <w:t>myeloid</w:t>
      </w:r>
      <w:proofErr w:type="spellEnd"/>
      <w:r w:rsidRPr="00AD7516">
        <w:rPr>
          <w:rFonts w:eastAsia="Times New Roman" w:cs="Times New Roman"/>
          <w:color w:val="222222"/>
          <w:szCs w:val="24"/>
          <w:shd w:val="clear" w:color="auto" w:fill="FFFFFF"/>
          <w:lang w:eastAsia="cs-CZ"/>
        </w:rPr>
        <w:t xml:space="preserve"> </w:t>
      </w:r>
      <w:proofErr w:type="spellStart"/>
      <w:r w:rsidRPr="00AD7516">
        <w:rPr>
          <w:rFonts w:eastAsia="Times New Roman" w:cs="Times New Roman"/>
          <w:color w:val="222222"/>
          <w:szCs w:val="24"/>
          <w:shd w:val="clear" w:color="auto" w:fill="FFFFFF"/>
          <w:lang w:eastAsia="cs-CZ"/>
        </w:rPr>
        <w:t>leukemia</w:t>
      </w:r>
      <w:proofErr w:type="spellEnd"/>
      <w:r w:rsidRPr="00AD7516">
        <w:rPr>
          <w:rFonts w:eastAsia="Times New Roman" w:cs="Times New Roman"/>
          <w:color w:val="222222"/>
          <w:szCs w:val="24"/>
          <w:shd w:val="clear" w:color="auto" w:fill="FFFFFF"/>
          <w:lang w:eastAsia="cs-CZ"/>
        </w:rPr>
        <w:t>. </w:t>
      </w:r>
      <w:r w:rsidRPr="00AD7516">
        <w:rPr>
          <w:rFonts w:eastAsia="Times New Roman" w:cs="Times New Roman"/>
          <w:iCs/>
          <w:color w:val="222222"/>
          <w:szCs w:val="24"/>
          <w:lang w:eastAsia="cs-CZ"/>
        </w:rPr>
        <w:t xml:space="preserve">N. </w:t>
      </w:r>
      <w:proofErr w:type="spellStart"/>
      <w:r w:rsidRPr="00AD7516">
        <w:rPr>
          <w:rFonts w:eastAsia="Times New Roman" w:cs="Times New Roman"/>
          <w:iCs/>
          <w:color w:val="222222"/>
          <w:szCs w:val="24"/>
          <w:lang w:eastAsia="cs-CZ"/>
        </w:rPr>
        <w:t>Engl</w:t>
      </w:r>
      <w:proofErr w:type="spellEnd"/>
      <w:r w:rsidRPr="00AD7516">
        <w:rPr>
          <w:rFonts w:eastAsia="Times New Roman" w:cs="Times New Roman"/>
          <w:iCs/>
          <w:color w:val="222222"/>
          <w:szCs w:val="24"/>
          <w:lang w:eastAsia="cs-CZ"/>
        </w:rPr>
        <w:t>. J. Med.</w:t>
      </w:r>
      <w:r w:rsidRPr="00AD7516">
        <w:rPr>
          <w:rFonts w:eastAsia="Times New Roman" w:cs="Times New Roman"/>
          <w:color w:val="222222"/>
          <w:szCs w:val="24"/>
          <w:shd w:val="clear" w:color="auto" w:fill="FFFFFF"/>
          <w:lang w:eastAsia="cs-CZ"/>
        </w:rPr>
        <w:t> </w:t>
      </w:r>
      <w:r w:rsidRPr="00AD7516">
        <w:rPr>
          <w:rFonts w:eastAsia="Times New Roman" w:cs="Times New Roman"/>
          <w:bCs/>
          <w:color w:val="222222"/>
          <w:szCs w:val="24"/>
          <w:lang w:eastAsia="cs-CZ"/>
        </w:rPr>
        <w:t>374</w:t>
      </w:r>
      <w:r w:rsidRPr="00AD7516">
        <w:rPr>
          <w:rFonts w:eastAsia="Times New Roman" w:cs="Times New Roman"/>
          <w:color w:val="222222"/>
          <w:szCs w:val="24"/>
          <w:shd w:val="clear" w:color="auto" w:fill="FFFFFF"/>
          <w:lang w:eastAsia="cs-CZ"/>
        </w:rPr>
        <w:t>, 2209–2221 (2016).</w:t>
      </w:r>
    </w:p>
    <w:p w:rsidR="004D396B" w:rsidRPr="00AD7516" w:rsidRDefault="004D396B" w:rsidP="004D396B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:rsidR="004D396B" w:rsidRPr="00AD7516" w:rsidRDefault="004D396B" w:rsidP="004D396B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proofErr w:type="spellStart"/>
      <w:r w:rsidRPr="00AD7516">
        <w:rPr>
          <w:rFonts w:cs="Times New Roman"/>
          <w:color w:val="000000"/>
          <w:szCs w:val="24"/>
        </w:rPr>
        <w:t>Parker</w:t>
      </w:r>
      <w:proofErr w:type="spellEnd"/>
      <w:r w:rsidRPr="00AD7516">
        <w:rPr>
          <w:rFonts w:cs="Times New Roman"/>
          <w:color w:val="000000"/>
          <w:szCs w:val="24"/>
        </w:rPr>
        <w:t xml:space="preserve"> A, </w:t>
      </w:r>
      <w:proofErr w:type="spellStart"/>
      <w:r w:rsidRPr="00AD7516">
        <w:rPr>
          <w:rFonts w:cs="Times New Roman"/>
          <w:color w:val="000000"/>
          <w:szCs w:val="24"/>
        </w:rPr>
        <w:t>Bain</w:t>
      </w:r>
      <w:proofErr w:type="spellEnd"/>
      <w:r w:rsidRPr="00AD7516">
        <w:rPr>
          <w:rFonts w:cs="Times New Roman"/>
          <w:color w:val="000000"/>
          <w:szCs w:val="24"/>
        </w:rPr>
        <w:t xml:space="preserve"> B, </w:t>
      </w:r>
      <w:proofErr w:type="spellStart"/>
      <w:r w:rsidRPr="00AD7516">
        <w:rPr>
          <w:rFonts w:cs="Times New Roman"/>
          <w:color w:val="000000"/>
          <w:szCs w:val="24"/>
        </w:rPr>
        <w:t>Devereux</w:t>
      </w:r>
      <w:proofErr w:type="spellEnd"/>
      <w:r w:rsidRPr="00AD7516">
        <w:rPr>
          <w:rFonts w:cs="Times New Roman"/>
          <w:color w:val="000000"/>
          <w:szCs w:val="24"/>
        </w:rPr>
        <w:t xml:space="preserve"> S, </w:t>
      </w:r>
      <w:proofErr w:type="spellStart"/>
      <w:r w:rsidRPr="00AD7516">
        <w:rPr>
          <w:rFonts w:cs="Times New Roman"/>
          <w:color w:val="000000"/>
          <w:szCs w:val="24"/>
        </w:rPr>
        <w:t>Gatter</w:t>
      </w:r>
      <w:proofErr w:type="spellEnd"/>
      <w:r w:rsidRPr="00AD7516">
        <w:rPr>
          <w:rFonts w:cs="Times New Roman"/>
          <w:color w:val="000000"/>
          <w:szCs w:val="24"/>
        </w:rPr>
        <w:t xml:space="preserve"> K, Jack A, </w:t>
      </w:r>
      <w:proofErr w:type="spellStart"/>
      <w:r w:rsidRPr="00AD7516">
        <w:rPr>
          <w:rFonts w:cs="Times New Roman"/>
          <w:color w:val="000000"/>
          <w:szCs w:val="24"/>
        </w:rPr>
        <w:t>Matutes</w:t>
      </w:r>
      <w:proofErr w:type="spellEnd"/>
      <w:r w:rsidRPr="00AD7516">
        <w:rPr>
          <w:rFonts w:cs="Times New Roman"/>
          <w:color w:val="000000"/>
          <w:szCs w:val="24"/>
        </w:rPr>
        <w:t xml:space="preserve"> E, et al. Best </w:t>
      </w:r>
      <w:proofErr w:type="spellStart"/>
      <w:r w:rsidRPr="00AD7516">
        <w:rPr>
          <w:rFonts w:cs="Times New Roman"/>
          <w:color w:val="000000"/>
          <w:szCs w:val="24"/>
        </w:rPr>
        <w:t>practice</w:t>
      </w:r>
      <w:proofErr w:type="spellEnd"/>
      <w:r w:rsidRPr="00AD7516">
        <w:rPr>
          <w:rFonts w:cs="Times New Roman"/>
          <w:color w:val="000000"/>
          <w:szCs w:val="24"/>
        </w:rPr>
        <w:t xml:space="preserve"> in </w:t>
      </w:r>
      <w:proofErr w:type="spellStart"/>
      <w:r w:rsidRPr="00AD7516">
        <w:rPr>
          <w:rFonts w:cs="Times New Roman"/>
          <w:color w:val="000000"/>
          <w:szCs w:val="24"/>
        </w:rPr>
        <w:t>lymphoma</w:t>
      </w:r>
      <w:proofErr w:type="spellEnd"/>
      <w:r w:rsidRPr="00AD7516">
        <w:rPr>
          <w:rFonts w:cs="Times New Roman"/>
          <w:color w:val="000000"/>
          <w:szCs w:val="24"/>
        </w:rPr>
        <w:t xml:space="preserve"> </w:t>
      </w:r>
      <w:proofErr w:type="spellStart"/>
      <w:r w:rsidRPr="00AD7516">
        <w:rPr>
          <w:rFonts w:cs="Times New Roman"/>
          <w:color w:val="000000"/>
          <w:szCs w:val="24"/>
        </w:rPr>
        <w:t>diagnosis</w:t>
      </w:r>
      <w:proofErr w:type="spellEnd"/>
      <w:r w:rsidRPr="00AD7516">
        <w:rPr>
          <w:rFonts w:cs="Times New Roman"/>
          <w:color w:val="000000"/>
          <w:szCs w:val="24"/>
        </w:rPr>
        <w:t xml:space="preserve"> and reporting. 2008. </w:t>
      </w:r>
      <w:r w:rsidRPr="00AD7516">
        <w:rPr>
          <w:rFonts w:cs="Times New Roman"/>
          <w:color w:val="0000FF"/>
          <w:szCs w:val="24"/>
        </w:rPr>
        <w:t>www.rcpath.org</w:t>
      </w:r>
    </w:p>
    <w:p w:rsidR="004D396B" w:rsidRPr="00AD7516" w:rsidRDefault="004D396B" w:rsidP="004D396B">
      <w:pPr>
        <w:spacing w:after="0" w:line="240" w:lineRule="auto"/>
        <w:rPr>
          <w:rFonts w:asciiTheme="minorHAnsi" w:eastAsia="Times New Roman" w:hAnsiTheme="minorHAnsi" w:cstheme="minorHAnsi"/>
          <w:color w:val="000000"/>
          <w:sz w:val="20"/>
          <w:szCs w:val="20"/>
          <w:shd w:val="clear" w:color="auto" w:fill="FFFFFF"/>
          <w:lang w:eastAsia="cs-CZ"/>
        </w:rPr>
      </w:pPr>
    </w:p>
    <w:p w:rsidR="004D396B" w:rsidRPr="00AD7516" w:rsidRDefault="0037393D" w:rsidP="004D396B">
      <w:pPr>
        <w:spacing w:after="0" w:line="240" w:lineRule="auto"/>
        <w:rPr>
          <w:rFonts w:eastAsia="Times New Roman" w:cs="Times New Roman"/>
          <w:color w:val="222222"/>
          <w:szCs w:val="24"/>
          <w:lang w:eastAsia="cs-CZ"/>
        </w:rPr>
      </w:pPr>
      <w:proofErr w:type="spellStart"/>
      <w:r w:rsidRPr="00AD7516">
        <w:rPr>
          <w:rFonts w:eastAsia="Times New Roman" w:cs="Times New Roman"/>
          <w:iCs/>
          <w:color w:val="1A1A1A"/>
          <w:szCs w:val="24"/>
          <w:lang w:eastAsia="cs-CZ"/>
        </w:rPr>
        <w:t>Rack</w:t>
      </w:r>
      <w:proofErr w:type="spellEnd"/>
      <w:r w:rsidRPr="00AD7516">
        <w:rPr>
          <w:rFonts w:eastAsia="Times New Roman" w:cs="Times New Roman"/>
          <w:iCs/>
          <w:color w:val="1A1A1A"/>
          <w:szCs w:val="24"/>
          <w:lang w:eastAsia="cs-CZ"/>
        </w:rPr>
        <w:t xml:space="preserve"> AK, van den </w:t>
      </w:r>
      <w:proofErr w:type="spellStart"/>
      <w:r w:rsidRPr="00AD7516">
        <w:rPr>
          <w:rFonts w:eastAsia="Times New Roman" w:cs="Times New Roman"/>
          <w:iCs/>
          <w:color w:val="1A1A1A"/>
          <w:szCs w:val="24"/>
          <w:lang w:eastAsia="cs-CZ"/>
        </w:rPr>
        <w:t>Berg</w:t>
      </w:r>
      <w:proofErr w:type="spellEnd"/>
      <w:r w:rsidRPr="00AD7516">
        <w:rPr>
          <w:rFonts w:eastAsia="Times New Roman" w:cs="Times New Roman"/>
          <w:iCs/>
          <w:color w:val="1A1A1A"/>
          <w:szCs w:val="24"/>
          <w:lang w:eastAsia="cs-CZ"/>
        </w:rPr>
        <w:t xml:space="preserve"> E, </w:t>
      </w:r>
      <w:proofErr w:type="spellStart"/>
      <w:r w:rsidRPr="00AD7516">
        <w:rPr>
          <w:rFonts w:eastAsia="Times New Roman" w:cs="Times New Roman"/>
          <w:iCs/>
          <w:color w:val="1A1A1A"/>
          <w:szCs w:val="24"/>
          <w:lang w:eastAsia="cs-CZ"/>
        </w:rPr>
        <w:t>Haferlach</w:t>
      </w:r>
      <w:proofErr w:type="spellEnd"/>
      <w:r w:rsidRPr="00AD7516">
        <w:rPr>
          <w:rFonts w:eastAsia="Times New Roman" w:cs="Times New Roman"/>
          <w:iCs/>
          <w:color w:val="1A1A1A"/>
          <w:szCs w:val="24"/>
          <w:lang w:eastAsia="cs-CZ"/>
        </w:rPr>
        <w:t xml:space="preserve"> C, et al.  </w:t>
      </w:r>
      <w:proofErr w:type="spellStart"/>
      <w:r w:rsidRPr="00AD7516">
        <w:rPr>
          <w:rFonts w:cs="Times New Roman"/>
          <w:color w:val="222222"/>
          <w:szCs w:val="24"/>
        </w:rPr>
        <w:t>European</w:t>
      </w:r>
      <w:proofErr w:type="spellEnd"/>
      <w:r w:rsidRPr="00AD7516">
        <w:rPr>
          <w:rFonts w:cs="Times New Roman"/>
          <w:color w:val="222222"/>
          <w:szCs w:val="24"/>
        </w:rPr>
        <w:t xml:space="preserve"> </w:t>
      </w:r>
      <w:proofErr w:type="spellStart"/>
      <w:r w:rsidRPr="00AD7516">
        <w:rPr>
          <w:rFonts w:cs="Times New Roman"/>
          <w:color w:val="222222"/>
          <w:szCs w:val="24"/>
        </w:rPr>
        <w:t>recommendations</w:t>
      </w:r>
      <w:proofErr w:type="spellEnd"/>
      <w:r w:rsidRPr="00AD7516">
        <w:rPr>
          <w:rFonts w:cs="Times New Roman"/>
          <w:color w:val="222222"/>
          <w:szCs w:val="24"/>
        </w:rPr>
        <w:t xml:space="preserve"> and </w:t>
      </w:r>
      <w:proofErr w:type="spellStart"/>
      <w:r w:rsidRPr="00AD7516">
        <w:rPr>
          <w:rFonts w:cs="Times New Roman"/>
          <w:color w:val="222222"/>
          <w:szCs w:val="24"/>
        </w:rPr>
        <w:t>quality</w:t>
      </w:r>
      <w:proofErr w:type="spellEnd"/>
      <w:r w:rsidRPr="00AD7516">
        <w:rPr>
          <w:rFonts w:cs="Times New Roman"/>
          <w:color w:val="222222"/>
          <w:szCs w:val="24"/>
        </w:rPr>
        <w:t xml:space="preserve"> </w:t>
      </w:r>
      <w:proofErr w:type="spellStart"/>
      <w:r w:rsidRPr="00AD7516">
        <w:rPr>
          <w:rFonts w:cs="Times New Roman"/>
          <w:color w:val="222222"/>
          <w:szCs w:val="24"/>
        </w:rPr>
        <w:t>assurance</w:t>
      </w:r>
      <w:proofErr w:type="spellEnd"/>
      <w:r w:rsidRPr="00AD7516">
        <w:rPr>
          <w:rFonts w:cs="Times New Roman"/>
          <w:color w:val="222222"/>
          <w:szCs w:val="24"/>
        </w:rPr>
        <w:t xml:space="preserve"> </w:t>
      </w:r>
      <w:proofErr w:type="spellStart"/>
      <w:r w:rsidRPr="00AD7516">
        <w:rPr>
          <w:rFonts w:cs="Times New Roman"/>
          <w:color w:val="222222"/>
          <w:szCs w:val="24"/>
        </w:rPr>
        <w:t>for</w:t>
      </w:r>
      <w:proofErr w:type="spellEnd"/>
      <w:r w:rsidRPr="00AD7516">
        <w:rPr>
          <w:rFonts w:cs="Times New Roman"/>
          <w:color w:val="222222"/>
          <w:szCs w:val="24"/>
        </w:rPr>
        <w:t xml:space="preserve"> </w:t>
      </w:r>
      <w:proofErr w:type="spellStart"/>
      <w:r w:rsidRPr="00AD7516">
        <w:rPr>
          <w:rFonts w:cs="Times New Roman"/>
          <w:color w:val="222222"/>
          <w:szCs w:val="24"/>
        </w:rPr>
        <w:t>cytogenomic</w:t>
      </w:r>
      <w:proofErr w:type="spellEnd"/>
      <w:r w:rsidRPr="00AD7516">
        <w:rPr>
          <w:rFonts w:cs="Times New Roman"/>
          <w:color w:val="222222"/>
          <w:szCs w:val="24"/>
        </w:rPr>
        <w:t xml:space="preserve"> </w:t>
      </w:r>
      <w:proofErr w:type="spellStart"/>
      <w:r w:rsidRPr="00AD7516">
        <w:rPr>
          <w:rFonts w:cs="Times New Roman"/>
          <w:color w:val="222222"/>
          <w:szCs w:val="24"/>
        </w:rPr>
        <w:t>analysis</w:t>
      </w:r>
      <w:proofErr w:type="spellEnd"/>
      <w:r w:rsidRPr="00AD7516">
        <w:rPr>
          <w:rFonts w:cs="Times New Roman"/>
          <w:color w:val="222222"/>
          <w:szCs w:val="24"/>
        </w:rPr>
        <w:t xml:space="preserve"> </w:t>
      </w:r>
      <w:proofErr w:type="spellStart"/>
      <w:r w:rsidRPr="00AD7516">
        <w:rPr>
          <w:rFonts w:cs="Times New Roman"/>
          <w:color w:val="222222"/>
          <w:szCs w:val="24"/>
        </w:rPr>
        <w:t>of</w:t>
      </w:r>
      <w:proofErr w:type="spellEnd"/>
      <w:r w:rsidRPr="00AD7516">
        <w:rPr>
          <w:rFonts w:cs="Times New Roman"/>
          <w:color w:val="222222"/>
          <w:szCs w:val="24"/>
        </w:rPr>
        <w:t xml:space="preserve"> </w:t>
      </w:r>
      <w:proofErr w:type="spellStart"/>
      <w:r w:rsidRPr="00AD7516">
        <w:rPr>
          <w:rFonts w:cs="Times New Roman"/>
          <w:color w:val="222222"/>
          <w:szCs w:val="24"/>
        </w:rPr>
        <w:t>haematological</w:t>
      </w:r>
      <w:proofErr w:type="spellEnd"/>
      <w:r w:rsidRPr="00AD7516">
        <w:rPr>
          <w:rFonts w:cs="Times New Roman"/>
          <w:color w:val="222222"/>
          <w:szCs w:val="24"/>
        </w:rPr>
        <w:t xml:space="preserve"> </w:t>
      </w:r>
      <w:proofErr w:type="spellStart"/>
      <w:r w:rsidRPr="00AD7516">
        <w:rPr>
          <w:rFonts w:cs="Times New Roman"/>
          <w:color w:val="222222"/>
          <w:szCs w:val="24"/>
        </w:rPr>
        <w:t>neoplasms</w:t>
      </w:r>
      <w:proofErr w:type="spellEnd"/>
      <w:r w:rsidRPr="00AD7516">
        <w:rPr>
          <w:rFonts w:cs="Times New Roman"/>
          <w:color w:val="222222"/>
          <w:szCs w:val="24"/>
        </w:rPr>
        <w:t xml:space="preserve">. </w:t>
      </w:r>
      <w:proofErr w:type="spellStart"/>
      <w:r w:rsidRPr="00AD7516">
        <w:rPr>
          <w:rFonts w:cs="Times New Roman"/>
          <w:color w:val="222222"/>
          <w:szCs w:val="24"/>
        </w:rPr>
        <w:t>Leukemia</w:t>
      </w:r>
      <w:proofErr w:type="spellEnd"/>
      <w:r w:rsidRPr="00AD7516">
        <w:rPr>
          <w:rFonts w:cs="Times New Roman"/>
          <w:color w:val="222222"/>
          <w:szCs w:val="24"/>
        </w:rPr>
        <w:t xml:space="preserve"> 2019;</w:t>
      </w:r>
      <w:r w:rsidRPr="00AD7516">
        <w:rPr>
          <w:rFonts w:cs="Times New Roman"/>
          <w:bCs/>
          <w:color w:val="222222"/>
          <w:szCs w:val="24"/>
        </w:rPr>
        <w:t xml:space="preserve"> </w:t>
      </w:r>
      <w:r w:rsidRPr="00AD7516">
        <w:rPr>
          <w:rFonts w:eastAsia="Times New Roman" w:cs="Times New Roman"/>
          <w:bCs/>
          <w:color w:val="222222"/>
          <w:szCs w:val="24"/>
          <w:lang w:eastAsia="cs-CZ"/>
        </w:rPr>
        <w:t>33</w:t>
      </w:r>
      <w:r w:rsidRPr="00AD7516">
        <w:rPr>
          <w:rFonts w:eastAsia="Times New Roman" w:cs="Times New Roman"/>
          <w:color w:val="222222"/>
          <w:szCs w:val="24"/>
          <w:shd w:val="clear" w:color="auto" w:fill="FFFFFF"/>
          <w:lang w:eastAsia="cs-CZ"/>
        </w:rPr>
        <w:t>:</w:t>
      </w:r>
      <w:r w:rsidRPr="00AD7516">
        <w:rPr>
          <w:rFonts w:eastAsia="Times New Roman" w:cs="Times New Roman"/>
          <w:color w:val="222222"/>
          <w:szCs w:val="24"/>
          <w:lang w:eastAsia="cs-CZ"/>
        </w:rPr>
        <w:t>1851</w:t>
      </w:r>
      <w:r w:rsidRPr="00AD7516">
        <w:rPr>
          <w:rFonts w:eastAsia="Times New Roman" w:cs="Times New Roman"/>
          <w:color w:val="222222"/>
          <w:szCs w:val="24"/>
          <w:shd w:val="clear" w:color="auto" w:fill="FFFFFF"/>
          <w:lang w:eastAsia="cs-CZ"/>
        </w:rPr>
        <w:t>–</w:t>
      </w:r>
      <w:r w:rsidRPr="00AD7516">
        <w:rPr>
          <w:rFonts w:eastAsia="Times New Roman" w:cs="Times New Roman"/>
          <w:color w:val="222222"/>
          <w:szCs w:val="24"/>
          <w:lang w:eastAsia="cs-CZ"/>
        </w:rPr>
        <w:t>1867.</w:t>
      </w:r>
    </w:p>
    <w:p w:rsidR="004D396B" w:rsidRPr="00AD7516" w:rsidRDefault="004D396B" w:rsidP="004D396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proofErr w:type="spellStart"/>
      <w:r w:rsidRPr="00AD7516">
        <w:rPr>
          <w:rFonts w:cs="Times New Roman"/>
          <w:szCs w:val="24"/>
        </w:rPr>
        <w:t>Schanz</w:t>
      </w:r>
      <w:proofErr w:type="spellEnd"/>
      <w:r w:rsidRPr="00AD7516">
        <w:rPr>
          <w:rFonts w:cs="Times New Roman"/>
          <w:szCs w:val="24"/>
        </w:rPr>
        <w:t xml:space="preserve"> J, </w:t>
      </w:r>
      <w:proofErr w:type="spellStart"/>
      <w:r w:rsidRPr="00AD7516">
        <w:rPr>
          <w:rFonts w:cs="Times New Roman"/>
          <w:szCs w:val="24"/>
        </w:rPr>
        <w:t>Tüchler</w:t>
      </w:r>
      <w:proofErr w:type="spellEnd"/>
      <w:r w:rsidRPr="00AD7516">
        <w:rPr>
          <w:rFonts w:cs="Times New Roman"/>
          <w:szCs w:val="24"/>
        </w:rPr>
        <w:t xml:space="preserve"> H, </w:t>
      </w:r>
      <w:proofErr w:type="spellStart"/>
      <w:r w:rsidRPr="00AD7516">
        <w:rPr>
          <w:rFonts w:cs="Times New Roman"/>
          <w:szCs w:val="24"/>
        </w:rPr>
        <w:t>Solé</w:t>
      </w:r>
      <w:proofErr w:type="spellEnd"/>
      <w:r w:rsidRPr="00AD7516">
        <w:rPr>
          <w:rFonts w:cs="Times New Roman"/>
          <w:szCs w:val="24"/>
        </w:rPr>
        <w:t xml:space="preserve"> F, </w:t>
      </w:r>
      <w:proofErr w:type="spellStart"/>
      <w:r w:rsidRPr="00AD7516">
        <w:rPr>
          <w:rFonts w:cs="Times New Roman"/>
          <w:szCs w:val="24"/>
        </w:rPr>
        <w:t>Mallo</w:t>
      </w:r>
      <w:proofErr w:type="spellEnd"/>
      <w:r w:rsidRPr="00AD7516">
        <w:rPr>
          <w:rFonts w:cs="Times New Roman"/>
          <w:szCs w:val="24"/>
        </w:rPr>
        <w:t xml:space="preserve"> M, </w:t>
      </w:r>
      <w:proofErr w:type="spellStart"/>
      <w:r w:rsidRPr="00AD7516">
        <w:rPr>
          <w:rFonts w:cs="Times New Roman"/>
          <w:szCs w:val="24"/>
        </w:rPr>
        <w:t>Luño</w:t>
      </w:r>
      <w:proofErr w:type="spellEnd"/>
      <w:r w:rsidRPr="00AD7516">
        <w:rPr>
          <w:rFonts w:cs="Times New Roman"/>
          <w:szCs w:val="24"/>
        </w:rPr>
        <w:t xml:space="preserve"> E, </w:t>
      </w:r>
      <w:proofErr w:type="spellStart"/>
      <w:r w:rsidRPr="00AD7516">
        <w:rPr>
          <w:rFonts w:cs="Times New Roman"/>
          <w:szCs w:val="24"/>
        </w:rPr>
        <w:t>Cervera</w:t>
      </w:r>
      <w:proofErr w:type="spellEnd"/>
      <w:r w:rsidRPr="00AD7516">
        <w:rPr>
          <w:rFonts w:cs="Times New Roman"/>
          <w:szCs w:val="24"/>
        </w:rPr>
        <w:t xml:space="preserve"> J, et al. New </w:t>
      </w:r>
      <w:proofErr w:type="spellStart"/>
      <w:r w:rsidRPr="00AD7516">
        <w:rPr>
          <w:rFonts w:cs="Times New Roman"/>
          <w:szCs w:val="24"/>
        </w:rPr>
        <w:t>comprehensive</w:t>
      </w:r>
      <w:proofErr w:type="spellEnd"/>
      <w:r w:rsidRPr="00AD7516">
        <w:rPr>
          <w:rFonts w:cs="Times New Roman"/>
          <w:szCs w:val="24"/>
        </w:rPr>
        <w:t xml:space="preserve"> </w:t>
      </w:r>
      <w:proofErr w:type="spellStart"/>
      <w:r w:rsidRPr="00AD7516">
        <w:rPr>
          <w:rFonts w:cs="Times New Roman"/>
          <w:szCs w:val="24"/>
        </w:rPr>
        <w:t>cytogenetic</w:t>
      </w:r>
      <w:proofErr w:type="spellEnd"/>
      <w:r w:rsidRPr="00AD7516">
        <w:rPr>
          <w:rFonts w:cs="Times New Roman"/>
          <w:szCs w:val="24"/>
        </w:rPr>
        <w:t xml:space="preserve"> </w:t>
      </w:r>
      <w:proofErr w:type="spellStart"/>
      <w:r w:rsidRPr="00AD7516">
        <w:rPr>
          <w:rFonts w:cs="Times New Roman"/>
          <w:szCs w:val="24"/>
        </w:rPr>
        <w:t>scoring</w:t>
      </w:r>
      <w:proofErr w:type="spellEnd"/>
      <w:r w:rsidRPr="00AD7516">
        <w:rPr>
          <w:rFonts w:cs="Times New Roman"/>
          <w:szCs w:val="24"/>
        </w:rPr>
        <w:t xml:space="preserve"> </w:t>
      </w:r>
      <w:proofErr w:type="spellStart"/>
      <w:r w:rsidRPr="00AD7516">
        <w:rPr>
          <w:rFonts w:cs="Times New Roman"/>
          <w:szCs w:val="24"/>
        </w:rPr>
        <w:t>system</w:t>
      </w:r>
      <w:proofErr w:type="spellEnd"/>
      <w:r w:rsidRPr="00AD7516">
        <w:rPr>
          <w:rFonts w:cs="Times New Roman"/>
          <w:szCs w:val="24"/>
        </w:rPr>
        <w:t xml:space="preserve"> </w:t>
      </w:r>
      <w:proofErr w:type="spellStart"/>
      <w:r w:rsidRPr="00AD7516">
        <w:rPr>
          <w:rFonts w:cs="Times New Roman"/>
          <w:szCs w:val="24"/>
        </w:rPr>
        <w:t>for</w:t>
      </w:r>
      <w:proofErr w:type="spellEnd"/>
      <w:r w:rsidRPr="00AD7516">
        <w:rPr>
          <w:rFonts w:cs="Times New Roman"/>
          <w:szCs w:val="24"/>
        </w:rPr>
        <w:t xml:space="preserve"> </w:t>
      </w:r>
      <w:proofErr w:type="spellStart"/>
      <w:r w:rsidRPr="00AD7516">
        <w:rPr>
          <w:rFonts w:cs="Times New Roman"/>
          <w:szCs w:val="24"/>
        </w:rPr>
        <w:t>primary</w:t>
      </w:r>
      <w:proofErr w:type="spellEnd"/>
      <w:r w:rsidRPr="00AD7516">
        <w:rPr>
          <w:rFonts w:cs="Times New Roman"/>
          <w:szCs w:val="24"/>
        </w:rPr>
        <w:t xml:space="preserve"> </w:t>
      </w:r>
      <w:proofErr w:type="spellStart"/>
      <w:r w:rsidRPr="00AD7516">
        <w:rPr>
          <w:rFonts w:cs="Times New Roman"/>
          <w:szCs w:val="24"/>
        </w:rPr>
        <w:t>myelodysplastic</w:t>
      </w:r>
      <w:proofErr w:type="spellEnd"/>
      <w:r w:rsidRPr="00AD7516">
        <w:rPr>
          <w:rFonts w:cs="Times New Roman"/>
          <w:szCs w:val="24"/>
        </w:rPr>
        <w:t xml:space="preserve"> </w:t>
      </w:r>
      <w:proofErr w:type="spellStart"/>
      <w:r w:rsidRPr="00AD7516">
        <w:rPr>
          <w:rFonts w:cs="Times New Roman"/>
          <w:szCs w:val="24"/>
        </w:rPr>
        <w:t>syndromes</w:t>
      </w:r>
      <w:proofErr w:type="spellEnd"/>
      <w:r w:rsidRPr="00AD7516">
        <w:rPr>
          <w:rFonts w:cs="Times New Roman"/>
          <w:szCs w:val="24"/>
        </w:rPr>
        <w:t xml:space="preserve"> (MDS) and </w:t>
      </w:r>
      <w:proofErr w:type="spellStart"/>
      <w:r w:rsidRPr="00AD7516">
        <w:rPr>
          <w:rFonts w:cs="Times New Roman"/>
          <w:szCs w:val="24"/>
        </w:rPr>
        <w:t>oligoblastic</w:t>
      </w:r>
      <w:proofErr w:type="spellEnd"/>
      <w:r w:rsidRPr="00AD7516">
        <w:rPr>
          <w:rFonts w:cs="Times New Roman"/>
          <w:szCs w:val="24"/>
        </w:rPr>
        <w:t xml:space="preserve"> </w:t>
      </w:r>
      <w:proofErr w:type="spellStart"/>
      <w:r w:rsidRPr="00AD7516">
        <w:rPr>
          <w:rFonts w:cs="Times New Roman"/>
          <w:szCs w:val="24"/>
        </w:rPr>
        <w:t>acute</w:t>
      </w:r>
      <w:proofErr w:type="spellEnd"/>
      <w:r w:rsidRPr="00AD7516">
        <w:rPr>
          <w:rFonts w:cs="Times New Roman"/>
          <w:szCs w:val="24"/>
        </w:rPr>
        <w:t xml:space="preserve"> </w:t>
      </w:r>
      <w:proofErr w:type="spellStart"/>
      <w:r w:rsidRPr="00AD7516">
        <w:rPr>
          <w:rFonts w:cs="Times New Roman"/>
          <w:szCs w:val="24"/>
        </w:rPr>
        <w:t>myeloid</w:t>
      </w:r>
      <w:proofErr w:type="spellEnd"/>
      <w:r w:rsidRPr="00AD7516">
        <w:rPr>
          <w:rFonts w:cs="Times New Roman"/>
          <w:szCs w:val="24"/>
        </w:rPr>
        <w:t xml:space="preserve"> </w:t>
      </w:r>
      <w:proofErr w:type="spellStart"/>
      <w:r w:rsidRPr="00AD7516">
        <w:rPr>
          <w:rFonts w:cs="Times New Roman"/>
          <w:szCs w:val="24"/>
        </w:rPr>
        <w:t>leukemia</w:t>
      </w:r>
      <w:proofErr w:type="spellEnd"/>
      <w:r w:rsidRPr="00AD7516">
        <w:rPr>
          <w:rFonts w:cs="Times New Roman"/>
          <w:szCs w:val="24"/>
        </w:rPr>
        <w:t xml:space="preserve"> </w:t>
      </w:r>
      <w:proofErr w:type="spellStart"/>
      <w:r w:rsidRPr="00AD7516">
        <w:rPr>
          <w:rFonts w:cs="Times New Roman"/>
          <w:szCs w:val="24"/>
        </w:rPr>
        <w:t>after</w:t>
      </w:r>
      <w:proofErr w:type="spellEnd"/>
      <w:r w:rsidRPr="00AD7516">
        <w:rPr>
          <w:rFonts w:cs="Times New Roman"/>
          <w:szCs w:val="24"/>
        </w:rPr>
        <w:t xml:space="preserve"> MDS </w:t>
      </w:r>
      <w:proofErr w:type="spellStart"/>
      <w:r w:rsidRPr="00AD7516">
        <w:rPr>
          <w:rFonts w:cs="Times New Roman"/>
          <w:szCs w:val="24"/>
        </w:rPr>
        <w:t>derived</w:t>
      </w:r>
      <w:proofErr w:type="spellEnd"/>
      <w:r w:rsidRPr="00AD7516">
        <w:rPr>
          <w:rFonts w:cs="Times New Roman"/>
          <w:szCs w:val="24"/>
        </w:rPr>
        <w:t xml:space="preserve"> </w:t>
      </w:r>
      <w:proofErr w:type="spellStart"/>
      <w:r w:rsidRPr="00AD7516">
        <w:rPr>
          <w:rFonts w:cs="Times New Roman"/>
          <w:szCs w:val="24"/>
        </w:rPr>
        <w:t>from</w:t>
      </w:r>
      <w:proofErr w:type="spellEnd"/>
      <w:r w:rsidRPr="00AD7516">
        <w:rPr>
          <w:rFonts w:cs="Times New Roman"/>
          <w:szCs w:val="24"/>
        </w:rPr>
        <w:t xml:space="preserve"> </w:t>
      </w:r>
      <w:proofErr w:type="spellStart"/>
      <w:r w:rsidRPr="00AD7516">
        <w:rPr>
          <w:rFonts w:cs="Times New Roman"/>
          <w:szCs w:val="24"/>
        </w:rPr>
        <w:t>an</w:t>
      </w:r>
      <w:proofErr w:type="spellEnd"/>
      <w:r w:rsidRPr="00AD7516">
        <w:rPr>
          <w:rFonts w:cs="Times New Roman"/>
          <w:szCs w:val="24"/>
        </w:rPr>
        <w:t xml:space="preserve"> </w:t>
      </w:r>
      <w:proofErr w:type="spellStart"/>
      <w:r w:rsidRPr="00AD7516">
        <w:rPr>
          <w:rFonts w:cs="Times New Roman"/>
          <w:szCs w:val="24"/>
        </w:rPr>
        <w:t>international</w:t>
      </w:r>
      <w:proofErr w:type="spellEnd"/>
      <w:r w:rsidRPr="00AD7516">
        <w:rPr>
          <w:rFonts w:cs="Times New Roman"/>
          <w:szCs w:val="24"/>
        </w:rPr>
        <w:t xml:space="preserve"> database </w:t>
      </w:r>
      <w:proofErr w:type="spellStart"/>
      <w:r w:rsidRPr="00AD7516">
        <w:rPr>
          <w:rFonts w:cs="Times New Roman"/>
          <w:szCs w:val="24"/>
        </w:rPr>
        <w:t>merge</w:t>
      </w:r>
      <w:proofErr w:type="spellEnd"/>
      <w:r w:rsidRPr="00AD7516">
        <w:rPr>
          <w:rFonts w:cs="Times New Roman"/>
          <w:szCs w:val="24"/>
        </w:rPr>
        <w:t xml:space="preserve">. J </w:t>
      </w:r>
      <w:proofErr w:type="spellStart"/>
      <w:r w:rsidRPr="00AD7516">
        <w:rPr>
          <w:rFonts w:cs="Times New Roman"/>
          <w:szCs w:val="24"/>
        </w:rPr>
        <w:t>Clin</w:t>
      </w:r>
      <w:proofErr w:type="spellEnd"/>
      <w:r w:rsidRPr="00AD7516">
        <w:rPr>
          <w:rFonts w:cs="Times New Roman"/>
          <w:szCs w:val="24"/>
        </w:rPr>
        <w:t xml:space="preserve"> </w:t>
      </w:r>
      <w:proofErr w:type="spellStart"/>
      <w:r w:rsidRPr="00AD7516">
        <w:rPr>
          <w:rFonts w:cs="Times New Roman"/>
          <w:szCs w:val="24"/>
        </w:rPr>
        <w:t>Oncol</w:t>
      </w:r>
      <w:proofErr w:type="spellEnd"/>
      <w:r w:rsidRPr="00AD7516">
        <w:rPr>
          <w:rFonts w:cs="Times New Roman"/>
          <w:szCs w:val="24"/>
        </w:rPr>
        <w:t xml:space="preserve">. </w:t>
      </w:r>
      <w:proofErr w:type="gramStart"/>
      <w:r w:rsidRPr="00AD7516">
        <w:rPr>
          <w:rFonts w:cs="Times New Roman"/>
          <w:szCs w:val="24"/>
        </w:rPr>
        <w:t>2012;30:820</w:t>
      </w:r>
      <w:proofErr w:type="gramEnd"/>
      <w:r w:rsidRPr="00AD7516">
        <w:rPr>
          <w:rFonts w:cs="Times New Roman"/>
          <w:szCs w:val="24"/>
        </w:rPr>
        <w:t>–9.</w:t>
      </w:r>
    </w:p>
    <w:p w:rsidR="004D396B" w:rsidRPr="00AD7516" w:rsidRDefault="004D396B" w:rsidP="004D396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4D396B" w:rsidRPr="00AD7516" w:rsidRDefault="004D396B" w:rsidP="004D396B">
      <w:pPr>
        <w:pStyle w:val="Nadpis1"/>
        <w:spacing w:before="0" w:after="6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D7516">
        <w:rPr>
          <w:rFonts w:ascii="Times New Roman" w:hAnsi="Times New Roman" w:cs="Times New Roman"/>
          <w:bCs/>
          <w:color w:val="000000"/>
          <w:sz w:val="24"/>
          <w:szCs w:val="24"/>
        </w:rPr>
        <w:t>Schwab</w:t>
      </w:r>
      <w:proofErr w:type="spellEnd"/>
      <w:r w:rsidRPr="00AD75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C, Harrison C. </w:t>
      </w:r>
      <w:proofErr w:type="spellStart"/>
      <w:r w:rsidRPr="00AD7516">
        <w:rPr>
          <w:rFonts w:ascii="Times New Roman" w:hAnsi="Times New Roman" w:cs="Times New Roman"/>
          <w:bCs/>
          <w:color w:val="000000"/>
          <w:sz w:val="24"/>
          <w:szCs w:val="24"/>
        </w:rPr>
        <w:t>Advances</w:t>
      </w:r>
      <w:proofErr w:type="spellEnd"/>
      <w:r w:rsidRPr="00AD75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in B-cell </w:t>
      </w:r>
      <w:proofErr w:type="spellStart"/>
      <w:r w:rsidRPr="00AD7516">
        <w:rPr>
          <w:rFonts w:ascii="Times New Roman" w:hAnsi="Times New Roman" w:cs="Times New Roman"/>
          <w:bCs/>
          <w:color w:val="000000"/>
          <w:sz w:val="24"/>
          <w:szCs w:val="24"/>
        </w:rPr>
        <w:t>Precursor</w:t>
      </w:r>
      <w:proofErr w:type="spellEnd"/>
      <w:r w:rsidRPr="00AD75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AD7516">
        <w:rPr>
          <w:rFonts w:ascii="Times New Roman" w:hAnsi="Times New Roman" w:cs="Times New Roman"/>
          <w:bCs/>
          <w:color w:val="000000"/>
          <w:sz w:val="24"/>
          <w:szCs w:val="24"/>
        </w:rPr>
        <w:t>Acute</w:t>
      </w:r>
      <w:proofErr w:type="spellEnd"/>
      <w:r w:rsidRPr="00AD75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AD7516">
        <w:rPr>
          <w:rFonts w:ascii="Times New Roman" w:hAnsi="Times New Roman" w:cs="Times New Roman"/>
          <w:bCs/>
          <w:color w:val="000000"/>
          <w:sz w:val="24"/>
          <w:szCs w:val="24"/>
        </w:rPr>
        <w:t>Lymphoblastic</w:t>
      </w:r>
      <w:proofErr w:type="spellEnd"/>
      <w:r w:rsidRPr="00AD75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AD7516">
        <w:rPr>
          <w:rFonts w:ascii="Times New Roman" w:hAnsi="Times New Roman" w:cs="Times New Roman"/>
          <w:bCs/>
          <w:color w:val="000000"/>
          <w:sz w:val="24"/>
          <w:szCs w:val="24"/>
        </w:rPr>
        <w:t>Leukemia</w:t>
      </w:r>
      <w:proofErr w:type="spellEnd"/>
      <w:r w:rsidRPr="00AD75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AD7516">
        <w:rPr>
          <w:rFonts w:ascii="Times New Roman" w:hAnsi="Times New Roman" w:cs="Times New Roman"/>
          <w:bCs/>
          <w:color w:val="000000"/>
          <w:sz w:val="24"/>
          <w:szCs w:val="24"/>
        </w:rPr>
        <w:t>Genomics</w:t>
      </w:r>
      <w:proofErr w:type="spellEnd"/>
      <w:r w:rsidRPr="00AD75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proofErr w:type="spellStart"/>
      <w:r w:rsidRPr="00AD7516">
        <w:rPr>
          <w:rFonts w:ascii="Times New Roman" w:hAnsi="Times New Roman" w:cs="Times New Roman"/>
          <w:bCs/>
          <w:color w:val="000000"/>
          <w:sz w:val="24"/>
          <w:szCs w:val="24"/>
        </w:rPr>
        <w:t>Hemasphere</w:t>
      </w:r>
      <w:proofErr w:type="spellEnd"/>
      <w:r w:rsidRPr="00AD75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2018; </w:t>
      </w:r>
      <w:proofErr w:type="gramStart"/>
      <w:r w:rsidRPr="00AD7516">
        <w:rPr>
          <w:rFonts w:ascii="Times New Roman" w:hAnsi="Times New Roman" w:cs="Times New Roman"/>
          <w:bCs/>
          <w:color w:val="000000"/>
          <w:sz w:val="24"/>
          <w:szCs w:val="24"/>
        </w:rPr>
        <w:t>2:p</w:t>
      </w:r>
      <w:proofErr w:type="gramEnd"/>
      <w:r w:rsidRPr="00AD75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e53.</w:t>
      </w:r>
    </w:p>
    <w:p w:rsidR="004D396B" w:rsidRPr="00AD7516" w:rsidRDefault="004D396B" w:rsidP="004D396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4D396B" w:rsidRPr="00AD7516" w:rsidRDefault="004D396B" w:rsidP="004D396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proofErr w:type="spellStart"/>
      <w:r w:rsidRPr="00AD7516">
        <w:rPr>
          <w:rFonts w:cs="Times New Roman"/>
          <w:szCs w:val="24"/>
        </w:rPr>
        <w:t>Schweighofer</w:t>
      </w:r>
      <w:proofErr w:type="spellEnd"/>
      <w:r w:rsidRPr="00AD7516">
        <w:rPr>
          <w:rFonts w:cs="Times New Roman"/>
          <w:szCs w:val="24"/>
        </w:rPr>
        <w:t xml:space="preserve"> CD, </w:t>
      </w:r>
      <w:proofErr w:type="spellStart"/>
      <w:r w:rsidRPr="00AD7516">
        <w:rPr>
          <w:rFonts w:cs="Times New Roman"/>
          <w:szCs w:val="24"/>
        </w:rPr>
        <w:t>Coombes</w:t>
      </w:r>
      <w:proofErr w:type="spellEnd"/>
      <w:r w:rsidRPr="00AD7516">
        <w:rPr>
          <w:rFonts w:cs="Times New Roman"/>
          <w:szCs w:val="24"/>
        </w:rPr>
        <w:t xml:space="preserve"> KR, </w:t>
      </w:r>
      <w:proofErr w:type="spellStart"/>
      <w:r w:rsidRPr="00AD7516">
        <w:rPr>
          <w:rFonts w:cs="Times New Roman"/>
          <w:szCs w:val="24"/>
        </w:rPr>
        <w:t>Majewski</w:t>
      </w:r>
      <w:proofErr w:type="spellEnd"/>
      <w:r w:rsidRPr="00AD7516">
        <w:rPr>
          <w:rFonts w:cs="Times New Roman"/>
          <w:szCs w:val="24"/>
        </w:rPr>
        <w:t xml:space="preserve"> T, </w:t>
      </w:r>
      <w:proofErr w:type="spellStart"/>
      <w:r w:rsidRPr="00AD7516">
        <w:rPr>
          <w:rFonts w:cs="Times New Roman"/>
          <w:szCs w:val="24"/>
        </w:rPr>
        <w:t>Barron</w:t>
      </w:r>
      <w:proofErr w:type="spellEnd"/>
      <w:r w:rsidRPr="00AD7516">
        <w:rPr>
          <w:rFonts w:cs="Times New Roman"/>
          <w:szCs w:val="24"/>
        </w:rPr>
        <w:t xml:space="preserve"> LL, </w:t>
      </w:r>
      <w:proofErr w:type="spellStart"/>
      <w:r w:rsidRPr="00AD7516">
        <w:rPr>
          <w:rFonts w:cs="Times New Roman"/>
          <w:szCs w:val="24"/>
        </w:rPr>
        <w:t>LernerS</w:t>
      </w:r>
      <w:proofErr w:type="spellEnd"/>
      <w:r w:rsidRPr="00AD7516">
        <w:rPr>
          <w:rFonts w:cs="Times New Roman"/>
          <w:szCs w:val="24"/>
        </w:rPr>
        <w:t xml:space="preserve">, </w:t>
      </w:r>
      <w:proofErr w:type="spellStart"/>
      <w:r w:rsidRPr="00AD7516">
        <w:rPr>
          <w:rFonts w:cs="Times New Roman"/>
          <w:szCs w:val="24"/>
        </w:rPr>
        <w:t>Sargent</w:t>
      </w:r>
      <w:proofErr w:type="spellEnd"/>
      <w:r w:rsidRPr="00AD7516">
        <w:rPr>
          <w:rFonts w:cs="Times New Roman"/>
          <w:szCs w:val="24"/>
        </w:rPr>
        <w:t xml:space="preserve"> RL, et al. </w:t>
      </w:r>
      <w:proofErr w:type="spellStart"/>
      <w:r w:rsidRPr="00AD7516">
        <w:rPr>
          <w:rFonts w:cs="Times New Roman"/>
          <w:szCs w:val="24"/>
        </w:rPr>
        <w:t>Genomic</w:t>
      </w:r>
      <w:proofErr w:type="spellEnd"/>
      <w:r w:rsidRPr="00AD7516">
        <w:rPr>
          <w:rFonts w:cs="Times New Roman"/>
          <w:szCs w:val="24"/>
        </w:rPr>
        <w:t xml:space="preserve"> </w:t>
      </w:r>
      <w:proofErr w:type="spellStart"/>
      <w:r w:rsidRPr="00AD7516">
        <w:rPr>
          <w:rFonts w:cs="Times New Roman"/>
          <w:szCs w:val="24"/>
        </w:rPr>
        <w:t>variation</w:t>
      </w:r>
      <w:proofErr w:type="spellEnd"/>
      <w:r w:rsidRPr="00AD7516">
        <w:rPr>
          <w:rFonts w:cs="Times New Roman"/>
          <w:szCs w:val="24"/>
        </w:rPr>
        <w:t xml:space="preserve"> by </w:t>
      </w:r>
      <w:proofErr w:type="spellStart"/>
      <w:r w:rsidRPr="00AD7516">
        <w:rPr>
          <w:rFonts w:cs="Times New Roman"/>
          <w:szCs w:val="24"/>
        </w:rPr>
        <w:t>whole</w:t>
      </w:r>
      <w:proofErr w:type="spellEnd"/>
      <w:r w:rsidRPr="00AD7516">
        <w:rPr>
          <w:rFonts w:cs="Times New Roman"/>
          <w:szCs w:val="24"/>
        </w:rPr>
        <w:t xml:space="preserve">-genome SNP </w:t>
      </w:r>
      <w:proofErr w:type="spellStart"/>
      <w:r w:rsidRPr="00AD7516">
        <w:rPr>
          <w:rFonts w:cs="Times New Roman"/>
          <w:szCs w:val="24"/>
        </w:rPr>
        <w:t>mapping</w:t>
      </w:r>
      <w:proofErr w:type="spellEnd"/>
      <w:r w:rsidRPr="00AD7516">
        <w:rPr>
          <w:rFonts w:cs="Times New Roman"/>
          <w:szCs w:val="24"/>
        </w:rPr>
        <w:t xml:space="preserve"> </w:t>
      </w:r>
      <w:proofErr w:type="spellStart"/>
      <w:r w:rsidRPr="00AD7516">
        <w:rPr>
          <w:rFonts w:cs="Times New Roman"/>
          <w:szCs w:val="24"/>
        </w:rPr>
        <w:t>arrays</w:t>
      </w:r>
      <w:proofErr w:type="spellEnd"/>
      <w:r w:rsidRPr="00AD7516">
        <w:rPr>
          <w:rFonts w:cs="Times New Roman"/>
          <w:szCs w:val="24"/>
        </w:rPr>
        <w:t xml:space="preserve"> </w:t>
      </w:r>
      <w:proofErr w:type="spellStart"/>
      <w:r w:rsidRPr="00AD7516">
        <w:rPr>
          <w:rFonts w:cs="Times New Roman"/>
          <w:szCs w:val="24"/>
        </w:rPr>
        <w:t>predicts</w:t>
      </w:r>
      <w:proofErr w:type="spellEnd"/>
      <w:r w:rsidRPr="00AD7516">
        <w:rPr>
          <w:rFonts w:cs="Times New Roman"/>
          <w:szCs w:val="24"/>
        </w:rPr>
        <w:t xml:space="preserve"> </w:t>
      </w:r>
      <w:proofErr w:type="spellStart"/>
      <w:r w:rsidRPr="00AD7516">
        <w:rPr>
          <w:rFonts w:cs="Times New Roman"/>
          <w:szCs w:val="24"/>
        </w:rPr>
        <w:t>time</w:t>
      </w:r>
      <w:proofErr w:type="spellEnd"/>
      <w:r w:rsidRPr="00AD7516">
        <w:rPr>
          <w:rFonts w:cs="Times New Roman"/>
          <w:szCs w:val="24"/>
        </w:rPr>
        <w:t>-to-</w:t>
      </w:r>
      <w:proofErr w:type="spellStart"/>
      <w:r w:rsidRPr="00AD7516">
        <w:rPr>
          <w:rFonts w:cs="Times New Roman"/>
          <w:szCs w:val="24"/>
        </w:rPr>
        <w:t>event</w:t>
      </w:r>
      <w:proofErr w:type="spellEnd"/>
      <w:r w:rsidRPr="00AD7516">
        <w:rPr>
          <w:rFonts w:cs="Times New Roman"/>
          <w:szCs w:val="24"/>
        </w:rPr>
        <w:t xml:space="preserve"> </w:t>
      </w:r>
      <w:proofErr w:type="spellStart"/>
      <w:r w:rsidRPr="00AD7516">
        <w:rPr>
          <w:rFonts w:cs="Times New Roman"/>
          <w:szCs w:val="24"/>
        </w:rPr>
        <w:t>outcome</w:t>
      </w:r>
      <w:proofErr w:type="spellEnd"/>
      <w:r w:rsidRPr="00AD7516">
        <w:rPr>
          <w:rFonts w:cs="Times New Roman"/>
          <w:szCs w:val="24"/>
        </w:rPr>
        <w:t xml:space="preserve"> in </w:t>
      </w:r>
      <w:proofErr w:type="spellStart"/>
      <w:r w:rsidRPr="00AD7516">
        <w:rPr>
          <w:rFonts w:cs="Times New Roman"/>
          <w:szCs w:val="24"/>
        </w:rPr>
        <w:t>patients</w:t>
      </w:r>
      <w:proofErr w:type="spellEnd"/>
      <w:r w:rsidRPr="00AD7516">
        <w:rPr>
          <w:rFonts w:cs="Times New Roman"/>
          <w:szCs w:val="24"/>
        </w:rPr>
        <w:t xml:space="preserve"> </w:t>
      </w:r>
      <w:proofErr w:type="spellStart"/>
      <w:r w:rsidRPr="00AD7516">
        <w:rPr>
          <w:rFonts w:cs="Times New Roman"/>
          <w:szCs w:val="24"/>
        </w:rPr>
        <w:t>withchronic</w:t>
      </w:r>
      <w:proofErr w:type="spellEnd"/>
      <w:r w:rsidRPr="00AD7516">
        <w:rPr>
          <w:rFonts w:cs="Times New Roman"/>
          <w:szCs w:val="24"/>
        </w:rPr>
        <w:t xml:space="preserve"> </w:t>
      </w:r>
      <w:proofErr w:type="spellStart"/>
      <w:r w:rsidRPr="00AD7516">
        <w:rPr>
          <w:rFonts w:cs="Times New Roman"/>
          <w:szCs w:val="24"/>
        </w:rPr>
        <w:t>lymphocytic</w:t>
      </w:r>
      <w:proofErr w:type="spellEnd"/>
      <w:r w:rsidRPr="00AD7516">
        <w:rPr>
          <w:rFonts w:cs="Times New Roman"/>
          <w:szCs w:val="24"/>
        </w:rPr>
        <w:t xml:space="preserve"> </w:t>
      </w:r>
      <w:proofErr w:type="spellStart"/>
      <w:r w:rsidRPr="00AD7516">
        <w:rPr>
          <w:rFonts w:cs="Times New Roman"/>
          <w:szCs w:val="24"/>
        </w:rPr>
        <w:t>leukemia</w:t>
      </w:r>
      <w:proofErr w:type="spellEnd"/>
      <w:r w:rsidRPr="00AD7516">
        <w:rPr>
          <w:rFonts w:cs="Times New Roman"/>
          <w:szCs w:val="24"/>
        </w:rPr>
        <w:t xml:space="preserve">: a </w:t>
      </w:r>
      <w:proofErr w:type="spellStart"/>
      <w:r w:rsidRPr="00AD7516">
        <w:rPr>
          <w:rFonts w:cs="Times New Roman"/>
          <w:szCs w:val="24"/>
        </w:rPr>
        <w:t>comparison</w:t>
      </w:r>
      <w:proofErr w:type="spellEnd"/>
      <w:r w:rsidRPr="00AD7516">
        <w:rPr>
          <w:rFonts w:cs="Times New Roman"/>
          <w:szCs w:val="24"/>
        </w:rPr>
        <w:t xml:space="preserve"> </w:t>
      </w:r>
      <w:proofErr w:type="spellStart"/>
      <w:r w:rsidRPr="00AD7516">
        <w:rPr>
          <w:rFonts w:cs="Times New Roman"/>
          <w:szCs w:val="24"/>
        </w:rPr>
        <w:t>of</w:t>
      </w:r>
      <w:proofErr w:type="spellEnd"/>
      <w:r w:rsidRPr="00AD7516">
        <w:rPr>
          <w:rFonts w:cs="Times New Roman"/>
          <w:szCs w:val="24"/>
        </w:rPr>
        <w:t xml:space="preserve"> CLL and </w:t>
      </w:r>
      <w:proofErr w:type="spellStart"/>
      <w:r w:rsidRPr="00AD7516">
        <w:rPr>
          <w:rFonts w:cs="Times New Roman"/>
          <w:szCs w:val="24"/>
        </w:rPr>
        <w:t>Hap</w:t>
      </w:r>
      <w:proofErr w:type="spellEnd"/>
      <w:r w:rsidRPr="00AD7516">
        <w:rPr>
          <w:rFonts w:cs="Times New Roman"/>
          <w:szCs w:val="24"/>
        </w:rPr>
        <w:t xml:space="preserve">-Map </w:t>
      </w:r>
      <w:proofErr w:type="spellStart"/>
      <w:r w:rsidRPr="00AD7516">
        <w:rPr>
          <w:rFonts w:cs="Times New Roman"/>
          <w:szCs w:val="24"/>
        </w:rPr>
        <w:t>genotypes</w:t>
      </w:r>
      <w:proofErr w:type="spellEnd"/>
      <w:r w:rsidRPr="00AD7516">
        <w:rPr>
          <w:rFonts w:cs="Times New Roman"/>
          <w:szCs w:val="24"/>
        </w:rPr>
        <w:t xml:space="preserve">. J Mol </w:t>
      </w:r>
      <w:proofErr w:type="spellStart"/>
      <w:r w:rsidRPr="00AD7516">
        <w:rPr>
          <w:rFonts w:cs="Times New Roman"/>
          <w:szCs w:val="24"/>
        </w:rPr>
        <w:t>Diagn</w:t>
      </w:r>
      <w:proofErr w:type="spellEnd"/>
      <w:r w:rsidRPr="00AD7516">
        <w:rPr>
          <w:rFonts w:cs="Times New Roman"/>
          <w:szCs w:val="24"/>
        </w:rPr>
        <w:t xml:space="preserve">. </w:t>
      </w:r>
      <w:proofErr w:type="gramStart"/>
      <w:r w:rsidRPr="00AD7516">
        <w:rPr>
          <w:rFonts w:cs="Times New Roman"/>
          <w:szCs w:val="24"/>
        </w:rPr>
        <w:t>2013;15:196</w:t>
      </w:r>
      <w:proofErr w:type="gramEnd"/>
      <w:r w:rsidRPr="00AD7516">
        <w:rPr>
          <w:rFonts w:cs="Times New Roman"/>
          <w:szCs w:val="24"/>
        </w:rPr>
        <w:t>–209.</w:t>
      </w:r>
    </w:p>
    <w:p w:rsidR="004D396B" w:rsidRPr="00AD7516" w:rsidRDefault="004D396B" w:rsidP="004D396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D04396" w:rsidRPr="00AD7516" w:rsidRDefault="0037393D" w:rsidP="004D396B">
      <w:pPr>
        <w:pStyle w:val="Nadpis1"/>
        <w:spacing w:before="0" w:after="24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proofErr w:type="spellStart"/>
      <w:r w:rsidRPr="00AD7516">
        <w:rPr>
          <w:rFonts w:ascii="Times New Roman" w:hAnsi="Times New Roman" w:cs="Times New Roman"/>
          <w:color w:val="222222"/>
          <w:sz w:val="24"/>
          <w:szCs w:val="24"/>
        </w:rPr>
        <w:t>Speicher</w:t>
      </w:r>
      <w:proofErr w:type="spellEnd"/>
      <w:r w:rsidRPr="00AD7516">
        <w:rPr>
          <w:rFonts w:ascii="Times New Roman" w:hAnsi="Times New Roman" w:cs="Times New Roman"/>
          <w:color w:val="222222"/>
          <w:sz w:val="24"/>
          <w:szCs w:val="24"/>
        </w:rPr>
        <w:t xml:space="preserve"> MR, </w:t>
      </w:r>
      <w:proofErr w:type="spellStart"/>
      <w:r w:rsidR="00543714" w:rsidRPr="00AD7516">
        <w:rPr>
          <w:rFonts w:ascii="Times New Roman" w:hAnsi="Times New Roman" w:cs="Times New Roman"/>
          <w:color w:val="222222"/>
          <w:sz w:val="24"/>
          <w:szCs w:val="24"/>
        </w:rPr>
        <w:t>Gwyn</w:t>
      </w:r>
      <w:proofErr w:type="spellEnd"/>
      <w:r w:rsidR="00543714" w:rsidRPr="00AD7516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543714" w:rsidRPr="00AD7516">
        <w:rPr>
          <w:rFonts w:ascii="Times New Roman" w:hAnsi="Times New Roman" w:cs="Times New Roman"/>
          <w:color w:val="222222"/>
          <w:sz w:val="24"/>
          <w:szCs w:val="24"/>
        </w:rPr>
        <w:t>Ballard</w:t>
      </w:r>
      <w:proofErr w:type="spellEnd"/>
      <w:r w:rsidR="00543714" w:rsidRPr="00AD7516">
        <w:rPr>
          <w:rFonts w:ascii="Times New Roman" w:hAnsi="Times New Roman" w:cs="Times New Roman"/>
          <w:color w:val="222222"/>
          <w:sz w:val="24"/>
          <w:szCs w:val="24"/>
        </w:rPr>
        <w:t xml:space="preserve"> S, </w:t>
      </w:r>
      <w:proofErr w:type="spellStart"/>
      <w:r w:rsidR="00543714" w:rsidRPr="00AD7516">
        <w:rPr>
          <w:rFonts w:ascii="Times New Roman" w:hAnsi="Times New Roman" w:cs="Times New Roman"/>
          <w:color w:val="222222"/>
          <w:sz w:val="24"/>
          <w:szCs w:val="24"/>
        </w:rPr>
        <w:t>Ward</w:t>
      </w:r>
      <w:proofErr w:type="spellEnd"/>
      <w:r w:rsidR="00543714" w:rsidRPr="00AD7516">
        <w:rPr>
          <w:rFonts w:ascii="Times New Roman" w:hAnsi="Times New Roman" w:cs="Times New Roman"/>
          <w:color w:val="222222"/>
          <w:sz w:val="24"/>
          <w:szCs w:val="24"/>
        </w:rPr>
        <w:t xml:space="preserve"> DC. </w:t>
      </w:r>
      <w:proofErr w:type="spellStart"/>
      <w:r w:rsidRPr="00AD7516">
        <w:rPr>
          <w:rFonts w:ascii="Times New Roman" w:hAnsi="Times New Roman" w:cs="Times New Roman"/>
          <w:color w:val="222222"/>
          <w:sz w:val="24"/>
          <w:szCs w:val="24"/>
        </w:rPr>
        <w:t>Karyotyping</w:t>
      </w:r>
      <w:proofErr w:type="spellEnd"/>
      <w:r w:rsidRPr="00AD7516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D7516">
        <w:rPr>
          <w:rFonts w:ascii="Times New Roman" w:hAnsi="Times New Roman" w:cs="Times New Roman"/>
          <w:color w:val="222222"/>
          <w:sz w:val="24"/>
          <w:szCs w:val="24"/>
        </w:rPr>
        <w:t>human</w:t>
      </w:r>
      <w:proofErr w:type="spellEnd"/>
      <w:r w:rsidRPr="00AD7516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D7516">
        <w:rPr>
          <w:rFonts w:ascii="Times New Roman" w:hAnsi="Times New Roman" w:cs="Times New Roman"/>
          <w:color w:val="222222"/>
          <w:sz w:val="24"/>
          <w:szCs w:val="24"/>
        </w:rPr>
        <w:t>chromosomes</w:t>
      </w:r>
      <w:proofErr w:type="spellEnd"/>
      <w:r w:rsidRPr="00AD7516">
        <w:rPr>
          <w:rFonts w:ascii="Times New Roman" w:hAnsi="Times New Roman" w:cs="Times New Roman"/>
          <w:color w:val="222222"/>
          <w:sz w:val="24"/>
          <w:szCs w:val="24"/>
        </w:rPr>
        <w:t xml:space="preserve"> by </w:t>
      </w:r>
      <w:proofErr w:type="spellStart"/>
      <w:r w:rsidRPr="00AD7516">
        <w:rPr>
          <w:rFonts w:ascii="Times New Roman" w:hAnsi="Times New Roman" w:cs="Times New Roman"/>
          <w:color w:val="222222"/>
          <w:sz w:val="24"/>
          <w:szCs w:val="24"/>
        </w:rPr>
        <w:t>combinatorial</w:t>
      </w:r>
      <w:proofErr w:type="spellEnd"/>
      <w:r w:rsidRPr="00AD7516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D7516">
        <w:rPr>
          <w:rFonts w:ascii="Times New Roman" w:hAnsi="Times New Roman" w:cs="Times New Roman"/>
          <w:color w:val="222222"/>
          <w:sz w:val="24"/>
          <w:szCs w:val="24"/>
        </w:rPr>
        <w:t>multi</w:t>
      </w:r>
      <w:proofErr w:type="spellEnd"/>
      <w:r w:rsidRPr="00AD7516">
        <w:rPr>
          <w:rFonts w:ascii="Times New Roman" w:hAnsi="Times New Roman" w:cs="Times New Roman"/>
          <w:color w:val="222222"/>
          <w:sz w:val="24"/>
          <w:szCs w:val="24"/>
        </w:rPr>
        <w:t>-fluor FISH</w:t>
      </w:r>
      <w:r w:rsidR="00543714" w:rsidRPr="00AD7516">
        <w:rPr>
          <w:rFonts w:ascii="Times New Roman" w:hAnsi="Times New Roman" w:cs="Times New Roman"/>
          <w:color w:val="222222"/>
          <w:sz w:val="24"/>
          <w:szCs w:val="24"/>
        </w:rPr>
        <w:t xml:space="preserve">. </w:t>
      </w:r>
      <w:proofErr w:type="spellStart"/>
      <w:r w:rsidR="00543714" w:rsidRPr="00AD7516">
        <w:rPr>
          <w:rFonts w:ascii="Times New Roman" w:hAnsi="Times New Roman" w:cs="Times New Roman"/>
          <w:color w:val="222222"/>
          <w:sz w:val="24"/>
          <w:szCs w:val="24"/>
        </w:rPr>
        <w:t>Nature</w:t>
      </w:r>
      <w:proofErr w:type="spellEnd"/>
      <w:r w:rsidR="00543714" w:rsidRPr="00AD7516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543714" w:rsidRPr="00AD7516">
        <w:rPr>
          <w:rFonts w:ascii="Times New Roman" w:hAnsi="Times New Roman" w:cs="Times New Roman"/>
          <w:color w:val="222222"/>
          <w:sz w:val="24"/>
          <w:szCs w:val="24"/>
        </w:rPr>
        <w:t>Genetics</w:t>
      </w:r>
      <w:proofErr w:type="spellEnd"/>
      <w:r w:rsidR="00543714" w:rsidRPr="00AD7516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gramStart"/>
      <w:r w:rsidR="00543714" w:rsidRPr="00AD7516">
        <w:rPr>
          <w:rStyle w:val="apple-converted-space"/>
          <w:rFonts w:ascii="Times New Roman" w:hAnsi="Times New Roman" w:cs="Times New Roman"/>
          <w:color w:val="222222"/>
          <w:sz w:val="24"/>
          <w:szCs w:val="24"/>
        </w:rPr>
        <w:t>1996;12:</w:t>
      </w:r>
      <w:r w:rsidRPr="00AD7516">
        <w:rPr>
          <w:rFonts w:ascii="Times New Roman" w:hAnsi="Times New Roman" w:cs="Times New Roman"/>
          <w:color w:val="222222"/>
          <w:sz w:val="24"/>
          <w:szCs w:val="24"/>
        </w:rPr>
        <w:t>368</w:t>
      </w:r>
      <w:proofErr w:type="gramEnd"/>
      <w:r w:rsidRPr="00AD7516">
        <w:rPr>
          <w:rFonts w:ascii="Times New Roman" w:hAnsi="Times New Roman" w:cs="Times New Roman"/>
          <w:color w:val="222222"/>
          <w:sz w:val="24"/>
          <w:szCs w:val="24"/>
        </w:rPr>
        <w:t>–375</w:t>
      </w:r>
      <w:r w:rsidR="00543714" w:rsidRPr="00AD7516">
        <w:rPr>
          <w:rFonts w:ascii="Times New Roman" w:hAnsi="Times New Roman" w:cs="Times New Roman"/>
          <w:color w:val="222222"/>
          <w:sz w:val="24"/>
          <w:szCs w:val="24"/>
        </w:rPr>
        <w:t>.</w:t>
      </w:r>
    </w:p>
    <w:p w:rsidR="004D396B" w:rsidRPr="00AD7516" w:rsidRDefault="004D396B" w:rsidP="004D396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proofErr w:type="spellStart"/>
      <w:r w:rsidRPr="00AD7516">
        <w:rPr>
          <w:rFonts w:cs="Times New Roman"/>
          <w:szCs w:val="24"/>
        </w:rPr>
        <w:t>Sonneveld</w:t>
      </w:r>
      <w:proofErr w:type="spellEnd"/>
      <w:r w:rsidRPr="00AD7516">
        <w:rPr>
          <w:rFonts w:cs="Times New Roman"/>
          <w:szCs w:val="24"/>
        </w:rPr>
        <w:t xml:space="preserve"> P, </w:t>
      </w:r>
      <w:proofErr w:type="spellStart"/>
      <w:r w:rsidRPr="00AD7516">
        <w:rPr>
          <w:rFonts w:cs="Times New Roman"/>
          <w:szCs w:val="24"/>
        </w:rPr>
        <w:t>Avet-Loiseau</w:t>
      </w:r>
      <w:proofErr w:type="spellEnd"/>
      <w:r w:rsidRPr="00AD7516">
        <w:rPr>
          <w:rFonts w:cs="Times New Roman"/>
          <w:szCs w:val="24"/>
        </w:rPr>
        <w:t xml:space="preserve"> H, </w:t>
      </w:r>
      <w:proofErr w:type="spellStart"/>
      <w:r w:rsidRPr="00AD7516">
        <w:rPr>
          <w:rFonts w:cs="Times New Roman"/>
          <w:szCs w:val="24"/>
        </w:rPr>
        <w:t>Lonial</w:t>
      </w:r>
      <w:proofErr w:type="spellEnd"/>
      <w:r w:rsidRPr="00AD7516">
        <w:rPr>
          <w:rFonts w:cs="Times New Roman"/>
          <w:szCs w:val="24"/>
        </w:rPr>
        <w:t xml:space="preserve"> S, </w:t>
      </w:r>
      <w:proofErr w:type="spellStart"/>
      <w:r w:rsidRPr="00AD7516">
        <w:rPr>
          <w:rFonts w:cs="Times New Roman"/>
          <w:szCs w:val="24"/>
        </w:rPr>
        <w:t>Usami</w:t>
      </w:r>
      <w:proofErr w:type="spellEnd"/>
      <w:r w:rsidRPr="00AD7516">
        <w:rPr>
          <w:rFonts w:cs="Times New Roman"/>
          <w:szCs w:val="24"/>
        </w:rPr>
        <w:t xml:space="preserve"> S, </w:t>
      </w:r>
      <w:proofErr w:type="spellStart"/>
      <w:r w:rsidRPr="00AD7516">
        <w:rPr>
          <w:rFonts w:cs="Times New Roman"/>
          <w:szCs w:val="24"/>
        </w:rPr>
        <w:t>Siegel</w:t>
      </w:r>
      <w:proofErr w:type="spellEnd"/>
      <w:r w:rsidRPr="00AD7516">
        <w:rPr>
          <w:rFonts w:cs="Times New Roman"/>
          <w:szCs w:val="24"/>
        </w:rPr>
        <w:t xml:space="preserve"> D, Anderson KC, et al. </w:t>
      </w:r>
      <w:proofErr w:type="spellStart"/>
      <w:r w:rsidRPr="00AD7516">
        <w:rPr>
          <w:rFonts w:cs="Times New Roman"/>
          <w:szCs w:val="24"/>
        </w:rPr>
        <w:t>Treatment</w:t>
      </w:r>
      <w:proofErr w:type="spellEnd"/>
      <w:r w:rsidRPr="00AD7516">
        <w:rPr>
          <w:rFonts w:cs="Times New Roman"/>
          <w:szCs w:val="24"/>
        </w:rPr>
        <w:t xml:space="preserve"> </w:t>
      </w:r>
      <w:proofErr w:type="spellStart"/>
      <w:r w:rsidRPr="00AD7516">
        <w:rPr>
          <w:rFonts w:cs="Times New Roman"/>
          <w:szCs w:val="24"/>
        </w:rPr>
        <w:t>of</w:t>
      </w:r>
      <w:proofErr w:type="spellEnd"/>
      <w:r w:rsidRPr="00AD7516">
        <w:rPr>
          <w:rFonts w:cs="Times New Roman"/>
          <w:szCs w:val="24"/>
        </w:rPr>
        <w:t xml:space="preserve"> </w:t>
      </w:r>
      <w:proofErr w:type="spellStart"/>
      <w:r w:rsidRPr="00AD7516">
        <w:rPr>
          <w:rFonts w:cs="Times New Roman"/>
          <w:szCs w:val="24"/>
        </w:rPr>
        <w:t>multiple</w:t>
      </w:r>
      <w:proofErr w:type="spellEnd"/>
      <w:r w:rsidRPr="00AD7516">
        <w:rPr>
          <w:rFonts w:cs="Times New Roman"/>
          <w:szCs w:val="24"/>
        </w:rPr>
        <w:t xml:space="preserve"> </w:t>
      </w:r>
      <w:proofErr w:type="spellStart"/>
      <w:r w:rsidRPr="00AD7516">
        <w:rPr>
          <w:rFonts w:cs="Times New Roman"/>
          <w:szCs w:val="24"/>
        </w:rPr>
        <w:t>myeloma</w:t>
      </w:r>
      <w:proofErr w:type="spellEnd"/>
      <w:r w:rsidRPr="00AD7516">
        <w:rPr>
          <w:rFonts w:cs="Times New Roman"/>
          <w:szCs w:val="24"/>
        </w:rPr>
        <w:t xml:space="preserve"> </w:t>
      </w:r>
      <w:proofErr w:type="spellStart"/>
      <w:r w:rsidRPr="00AD7516">
        <w:rPr>
          <w:rFonts w:cs="Times New Roman"/>
          <w:szCs w:val="24"/>
        </w:rPr>
        <w:t>with</w:t>
      </w:r>
      <w:proofErr w:type="spellEnd"/>
      <w:r w:rsidRPr="00AD7516">
        <w:rPr>
          <w:rFonts w:cs="Times New Roman"/>
          <w:szCs w:val="24"/>
        </w:rPr>
        <w:t xml:space="preserve"> </w:t>
      </w:r>
      <w:proofErr w:type="spellStart"/>
      <w:r w:rsidRPr="00AD7516">
        <w:rPr>
          <w:rFonts w:cs="Times New Roman"/>
          <w:szCs w:val="24"/>
        </w:rPr>
        <w:t>high</w:t>
      </w:r>
      <w:proofErr w:type="spellEnd"/>
      <w:r w:rsidRPr="00AD7516">
        <w:rPr>
          <w:rFonts w:cs="Times New Roman"/>
          <w:szCs w:val="24"/>
        </w:rPr>
        <w:t xml:space="preserve"> risk </w:t>
      </w:r>
      <w:proofErr w:type="spellStart"/>
      <w:r w:rsidRPr="00AD7516">
        <w:rPr>
          <w:rFonts w:cs="Times New Roman"/>
          <w:szCs w:val="24"/>
        </w:rPr>
        <w:t>cytogenetics</w:t>
      </w:r>
      <w:proofErr w:type="spellEnd"/>
      <w:r w:rsidRPr="00AD7516">
        <w:rPr>
          <w:rFonts w:cs="Times New Roman"/>
          <w:szCs w:val="24"/>
        </w:rPr>
        <w:t xml:space="preserve">: a </w:t>
      </w:r>
      <w:proofErr w:type="spellStart"/>
      <w:r w:rsidRPr="00AD7516">
        <w:rPr>
          <w:rFonts w:cs="Times New Roman"/>
          <w:szCs w:val="24"/>
        </w:rPr>
        <w:t>consensus</w:t>
      </w:r>
      <w:proofErr w:type="spellEnd"/>
      <w:r w:rsidRPr="00AD7516">
        <w:rPr>
          <w:rFonts w:cs="Times New Roman"/>
          <w:szCs w:val="24"/>
        </w:rPr>
        <w:t xml:space="preserve"> </w:t>
      </w:r>
      <w:proofErr w:type="spellStart"/>
      <w:r w:rsidRPr="00AD7516">
        <w:rPr>
          <w:rFonts w:cs="Times New Roman"/>
          <w:szCs w:val="24"/>
        </w:rPr>
        <w:t>of</w:t>
      </w:r>
      <w:proofErr w:type="spellEnd"/>
      <w:r w:rsidRPr="00AD7516">
        <w:rPr>
          <w:rFonts w:cs="Times New Roman"/>
          <w:szCs w:val="24"/>
        </w:rPr>
        <w:t xml:space="preserve"> </w:t>
      </w:r>
      <w:proofErr w:type="spellStart"/>
      <w:r w:rsidRPr="00AD7516">
        <w:rPr>
          <w:rFonts w:cs="Times New Roman"/>
          <w:szCs w:val="24"/>
        </w:rPr>
        <w:t>the</w:t>
      </w:r>
      <w:proofErr w:type="spellEnd"/>
      <w:r w:rsidRPr="00AD7516">
        <w:rPr>
          <w:rFonts w:cs="Times New Roman"/>
          <w:szCs w:val="24"/>
        </w:rPr>
        <w:t xml:space="preserve"> International </w:t>
      </w:r>
      <w:proofErr w:type="spellStart"/>
      <w:r w:rsidRPr="00AD7516">
        <w:rPr>
          <w:rFonts w:cs="Times New Roman"/>
          <w:szCs w:val="24"/>
        </w:rPr>
        <w:t>Myeloma</w:t>
      </w:r>
      <w:proofErr w:type="spellEnd"/>
      <w:r w:rsidRPr="00AD7516">
        <w:rPr>
          <w:rFonts w:cs="Times New Roman"/>
          <w:szCs w:val="24"/>
        </w:rPr>
        <w:t xml:space="preserve"> </w:t>
      </w:r>
      <w:proofErr w:type="spellStart"/>
      <w:r w:rsidRPr="00AD7516">
        <w:rPr>
          <w:rFonts w:cs="Times New Roman"/>
          <w:szCs w:val="24"/>
        </w:rPr>
        <w:t>Working</w:t>
      </w:r>
      <w:proofErr w:type="spellEnd"/>
      <w:r w:rsidRPr="00AD7516">
        <w:rPr>
          <w:rFonts w:cs="Times New Roman"/>
          <w:szCs w:val="24"/>
        </w:rPr>
        <w:t xml:space="preserve"> Group. </w:t>
      </w:r>
      <w:proofErr w:type="spellStart"/>
      <w:r w:rsidRPr="00AD7516">
        <w:rPr>
          <w:rFonts w:cs="Times New Roman"/>
          <w:szCs w:val="24"/>
        </w:rPr>
        <w:t>Blood</w:t>
      </w:r>
      <w:proofErr w:type="spellEnd"/>
      <w:r w:rsidRPr="00AD7516">
        <w:rPr>
          <w:rFonts w:cs="Times New Roman"/>
          <w:szCs w:val="24"/>
        </w:rPr>
        <w:t xml:space="preserve">. </w:t>
      </w:r>
      <w:proofErr w:type="gramStart"/>
      <w:r w:rsidRPr="00AD7516">
        <w:rPr>
          <w:rFonts w:cs="Times New Roman"/>
          <w:szCs w:val="24"/>
        </w:rPr>
        <w:t>2016;127:2955</w:t>
      </w:r>
      <w:proofErr w:type="gramEnd"/>
      <w:r w:rsidRPr="00AD7516">
        <w:rPr>
          <w:rFonts w:cs="Times New Roman"/>
          <w:szCs w:val="24"/>
        </w:rPr>
        <w:t>–62.</w:t>
      </w:r>
    </w:p>
    <w:p w:rsidR="004D396B" w:rsidRPr="00AD7516" w:rsidRDefault="004D396B" w:rsidP="004D396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4D396B" w:rsidRPr="00AD7516" w:rsidRDefault="004D396B" w:rsidP="004D396B">
      <w:pPr>
        <w:spacing w:after="0" w:line="240" w:lineRule="auto"/>
        <w:ind w:left="-360"/>
        <w:textAlignment w:val="baseline"/>
        <w:rPr>
          <w:rFonts w:eastAsia="Times New Roman" w:cs="Times New Roman"/>
          <w:szCs w:val="24"/>
          <w:lang w:eastAsia="cs-CZ"/>
        </w:rPr>
      </w:pPr>
      <w:r w:rsidRPr="00AD7516">
        <w:rPr>
          <w:rFonts w:eastAsia="Times New Roman" w:cs="Times New Roman"/>
          <w:szCs w:val="24"/>
          <w:lang w:eastAsia="cs-CZ"/>
        </w:rPr>
        <w:lastRenderedPageBreak/>
        <w:t xml:space="preserve">       </w:t>
      </w:r>
      <w:proofErr w:type="spellStart"/>
      <w:r w:rsidRPr="00AD7516">
        <w:rPr>
          <w:rFonts w:eastAsia="Times New Roman" w:cs="Times New Roman"/>
          <w:szCs w:val="24"/>
          <w:lang w:eastAsia="cs-CZ"/>
        </w:rPr>
        <w:t>Swerdlow</w:t>
      </w:r>
      <w:proofErr w:type="spellEnd"/>
      <w:r w:rsidRPr="00AD7516">
        <w:rPr>
          <w:rFonts w:eastAsia="Times New Roman" w:cs="Times New Roman"/>
          <w:szCs w:val="24"/>
          <w:lang w:eastAsia="cs-CZ"/>
        </w:rPr>
        <w:t xml:space="preserve">, S. H. </w:t>
      </w:r>
      <w:r w:rsidRPr="00AD7516">
        <w:rPr>
          <w:rFonts w:eastAsia="Times New Roman" w:cs="Times New Roman"/>
          <w:iCs/>
          <w:szCs w:val="24"/>
          <w:lang w:eastAsia="cs-CZ"/>
        </w:rPr>
        <w:t xml:space="preserve">et al. </w:t>
      </w:r>
      <w:proofErr w:type="spellStart"/>
      <w:r w:rsidRPr="00AD7516">
        <w:rPr>
          <w:rFonts w:eastAsia="Times New Roman" w:cs="Times New Roman"/>
          <w:szCs w:val="24"/>
          <w:lang w:eastAsia="cs-CZ"/>
        </w:rPr>
        <w:t>The</w:t>
      </w:r>
      <w:proofErr w:type="spellEnd"/>
      <w:r w:rsidRPr="00AD7516">
        <w:rPr>
          <w:rFonts w:eastAsia="Times New Roman" w:cs="Times New Roman"/>
          <w:szCs w:val="24"/>
          <w:lang w:eastAsia="cs-CZ"/>
        </w:rPr>
        <w:t xml:space="preserve"> 2016 </w:t>
      </w:r>
      <w:proofErr w:type="spellStart"/>
      <w:r w:rsidRPr="00AD7516">
        <w:rPr>
          <w:rFonts w:eastAsia="Times New Roman" w:cs="Times New Roman"/>
          <w:szCs w:val="24"/>
          <w:lang w:eastAsia="cs-CZ"/>
        </w:rPr>
        <w:t>revision</w:t>
      </w:r>
      <w:proofErr w:type="spellEnd"/>
      <w:r w:rsidRPr="00AD7516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AD7516">
        <w:rPr>
          <w:rFonts w:eastAsia="Times New Roman" w:cs="Times New Roman"/>
          <w:szCs w:val="24"/>
          <w:lang w:eastAsia="cs-CZ"/>
        </w:rPr>
        <w:t>of</w:t>
      </w:r>
      <w:proofErr w:type="spellEnd"/>
      <w:r w:rsidRPr="00AD7516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AD7516">
        <w:rPr>
          <w:rFonts w:eastAsia="Times New Roman" w:cs="Times New Roman"/>
          <w:szCs w:val="24"/>
          <w:lang w:eastAsia="cs-CZ"/>
        </w:rPr>
        <w:t>the</w:t>
      </w:r>
      <w:proofErr w:type="spellEnd"/>
      <w:r w:rsidRPr="00AD7516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AD7516">
        <w:rPr>
          <w:rFonts w:eastAsia="Times New Roman" w:cs="Times New Roman"/>
          <w:szCs w:val="24"/>
          <w:lang w:eastAsia="cs-CZ"/>
        </w:rPr>
        <w:t>World</w:t>
      </w:r>
      <w:proofErr w:type="spellEnd"/>
      <w:r w:rsidRPr="00AD7516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AD7516">
        <w:rPr>
          <w:rFonts w:eastAsia="Times New Roman" w:cs="Times New Roman"/>
          <w:szCs w:val="24"/>
          <w:lang w:eastAsia="cs-CZ"/>
        </w:rPr>
        <w:t>Health</w:t>
      </w:r>
      <w:proofErr w:type="spellEnd"/>
      <w:r w:rsidRPr="00AD7516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AD7516">
        <w:rPr>
          <w:rFonts w:eastAsia="Times New Roman" w:cs="Times New Roman"/>
          <w:szCs w:val="24"/>
          <w:lang w:eastAsia="cs-CZ"/>
        </w:rPr>
        <w:t>Organization</w:t>
      </w:r>
      <w:proofErr w:type="spellEnd"/>
      <w:r w:rsidRPr="00AD7516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AD7516">
        <w:rPr>
          <w:rFonts w:eastAsia="Times New Roman" w:cs="Times New Roman"/>
          <w:szCs w:val="24"/>
          <w:lang w:eastAsia="cs-CZ"/>
        </w:rPr>
        <w:t>classification</w:t>
      </w:r>
      <w:proofErr w:type="spellEnd"/>
      <w:r w:rsidRPr="00AD7516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AD7516">
        <w:rPr>
          <w:rFonts w:eastAsia="Times New Roman" w:cs="Times New Roman"/>
          <w:szCs w:val="24"/>
          <w:lang w:eastAsia="cs-CZ"/>
        </w:rPr>
        <w:t>of</w:t>
      </w:r>
      <w:proofErr w:type="spellEnd"/>
      <w:r w:rsidRPr="00AD7516">
        <w:rPr>
          <w:rFonts w:eastAsia="Times New Roman" w:cs="Times New Roman"/>
          <w:szCs w:val="24"/>
          <w:lang w:eastAsia="cs-CZ"/>
        </w:rPr>
        <w:t xml:space="preserve">     </w:t>
      </w:r>
    </w:p>
    <w:p w:rsidR="004D396B" w:rsidRPr="00AD7516" w:rsidRDefault="004D396B" w:rsidP="004D396B">
      <w:pPr>
        <w:spacing w:after="0" w:line="240" w:lineRule="auto"/>
        <w:ind w:left="-360"/>
        <w:textAlignment w:val="baseline"/>
        <w:rPr>
          <w:rFonts w:eastAsia="Times New Roman" w:cs="Times New Roman"/>
          <w:szCs w:val="24"/>
          <w:lang w:eastAsia="cs-CZ"/>
        </w:rPr>
      </w:pPr>
      <w:r w:rsidRPr="00AD7516">
        <w:rPr>
          <w:rFonts w:eastAsia="Times New Roman" w:cs="Times New Roman"/>
          <w:szCs w:val="24"/>
          <w:lang w:eastAsia="cs-CZ"/>
        </w:rPr>
        <w:t xml:space="preserve">       </w:t>
      </w:r>
      <w:proofErr w:type="spellStart"/>
      <w:r w:rsidRPr="00AD7516">
        <w:rPr>
          <w:rFonts w:eastAsia="Times New Roman" w:cs="Times New Roman"/>
          <w:szCs w:val="24"/>
          <w:lang w:eastAsia="cs-CZ"/>
        </w:rPr>
        <w:t>lymphoid</w:t>
      </w:r>
      <w:proofErr w:type="spellEnd"/>
      <w:r w:rsidRPr="00AD7516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AD7516">
        <w:rPr>
          <w:rFonts w:eastAsia="Times New Roman" w:cs="Times New Roman"/>
          <w:szCs w:val="24"/>
          <w:lang w:eastAsia="cs-CZ"/>
        </w:rPr>
        <w:t>neoplasms</w:t>
      </w:r>
      <w:proofErr w:type="spellEnd"/>
      <w:r w:rsidRPr="00AD7516">
        <w:rPr>
          <w:rFonts w:eastAsia="Times New Roman" w:cs="Times New Roman"/>
          <w:szCs w:val="24"/>
          <w:lang w:eastAsia="cs-CZ"/>
        </w:rPr>
        <w:t xml:space="preserve">. </w:t>
      </w:r>
      <w:proofErr w:type="spellStart"/>
      <w:r w:rsidRPr="00AD7516">
        <w:rPr>
          <w:rFonts w:eastAsia="Times New Roman" w:cs="Times New Roman"/>
          <w:iCs/>
          <w:szCs w:val="24"/>
          <w:lang w:eastAsia="cs-CZ"/>
        </w:rPr>
        <w:t>Blood</w:t>
      </w:r>
      <w:proofErr w:type="spellEnd"/>
      <w:r w:rsidRPr="00AD7516">
        <w:rPr>
          <w:rFonts w:eastAsia="Times New Roman" w:cs="Times New Roman"/>
          <w:iCs/>
          <w:szCs w:val="24"/>
          <w:lang w:eastAsia="cs-CZ"/>
        </w:rPr>
        <w:t xml:space="preserve"> </w:t>
      </w:r>
      <w:r w:rsidR="00697F60" w:rsidRPr="00AD7516">
        <w:rPr>
          <w:rFonts w:eastAsia="Times New Roman" w:cs="Times New Roman"/>
          <w:iCs/>
          <w:szCs w:val="24"/>
          <w:lang w:eastAsia="cs-CZ"/>
        </w:rPr>
        <w:t xml:space="preserve">2016; </w:t>
      </w:r>
      <w:r w:rsidRPr="00AD7516">
        <w:rPr>
          <w:rFonts w:eastAsia="Times New Roman" w:cs="Times New Roman"/>
          <w:bCs/>
          <w:szCs w:val="24"/>
          <w:lang w:eastAsia="cs-CZ"/>
        </w:rPr>
        <w:t>127</w:t>
      </w:r>
      <w:r w:rsidR="00697F60" w:rsidRPr="00AD7516">
        <w:rPr>
          <w:rFonts w:eastAsia="Times New Roman" w:cs="Times New Roman"/>
          <w:szCs w:val="24"/>
          <w:lang w:eastAsia="cs-CZ"/>
        </w:rPr>
        <w:t>:</w:t>
      </w:r>
      <w:r w:rsidRPr="00AD7516">
        <w:rPr>
          <w:rFonts w:eastAsia="Times New Roman" w:cs="Times New Roman"/>
          <w:szCs w:val="24"/>
          <w:lang w:eastAsia="cs-CZ"/>
        </w:rPr>
        <w:t>2375-2390</w:t>
      </w:r>
    </w:p>
    <w:p w:rsidR="00697F60" w:rsidRPr="00AD7516" w:rsidRDefault="00697F60" w:rsidP="004D396B">
      <w:pPr>
        <w:spacing w:after="0" w:line="240" w:lineRule="auto"/>
        <w:ind w:left="-360"/>
        <w:textAlignment w:val="baseline"/>
        <w:rPr>
          <w:rFonts w:eastAsia="Times New Roman" w:cs="Times New Roman"/>
          <w:szCs w:val="24"/>
          <w:lang w:eastAsia="cs-CZ"/>
        </w:rPr>
      </w:pPr>
    </w:p>
    <w:p w:rsidR="00C261BB" w:rsidRPr="00AD7516" w:rsidRDefault="00C261BB" w:rsidP="004D396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proofErr w:type="spellStart"/>
      <w:r w:rsidRPr="00AD7516">
        <w:rPr>
          <w:rFonts w:cs="Times New Roman"/>
          <w:szCs w:val="24"/>
        </w:rPr>
        <w:t>Swerdlow</w:t>
      </w:r>
      <w:proofErr w:type="spellEnd"/>
      <w:r w:rsidRPr="00AD7516">
        <w:rPr>
          <w:rFonts w:cs="Times New Roman"/>
          <w:szCs w:val="24"/>
        </w:rPr>
        <w:t xml:space="preserve"> SH, </w:t>
      </w:r>
      <w:proofErr w:type="spellStart"/>
      <w:r w:rsidRPr="00AD7516">
        <w:rPr>
          <w:rFonts w:cs="Times New Roman"/>
          <w:szCs w:val="24"/>
        </w:rPr>
        <w:t>Campo</w:t>
      </w:r>
      <w:proofErr w:type="spellEnd"/>
      <w:r w:rsidRPr="00AD7516">
        <w:rPr>
          <w:rFonts w:cs="Times New Roman"/>
          <w:szCs w:val="24"/>
        </w:rPr>
        <w:t xml:space="preserve"> E, </w:t>
      </w:r>
      <w:proofErr w:type="spellStart"/>
      <w:r w:rsidRPr="00AD7516">
        <w:rPr>
          <w:rFonts w:cs="Times New Roman"/>
          <w:szCs w:val="24"/>
        </w:rPr>
        <w:t>Harris</w:t>
      </w:r>
      <w:proofErr w:type="spellEnd"/>
      <w:r w:rsidRPr="00AD7516">
        <w:rPr>
          <w:rFonts w:cs="Times New Roman"/>
          <w:szCs w:val="24"/>
        </w:rPr>
        <w:t xml:space="preserve"> NL, </w:t>
      </w:r>
      <w:proofErr w:type="spellStart"/>
      <w:r w:rsidRPr="00AD7516">
        <w:rPr>
          <w:rFonts w:cs="Times New Roman"/>
          <w:szCs w:val="24"/>
        </w:rPr>
        <w:t>Jaffe</w:t>
      </w:r>
      <w:proofErr w:type="spellEnd"/>
      <w:r w:rsidRPr="00AD7516">
        <w:rPr>
          <w:rFonts w:cs="Times New Roman"/>
          <w:szCs w:val="24"/>
        </w:rPr>
        <w:t xml:space="preserve"> ES, </w:t>
      </w:r>
      <w:proofErr w:type="spellStart"/>
      <w:r w:rsidRPr="00AD7516">
        <w:rPr>
          <w:rFonts w:cs="Times New Roman"/>
          <w:szCs w:val="24"/>
        </w:rPr>
        <w:t>Pileri</w:t>
      </w:r>
      <w:proofErr w:type="spellEnd"/>
      <w:r w:rsidRPr="00AD7516">
        <w:rPr>
          <w:rFonts w:cs="Times New Roman"/>
          <w:szCs w:val="24"/>
        </w:rPr>
        <w:t xml:space="preserve"> SA, Stein H,</w:t>
      </w:r>
      <w:r w:rsidR="00D04396" w:rsidRPr="00AD7516">
        <w:rPr>
          <w:rFonts w:cs="Times New Roman"/>
          <w:szCs w:val="24"/>
        </w:rPr>
        <w:t xml:space="preserve"> </w:t>
      </w:r>
      <w:r w:rsidRPr="00AD7516">
        <w:rPr>
          <w:rFonts w:cs="Times New Roman"/>
          <w:szCs w:val="24"/>
        </w:rPr>
        <w:t xml:space="preserve">et al. WHO </w:t>
      </w:r>
      <w:proofErr w:type="spellStart"/>
      <w:r w:rsidRPr="00AD7516">
        <w:rPr>
          <w:rFonts w:cs="Times New Roman"/>
          <w:szCs w:val="24"/>
        </w:rPr>
        <w:t>classification</w:t>
      </w:r>
      <w:proofErr w:type="spellEnd"/>
      <w:r w:rsidRPr="00AD7516">
        <w:rPr>
          <w:rFonts w:cs="Times New Roman"/>
          <w:szCs w:val="24"/>
        </w:rPr>
        <w:t xml:space="preserve"> </w:t>
      </w:r>
      <w:proofErr w:type="spellStart"/>
      <w:r w:rsidRPr="00AD7516">
        <w:rPr>
          <w:rFonts w:cs="Times New Roman"/>
          <w:szCs w:val="24"/>
        </w:rPr>
        <w:t>of</w:t>
      </w:r>
      <w:proofErr w:type="spellEnd"/>
      <w:r w:rsidRPr="00AD7516">
        <w:rPr>
          <w:rFonts w:cs="Times New Roman"/>
          <w:szCs w:val="24"/>
        </w:rPr>
        <w:t xml:space="preserve"> </w:t>
      </w:r>
      <w:proofErr w:type="spellStart"/>
      <w:r w:rsidRPr="00AD7516">
        <w:rPr>
          <w:rFonts w:cs="Times New Roman"/>
          <w:szCs w:val="24"/>
        </w:rPr>
        <w:t>tumours</w:t>
      </w:r>
      <w:proofErr w:type="spellEnd"/>
      <w:r w:rsidRPr="00AD7516">
        <w:rPr>
          <w:rFonts w:cs="Times New Roman"/>
          <w:szCs w:val="24"/>
        </w:rPr>
        <w:t xml:space="preserve"> </w:t>
      </w:r>
      <w:proofErr w:type="spellStart"/>
      <w:r w:rsidRPr="00AD7516">
        <w:rPr>
          <w:rFonts w:cs="Times New Roman"/>
          <w:szCs w:val="24"/>
        </w:rPr>
        <w:t>of</w:t>
      </w:r>
      <w:proofErr w:type="spellEnd"/>
      <w:r w:rsidRPr="00AD7516">
        <w:rPr>
          <w:rFonts w:cs="Times New Roman"/>
          <w:szCs w:val="24"/>
        </w:rPr>
        <w:t xml:space="preserve"> </w:t>
      </w:r>
      <w:proofErr w:type="spellStart"/>
      <w:r w:rsidRPr="00AD7516">
        <w:rPr>
          <w:rFonts w:cs="Times New Roman"/>
          <w:szCs w:val="24"/>
        </w:rPr>
        <w:t>haematopoietic</w:t>
      </w:r>
      <w:proofErr w:type="spellEnd"/>
      <w:r w:rsidRPr="00AD7516">
        <w:rPr>
          <w:rFonts w:cs="Times New Roman"/>
          <w:szCs w:val="24"/>
        </w:rPr>
        <w:t xml:space="preserve"> and</w:t>
      </w:r>
      <w:r w:rsidR="004D396B" w:rsidRPr="00AD7516">
        <w:rPr>
          <w:rFonts w:cs="Times New Roman"/>
          <w:szCs w:val="24"/>
        </w:rPr>
        <w:t xml:space="preserve"> </w:t>
      </w:r>
      <w:proofErr w:type="spellStart"/>
      <w:r w:rsidRPr="00AD7516">
        <w:rPr>
          <w:rFonts w:cs="Times New Roman"/>
          <w:szCs w:val="24"/>
        </w:rPr>
        <w:t>lymphoid</w:t>
      </w:r>
      <w:proofErr w:type="spellEnd"/>
      <w:r w:rsidRPr="00AD7516">
        <w:rPr>
          <w:rFonts w:cs="Times New Roman"/>
          <w:szCs w:val="24"/>
        </w:rPr>
        <w:t xml:space="preserve"> </w:t>
      </w:r>
      <w:proofErr w:type="spellStart"/>
      <w:r w:rsidRPr="00AD7516">
        <w:rPr>
          <w:rFonts w:cs="Times New Roman"/>
          <w:szCs w:val="24"/>
        </w:rPr>
        <w:t>tissues</w:t>
      </w:r>
      <w:proofErr w:type="spellEnd"/>
      <w:r w:rsidRPr="00AD7516">
        <w:rPr>
          <w:rFonts w:cs="Times New Roman"/>
          <w:szCs w:val="24"/>
        </w:rPr>
        <w:t xml:space="preserve">. 4th </w:t>
      </w:r>
      <w:proofErr w:type="spellStart"/>
      <w:r w:rsidRPr="00AD7516">
        <w:rPr>
          <w:rFonts w:cs="Times New Roman"/>
          <w:szCs w:val="24"/>
        </w:rPr>
        <w:t>ed</w:t>
      </w:r>
      <w:proofErr w:type="spellEnd"/>
      <w:r w:rsidRPr="00AD7516">
        <w:rPr>
          <w:rFonts w:cs="Times New Roman"/>
          <w:szCs w:val="24"/>
        </w:rPr>
        <w:t>. Lyon: IARC; 2017.</w:t>
      </w:r>
    </w:p>
    <w:p w:rsidR="00CF3F7F" w:rsidRPr="00AD7516" w:rsidRDefault="00CF3F7F" w:rsidP="00C04D41">
      <w:pPr>
        <w:spacing w:after="0" w:line="240" w:lineRule="auto"/>
        <w:rPr>
          <w:rFonts w:eastAsia="Times New Roman" w:cs="Times New Roman"/>
          <w:color w:val="000000"/>
          <w:szCs w:val="24"/>
          <w:shd w:val="clear" w:color="auto" w:fill="FFFFFF"/>
          <w:lang w:eastAsia="cs-CZ"/>
        </w:rPr>
      </w:pPr>
    </w:p>
    <w:p w:rsidR="00CA6A2C" w:rsidRPr="00AD7516" w:rsidRDefault="00CF3F7F" w:rsidP="004D396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proofErr w:type="spellStart"/>
      <w:r w:rsidRPr="00AD7516">
        <w:rPr>
          <w:rFonts w:cs="Times New Roman"/>
          <w:szCs w:val="24"/>
        </w:rPr>
        <w:t>Tasian</w:t>
      </w:r>
      <w:proofErr w:type="spellEnd"/>
      <w:r w:rsidRPr="00AD7516">
        <w:rPr>
          <w:rFonts w:cs="Times New Roman"/>
          <w:szCs w:val="24"/>
        </w:rPr>
        <w:t xml:space="preserve"> SK, Loh ML, </w:t>
      </w:r>
      <w:proofErr w:type="spellStart"/>
      <w:r w:rsidRPr="00AD7516">
        <w:rPr>
          <w:rFonts w:cs="Times New Roman"/>
          <w:szCs w:val="24"/>
        </w:rPr>
        <w:t>Hunger</w:t>
      </w:r>
      <w:proofErr w:type="spellEnd"/>
      <w:r w:rsidRPr="00AD7516">
        <w:rPr>
          <w:rFonts w:cs="Times New Roman"/>
          <w:szCs w:val="24"/>
        </w:rPr>
        <w:t xml:space="preserve"> SP. Philadelphia chromosome–</w:t>
      </w:r>
      <w:proofErr w:type="spellStart"/>
      <w:r w:rsidRPr="00AD7516">
        <w:rPr>
          <w:rFonts w:cs="Times New Roman"/>
          <w:szCs w:val="24"/>
        </w:rPr>
        <w:t>like</w:t>
      </w:r>
      <w:proofErr w:type="spellEnd"/>
      <w:r w:rsidRPr="00AD7516">
        <w:rPr>
          <w:rFonts w:cs="Times New Roman"/>
          <w:szCs w:val="24"/>
        </w:rPr>
        <w:t xml:space="preserve"> </w:t>
      </w:r>
      <w:proofErr w:type="spellStart"/>
      <w:r w:rsidRPr="00AD7516">
        <w:rPr>
          <w:rFonts w:cs="Times New Roman"/>
          <w:szCs w:val="24"/>
        </w:rPr>
        <w:t>acute</w:t>
      </w:r>
      <w:proofErr w:type="spellEnd"/>
      <w:r w:rsidRPr="00AD7516">
        <w:rPr>
          <w:rFonts w:cs="Times New Roman"/>
          <w:szCs w:val="24"/>
        </w:rPr>
        <w:t xml:space="preserve"> </w:t>
      </w:r>
      <w:proofErr w:type="spellStart"/>
      <w:r w:rsidRPr="00AD7516">
        <w:rPr>
          <w:rFonts w:cs="Times New Roman"/>
          <w:szCs w:val="24"/>
        </w:rPr>
        <w:t>lymphoblastic</w:t>
      </w:r>
      <w:proofErr w:type="spellEnd"/>
      <w:r w:rsidRPr="00AD7516">
        <w:rPr>
          <w:rFonts w:cs="Times New Roman"/>
          <w:szCs w:val="24"/>
        </w:rPr>
        <w:t xml:space="preserve"> </w:t>
      </w:r>
      <w:proofErr w:type="spellStart"/>
      <w:r w:rsidRPr="00AD7516">
        <w:rPr>
          <w:rFonts w:cs="Times New Roman"/>
          <w:szCs w:val="24"/>
        </w:rPr>
        <w:t>leukemia</w:t>
      </w:r>
      <w:proofErr w:type="spellEnd"/>
      <w:r w:rsidRPr="00AD7516">
        <w:rPr>
          <w:rFonts w:cs="Times New Roman"/>
          <w:szCs w:val="24"/>
        </w:rPr>
        <w:t xml:space="preserve">. </w:t>
      </w:r>
      <w:proofErr w:type="spellStart"/>
      <w:r w:rsidRPr="00AD7516">
        <w:rPr>
          <w:rFonts w:cs="Times New Roman"/>
          <w:szCs w:val="24"/>
        </w:rPr>
        <w:t>Blood</w:t>
      </w:r>
      <w:proofErr w:type="spellEnd"/>
      <w:r w:rsidRPr="00AD7516">
        <w:rPr>
          <w:rFonts w:cs="Times New Roman"/>
          <w:szCs w:val="24"/>
        </w:rPr>
        <w:t xml:space="preserve">. </w:t>
      </w:r>
      <w:proofErr w:type="gramStart"/>
      <w:r w:rsidRPr="00AD7516">
        <w:rPr>
          <w:rFonts w:cs="Times New Roman"/>
          <w:szCs w:val="24"/>
        </w:rPr>
        <w:t>2017;130:2064</w:t>
      </w:r>
      <w:proofErr w:type="gramEnd"/>
      <w:r w:rsidRPr="00AD7516">
        <w:rPr>
          <w:rFonts w:cs="Times New Roman"/>
          <w:szCs w:val="24"/>
        </w:rPr>
        <w:t>–72.</w:t>
      </w:r>
    </w:p>
    <w:p w:rsidR="00CA6A2C" w:rsidRPr="00AD7516" w:rsidRDefault="00CA6A2C" w:rsidP="00C04D41">
      <w:pPr>
        <w:spacing w:after="0" w:line="240" w:lineRule="auto"/>
        <w:ind w:left="-360"/>
        <w:textAlignment w:val="baseline"/>
        <w:rPr>
          <w:rFonts w:eastAsia="Times New Roman" w:cs="Times New Roman"/>
          <w:szCs w:val="24"/>
          <w:lang w:eastAsia="cs-CZ"/>
        </w:rPr>
      </w:pPr>
    </w:p>
    <w:p w:rsidR="004D396B" w:rsidRPr="00AD7516" w:rsidRDefault="004D396B" w:rsidP="004D396B">
      <w:pPr>
        <w:spacing w:after="0" w:line="240" w:lineRule="auto"/>
        <w:ind w:left="-360"/>
        <w:textAlignment w:val="baseline"/>
        <w:rPr>
          <w:rFonts w:cs="Times New Roman"/>
          <w:color w:val="000000" w:themeColor="text1"/>
          <w:szCs w:val="24"/>
        </w:rPr>
      </w:pPr>
      <w:r w:rsidRPr="00AD7516">
        <w:rPr>
          <w:rFonts w:cs="Times New Roman"/>
          <w:color w:val="000000" w:themeColor="text1"/>
          <w:szCs w:val="24"/>
        </w:rPr>
        <w:t xml:space="preserve">      </w:t>
      </w:r>
      <w:proofErr w:type="spellStart"/>
      <w:r w:rsidR="00C04D41" w:rsidRPr="00AD7516">
        <w:rPr>
          <w:rFonts w:cs="Times New Roman"/>
          <w:color w:val="000000" w:themeColor="text1"/>
          <w:szCs w:val="24"/>
        </w:rPr>
        <w:t>Tirado</w:t>
      </w:r>
      <w:proofErr w:type="spellEnd"/>
      <w:r w:rsidR="00C04D41" w:rsidRPr="00AD7516">
        <w:rPr>
          <w:rFonts w:cs="Times New Roman"/>
          <w:color w:val="000000" w:themeColor="text1"/>
          <w:szCs w:val="24"/>
        </w:rPr>
        <w:t xml:space="preserve"> CA, Cen W, </w:t>
      </w:r>
      <w:proofErr w:type="spellStart"/>
      <w:r w:rsidR="00C04D41" w:rsidRPr="00AD7516">
        <w:rPr>
          <w:rFonts w:cs="Times New Roman"/>
          <w:color w:val="000000" w:themeColor="text1"/>
          <w:szCs w:val="24"/>
        </w:rPr>
        <w:t>Garcia</w:t>
      </w:r>
      <w:proofErr w:type="spellEnd"/>
      <w:r w:rsidR="00C04D41" w:rsidRPr="00AD7516">
        <w:rPr>
          <w:rFonts w:cs="Times New Roman"/>
          <w:color w:val="000000" w:themeColor="text1"/>
          <w:szCs w:val="24"/>
        </w:rPr>
        <w:t xml:space="preserve"> R, et al. </w:t>
      </w:r>
      <w:proofErr w:type="spellStart"/>
      <w:r w:rsidR="00CA6A2C" w:rsidRPr="00AD7516">
        <w:rPr>
          <w:rFonts w:cs="Times New Roman"/>
          <w:color w:val="000000" w:themeColor="text1"/>
          <w:szCs w:val="24"/>
        </w:rPr>
        <w:t>Genomic</w:t>
      </w:r>
      <w:proofErr w:type="spellEnd"/>
      <w:r w:rsidR="00CA6A2C" w:rsidRPr="00AD7516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CA6A2C" w:rsidRPr="00AD7516">
        <w:rPr>
          <w:rFonts w:cs="Times New Roman"/>
          <w:color w:val="000000" w:themeColor="text1"/>
          <w:szCs w:val="24"/>
        </w:rPr>
        <w:t>profiling</w:t>
      </w:r>
      <w:proofErr w:type="spellEnd"/>
      <w:r w:rsidR="00CA6A2C" w:rsidRPr="00AD7516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CA6A2C" w:rsidRPr="00AD7516">
        <w:rPr>
          <w:rFonts w:cs="Times New Roman"/>
          <w:color w:val="000000" w:themeColor="text1"/>
          <w:szCs w:val="24"/>
        </w:rPr>
        <w:t>using</w:t>
      </w:r>
      <w:proofErr w:type="spellEnd"/>
      <w:r w:rsidR="00CA6A2C" w:rsidRPr="00AD7516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CA6A2C" w:rsidRPr="00AD7516">
        <w:rPr>
          <w:rFonts w:cs="Times New Roman"/>
          <w:color w:val="000000" w:themeColor="text1"/>
          <w:szCs w:val="24"/>
        </w:rPr>
        <w:t>array</w:t>
      </w:r>
      <w:proofErr w:type="spellEnd"/>
      <w:r w:rsidR="00CA6A2C" w:rsidRPr="00AD7516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CA6A2C" w:rsidRPr="00AD7516">
        <w:rPr>
          <w:rFonts w:cs="Times New Roman"/>
          <w:color w:val="000000" w:themeColor="text1"/>
          <w:szCs w:val="24"/>
        </w:rPr>
        <w:t>comparative</w:t>
      </w:r>
      <w:proofErr w:type="spellEnd"/>
      <w:r w:rsidR="00CA6A2C" w:rsidRPr="00AD7516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CA6A2C" w:rsidRPr="00AD7516">
        <w:rPr>
          <w:rFonts w:cs="Times New Roman"/>
          <w:color w:val="000000" w:themeColor="text1"/>
          <w:szCs w:val="24"/>
        </w:rPr>
        <w:t>genomic</w:t>
      </w:r>
      <w:proofErr w:type="spellEnd"/>
      <w:r w:rsidR="00CA6A2C" w:rsidRPr="00AD7516">
        <w:rPr>
          <w:rFonts w:cs="Times New Roman"/>
          <w:color w:val="000000" w:themeColor="text1"/>
          <w:szCs w:val="24"/>
        </w:rPr>
        <w:t xml:space="preserve"> </w:t>
      </w:r>
    </w:p>
    <w:p w:rsidR="004D396B" w:rsidRPr="00AD7516" w:rsidRDefault="004D396B" w:rsidP="004D396B">
      <w:pPr>
        <w:spacing w:after="0" w:line="240" w:lineRule="auto"/>
        <w:ind w:left="-360"/>
        <w:textAlignment w:val="baseline"/>
        <w:rPr>
          <w:rFonts w:cs="Times New Roman"/>
          <w:color w:val="000000" w:themeColor="text1"/>
          <w:szCs w:val="24"/>
        </w:rPr>
      </w:pPr>
      <w:r w:rsidRPr="00AD7516">
        <w:rPr>
          <w:rFonts w:cs="Times New Roman"/>
          <w:color w:val="000000" w:themeColor="text1"/>
          <w:szCs w:val="24"/>
        </w:rPr>
        <w:t xml:space="preserve">       </w:t>
      </w:r>
      <w:proofErr w:type="spellStart"/>
      <w:r w:rsidR="00CA6A2C" w:rsidRPr="00AD7516">
        <w:rPr>
          <w:rFonts w:cs="Times New Roman"/>
          <w:color w:val="000000" w:themeColor="text1"/>
          <w:szCs w:val="24"/>
        </w:rPr>
        <w:t>hybridization</w:t>
      </w:r>
      <w:proofErr w:type="spellEnd"/>
      <w:r w:rsidR="00CA6A2C" w:rsidRPr="00AD7516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CA6A2C" w:rsidRPr="00AD7516">
        <w:rPr>
          <w:rFonts w:cs="Times New Roman"/>
          <w:color w:val="000000" w:themeColor="text1"/>
          <w:szCs w:val="24"/>
        </w:rPr>
        <w:t>define</w:t>
      </w:r>
      <w:proofErr w:type="spellEnd"/>
      <w:r w:rsidR="00CA6A2C" w:rsidRPr="00AD7516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CA6A2C" w:rsidRPr="00AD7516">
        <w:rPr>
          <w:rFonts w:cs="Times New Roman"/>
          <w:color w:val="000000" w:themeColor="text1"/>
          <w:szCs w:val="24"/>
        </w:rPr>
        <w:t>distinct</w:t>
      </w:r>
      <w:proofErr w:type="spellEnd"/>
      <w:r w:rsidR="00CA6A2C" w:rsidRPr="00AD7516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CA6A2C" w:rsidRPr="00AD7516">
        <w:rPr>
          <w:rFonts w:cs="Times New Roman"/>
          <w:color w:val="000000" w:themeColor="text1"/>
          <w:szCs w:val="24"/>
        </w:rPr>
        <w:t>subtypes</w:t>
      </w:r>
      <w:proofErr w:type="spellEnd"/>
      <w:r w:rsidR="00CA6A2C" w:rsidRPr="00AD7516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CA6A2C" w:rsidRPr="00AD7516">
        <w:rPr>
          <w:rFonts w:cs="Times New Roman"/>
          <w:color w:val="000000" w:themeColor="text1"/>
          <w:szCs w:val="24"/>
        </w:rPr>
        <w:t>of</w:t>
      </w:r>
      <w:proofErr w:type="spellEnd"/>
      <w:r w:rsidR="00CA6A2C" w:rsidRPr="00AD7516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CA6A2C" w:rsidRPr="00AD7516">
        <w:rPr>
          <w:rFonts w:cs="Times New Roman"/>
          <w:color w:val="000000" w:themeColor="text1"/>
          <w:szCs w:val="24"/>
        </w:rPr>
        <w:t>diffuse</w:t>
      </w:r>
      <w:proofErr w:type="spellEnd"/>
      <w:r w:rsidR="00CA6A2C" w:rsidRPr="00AD7516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CA6A2C" w:rsidRPr="00AD7516">
        <w:rPr>
          <w:rFonts w:cs="Times New Roman"/>
          <w:color w:val="000000" w:themeColor="text1"/>
          <w:szCs w:val="24"/>
        </w:rPr>
        <w:t>large</w:t>
      </w:r>
      <w:proofErr w:type="spellEnd"/>
      <w:r w:rsidR="00CA6A2C" w:rsidRPr="00AD7516">
        <w:rPr>
          <w:rFonts w:cs="Times New Roman"/>
          <w:color w:val="000000" w:themeColor="text1"/>
          <w:szCs w:val="24"/>
        </w:rPr>
        <w:t xml:space="preserve"> b-cell </w:t>
      </w:r>
      <w:proofErr w:type="spellStart"/>
      <w:r w:rsidR="00CA6A2C" w:rsidRPr="00AD7516">
        <w:rPr>
          <w:rFonts w:cs="Times New Roman"/>
          <w:color w:val="000000" w:themeColor="text1"/>
          <w:szCs w:val="24"/>
        </w:rPr>
        <w:t>lymphoma</w:t>
      </w:r>
      <w:proofErr w:type="spellEnd"/>
      <w:r w:rsidR="00CA6A2C" w:rsidRPr="00AD7516">
        <w:rPr>
          <w:rFonts w:cs="Times New Roman"/>
          <w:color w:val="000000" w:themeColor="text1"/>
          <w:szCs w:val="24"/>
        </w:rPr>
        <w:t xml:space="preserve">: a </w:t>
      </w:r>
      <w:proofErr w:type="spellStart"/>
      <w:r w:rsidR="00CA6A2C" w:rsidRPr="00AD7516">
        <w:rPr>
          <w:rFonts w:cs="Times New Roman"/>
          <w:color w:val="000000" w:themeColor="text1"/>
          <w:szCs w:val="24"/>
        </w:rPr>
        <w:t>review</w:t>
      </w:r>
      <w:proofErr w:type="spellEnd"/>
      <w:r w:rsidR="00CA6A2C" w:rsidRPr="00AD7516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CA6A2C" w:rsidRPr="00AD7516">
        <w:rPr>
          <w:rFonts w:cs="Times New Roman"/>
          <w:color w:val="000000" w:themeColor="text1"/>
          <w:szCs w:val="24"/>
        </w:rPr>
        <w:t>of</w:t>
      </w:r>
      <w:proofErr w:type="spellEnd"/>
      <w:r w:rsidR="00CA6A2C" w:rsidRPr="00AD7516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CA6A2C" w:rsidRPr="00AD7516">
        <w:rPr>
          <w:rFonts w:cs="Times New Roman"/>
          <w:color w:val="000000" w:themeColor="text1"/>
          <w:szCs w:val="24"/>
        </w:rPr>
        <w:t>the</w:t>
      </w:r>
      <w:proofErr w:type="spellEnd"/>
      <w:r w:rsidR="00CA6A2C" w:rsidRPr="00AD7516">
        <w:rPr>
          <w:rFonts w:cs="Times New Roman"/>
          <w:color w:val="000000" w:themeColor="text1"/>
          <w:szCs w:val="24"/>
        </w:rPr>
        <w:t xml:space="preserve"> </w:t>
      </w:r>
      <w:r w:rsidRPr="00AD7516">
        <w:rPr>
          <w:rFonts w:cs="Times New Roman"/>
          <w:color w:val="000000" w:themeColor="text1"/>
          <w:szCs w:val="24"/>
        </w:rPr>
        <w:t xml:space="preserve">   </w:t>
      </w:r>
    </w:p>
    <w:p w:rsidR="00C04D41" w:rsidRPr="00AD7516" w:rsidRDefault="004D396B" w:rsidP="004D396B">
      <w:pPr>
        <w:spacing w:after="0" w:line="240" w:lineRule="auto"/>
        <w:ind w:left="-360"/>
        <w:textAlignment w:val="baseline"/>
        <w:rPr>
          <w:rFonts w:eastAsia="Times New Roman" w:cs="Times New Roman"/>
          <w:color w:val="000000" w:themeColor="text1"/>
          <w:szCs w:val="24"/>
          <w:lang w:eastAsia="cs-CZ"/>
        </w:rPr>
      </w:pPr>
      <w:r w:rsidRPr="00AD7516">
        <w:rPr>
          <w:rFonts w:cs="Times New Roman"/>
          <w:color w:val="000000" w:themeColor="text1"/>
          <w:szCs w:val="24"/>
        </w:rPr>
        <w:t xml:space="preserve">       </w:t>
      </w:r>
      <w:proofErr w:type="spellStart"/>
      <w:r w:rsidR="00CA6A2C" w:rsidRPr="00AD7516">
        <w:rPr>
          <w:rFonts w:cs="Times New Roman"/>
          <w:color w:val="000000" w:themeColor="text1"/>
          <w:szCs w:val="24"/>
        </w:rPr>
        <w:t>literature</w:t>
      </w:r>
      <w:proofErr w:type="spellEnd"/>
      <w:r w:rsidR="00C04D41" w:rsidRPr="00AD7516">
        <w:rPr>
          <w:rFonts w:cs="Times New Roman"/>
          <w:color w:val="000000" w:themeColor="text1"/>
          <w:szCs w:val="24"/>
        </w:rPr>
        <w:t xml:space="preserve">. J </w:t>
      </w:r>
      <w:proofErr w:type="spellStart"/>
      <w:r w:rsidR="00C04D41" w:rsidRPr="00AD7516">
        <w:rPr>
          <w:rFonts w:cs="Times New Roman"/>
          <w:color w:val="000000" w:themeColor="text1"/>
          <w:szCs w:val="24"/>
        </w:rPr>
        <w:t>Hematol</w:t>
      </w:r>
      <w:proofErr w:type="spellEnd"/>
      <w:r w:rsidR="00C04D41" w:rsidRPr="00AD7516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C04D41" w:rsidRPr="00AD7516">
        <w:rPr>
          <w:rFonts w:cs="Times New Roman"/>
          <w:color w:val="000000" w:themeColor="text1"/>
          <w:szCs w:val="24"/>
        </w:rPr>
        <w:t>Oncol</w:t>
      </w:r>
      <w:proofErr w:type="spellEnd"/>
      <w:r w:rsidR="00C04D41" w:rsidRPr="00AD7516">
        <w:rPr>
          <w:rFonts w:cs="Times New Roman"/>
          <w:color w:val="000000" w:themeColor="text1"/>
          <w:szCs w:val="24"/>
        </w:rPr>
        <w:t xml:space="preserve"> </w:t>
      </w:r>
      <w:proofErr w:type="gramStart"/>
      <w:r w:rsidR="00C04D41" w:rsidRPr="00AD7516">
        <w:rPr>
          <w:rFonts w:cs="Times New Roman"/>
          <w:color w:val="000000" w:themeColor="text1"/>
          <w:szCs w:val="24"/>
        </w:rPr>
        <w:t>2012;5:54</w:t>
      </w:r>
      <w:proofErr w:type="gramEnd"/>
      <w:r w:rsidR="00C04D41" w:rsidRPr="00AD7516">
        <w:rPr>
          <w:rFonts w:cs="Times New Roman"/>
          <w:color w:val="000000" w:themeColor="text1"/>
          <w:szCs w:val="24"/>
        </w:rPr>
        <w:t>-66.</w:t>
      </w:r>
    </w:p>
    <w:p w:rsidR="004D396B" w:rsidRPr="00AD7516" w:rsidRDefault="004D396B" w:rsidP="004D396B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cs-CZ"/>
        </w:rPr>
      </w:pPr>
      <w:proofErr w:type="spellStart"/>
      <w:r w:rsidRPr="00AD7516">
        <w:rPr>
          <w:rFonts w:eastAsia="Times New Roman" w:cs="Times New Roman"/>
          <w:szCs w:val="24"/>
          <w:lang w:eastAsia="cs-CZ"/>
        </w:rPr>
        <w:t>Xu</w:t>
      </w:r>
      <w:proofErr w:type="spellEnd"/>
      <w:r w:rsidRPr="00AD7516">
        <w:rPr>
          <w:rFonts w:eastAsia="Times New Roman" w:cs="Times New Roman"/>
          <w:szCs w:val="24"/>
          <w:lang w:eastAsia="cs-CZ"/>
        </w:rPr>
        <w:t xml:space="preserve">, X., Johnson, E.B., </w:t>
      </w:r>
      <w:proofErr w:type="spellStart"/>
      <w:r w:rsidRPr="00AD7516">
        <w:rPr>
          <w:rFonts w:eastAsia="Times New Roman" w:cs="Times New Roman"/>
          <w:szCs w:val="24"/>
          <w:lang w:eastAsia="cs-CZ"/>
        </w:rPr>
        <w:t>Leverton</w:t>
      </w:r>
      <w:proofErr w:type="spellEnd"/>
      <w:r w:rsidRPr="00AD7516">
        <w:rPr>
          <w:rFonts w:eastAsia="Times New Roman" w:cs="Times New Roman"/>
          <w:szCs w:val="24"/>
          <w:lang w:eastAsia="cs-CZ"/>
        </w:rPr>
        <w:t xml:space="preserve">, L., Arthur, A., Watson, Q., </w:t>
      </w:r>
      <w:proofErr w:type="spellStart"/>
      <w:r w:rsidRPr="00AD7516">
        <w:rPr>
          <w:rFonts w:eastAsia="Times New Roman" w:cs="Times New Roman"/>
          <w:szCs w:val="24"/>
          <w:lang w:eastAsia="cs-CZ"/>
        </w:rPr>
        <w:t>Chang</w:t>
      </w:r>
      <w:proofErr w:type="spellEnd"/>
      <w:r w:rsidRPr="00AD7516">
        <w:rPr>
          <w:rFonts w:eastAsia="Times New Roman" w:cs="Times New Roman"/>
          <w:szCs w:val="24"/>
          <w:lang w:eastAsia="cs-CZ"/>
        </w:rPr>
        <w:t xml:space="preserve">, F.L., </w:t>
      </w:r>
      <w:proofErr w:type="spellStart"/>
      <w:r w:rsidRPr="00AD7516">
        <w:rPr>
          <w:rFonts w:eastAsia="Times New Roman" w:cs="Times New Roman"/>
          <w:szCs w:val="24"/>
          <w:lang w:eastAsia="cs-CZ"/>
        </w:rPr>
        <w:t>Raca</w:t>
      </w:r>
      <w:proofErr w:type="spellEnd"/>
      <w:r w:rsidRPr="00AD7516">
        <w:rPr>
          <w:rFonts w:eastAsia="Times New Roman" w:cs="Times New Roman"/>
          <w:szCs w:val="24"/>
          <w:lang w:eastAsia="cs-CZ"/>
        </w:rPr>
        <w:t xml:space="preserve">, G. &amp; </w:t>
      </w:r>
      <w:proofErr w:type="spellStart"/>
      <w:r w:rsidRPr="00AD7516">
        <w:rPr>
          <w:rFonts w:eastAsia="Times New Roman" w:cs="Times New Roman"/>
          <w:szCs w:val="24"/>
          <w:lang w:eastAsia="cs-CZ"/>
        </w:rPr>
        <w:t>Laffin</w:t>
      </w:r>
      <w:proofErr w:type="spellEnd"/>
      <w:r w:rsidRPr="00AD7516">
        <w:rPr>
          <w:rFonts w:eastAsia="Times New Roman" w:cs="Times New Roman"/>
          <w:szCs w:val="24"/>
          <w:lang w:eastAsia="cs-CZ"/>
        </w:rPr>
        <w:t xml:space="preserve">, J.J. (2013) </w:t>
      </w:r>
      <w:proofErr w:type="spellStart"/>
      <w:r w:rsidRPr="00AD7516">
        <w:rPr>
          <w:rFonts w:eastAsia="Times New Roman" w:cs="Times New Roman"/>
          <w:szCs w:val="24"/>
          <w:lang w:eastAsia="cs-CZ"/>
        </w:rPr>
        <w:t>The</w:t>
      </w:r>
      <w:proofErr w:type="spellEnd"/>
      <w:r w:rsidRPr="00AD7516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AD7516">
        <w:rPr>
          <w:rFonts w:eastAsia="Times New Roman" w:cs="Times New Roman"/>
          <w:szCs w:val="24"/>
          <w:lang w:eastAsia="cs-CZ"/>
        </w:rPr>
        <w:t>advantage</w:t>
      </w:r>
      <w:proofErr w:type="spellEnd"/>
      <w:r w:rsidRPr="00AD7516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AD7516">
        <w:rPr>
          <w:rFonts w:eastAsia="Times New Roman" w:cs="Times New Roman"/>
          <w:szCs w:val="24"/>
          <w:lang w:eastAsia="cs-CZ"/>
        </w:rPr>
        <w:t>of</w:t>
      </w:r>
      <w:proofErr w:type="spellEnd"/>
      <w:r w:rsidRPr="00AD7516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AD7516">
        <w:rPr>
          <w:rFonts w:eastAsia="Times New Roman" w:cs="Times New Roman"/>
          <w:szCs w:val="24"/>
          <w:lang w:eastAsia="cs-CZ"/>
        </w:rPr>
        <w:t>using</w:t>
      </w:r>
      <w:proofErr w:type="spellEnd"/>
      <w:r w:rsidRPr="00AD7516">
        <w:rPr>
          <w:rFonts w:eastAsia="Times New Roman" w:cs="Times New Roman"/>
          <w:szCs w:val="24"/>
          <w:lang w:eastAsia="cs-CZ"/>
        </w:rPr>
        <w:t xml:space="preserve"> SNP </w:t>
      </w:r>
      <w:proofErr w:type="spellStart"/>
      <w:r w:rsidRPr="00AD7516">
        <w:rPr>
          <w:rFonts w:eastAsia="Times New Roman" w:cs="Times New Roman"/>
          <w:szCs w:val="24"/>
          <w:lang w:eastAsia="cs-CZ"/>
        </w:rPr>
        <w:t>array</w:t>
      </w:r>
      <w:proofErr w:type="spellEnd"/>
      <w:r w:rsidRPr="00AD7516">
        <w:rPr>
          <w:rFonts w:eastAsia="Times New Roman" w:cs="Times New Roman"/>
          <w:szCs w:val="24"/>
          <w:lang w:eastAsia="cs-CZ"/>
        </w:rPr>
        <w:t xml:space="preserve"> in </w:t>
      </w:r>
      <w:proofErr w:type="spellStart"/>
      <w:r w:rsidRPr="00AD7516">
        <w:rPr>
          <w:rFonts w:eastAsia="Times New Roman" w:cs="Times New Roman"/>
          <w:szCs w:val="24"/>
          <w:lang w:eastAsia="cs-CZ"/>
        </w:rPr>
        <w:t>clinical</w:t>
      </w:r>
      <w:proofErr w:type="spellEnd"/>
      <w:r w:rsidRPr="00AD7516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AD7516">
        <w:rPr>
          <w:rFonts w:eastAsia="Times New Roman" w:cs="Times New Roman"/>
          <w:szCs w:val="24"/>
          <w:lang w:eastAsia="cs-CZ"/>
        </w:rPr>
        <w:t>testing</w:t>
      </w:r>
      <w:proofErr w:type="spellEnd"/>
      <w:r w:rsidRPr="00AD7516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AD7516">
        <w:rPr>
          <w:rFonts w:eastAsia="Times New Roman" w:cs="Times New Roman"/>
          <w:szCs w:val="24"/>
          <w:lang w:eastAsia="cs-CZ"/>
        </w:rPr>
        <w:t>for</w:t>
      </w:r>
      <w:proofErr w:type="spellEnd"/>
      <w:r w:rsidRPr="00AD7516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AD7516">
        <w:rPr>
          <w:rFonts w:eastAsia="Times New Roman" w:cs="Times New Roman"/>
          <w:szCs w:val="24"/>
          <w:lang w:eastAsia="cs-CZ"/>
        </w:rPr>
        <w:t>hematological</w:t>
      </w:r>
      <w:proofErr w:type="spellEnd"/>
      <w:r w:rsidRPr="00AD7516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AD7516">
        <w:rPr>
          <w:rFonts w:eastAsia="Times New Roman" w:cs="Times New Roman"/>
          <w:szCs w:val="24"/>
          <w:lang w:eastAsia="cs-CZ"/>
        </w:rPr>
        <w:t>malignancies</w:t>
      </w:r>
      <w:proofErr w:type="spellEnd"/>
      <w:r w:rsidRPr="00AD7516">
        <w:rPr>
          <w:rFonts w:eastAsia="Times New Roman" w:cs="Times New Roman"/>
          <w:szCs w:val="24"/>
          <w:lang w:eastAsia="cs-CZ"/>
        </w:rPr>
        <w:t xml:space="preserve">–a </w:t>
      </w:r>
      <w:proofErr w:type="spellStart"/>
      <w:r w:rsidRPr="00AD7516">
        <w:rPr>
          <w:rFonts w:eastAsia="Times New Roman" w:cs="Times New Roman"/>
          <w:szCs w:val="24"/>
          <w:lang w:eastAsia="cs-CZ"/>
        </w:rPr>
        <w:t>comparative</w:t>
      </w:r>
      <w:proofErr w:type="spellEnd"/>
      <w:r w:rsidRPr="00AD7516">
        <w:rPr>
          <w:rFonts w:eastAsia="Times New Roman" w:cs="Times New Roman"/>
          <w:szCs w:val="24"/>
          <w:lang w:eastAsia="cs-CZ"/>
        </w:rPr>
        <w:t xml:space="preserve"> study </w:t>
      </w:r>
      <w:proofErr w:type="spellStart"/>
      <w:r w:rsidRPr="00AD7516">
        <w:rPr>
          <w:rFonts w:eastAsia="Times New Roman" w:cs="Times New Roman"/>
          <w:szCs w:val="24"/>
          <w:lang w:eastAsia="cs-CZ"/>
        </w:rPr>
        <w:t>of</w:t>
      </w:r>
      <w:proofErr w:type="spellEnd"/>
      <w:r w:rsidRPr="00AD7516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AD7516">
        <w:rPr>
          <w:rFonts w:eastAsia="Times New Roman" w:cs="Times New Roman"/>
          <w:szCs w:val="24"/>
          <w:lang w:eastAsia="cs-CZ"/>
        </w:rPr>
        <w:t>three</w:t>
      </w:r>
      <w:proofErr w:type="spellEnd"/>
      <w:r w:rsidRPr="00AD7516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AD7516">
        <w:rPr>
          <w:rFonts w:eastAsia="Times New Roman" w:cs="Times New Roman"/>
          <w:szCs w:val="24"/>
          <w:lang w:eastAsia="cs-CZ"/>
        </w:rPr>
        <w:t>genetic</w:t>
      </w:r>
      <w:proofErr w:type="spellEnd"/>
      <w:r w:rsidRPr="00AD7516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AD7516">
        <w:rPr>
          <w:rFonts w:eastAsia="Times New Roman" w:cs="Times New Roman"/>
          <w:szCs w:val="24"/>
          <w:lang w:eastAsia="cs-CZ"/>
        </w:rPr>
        <w:t>testing</w:t>
      </w:r>
      <w:proofErr w:type="spellEnd"/>
      <w:r w:rsidRPr="00AD7516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proofErr w:type="gramStart"/>
      <w:r w:rsidRPr="00AD7516">
        <w:rPr>
          <w:rFonts w:eastAsia="Times New Roman" w:cs="Times New Roman"/>
          <w:szCs w:val="24"/>
          <w:lang w:eastAsia="cs-CZ"/>
        </w:rPr>
        <w:t>meth</w:t>
      </w:r>
      <w:proofErr w:type="spellEnd"/>
      <w:r w:rsidRPr="00AD7516">
        <w:rPr>
          <w:rFonts w:eastAsia="Times New Roman" w:cs="Times New Roman"/>
          <w:szCs w:val="24"/>
          <w:lang w:eastAsia="cs-CZ"/>
        </w:rPr>
        <w:t xml:space="preserve">- </w:t>
      </w:r>
      <w:proofErr w:type="spellStart"/>
      <w:r w:rsidRPr="00AD7516">
        <w:rPr>
          <w:rFonts w:eastAsia="Times New Roman" w:cs="Times New Roman"/>
          <w:szCs w:val="24"/>
          <w:lang w:eastAsia="cs-CZ"/>
        </w:rPr>
        <w:t>ods</w:t>
      </w:r>
      <w:proofErr w:type="spellEnd"/>
      <w:proofErr w:type="gramEnd"/>
      <w:r w:rsidRPr="00AD7516">
        <w:rPr>
          <w:rFonts w:eastAsia="Times New Roman" w:cs="Times New Roman"/>
          <w:szCs w:val="24"/>
          <w:lang w:eastAsia="cs-CZ"/>
        </w:rPr>
        <w:t xml:space="preserve">. </w:t>
      </w:r>
      <w:proofErr w:type="spellStart"/>
      <w:r w:rsidRPr="00AD7516">
        <w:rPr>
          <w:rFonts w:eastAsia="Times New Roman" w:cs="Times New Roman"/>
          <w:szCs w:val="24"/>
          <w:lang w:eastAsia="cs-CZ"/>
        </w:rPr>
        <w:t>Cancer</w:t>
      </w:r>
      <w:proofErr w:type="spellEnd"/>
      <w:r w:rsidRPr="00AD7516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AD7516">
        <w:rPr>
          <w:rFonts w:eastAsia="Times New Roman" w:cs="Times New Roman"/>
          <w:szCs w:val="24"/>
          <w:lang w:eastAsia="cs-CZ"/>
        </w:rPr>
        <w:t>Genetics</w:t>
      </w:r>
      <w:proofErr w:type="spellEnd"/>
      <w:r w:rsidRPr="00AD7516">
        <w:rPr>
          <w:rFonts w:eastAsia="Times New Roman" w:cs="Times New Roman"/>
          <w:szCs w:val="24"/>
          <w:lang w:eastAsia="cs-CZ"/>
        </w:rPr>
        <w:t xml:space="preserve">, 206, 317–326. </w:t>
      </w:r>
    </w:p>
    <w:p w:rsidR="00DB669B" w:rsidRPr="00AD7516" w:rsidRDefault="00DB669B" w:rsidP="00C04D4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sectPr w:rsidR="00DB669B" w:rsidRPr="00AD7516" w:rsidSect="004A5FC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14653"/>
    <w:multiLevelType w:val="multilevel"/>
    <w:tmpl w:val="495CD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091FAC"/>
    <w:multiLevelType w:val="multilevel"/>
    <w:tmpl w:val="5E125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CA6B14"/>
    <w:multiLevelType w:val="multilevel"/>
    <w:tmpl w:val="3984C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803C12"/>
    <w:multiLevelType w:val="multilevel"/>
    <w:tmpl w:val="9DEE5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593378"/>
    <w:multiLevelType w:val="multilevel"/>
    <w:tmpl w:val="61768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808"/>
    <w:rsid w:val="00022F89"/>
    <w:rsid w:val="00030843"/>
    <w:rsid w:val="0003253E"/>
    <w:rsid w:val="00050C59"/>
    <w:rsid w:val="00087121"/>
    <w:rsid w:val="0009736C"/>
    <w:rsid w:val="000A3B21"/>
    <w:rsid w:val="000C6819"/>
    <w:rsid w:val="0010481B"/>
    <w:rsid w:val="00111C23"/>
    <w:rsid w:val="0013161E"/>
    <w:rsid w:val="00191076"/>
    <w:rsid w:val="001B219C"/>
    <w:rsid w:val="001F024D"/>
    <w:rsid w:val="001F7FC2"/>
    <w:rsid w:val="002133EF"/>
    <w:rsid w:val="00225331"/>
    <w:rsid w:val="00253855"/>
    <w:rsid w:val="002965A2"/>
    <w:rsid w:val="002B7260"/>
    <w:rsid w:val="002D7E98"/>
    <w:rsid w:val="00335783"/>
    <w:rsid w:val="00373522"/>
    <w:rsid w:val="0037393D"/>
    <w:rsid w:val="00390B5F"/>
    <w:rsid w:val="003A0487"/>
    <w:rsid w:val="003A364B"/>
    <w:rsid w:val="003B4869"/>
    <w:rsid w:val="003D1224"/>
    <w:rsid w:val="00430A00"/>
    <w:rsid w:val="0044148B"/>
    <w:rsid w:val="004414F7"/>
    <w:rsid w:val="004512D8"/>
    <w:rsid w:val="00466808"/>
    <w:rsid w:val="004A0B66"/>
    <w:rsid w:val="004A5FC3"/>
    <w:rsid w:val="004B34A0"/>
    <w:rsid w:val="004B76D3"/>
    <w:rsid w:val="004D396B"/>
    <w:rsid w:val="004D474F"/>
    <w:rsid w:val="00543714"/>
    <w:rsid w:val="005462B2"/>
    <w:rsid w:val="00547AB4"/>
    <w:rsid w:val="005D4BDF"/>
    <w:rsid w:val="005D621F"/>
    <w:rsid w:val="00616E62"/>
    <w:rsid w:val="00697F60"/>
    <w:rsid w:val="006A0E97"/>
    <w:rsid w:val="006A1032"/>
    <w:rsid w:val="006A703B"/>
    <w:rsid w:val="006C69C7"/>
    <w:rsid w:val="006D7D55"/>
    <w:rsid w:val="007106B4"/>
    <w:rsid w:val="0073012D"/>
    <w:rsid w:val="007512D2"/>
    <w:rsid w:val="007825B1"/>
    <w:rsid w:val="00793929"/>
    <w:rsid w:val="00793A6B"/>
    <w:rsid w:val="007C2D4C"/>
    <w:rsid w:val="007F1473"/>
    <w:rsid w:val="007F335F"/>
    <w:rsid w:val="00800259"/>
    <w:rsid w:val="008166AE"/>
    <w:rsid w:val="00857464"/>
    <w:rsid w:val="008660D3"/>
    <w:rsid w:val="0086782D"/>
    <w:rsid w:val="008978BD"/>
    <w:rsid w:val="008A6E5D"/>
    <w:rsid w:val="008B2127"/>
    <w:rsid w:val="008B4667"/>
    <w:rsid w:val="008E6A34"/>
    <w:rsid w:val="008F6AED"/>
    <w:rsid w:val="00904D01"/>
    <w:rsid w:val="009107E0"/>
    <w:rsid w:val="00931498"/>
    <w:rsid w:val="00937A60"/>
    <w:rsid w:val="009A0A1C"/>
    <w:rsid w:val="009C1C3A"/>
    <w:rsid w:val="009F3A13"/>
    <w:rsid w:val="009F5AB3"/>
    <w:rsid w:val="00A23D72"/>
    <w:rsid w:val="00A4561C"/>
    <w:rsid w:val="00A6131C"/>
    <w:rsid w:val="00A96AAA"/>
    <w:rsid w:val="00AB248B"/>
    <w:rsid w:val="00AC0223"/>
    <w:rsid w:val="00AC328D"/>
    <w:rsid w:val="00AD7516"/>
    <w:rsid w:val="00B02AC3"/>
    <w:rsid w:val="00B21F69"/>
    <w:rsid w:val="00B42AE0"/>
    <w:rsid w:val="00B6600D"/>
    <w:rsid w:val="00B95601"/>
    <w:rsid w:val="00BC5C33"/>
    <w:rsid w:val="00BE6204"/>
    <w:rsid w:val="00C04D41"/>
    <w:rsid w:val="00C25450"/>
    <w:rsid w:val="00C261BB"/>
    <w:rsid w:val="00C66301"/>
    <w:rsid w:val="00C67EB5"/>
    <w:rsid w:val="00C7206C"/>
    <w:rsid w:val="00C864CF"/>
    <w:rsid w:val="00C9458D"/>
    <w:rsid w:val="00C97829"/>
    <w:rsid w:val="00CA6A2C"/>
    <w:rsid w:val="00CC2E3F"/>
    <w:rsid w:val="00CD40CE"/>
    <w:rsid w:val="00CF3F7F"/>
    <w:rsid w:val="00CF5DB3"/>
    <w:rsid w:val="00D04396"/>
    <w:rsid w:val="00D21695"/>
    <w:rsid w:val="00D32759"/>
    <w:rsid w:val="00D4572F"/>
    <w:rsid w:val="00D47A9F"/>
    <w:rsid w:val="00D72017"/>
    <w:rsid w:val="00D77676"/>
    <w:rsid w:val="00D8702C"/>
    <w:rsid w:val="00D9424B"/>
    <w:rsid w:val="00DA13AD"/>
    <w:rsid w:val="00DA7894"/>
    <w:rsid w:val="00DB669B"/>
    <w:rsid w:val="00DD1610"/>
    <w:rsid w:val="00E15579"/>
    <w:rsid w:val="00E24E2A"/>
    <w:rsid w:val="00E35AD7"/>
    <w:rsid w:val="00E367D7"/>
    <w:rsid w:val="00E40B11"/>
    <w:rsid w:val="00E43054"/>
    <w:rsid w:val="00E70596"/>
    <w:rsid w:val="00E7103C"/>
    <w:rsid w:val="00EE171B"/>
    <w:rsid w:val="00F0452A"/>
    <w:rsid w:val="00F257DD"/>
    <w:rsid w:val="00F41DE4"/>
    <w:rsid w:val="00F523F5"/>
    <w:rsid w:val="00F52549"/>
    <w:rsid w:val="00F772DD"/>
    <w:rsid w:val="00F90548"/>
    <w:rsid w:val="00F973B1"/>
    <w:rsid w:val="00FA1222"/>
    <w:rsid w:val="00FA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86ABE"/>
  <w14:defaultImageDpi w14:val="32767"/>
  <w15:chartTrackingRefBased/>
  <w15:docId w15:val="{1A3848F3-05C6-5149-84C1-0824AFCEE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466808"/>
    <w:pPr>
      <w:spacing w:after="160" w:line="360" w:lineRule="auto"/>
      <w:jc w:val="both"/>
    </w:pPr>
    <w:rPr>
      <w:rFonts w:ascii="Times New Roman" w:hAnsi="Times New Roman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3739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66808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66808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66808"/>
    <w:rPr>
      <w:rFonts w:ascii="Times New Roman" w:eastAsiaTheme="majorEastAsia" w:hAnsi="Times New Roman" w:cstheme="majorBidi"/>
      <w:b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466808"/>
    <w:rPr>
      <w:rFonts w:ascii="Times New Roman" w:eastAsiaTheme="majorEastAsia" w:hAnsi="Times New Roman" w:cstheme="majorBidi"/>
      <w:b/>
    </w:rPr>
  </w:style>
  <w:style w:type="paragraph" w:styleId="Normlnweb">
    <w:name w:val="Normal (Web)"/>
    <w:basedOn w:val="Normln"/>
    <w:uiPriority w:val="99"/>
    <w:unhideWhenUsed/>
    <w:rsid w:val="00466808"/>
    <w:pPr>
      <w:spacing w:before="100" w:beforeAutospacing="1" w:after="100" w:afterAutospacing="1" w:line="240" w:lineRule="auto"/>
      <w:jc w:val="left"/>
    </w:pPr>
    <w:rPr>
      <w:rFonts w:cs="Times New Roman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unhideWhenUsed/>
    <w:rsid w:val="00F525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F52549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825B1"/>
  </w:style>
  <w:style w:type="character" w:styleId="Zdraznn">
    <w:name w:val="Emphasis"/>
    <w:basedOn w:val="Standardnpsmoodstavce"/>
    <w:uiPriority w:val="20"/>
    <w:qFormat/>
    <w:rsid w:val="007825B1"/>
    <w:rPr>
      <w:i/>
      <w:iCs/>
    </w:rPr>
  </w:style>
  <w:style w:type="character" w:styleId="Siln">
    <w:name w:val="Strong"/>
    <w:basedOn w:val="Standardnpsmoodstavce"/>
    <w:uiPriority w:val="22"/>
    <w:qFormat/>
    <w:rsid w:val="007825B1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3739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-author-listitem">
    <w:name w:val="c-author-list__item"/>
    <w:basedOn w:val="Normln"/>
    <w:rsid w:val="0037393D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7393D"/>
    <w:rPr>
      <w:color w:val="0000FF"/>
      <w:u w:val="single"/>
    </w:rPr>
  </w:style>
  <w:style w:type="character" w:customStyle="1" w:styleId="u-visually-hidden">
    <w:name w:val="u-visually-hidden"/>
    <w:basedOn w:val="Standardnpsmoodstavce"/>
    <w:rsid w:val="0037393D"/>
  </w:style>
  <w:style w:type="paragraph" w:customStyle="1" w:styleId="c-article-info-details">
    <w:name w:val="c-article-info-details"/>
    <w:basedOn w:val="Normln"/>
    <w:rsid w:val="0037393D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543714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rsid w:val="00D04396"/>
    <w:rPr>
      <w:color w:val="605E5C"/>
      <w:shd w:val="clear" w:color="auto" w:fill="E1DFDD"/>
    </w:rPr>
  </w:style>
  <w:style w:type="character" w:customStyle="1" w:styleId="cit-name-surname">
    <w:name w:val="cit-name-surname"/>
    <w:basedOn w:val="Standardnpsmoodstavce"/>
    <w:rsid w:val="00DD1610"/>
  </w:style>
  <w:style w:type="character" w:customStyle="1" w:styleId="cit-name-given-names">
    <w:name w:val="cit-name-given-names"/>
    <w:basedOn w:val="Standardnpsmoodstavce"/>
    <w:rsid w:val="00DD1610"/>
  </w:style>
  <w:style w:type="character" w:styleId="CittHTML">
    <w:name w:val="HTML Cite"/>
    <w:basedOn w:val="Standardnpsmoodstavce"/>
    <w:uiPriority w:val="99"/>
    <w:semiHidden/>
    <w:unhideWhenUsed/>
    <w:rsid w:val="00DD1610"/>
    <w:rPr>
      <w:i/>
      <w:iCs/>
    </w:rPr>
  </w:style>
  <w:style w:type="character" w:customStyle="1" w:styleId="cit-article-title">
    <w:name w:val="cit-article-title"/>
    <w:basedOn w:val="Standardnpsmoodstavce"/>
    <w:rsid w:val="00DD1610"/>
  </w:style>
  <w:style w:type="character" w:customStyle="1" w:styleId="cit-vol">
    <w:name w:val="cit-vol"/>
    <w:basedOn w:val="Standardnpsmoodstavce"/>
    <w:rsid w:val="00DD1610"/>
  </w:style>
  <w:style w:type="character" w:customStyle="1" w:styleId="cit-issue">
    <w:name w:val="cit-issue"/>
    <w:basedOn w:val="Standardnpsmoodstavce"/>
    <w:rsid w:val="00DD1610"/>
  </w:style>
  <w:style w:type="character" w:customStyle="1" w:styleId="cit-fpage">
    <w:name w:val="cit-fpage"/>
    <w:basedOn w:val="Standardnpsmoodstavce"/>
    <w:rsid w:val="00DD1610"/>
  </w:style>
  <w:style w:type="character" w:customStyle="1" w:styleId="cit-lpage">
    <w:name w:val="cit-lpage"/>
    <w:basedOn w:val="Standardnpsmoodstavce"/>
    <w:rsid w:val="00DD1610"/>
  </w:style>
  <w:style w:type="character" w:customStyle="1" w:styleId="cit-pub-date">
    <w:name w:val="cit-pub-date"/>
    <w:basedOn w:val="Standardnpsmoodstavce"/>
    <w:rsid w:val="00DD1610"/>
  </w:style>
  <w:style w:type="paragraph" w:styleId="Odstavecseseznamem">
    <w:name w:val="List Paragraph"/>
    <w:basedOn w:val="Normln"/>
    <w:uiPriority w:val="34"/>
    <w:qFormat/>
    <w:rsid w:val="00D942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05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9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6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7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8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09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81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0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37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16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33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92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6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62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1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04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24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5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4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8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8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33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84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2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eukemia-net.org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8</Pages>
  <Words>3164</Words>
  <Characters>18674</Characters>
  <Application>Microsoft Office Word</Application>
  <DocSecurity>0</DocSecurity>
  <Lines>155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Microsoft Office</dc:creator>
  <cp:keywords/>
  <dc:description/>
  <cp:lastModifiedBy>Uživatel Microsoft Office</cp:lastModifiedBy>
  <cp:revision>8</cp:revision>
  <dcterms:created xsi:type="dcterms:W3CDTF">2020-03-24T17:05:00Z</dcterms:created>
  <dcterms:modified xsi:type="dcterms:W3CDTF">2020-03-27T15:49:00Z</dcterms:modified>
</cp:coreProperties>
</file>