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7336" w:rsidRDefault="00CA7336" w:rsidP="00CA7336">
      <w:pPr>
        <w:rPr>
          <w:b/>
        </w:rPr>
      </w:pPr>
      <w:r w:rsidRPr="00CA7336">
        <w:rPr>
          <w:b/>
        </w:rPr>
        <w:t xml:space="preserve">Služby osobám se zrakovým postižením nad 15 let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 xml:space="preserve">Ztráta a omezení zraku v dospělém a seniorském věku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věková pásma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progresivní/pozvolná nebo náhlá ztráta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trauma, nevratná ztráta kompetencí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reakce na oslepnutí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šok, deprese, akceptace zrakové ztráty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v seniorském věku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postižení jednotlivých zrakových </w:t>
      </w:r>
      <w:proofErr w:type="spellStart"/>
      <w:r w:rsidRPr="00CA7336">
        <w:t>fcí</w:t>
      </w:r>
      <w:proofErr w:type="spellEnd"/>
      <w:r w:rsidRPr="00CA7336">
        <w:t xml:space="preserve"> 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rychlosti zpracování informací</w:t>
      </w:r>
    </w:p>
    <w:p w:rsidR="00000000" w:rsidRDefault="00CA7336" w:rsidP="00CA7336">
      <w:pPr>
        <w:numPr>
          <w:ilvl w:val="1"/>
          <w:numId w:val="1"/>
        </w:numPr>
      </w:pPr>
      <w:r w:rsidRPr="00CA7336">
        <w:t xml:space="preserve">výrazné riziko </w:t>
      </w:r>
      <w:r w:rsidRPr="00CA7336">
        <w:rPr>
          <w:b/>
          <w:bCs/>
        </w:rPr>
        <w:t>rezignace a sociální izolace</w:t>
      </w:r>
      <w:r w:rsidRPr="00CA7336">
        <w:t xml:space="preserve"> </w:t>
      </w:r>
    </w:p>
    <w:p w:rsidR="00CA7336" w:rsidRPr="00CA7336" w:rsidRDefault="00CA7336" w:rsidP="00CA7336">
      <w:pPr>
        <w:ind w:left="720"/>
      </w:pPr>
    </w:p>
    <w:p w:rsidR="00000000" w:rsidRPr="00CA7336" w:rsidRDefault="00CA7336" w:rsidP="00CA7336">
      <w:r w:rsidRPr="00CA7336">
        <w:rPr>
          <w:b/>
          <w:bCs/>
        </w:rPr>
        <w:t xml:space="preserve">Komprehenzivní </w:t>
      </w:r>
      <w:proofErr w:type="spellStart"/>
      <w:r w:rsidRPr="00CA7336">
        <w:rPr>
          <w:b/>
          <w:bCs/>
        </w:rPr>
        <w:t>tyflorehabilitace</w:t>
      </w:r>
      <w:proofErr w:type="spellEnd"/>
      <w:r w:rsidRPr="00CA7336">
        <w:rPr>
          <w:b/>
          <w:bCs/>
        </w:rPr>
        <w:t xml:space="preserve">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 xml:space="preserve">Komprehenzivní </w:t>
      </w:r>
      <w:proofErr w:type="spellStart"/>
      <w:r w:rsidRPr="00CA7336">
        <w:rPr>
          <w:b/>
          <w:bCs/>
        </w:rPr>
        <w:t>tyflorehabilitace</w:t>
      </w:r>
      <w:proofErr w:type="spellEnd"/>
      <w:r w:rsidRPr="00CA7336">
        <w:rPr>
          <w:b/>
          <w:bCs/>
        </w:rPr>
        <w:t xml:space="preserve"> (KTR)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řeší praktické problémy </w:t>
      </w:r>
      <w:r w:rsidRPr="00CA7336">
        <w:t xml:space="preserve">člověka se ZP a kvality jeho života 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ucelená rehabilitace a její složky (akceptace poškození zraku, komunikace ZP se stejně postiženými a intaktními, POSP, informační techniky a technologie, </w:t>
      </w:r>
      <w:proofErr w:type="gramStart"/>
      <w:r w:rsidRPr="00CA7336">
        <w:t>atd. )</w:t>
      </w:r>
      <w:proofErr w:type="gramEnd"/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Struktura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sociální, pracovní, pedagogická, léčebná </w:t>
      </w:r>
      <w:proofErr w:type="spellStart"/>
      <w:r w:rsidRPr="00CA7336">
        <w:t>tyfl</w:t>
      </w:r>
      <w:r w:rsidRPr="00CA7336">
        <w:t>orehabilitace</w:t>
      </w:r>
      <w:proofErr w:type="spellEnd"/>
      <w:r w:rsidRPr="00CA7336">
        <w:t xml:space="preserve"> </w:t>
      </w:r>
    </w:p>
    <w:p w:rsidR="00CA7336" w:rsidRDefault="00CA7336" w:rsidP="00CA7336">
      <w:pPr>
        <w:rPr>
          <w:b/>
          <w:bCs/>
        </w:rPr>
      </w:pPr>
    </w:p>
    <w:p w:rsidR="00000000" w:rsidRPr="00CA7336" w:rsidRDefault="00CA7336" w:rsidP="00CA7336">
      <w:r w:rsidRPr="00CA7336">
        <w:rPr>
          <w:b/>
          <w:bCs/>
        </w:rPr>
        <w:t xml:space="preserve">Sociální rehabilitace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 xml:space="preserve">Sociální rehabilitace </w:t>
      </w:r>
      <w:r w:rsidRPr="00CA7336">
        <w:t>je jednou ze složek KTR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proces učení žít s vadou, proces překonávání neschopností v individuálních i společensky významných činnostech, proces prevence i odstraňování </w:t>
      </w:r>
      <w:proofErr w:type="spellStart"/>
      <w:r w:rsidRPr="00CA7336">
        <w:t>defektivit</w:t>
      </w:r>
      <w:proofErr w:type="spellEnd"/>
      <w:r w:rsidRPr="00CA7336">
        <w:t xml:space="preserve"> a handicapů. Ko</w:t>
      </w:r>
      <w:r w:rsidRPr="00CA7336">
        <w:t xml:space="preserve">nečným výsledkem tohoto procesu je </w:t>
      </w:r>
      <w:r w:rsidRPr="00CA7336">
        <w:rPr>
          <w:b/>
          <w:bCs/>
        </w:rPr>
        <w:t xml:space="preserve">akceptace vady, životní pohoda a v nejvyšším stupni také integrace </w:t>
      </w:r>
      <w:r w:rsidRPr="00CA7336">
        <w:t xml:space="preserve">(Jesenský, 1992) 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rPr>
          <w:b/>
          <w:bCs/>
        </w:rPr>
        <w:t>Programy sociální rehabilitace</w:t>
      </w:r>
      <w:r w:rsidRPr="00CA7336">
        <w:rPr>
          <w:b/>
          <w:bCs/>
        </w:rPr>
        <w:br/>
      </w:r>
      <w:r w:rsidRPr="00CA7336">
        <w:rPr>
          <w:vertAlign w:val="subscript"/>
        </w:rPr>
        <w:t xml:space="preserve">(www.braillnet.cz/sons/transformace)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>Sociální rehabilitace I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lastRenderedPageBreak/>
        <w:t xml:space="preserve">nácvik POSP, </w:t>
      </w:r>
      <w:proofErr w:type="spellStart"/>
      <w:r w:rsidRPr="00CA7336">
        <w:t>sebeobsluha</w:t>
      </w:r>
      <w:proofErr w:type="spellEnd"/>
      <w:r w:rsidRPr="00CA7336">
        <w:t xml:space="preserve">, stolování, hygiena, čtení a psaní </w:t>
      </w:r>
      <w:proofErr w:type="spellStart"/>
      <w:r w:rsidRPr="00CA7336">
        <w:t>Brailleova</w:t>
      </w:r>
      <w:proofErr w:type="spellEnd"/>
      <w:r w:rsidRPr="00CA7336">
        <w:t xml:space="preserve"> písma, nácvik používání náhradních smyslů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>Sociální rehabilitace II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nácvik obsluhy pomůcek, zpřístupnění a zpracování informací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>Další služby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asistentské služby, sociální práce, </w:t>
      </w:r>
      <w:proofErr w:type="spellStart"/>
      <w:r w:rsidRPr="00CA7336">
        <w:t>socioterapeutické</w:t>
      </w:r>
      <w:proofErr w:type="spellEnd"/>
      <w:r w:rsidRPr="00CA7336">
        <w:t xml:space="preserve"> služby, atd</w:t>
      </w:r>
      <w:r w:rsidRPr="00CA7336">
        <w:t>.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>Ostatní činnosti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poradenská činnost, prevence nezaměstnanosti a podpora pracovního uplatnění, výcvik vodicích psů a servis jejich držitelům </w:t>
      </w:r>
    </w:p>
    <w:p w:rsidR="00CA7336" w:rsidRDefault="00CA7336" w:rsidP="00CA7336"/>
    <w:p w:rsidR="00CA7336" w:rsidRDefault="00CA7336" w:rsidP="00CA7336"/>
    <w:p w:rsidR="00000000" w:rsidRPr="00CA7336" w:rsidRDefault="00CA7336" w:rsidP="00CA7336">
      <w:pPr>
        <w:rPr>
          <w:b/>
        </w:rPr>
      </w:pPr>
      <w:r w:rsidRPr="00CA7336">
        <w:rPr>
          <w:b/>
        </w:rPr>
        <w:t xml:space="preserve">Legislativní ukotvení služeb sociální rehabilitace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t>Zákon č. 108/2006 Sb., o sociálních službách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služby </w:t>
      </w:r>
      <w:r w:rsidRPr="00CA7336">
        <w:rPr>
          <w:b/>
          <w:bCs/>
        </w:rPr>
        <w:t>sociálního poradenství, služby sociální péče, služby sociální prevence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rPr>
          <w:b/>
          <w:bCs/>
        </w:rPr>
        <w:t>terénní, ambulantní, pobytové</w:t>
      </w:r>
    </w:p>
    <w:p w:rsidR="00CA7336" w:rsidRDefault="00CA7336" w:rsidP="00CA7336">
      <w:pPr>
        <w:rPr>
          <w:b/>
        </w:rPr>
      </w:pPr>
    </w:p>
    <w:p w:rsidR="00000000" w:rsidRPr="00CA7336" w:rsidRDefault="00CA7336" w:rsidP="00CA7336">
      <w:pPr>
        <w:rPr>
          <w:b/>
        </w:rPr>
      </w:pPr>
      <w:r w:rsidRPr="00CA7336">
        <w:rPr>
          <w:b/>
        </w:rPr>
        <w:t xml:space="preserve">Organizace sociální rehabilitace pro ZP občany 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Sjednocená organizace nevidomých a slabozrakých</w:t>
      </w:r>
    </w:p>
    <w:p w:rsidR="00000000" w:rsidRPr="00CA7336" w:rsidRDefault="00CA7336" w:rsidP="00CA7336">
      <w:pPr>
        <w:numPr>
          <w:ilvl w:val="1"/>
          <w:numId w:val="1"/>
        </w:numPr>
      </w:pPr>
      <w:proofErr w:type="spellStart"/>
      <w:r w:rsidRPr="00CA7336">
        <w:t>Tyfloservis</w:t>
      </w:r>
      <w:proofErr w:type="spellEnd"/>
      <w:r w:rsidRPr="00CA7336">
        <w:t>, o.p.s.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Krajská </w:t>
      </w:r>
      <w:proofErr w:type="spellStart"/>
      <w:r w:rsidRPr="00CA7336">
        <w:t>TyfloCentra</w:t>
      </w:r>
      <w:proofErr w:type="spellEnd"/>
      <w:r w:rsidRPr="00CA7336">
        <w:t>, o.p.s.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Pobytové rekvalifikační a rehabilitační středisko Dědina, o.p.s. 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Domovy pro zrakově postižené občany (dříve ÚSP)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rPr>
          <w:b/>
          <w:bCs/>
        </w:rPr>
        <w:t xml:space="preserve">Služby a programy sociální rehabilitace </w:t>
      </w:r>
      <w:r w:rsidRPr="00CA7336">
        <w:rPr>
          <w:b/>
          <w:bCs/>
        </w:rPr>
        <w:br/>
        <w:t xml:space="preserve">osobám se zrakovým postižením v ČR </w:t>
      </w:r>
    </w:p>
    <w:p w:rsidR="00CA7336" w:rsidRDefault="00CA7336" w:rsidP="00CA7336">
      <w:pPr>
        <w:rPr>
          <w:b/>
          <w:bCs/>
        </w:rPr>
      </w:pPr>
    </w:p>
    <w:p w:rsidR="00000000" w:rsidRPr="00CA7336" w:rsidRDefault="00CA7336" w:rsidP="00CA7336">
      <w:r w:rsidRPr="00CA7336">
        <w:rPr>
          <w:b/>
          <w:bCs/>
        </w:rPr>
        <w:t xml:space="preserve">Pobytová zařízení pro ZP občany v ČR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>Dům sv. Cyrila a Metodě</w:t>
      </w:r>
      <w:r w:rsidRPr="00CA7336">
        <w:rPr>
          <w:b/>
          <w:bCs/>
        </w:rPr>
        <w:t xml:space="preserve">je </w:t>
      </w:r>
      <w:r w:rsidRPr="00CA7336">
        <w:t xml:space="preserve">pro zrakově postižené ve </w:t>
      </w:r>
      <w:r w:rsidRPr="00CA7336">
        <w:rPr>
          <w:b/>
          <w:bCs/>
        </w:rPr>
        <w:t>Vlaštovičkách u Opavy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služby chráněného bydlení a sociální rehabilitace a chráněná dílna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lastRenderedPageBreak/>
        <w:t xml:space="preserve">cílovou skupinou dospělí, TZP nebo lehce mentálně postižení občané z celé </w:t>
      </w:r>
      <w:proofErr w:type="gramStart"/>
      <w:r w:rsidRPr="00CA7336">
        <w:t xml:space="preserve">ČR  </w:t>
      </w:r>
      <w:r w:rsidRPr="00CA7336">
        <w:rPr>
          <w:vertAlign w:val="subscript"/>
        </w:rPr>
        <w:t>(http</w:t>
      </w:r>
      <w:proofErr w:type="gramEnd"/>
      <w:r w:rsidRPr="00CA7336">
        <w:rPr>
          <w:vertAlign w:val="subscript"/>
        </w:rPr>
        <w:t>://www.charitaopava.cz/?page=texty&amp;id=14&amp;IIgen=11)</w:t>
      </w:r>
      <w:r w:rsidRPr="00CA7336">
        <w:t xml:space="preserve"> 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>Ú</w:t>
      </w:r>
      <w:r w:rsidRPr="00CA7336">
        <w:rPr>
          <w:b/>
          <w:bCs/>
        </w:rPr>
        <w:t>stav sociální péče pro zrakově postižené v Brně-Chrlicích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sociální a zdravotní služby lidem nad 18 let  se ZP, ZP a SP závislých na pomoci cizích osob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 xml:space="preserve">pobytová a odlehčovací služba </w:t>
      </w:r>
      <w:r w:rsidRPr="00CA7336">
        <w:rPr>
          <w:vertAlign w:val="subscript"/>
        </w:rPr>
        <w:t>(www.uspchrlice.cz)</w:t>
      </w:r>
    </w:p>
    <w:p w:rsidR="00000000" w:rsidRPr="00CA7336" w:rsidRDefault="00CA7336" w:rsidP="00CA7336">
      <w:pPr>
        <w:numPr>
          <w:ilvl w:val="0"/>
          <w:numId w:val="1"/>
        </w:numPr>
      </w:pPr>
      <w:r w:rsidRPr="00CA7336">
        <w:rPr>
          <w:b/>
          <w:bCs/>
        </w:rPr>
        <w:t xml:space="preserve">Domov pro zrakově postižené Palata </w:t>
      </w:r>
      <w:r w:rsidRPr="00CA7336">
        <w:t>v Praze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cílová skupina senioři se ZP, jež nejsou schopni samostatného života ve vlastním domácím prostředí a kterým nemůže ani rodina takovou existenci zajistit</w:t>
      </w:r>
      <w:r w:rsidRPr="00CA7336">
        <w:rPr>
          <w:vertAlign w:val="subscript"/>
        </w:rPr>
        <w:t xml:space="preserve"> </w:t>
      </w:r>
    </w:p>
    <w:p w:rsidR="00000000" w:rsidRPr="00CA7336" w:rsidRDefault="00CA7336" w:rsidP="00CA7336">
      <w:pPr>
        <w:numPr>
          <w:ilvl w:val="1"/>
          <w:numId w:val="1"/>
        </w:numPr>
      </w:pPr>
      <w:r w:rsidRPr="00CA7336">
        <w:t>aktivizace osob</w:t>
      </w:r>
      <w:r w:rsidRPr="00CA7336">
        <w:rPr>
          <w:vertAlign w:val="subscript"/>
        </w:rPr>
        <w:t xml:space="preserve"> (</w:t>
      </w:r>
      <w:hyperlink r:id="rId5" w:history="1">
        <w:r w:rsidRPr="00CA7336">
          <w:rPr>
            <w:rStyle w:val="Hypertextovodkaz"/>
            <w:vertAlign w:val="subscript"/>
          </w:rPr>
          <w:t>www.palata.</w:t>
        </w:r>
      </w:hyperlink>
      <w:hyperlink r:id="rId6" w:history="1">
        <w:r w:rsidRPr="00CA7336">
          <w:rPr>
            <w:rStyle w:val="Hypertextovodkaz"/>
            <w:vertAlign w:val="subscript"/>
          </w:rPr>
          <w:t>cz</w:t>
        </w:r>
      </w:hyperlink>
      <w:r w:rsidRPr="00CA7336">
        <w:rPr>
          <w:vertAlign w:val="subscript"/>
        </w:rPr>
        <w:t>)</w:t>
      </w:r>
      <w:r w:rsidRPr="00CA7336">
        <w:t xml:space="preserve"> </w:t>
      </w:r>
    </w:p>
    <w:p w:rsidR="008E571F" w:rsidRDefault="008E571F"/>
    <w:sectPr w:rsidR="008E571F" w:rsidSect="008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657"/>
    <w:multiLevelType w:val="hybridMultilevel"/>
    <w:tmpl w:val="E1448526"/>
    <w:lvl w:ilvl="0" w:tplc="96B0556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E00F16">
      <w:start w:val="11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25B8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2247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5EBB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CACEF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1497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1436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9EDCC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336"/>
    <w:rsid w:val="008E571F"/>
    <w:rsid w:val="00CA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71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73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7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3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2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28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0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3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8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75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6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56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33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3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6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51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20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65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0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5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35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2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91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78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9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2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01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5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53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807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4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3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50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86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03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55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6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0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1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504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531">
          <w:marLeft w:val="115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491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14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36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7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ata.cz/" TargetMode="External"/><Relationship Id="rId5" Type="http://schemas.openxmlformats.org/officeDocument/2006/relationships/hyperlink" Target="http://www.palat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2551</Characters>
  <Application>Microsoft Office Word</Application>
  <DocSecurity>0</DocSecurity>
  <Lines>21</Lines>
  <Paragraphs>5</Paragraphs>
  <ScaleCrop>false</ScaleCrop>
  <Company>Pedagogicka fakulta MU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Prinosilova</dc:creator>
  <cp:keywords/>
  <dc:description/>
  <cp:lastModifiedBy>Prinosilova</cp:lastModifiedBy>
  <cp:revision>2</cp:revision>
  <dcterms:created xsi:type="dcterms:W3CDTF">2011-05-10T07:24:00Z</dcterms:created>
  <dcterms:modified xsi:type="dcterms:W3CDTF">2011-05-10T07:25:00Z</dcterms:modified>
</cp:coreProperties>
</file>