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54" w:rsidRPr="00525654" w:rsidRDefault="00525654" w:rsidP="00525654">
      <w:pPr>
        <w:pStyle w:val="Nadpis2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>Předškolní vzdělávání</w:t>
      </w:r>
    </w:p>
    <w:p w:rsidR="00525654" w:rsidRPr="00525654" w:rsidRDefault="00525654" w:rsidP="00525654">
      <w:pPr>
        <w:pStyle w:val="Nadpis2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525654" w:rsidRPr="00525654" w:rsidRDefault="00525654" w:rsidP="00525654">
      <w:pPr>
        <w:pStyle w:val="Nadpis1"/>
        <w:ind w:left="0" w:firstLine="0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Možnosti předškolního vzdělávání </w:t>
      </w:r>
      <w:proofErr w:type="gramStart"/>
      <w:r w:rsidRPr="00525654">
        <w:rPr>
          <w:color w:val="auto"/>
          <w:sz w:val="24"/>
          <w:szCs w:val="24"/>
        </w:rPr>
        <w:t>dětí s MP</w:t>
      </w:r>
      <w:proofErr w:type="gramEnd"/>
      <w:r w:rsidRPr="00525654">
        <w:rPr>
          <w:color w:val="auto"/>
          <w:sz w:val="24"/>
          <w:szCs w:val="24"/>
        </w:rPr>
        <w:t>: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b/>
          <w:bCs/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 xml:space="preserve">Individuální integrace v běžné </w:t>
      </w:r>
      <w:proofErr w:type="gramStart"/>
      <w:r w:rsidRPr="00525654">
        <w:rPr>
          <w:b/>
          <w:bCs/>
          <w:color w:val="auto"/>
          <w:sz w:val="24"/>
          <w:szCs w:val="24"/>
        </w:rPr>
        <w:t>MŠ</w:t>
      </w:r>
      <w:proofErr w:type="gramEnd"/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b/>
          <w:bCs/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 xml:space="preserve">Skupinová integrace v běžné </w:t>
      </w:r>
      <w:proofErr w:type="gramStart"/>
      <w:r w:rsidRPr="00525654">
        <w:rPr>
          <w:b/>
          <w:bCs/>
          <w:color w:val="auto"/>
          <w:sz w:val="24"/>
          <w:szCs w:val="24"/>
        </w:rPr>
        <w:t>MŠ</w:t>
      </w:r>
      <w:proofErr w:type="gramEnd"/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b/>
          <w:bCs/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>Mateřská škola speciální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b/>
          <w:bCs/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>Přípravná třída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numPr>
          <w:ilvl w:val="0"/>
          <w:numId w:val="10"/>
        </w:numPr>
        <w:ind w:left="810" w:hanging="810"/>
        <w:jc w:val="both"/>
        <w:rPr>
          <w:b/>
          <w:bCs/>
          <w:color w:val="auto"/>
          <w:sz w:val="24"/>
          <w:szCs w:val="24"/>
          <w:u w:val="single"/>
        </w:rPr>
      </w:pPr>
      <w:proofErr w:type="spellStart"/>
      <w:r w:rsidRPr="00525654">
        <w:rPr>
          <w:b/>
          <w:bCs/>
          <w:color w:val="auto"/>
          <w:sz w:val="24"/>
          <w:szCs w:val="24"/>
          <w:u w:val="single"/>
        </w:rPr>
        <w:t>Kurikulární</w:t>
      </w:r>
      <w:proofErr w:type="spellEnd"/>
      <w:r w:rsidRPr="00525654">
        <w:rPr>
          <w:b/>
          <w:bCs/>
          <w:color w:val="auto"/>
          <w:sz w:val="24"/>
          <w:szCs w:val="24"/>
          <w:u w:val="single"/>
        </w:rPr>
        <w:t xml:space="preserve"> dokumenty: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numPr>
          <w:ilvl w:val="0"/>
          <w:numId w:val="9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Rámcový vzdělávací program pro předškolní vzdělávání (RVP PV)</w:t>
      </w:r>
    </w:p>
    <w:p w:rsidR="00525654" w:rsidRPr="00525654" w:rsidRDefault="00525654" w:rsidP="00525654">
      <w:pPr>
        <w:pStyle w:val="Nadpis2"/>
        <w:numPr>
          <w:ilvl w:val="0"/>
          <w:numId w:val="9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Manuál k tvorbě školního (třídního) vzdělávacího programu (ŠVP) mateřské školy</w:t>
      </w:r>
    </w:p>
    <w:p w:rsidR="00525654" w:rsidRPr="00525654" w:rsidRDefault="00525654" w:rsidP="00525654">
      <w:pPr>
        <w:pStyle w:val="Nadpis2"/>
        <w:numPr>
          <w:ilvl w:val="0"/>
          <w:numId w:val="9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Příloha – tvorba ŠVP ve speciální mateřské škole</w:t>
      </w:r>
    </w:p>
    <w:p w:rsidR="00525654" w:rsidRPr="00525654" w:rsidRDefault="00525654" w:rsidP="00525654">
      <w:pPr>
        <w:pStyle w:val="Nadpis2"/>
        <w:numPr>
          <w:ilvl w:val="0"/>
          <w:numId w:val="9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Poznámky k tvorbě vzdělávacího obsahu přípravných tříd v ŠVP</w:t>
      </w:r>
    </w:p>
    <w:p w:rsidR="00525654" w:rsidRPr="00525654" w:rsidRDefault="00525654" w:rsidP="00D1226E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ind w:left="810" w:hanging="810"/>
        <w:jc w:val="both"/>
        <w:rPr>
          <w:b/>
          <w:bCs/>
          <w:color w:val="auto"/>
          <w:sz w:val="24"/>
          <w:szCs w:val="24"/>
          <w:u w:val="single"/>
        </w:rPr>
      </w:pPr>
      <w:r w:rsidRPr="00525654">
        <w:rPr>
          <w:b/>
          <w:bCs/>
          <w:color w:val="auto"/>
          <w:sz w:val="24"/>
          <w:szCs w:val="24"/>
          <w:u w:val="single"/>
        </w:rPr>
        <w:t>Předškolní vzdělávání plní funkci: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numPr>
          <w:ilvl w:val="0"/>
          <w:numId w:val="8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>diagnostickou</w:t>
      </w:r>
      <w:r w:rsidRPr="00525654">
        <w:rPr>
          <w:color w:val="auto"/>
          <w:sz w:val="24"/>
          <w:szCs w:val="24"/>
        </w:rPr>
        <w:t xml:space="preserve"> = zařazení dítěte do dalšího vzdělávání,</w:t>
      </w:r>
    </w:p>
    <w:p w:rsidR="00525654" w:rsidRPr="00525654" w:rsidRDefault="00525654" w:rsidP="00525654">
      <w:pPr>
        <w:pStyle w:val="Nadpis2"/>
        <w:numPr>
          <w:ilvl w:val="0"/>
          <w:numId w:val="8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 xml:space="preserve">reedukační </w:t>
      </w:r>
      <w:r w:rsidRPr="00525654">
        <w:rPr>
          <w:color w:val="auto"/>
          <w:sz w:val="24"/>
          <w:szCs w:val="24"/>
        </w:rPr>
        <w:t>= rozvoj postižených funkcí,</w:t>
      </w:r>
    </w:p>
    <w:p w:rsidR="00525654" w:rsidRPr="00525654" w:rsidRDefault="00525654" w:rsidP="00525654">
      <w:pPr>
        <w:pStyle w:val="Nadpis2"/>
        <w:numPr>
          <w:ilvl w:val="0"/>
          <w:numId w:val="8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>rehabilitační</w:t>
      </w:r>
      <w:r w:rsidRPr="00525654">
        <w:rPr>
          <w:color w:val="auto"/>
          <w:sz w:val="24"/>
          <w:szCs w:val="24"/>
        </w:rPr>
        <w:t>,</w:t>
      </w:r>
    </w:p>
    <w:p w:rsidR="00525654" w:rsidRPr="00525654" w:rsidRDefault="00525654" w:rsidP="00525654">
      <w:pPr>
        <w:pStyle w:val="Nadpis2"/>
        <w:numPr>
          <w:ilvl w:val="0"/>
          <w:numId w:val="8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>léčebně výchovnou</w:t>
      </w:r>
      <w:r w:rsidRPr="00525654">
        <w:rPr>
          <w:color w:val="auto"/>
          <w:sz w:val="24"/>
          <w:szCs w:val="24"/>
        </w:rPr>
        <w:t>,</w:t>
      </w:r>
    </w:p>
    <w:p w:rsidR="00525654" w:rsidRPr="00D1226E" w:rsidRDefault="00525654" w:rsidP="00D1226E">
      <w:pPr>
        <w:pStyle w:val="Nadpis2"/>
        <w:numPr>
          <w:ilvl w:val="0"/>
          <w:numId w:val="8"/>
        </w:numPr>
        <w:ind w:left="810" w:hanging="810"/>
        <w:jc w:val="both"/>
        <w:rPr>
          <w:color w:val="auto"/>
          <w:sz w:val="24"/>
          <w:szCs w:val="24"/>
        </w:rPr>
      </w:pPr>
      <w:proofErr w:type="spellStart"/>
      <w:r w:rsidRPr="00525654">
        <w:rPr>
          <w:b/>
          <w:bCs/>
          <w:color w:val="auto"/>
          <w:sz w:val="24"/>
          <w:szCs w:val="24"/>
        </w:rPr>
        <w:t>respitní</w:t>
      </w:r>
      <w:proofErr w:type="spellEnd"/>
      <w:r w:rsidRPr="00525654">
        <w:rPr>
          <w:color w:val="auto"/>
          <w:sz w:val="24"/>
          <w:szCs w:val="24"/>
        </w:rPr>
        <w:t xml:space="preserve"> = úleva rodičům.</w:t>
      </w:r>
    </w:p>
    <w:p w:rsidR="00525654" w:rsidRPr="00525654" w:rsidRDefault="00525654" w:rsidP="00525654">
      <w:pPr>
        <w:pStyle w:val="Nadpis2"/>
        <w:numPr>
          <w:ilvl w:val="0"/>
          <w:numId w:val="6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vytvářet optimální podmínky k rozvoji každého dítěte,</w:t>
      </w:r>
    </w:p>
    <w:p w:rsidR="00525654" w:rsidRPr="00525654" w:rsidRDefault="00525654" w:rsidP="00525654">
      <w:pPr>
        <w:pStyle w:val="Nadpis2"/>
        <w:numPr>
          <w:ilvl w:val="0"/>
          <w:numId w:val="6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posílení o jednoho pedagogického pracovníka.</w:t>
      </w:r>
    </w:p>
    <w:p w:rsidR="00525654" w:rsidRDefault="00525654" w:rsidP="00525654">
      <w:pPr>
        <w:pStyle w:val="Nadpis1"/>
        <w:ind w:left="0" w:firstLine="0"/>
        <w:rPr>
          <w:b/>
          <w:color w:val="auto"/>
          <w:sz w:val="24"/>
          <w:szCs w:val="24"/>
          <w:u w:val="single"/>
        </w:rPr>
      </w:pPr>
      <w:r w:rsidRPr="00D1226E">
        <w:rPr>
          <w:b/>
          <w:color w:val="auto"/>
          <w:sz w:val="24"/>
          <w:szCs w:val="24"/>
          <w:u w:val="single"/>
        </w:rPr>
        <w:lastRenderedPageBreak/>
        <w:t>Přípravné třídy základní školy:</w:t>
      </w:r>
    </w:p>
    <w:p w:rsidR="00D1226E" w:rsidRPr="00D1226E" w:rsidRDefault="00D1226E" w:rsidP="00D1226E">
      <w:pPr>
        <w:rPr>
          <w:lang w:eastAsia="cs-CZ"/>
        </w:rPr>
      </w:pPr>
    </w:p>
    <w:p w:rsidR="00525654" w:rsidRPr="00D1226E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  <w:r w:rsidRPr="00D1226E">
        <w:rPr>
          <w:b/>
          <w:bCs/>
          <w:color w:val="auto"/>
          <w:sz w:val="24"/>
          <w:szCs w:val="24"/>
        </w:rPr>
        <w:t>Určeno pro (§ 47 školského zákona):</w:t>
      </w:r>
    </w:p>
    <w:p w:rsidR="00525654" w:rsidRPr="00525654" w:rsidRDefault="00525654" w:rsidP="00525654">
      <w:pPr>
        <w:pStyle w:val="Nadpis2"/>
        <w:numPr>
          <w:ilvl w:val="0"/>
          <w:numId w:val="6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děti v posledním roce před zahájením povinné školní docházky,</w:t>
      </w:r>
    </w:p>
    <w:p w:rsidR="00525654" w:rsidRPr="00525654" w:rsidRDefault="00525654" w:rsidP="00525654">
      <w:pPr>
        <w:pStyle w:val="Nadpis2"/>
        <w:numPr>
          <w:ilvl w:val="0"/>
          <w:numId w:val="6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děti se sociálním či kulturním znevýhodněním,</w:t>
      </w:r>
    </w:p>
    <w:p w:rsidR="00525654" w:rsidRPr="00525654" w:rsidRDefault="00525654" w:rsidP="00525654">
      <w:pPr>
        <w:pStyle w:val="Nadpis2"/>
        <w:numPr>
          <w:ilvl w:val="0"/>
          <w:numId w:val="6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děti, u kterých je předpoklad, že zařazení do přípravné třídy vyrovná jejich vývoj,</w:t>
      </w:r>
    </w:p>
    <w:p w:rsidR="00525654" w:rsidRPr="00525654" w:rsidRDefault="00525654" w:rsidP="00525654">
      <w:pPr>
        <w:pStyle w:val="Nadpis2"/>
        <w:numPr>
          <w:ilvl w:val="0"/>
          <w:numId w:val="6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min. 7 dětí,</w:t>
      </w:r>
    </w:p>
    <w:p w:rsidR="00525654" w:rsidRPr="00525654" w:rsidRDefault="00525654" w:rsidP="00525654">
      <w:pPr>
        <w:pStyle w:val="Nadpis2"/>
        <w:numPr>
          <w:ilvl w:val="0"/>
          <w:numId w:val="6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o zařazení dětí do přípravné třídy rozhoduje ředitel školy na základě žádosti zákonných zástupců a písemného doporučení školského poradenského zařízení.</w:t>
      </w:r>
    </w:p>
    <w:p w:rsidR="00525654" w:rsidRPr="00525654" w:rsidRDefault="00525654" w:rsidP="00525654">
      <w:pPr>
        <w:pStyle w:val="Nadpis2"/>
        <w:numPr>
          <w:ilvl w:val="0"/>
          <w:numId w:val="1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Nezapočítává se do povinné školní docházky.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ind w:left="0" w:firstLine="0"/>
        <w:jc w:val="both"/>
        <w:rPr>
          <w:b/>
          <w:bCs/>
          <w:color w:val="auto"/>
          <w:sz w:val="24"/>
          <w:szCs w:val="24"/>
          <w:u w:val="single"/>
        </w:rPr>
      </w:pPr>
      <w:r w:rsidRPr="00525654">
        <w:rPr>
          <w:b/>
          <w:bCs/>
          <w:color w:val="auto"/>
          <w:sz w:val="24"/>
          <w:szCs w:val="24"/>
          <w:u w:val="single"/>
        </w:rPr>
        <w:t>Přípravné třídy (§ 7 Vyhláška č. 48/2005 Sb. o základním vzdělávání a některých náležitostech plnění povinné školní docházky, novela 454/2006 Sb.):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numPr>
          <w:ilvl w:val="0"/>
          <w:numId w:val="6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max. počet dětí v přípravné třídě je 15,</w:t>
      </w:r>
    </w:p>
    <w:p w:rsidR="00525654" w:rsidRPr="00525654" w:rsidRDefault="00525654" w:rsidP="00525654">
      <w:pPr>
        <w:pStyle w:val="Nadpis2"/>
        <w:numPr>
          <w:ilvl w:val="0"/>
          <w:numId w:val="6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vzdělávání v přípravné třídě se uskutečňuje podle Rámcového vzdělávacího programu pro předškolní vzdělávání (RVP PV),</w:t>
      </w:r>
    </w:p>
    <w:p w:rsidR="00525654" w:rsidRPr="00525654" w:rsidRDefault="00525654" w:rsidP="00525654">
      <w:pPr>
        <w:pStyle w:val="Nadpis2"/>
        <w:numPr>
          <w:ilvl w:val="0"/>
          <w:numId w:val="6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učitel přípravné třídy vypracuje na konci druhého pololetí zprávu o předškolní přípravě dítěte,</w:t>
      </w:r>
    </w:p>
    <w:p w:rsidR="00525654" w:rsidRPr="00FE23E9" w:rsidRDefault="00525654" w:rsidP="00FE23E9">
      <w:pPr>
        <w:pStyle w:val="Nadpis2"/>
        <w:numPr>
          <w:ilvl w:val="0"/>
          <w:numId w:val="6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stanovuje podmínky, za kterých může být dítě z přípravné třídy vyřazeno.</w:t>
      </w:r>
    </w:p>
    <w:p w:rsidR="00525654" w:rsidRPr="00525654" w:rsidRDefault="00525654" w:rsidP="00525654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525654" w:rsidRPr="00D1226E" w:rsidRDefault="00525654" w:rsidP="00525654">
      <w:pPr>
        <w:pStyle w:val="Nadpis2"/>
        <w:ind w:left="0" w:firstLine="0"/>
        <w:jc w:val="center"/>
        <w:rPr>
          <w:b/>
          <w:bCs/>
          <w:color w:val="auto"/>
          <w:sz w:val="24"/>
          <w:szCs w:val="24"/>
          <w:u w:val="single"/>
        </w:rPr>
      </w:pPr>
      <w:bookmarkStart w:id="0" w:name="_GoBack"/>
      <w:bookmarkEnd w:id="0"/>
      <w:r w:rsidRPr="00D1226E">
        <w:rPr>
          <w:b/>
          <w:bCs/>
          <w:color w:val="auto"/>
          <w:sz w:val="24"/>
          <w:szCs w:val="24"/>
          <w:u w:val="single"/>
        </w:rPr>
        <w:lastRenderedPageBreak/>
        <w:t>RVP – PV</w:t>
      </w:r>
    </w:p>
    <w:p w:rsidR="00525654" w:rsidRPr="00525654" w:rsidRDefault="00525654" w:rsidP="00525654">
      <w:pPr>
        <w:pStyle w:val="Nadpis2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525654" w:rsidRPr="00525654" w:rsidRDefault="00525654" w:rsidP="00525654">
      <w:pPr>
        <w:pStyle w:val="Nadpis1"/>
        <w:ind w:left="0" w:firstLine="0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RVP PV (od 1. 9. 2007):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Vymezení RVP PV v systému </w:t>
      </w:r>
      <w:proofErr w:type="spellStart"/>
      <w:r w:rsidRPr="00525654">
        <w:rPr>
          <w:color w:val="auto"/>
          <w:sz w:val="24"/>
          <w:szCs w:val="24"/>
        </w:rPr>
        <w:t>kurikulárních</w:t>
      </w:r>
      <w:proofErr w:type="spellEnd"/>
      <w:r w:rsidRPr="00525654">
        <w:rPr>
          <w:color w:val="auto"/>
          <w:sz w:val="24"/>
          <w:szCs w:val="24"/>
        </w:rPr>
        <w:t xml:space="preserve"> dokumentů.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Předškolní vzdělávání v systému vzdělávání.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Pojetí a cíle předškolního vzdělávání. 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Vzdělávací obsah.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Vzdělávací oblasti. 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Vzdělávací obsah v ŠVP.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Podmínky předškolního vzdělávání.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Vzdělávání dětí se SVP a mimořádně nadaných.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color w:val="auto"/>
          <w:sz w:val="24"/>
          <w:szCs w:val="24"/>
        </w:rPr>
      </w:pPr>
      <w:proofErr w:type="spellStart"/>
      <w:r w:rsidRPr="00525654">
        <w:rPr>
          <w:color w:val="auto"/>
          <w:sz w:val="24"/>
          <w:szCs w:val="24"/>
        </w:rPr>
        <w:t>Autoevaluace</w:t>
      </w:r>
      <w:proofErr w:type="spellEnd"/>
      <w:r w:rsidRPr="00525654">
        <w:rPr>
          <w:color w:val="auto"/>
          <w:sz w:val="24"/>
          <w:szCs w:val="24"/>
        </w:rPr>
        <w:t xml:space="preserve"> MŠ a hodnocení dětí.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Zásady pro zpracování ŠVP.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Kritéria souladu RVP PV a ŠVP.</w:t>
      </w:r>
    </w:p>
    <w:p w:rsidR="00525654" w:rsidRPr="00525654" w:rsidRDefault="00525654" w:rsidP="00525654">
      <w:pPr>
        <w:pStyle w:val="Nadpis2"/>
        <w:numPr>
          <w:ilvl w:val="0"/>
          <w:numId w:val="11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Povinnosti předškolního pedagoga.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D1226E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525654" w:rsidRPr="00D1226E" w:rsidRDefault="00525654" w:rsidP="00525654">
      <w:pPr>
        <w:pStyle w:val="Nadpis1"/>
        <w:ind w:left="0" w:firstLine="0"/>
        <w:rPr>
          <w:b/>
          <w:color w:val="auto"/>
          <w:sz w:val="24"/>
          <w:szCs w:val="24"/>
          <w:u w:val="single"/>
        </w:rPr>
      </w:pPr>
      <w:r w:rsidRPr="00D1226E">
        <w:rPr>
          <w:b/>
          <w:color w:val="auto"/>
          <w:sz w:val="24"/>
          <w:szCs w:val="24"/>
          <w:u w:val="single"/>
        </w:rPr>
        <w:t>Cíle předškolního vzdělávání</w:t>
      </w:r>
    </w:p>
    <w:p w:rsidR="00525654" w:rsidRPr="00525654" w:rsidRDefault="00525654" w:rsidP="00525654">
      <w:pPr>
        <w:pStyle w:val="Nadpis2"/>
        <w:numPr>
          <w:ilvl w:val="0"/>
          <w:numId w:val="4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 xml:space="preserve">Rámcové cíle </w:t>
      </w:r>
      <w:r w:rsidRPr="00525654">
        <w:rPr>
          <w:color w:val="auto"/>
          <w:sz w:val="24"/>
          <w:szCs w:val="24"/>
        </w:rPr>
        <w:t>– vyjadřují univerzální záměry předškolního vzdělávání.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numPr>
          <w:ilvl w:val="0"/>
          <w:numId w:val="4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 xml:space="preserve">Klíčové kompetence </w:t>
      </w:r>
      <w:r w:rsidRPr="00525654">
        <w:rPr>
          <w:color w:val="auto"/>
          <w:sz w:val="24"/>
          <w:szCs w:val="24"/>
        </w:rPr>
        <w:t>– představují výstupy, respektive obecnější způsobilosti, dosažitelné v předškolním vzdělávání.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numPr>
          <w:ilvl w:val="0"/>
          <w:numId w:val="4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 xml:space="preserve">Dílčí cíle </w:t>
      </w:r>
      <w:r w:rsidRPr="00525654">
        <w:rPr>
          <w:color w:val="auto"/>
          <w:sz w:val="24"/>
          <w:szCs w:val="24"/>
        </w:rPr>
        <w:t xml:space="preserve">– vyjadřují konkrétní záměry, příslušející té které </w:t>
      </w:r>
      <w:r w:rsidRPr="00525654">
        <w:rPr>
          <w:color w:val="auto"/>
          <w:sz w:val="24"/>
          <w:szCs w:val="24"/>
        </w:rPr>
        <w:lastRenderedPageBreak/>
        <w:t>vzdělávací oblasti.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numPr>
          <w:ilvl w:val="0"/>
          <w:numId w:val="4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 xml:space="preserve">Dílčí výstupy </w:t>
      </w:r>
      <w:r w:rsidRPr="00525654">
        <w:rPr>
          <w:color w:val="auto"/>
          <w:sz w:val="24"/>
          <w:szCs w:val="24"/>
        </w:rPr>
        <w:t>– dílčí poznatky, dovednosti, postoje a hodnoty, které dílčím cílům odpovídají.</w:t>
      </w:r>
    </w:p>
    <w:p w:rsidR="00525654" w:rsidRPr="00525654" w:rsidRDefault="00525654" w:rsidP="00D1226E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525654" w:rsidRPr="00525654" w:rsidRDefault="00525654" w:rsidP="00D1226E">
      <w:pPr>
        <w:pStyle w:val="Nadpis2"/>
        <w:numPr>
          <w:ilvl w:val="0"/>
          <w:numId w:val="14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Rozvíjení dítěte, jeho učení a poznání.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D1226E">
      <w:pPr>
        <w:pStyle w:val="Nadpis2"/>
        <w:numPr>
          <w:ilvl w:val="0"/>
          <w:numId w:val="14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Osvojení základů hodnot, na nichž je založena naše společnost.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D1226E">
      <w:pPr>
        <w:pStyle w:val="Nadpis2"/>
        <w:numPr>
          <w:ilvl w:val="0"/>
          <w:numId w:val="14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Získání osobní samostatnosti a schopnosti projevovat se jako samostatná osobnost působící na své okolí.</w:t>
      </w:r>
    </w:p>
    <w:p w:rsidR="00525654" w:rsidRPr="00525654" w:rsidRDefault="00525654" w:rsidP="00525654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525654" w:rsidRPr="00525654" w:rsidRDefault="00525654" w:rsidP="00525654">
      <w:pPr>
        <w:pStyle w:val="Nadpis1"/>
        <w:ind w:left="0" w:firstLine="0"/>
        <w:rPr>
          <w:color w:val="auto"/>
          <w:sz w:val="24"/>
          <w:szCs w:val="24"/>
        </w:rPr>
      </w:pPr>
      <w:r w:rsidRPr="00D1226E">
        <w:rPr>
          <w:b/>
          <w:color w:val="auto"/>
          <w:sz w:val="24"/>
          <w:szCs w:val="24"/>
          <w:u w:val="single"/>
        </w:rPr>
        <w:t xml:space="preserve">Dílčí cíle v oblastech </w:t>
      </w:r>
      <w:r w:rsidRPr="00D1226E">
        <w:rPr>
          <w:b/>
          <w:color w:val="auto"/>
          <w:sz w:val="24"/>
          <w:szCs w:val="24"/>
          <w:u w:val="single"/>
        </w:rPr>
        <w:br/>
      </w:r>
      <w:r w:rsidRPr="00525654">
        <w:rPr>
          <w:color w:val="auto"/>
          <w:sz w:val="24"/>
          <w:szCs w:val="24"/>
        </w:rPr>
        <w:t>(dílčí výstupy)</w:t>
      </w:r>
    </w:p>
    <w:p w:rsidR="00525654" w:rsidRPr="00D1226E" w:rsidRDefault="00525654" w:rsidP="00D1226E">
      <w:pPr>
        <w:pStyle w:val="Nadpis2"/>
        <w:numPr>
          <w:ilvl w:val="0"/>
          <w:numId w:val="15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Biologické</w:t>
      </w:r>
    </w:p>
    <w:p w:rsidR="00525654" w:rsidRPr="00D1226E" w:rsidRDefault="00525654" w:rsidP="00D1226E">
      <w:pPr>
        <w:pStyle w:val="Nadpis2"/>
        <w:numPr>
          <w:ilvl w:val="0"/>
          <w:numId w:val="15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Psychologické</w:t>
      </w:r>
    </w:p>
    <w:p w:rsidR="00525654" w:rsidRPr="00D1226E" w:rsidRDefault="00D1226E" w:rsidP="00D1226E">
      <w:pPr>
        <w:pStyle w:val="Nadpis2"/>
        <w:numPr>
          <w:ilvl w:val="0"/>
          <w:numId w:val="15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Inte</w:t>
      </w:r>
      <w:r w:rsidR="00525654" w:rsidRPr="00525654">
        <w:rPr>
          <w:color w:val="auto"/>
          <w:sz w:val="24"/>
          <w:szCs w:val="24"/>
        </w:rPr>
        <w:t>rpersonální</w:t>
      </w:r>
    </w:p>
    <w:p w:rsidR="00525654" w:rsidRPr="00D1226E" w:rsidRDefault="00525654" w:rsidP="00D1226E">
      <w:pPr>
        <w:pStyle w:val="Nadpis2"/>
        <w:numPr>
          <w:ilvl w:val="0"/>
          <w:numId w:val="15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Sociálně-kulturní</w:t>
      </w:r>
    </w:p>
    <w:p w:rsidR="00525654" w:rsidRPr="00D1226E" w:rsidRDefault="00525654" w:rsidP="00D1226E">
      <w:pPr>
        <w:pStyle w:val="Nadpis2"/>
        <w:numPr>
          <w:ilvl w:val="0"/>
          <w:numId w:val="15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Environmentální</w:t>
      </w:r>
    </w:p>
    <w:p w:rsidR="00525654" w:rsidRPr="00525654" w:rsidRDefault="00525654" w:rsidP="00525654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525654" w:rsidRPr="00D1226E" w:rsidRDefault="00525654" w:rsidP="00525654">
      <w:pPr>
        <w:pStyle w:val="Nadpis1"/>
        <w:ind w:left="0" w:firstLine="0"/>
        <w:rPr>
          <w:b/>
          <w:color w:val="auto"/>
          <w:sz w:val="24"/>
          <w:szCs w:val="24"/>
          <w:u w:val="single"/>
        </w:rPr>
      </w:pPr>
      <w:r w:rsidRPr="00D1226E">
        <w:rPr>
          <w:b/>
          <w:color w:val="auto"/>
          <w:sz w:val="24"/>
          <w:szCs w:val="24"/>
          <w:u w:val="single"/>
        </w:rPr>
        <w:t xml:space="preserve">Klíčové kompetence </w:t>
      </w:r>
    </w:p>
    <w:p w:rsidR="00525654" w:rsidRPr="00525654" w:rsidRDefault="00525654" w:rsidP="00D1226E">
      <w:pPr>
        <w:pStyle w:val="Nadpis2"/>
        <w:ind w:left="810" w:firstLine="0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Soubor </w:t>
      </w:r>
      <w:proofErr w:type="spellStart"/>
      <w:r w:rsidRPr="00525654">
        <w:rPr>
          <w:color w:val="auto"/>
          <w:sz w:val="24"/>
          <w:szCs w:val="24"/>
        </w:rPr>
        <w:t>předpokládáných</w:t>
      </w:r>
      <w:proofErr w:type="spellEnd"/>
      <w:r w:rsidRPr="00525654">
        <w:rPr>
          <w:color w:val="auto"/>
          <w:sz w:val="24"/>
          <w:szCs w:val="24"/>
        </w:rPr>
        <w:t xml:space="preserve"> vědomostí, dovedností, schopností, postojů a hodnot.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D1226E">
      <w:pPr>
        <w:pStyle w:val="Nadpis2"/>
        <w:numPr>
          <w:ilvl w:val="0"/>
          <w:numId w:val="16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Kompetence k učení.</w:t>
      </w:r>
    </w:p>
    <w:p w:rsidR="00525654" w:rsidRPr="00525654" w:rsidRDefault="00525654" w:rsidP="00D1226E">
      <w:pPr>
        <w:pStyle w:val="Nadpis2"/>
        <w:numPr>
          <w:ilvl w:val="0"/>
          <w:numId w:val="16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Kompetence k řešení problémů.</w:t>
      </w:r>
    </w:p>
    <w:p w:rsidR="00525654" w:rsidRPr="00525654" w:rsidRDefault="00525654" w:rsidP="00D1226E">
      <w:pPr>
        <w:pStyle w:val="Nadpis2"/>
        <w:numPr>
          <w:ilvl w:val="0"/>
          <w:numId w:val="16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Kompetence komunikativní.</w:t>
      </w:r>
    </w:p>
    <w:p w:rsidR="00525654" w:rsidRPr="00525654" w:rsidRDefault="00525654" w:rsidP="00D1226E">
      <w:pPr>
        <w:pStyle w:val="Nadpis2"/>
        <w:numPr>
          <w:ilvl w:val="0"/>
          <w:numId w:val="16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Kompetence sociální a personální.</w:t>
      </w:r>
    </w:p>
    <w:p w:rsidR="00525654" w:rsidRPr="00525654" w:rsidRDefault="00525654" w:rsidP="00D1226E">
      <w:pPr>
        <w:pStyle w:val="Nadpis2"/>
        <w:numPr>
          <w:ilvl w:val="0"/>
          <w:numId w:val="16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Kompetence činnostní a občanské.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D1226E" w:rsidRDefault="00525654" w:rsidP="00525654">
      <w:pPr>
        <w:pStyle w:val="Nadpis1"/>
        <w:ind w:left="0" w:firstLine="0"/>
        <w:rPr>
          <w:b/>
          <w:color w:val="auto"/>
          <w:sz w:val="24"/>
          <w:szCs w:val="24"/>
          <w:u w:val="single"/>
        </w:rPr>
      </w:pPr>
      <w:r w:rsidRPr="00D1226E">
        <w:rPr>
          <w:b/>
          <w:color w:val="auto"/>
          <w:sz w:val="24"/>
          <w:szCs w:val="24"/>
          <w:u w:val="single"/>
        </w:rPr>
        <w:lastRenderedPageBreak/>
        <w:t xml:space="preserve">Vzdělávací obsah </w:t>
      </w:r>
    </w:p>
    <w:p w:rsidR="00525654" w:rsidRPr="00525654" w:rsidRDefault="00525654" w:rsidP="00525654">
      <w:pPr>
        <w:pStyle w:val="Nadpis2"/>
        <w:numPr>
          <w:ilvl w:val="0"/>
          <w:numId w:val="12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Učivo</w:t>
      </w:r>
    </w:p>
    <w:p w:rsidR="00525654" w:rsidRPr="00D1226E" w:rsidRDefault="00525654" w:rsidP="00D1226E">
      <w:pPr>
        <w:pStyle w:val="Nadpis2"/>
        <w:numPr>
          <w:ilvl w:val="0"/>
          <w:numId w:val="12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Očekávané výstupy (co dítě na konci období zpravidla dokáže)</w:t>
      </w:r>
    </w:p>
    <w:p w:rsidR="00525654" w:rsidRPr="00525654" w:rsidRDefault="00525654" w:rsidP="00D1226E">
      <w:pPr>
        <w:pStyle w:val="Nadpis2"/>
        <w:numPr>
          <w:ilvl w:val="0"/>
          <w:numId w:val="17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Dítě a jeho tělo. </w:t>
      </w:r>
    </w:p>
    <w:p w:rsidR="00525654" w:rsidRPr="00525654" w:rsidRDefault="00525654" w:rsidP="00D1226E">
      <w:pPr>
        <w:pStyle w:val="Nadpis2"/>
        <w:numPr>
          <w:ilvl w:val="0"/>
          <w:numId w:val="17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Dítě a jeho psychika. </w:t>
      </w:r>
    </w:p>
    <w:p w:rsidR="00525654" w:rsidRPr="00525654" w:rsidRDefault="00525654" w:rsidP="00D1226E">
      <w:pPr>
        <w:pStyle w:val="Nadpis2"/>
        <w:numPr>
          <w:ilvl w:val="0"/>
          <w:numId w:val="17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Dítě a ten druhý. </w:t>
      </w:r>
    </w:p>
    <w:p w:rsidR="00525654" w:rsidRPr="00525654" w:rsidRDefault="00525654" w:rsidP="00D1226E">
      <w:pPr>
        <w:pStyle w:val="Nadpis2"/>
        <w:numPr>
          <w:ilvl w:val="0"/>
          <w:numId w:val="17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Dítě a společnost. </w:t>
      </w:r>
    </w:p>
    <w:p w:rsidR="00525654" w:rsidRPr="00525654" w:rsidRDefault="00525654" w:rsidP="00D1226E">
      <w:pPr>
        <w:pStyle w:val="Nadpis2"/>
        <w:numPr>
          <w:ilvl w:val="0"/>
          <w:numId w:val="17"/>
        </w:numPr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Dítě a svět.</w:t>
      </w:r>
    </w:p>
    <w:p w:rsidR="00525654" w:rsidRPr="00525654" w:rsidRDefault="00525654" w:rsidP="00525654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525654" w:rsidRPr="00525654" w:rsidRDefault="00525654" w:rsidP="00D1226E">
      <w:pPr>
        <w:pStyle w:val="Nadpis2"/>
        <w:numPr>
          <w:ilvl w:val="0"/>
          <w:numId w:val="17"/>
        </w:numPr>
        <w:jc w:val="both"/>
        <w:rPr>
          <w:b/>
          <w:bCs/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</w:rPr>
        <w:t xml:space="preserve">Podmínky pro </w:t>
      </w:r>
      <w:r w:rsidR="00D1226E">
        <w:rPr>
          <w:b/>
          <w:bCs/>
          <w:color w:val="auto"/>
          <w:sz w:val="24"/>
          <w:szCs w:val="24"/>
        </w:rPr>
        <w:t xml:space="preserve">předškolní </w:t>
      </w:r>
      <w:r w:rsidRPr="00525654">
        <w:rPr>
          <w:b/>
          <w:bCs/>
          <w:color w:val="auto"/>
          <w:sz w:val="24"/>
          <w:szCs w:val="24"/>
        </w:rPr>
        <w:t>vzdělávání dětí se zdravotním znevýhodněním a zdravotním postižením.</w:t>
      </w:r>
    </w:p>
    <w:p w:rsidR="00525654" w:rsidRPr="00525654" w:rsidRDefault="00525654" w:rsidP="00525654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25654" w:rsidRPr="00525654" w:rsidRDefault="00525654" w:rsidP="00D1226E">
      <w:pPr>
        <w:pStyle w:val="Nadpis2"/>
        <w:numPr>
          <w:ilvl w:val="0"/>
          <w:numId w:val="17"/>
        </w:numPr>
        <w:jc w:val="both"/>
        <w:rPr>
          <w:b/>
          <w:bCs/>
          <w:color w:val="auto"/>
          <w:sz w:val="24"/>
          <w:szCs w:val="24"/>
          <w:u w:val="single"/>
        </w:rPr>
      </w:pPr>
      <w:r w:rsidRPr="00525654">
        <w:rPr>
          <w:b/>
          <w:bCs/>
          <w:color w:val="auto"/>
          <w:sz w:val="24"/>
          <w:szCs w:val="24"/>
          <w:u w:val="single"/>
        </w:rPr>
        <w:t>U dětí s mentální retardací:</w:t>
      </w:r>
    </w:p>
    <w:p w:rsidR="00525654" w:rsidRPr="00525654" w:rsidRDefault="00525654" w:rsidP="00525654">
      <w:pPr>
        <w:pStyle w:val="Nadpis2"/>
        <w:ind w:left="540" w:hanging="540"/>
        <w:rPr>
          <w:color w:val="auto"/>
          <w:sz w:val="24"/>
          <w:szCs w:val="24"/>
        </w:rPr>
      </w:pPr>
    </w:p>
    <w:p w:rsidR="00525654" w:rsidRPr="00525654" w:rsidRDefault="00525654" w:rsidP="00D1226E">
      <w:pPr>
        <w:pStyle w:val="Nadpis2"/>
        <w:numPr>
          <w:ilvl w:val="0"/>
          <w:numId w:val="17"/>
        </w:numPr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je zajištěno osvojení specifických dovedností zaměřených na zvládnutí sebeobsluhy a základních hygienických návyků v úrovni odpovídající věku dítěte a stupni postižení, </w:t>
      </w:r>
    </w:p>
    <w:p w:rsidR="00525654" w:rsidRPr="00525654" w:rsidRDefault="00525654" w:rsidP="00D1226E">
      <w:pPr>
        <w:pStyle w:val="Nadpis2"/>
        <w:numPr>
          <w:ilvl w:val="0"/>
          <w:numId w:val="17"/>
        </w:numPr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jsou využívány vhodné kompenzační (technické a didaktické) pomůcky, </w:t>
      </w:r>
    </w:p>
    <w:p w:rsidR="00525654" w:rsidRPr="00525654" w:rsidRDefault="00525654" w:rsidP="00D1226E">
      <w:pPr>
        <w:pStyle w:val="Nadpis2"/>
        <w:numPr>
          <w:ilvl w:val="0"/>
          <w:numId w:val="17"/>
        </w:numPr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je zajištěna přítomnost asistenta (podle míry a stupně </w:t>
      </w:r>
      <w:proofErr w:type="gramStart"/>
      <w:r w:rsidRPr="00525654">
        <w:rPr>
          <w:color w:val="auto"/>
          <w:sz w:val="24"/>
          <w:szCs w:val="24"/>
        </w:rPr>
        <w:t>postižení,)</w:t>
      </w:r>
      <w:proofErr w:type="gramEnd"/>
      <w:r w:rsidRPr="00525654">
        <w:rPr>
          <w:color w:val="auto"/>
          <w:sz w:val="24"/>
          <w:szCs w:val="24"/>
        </w:rPr>
        <w:t xml:space="preserve"> </w:t>
      </w:r>
    </w:p>
    <w:p w:rsidR="00525654" w:rsidRPr="00D1226E" w:rsidRDefault="00525654" w:rsidP="00D1226E">
      <w:pPr>
        <w:pStyle w:val="Nadpis2"/>
        <w:numPr>
          <w:ilvl w:val="0"/>
          <w:numId w:val="17"/>
        </w:numPr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počet dětí ve třídě je snížen. </w:t>
      </w:r>
    </w:p>
    <w:p w:rsidR="00525654" w:rsidRPr="00525654" w:rsidRDefault="00525654" w:rsidP="00525654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25654" w:rsidRPr="00525654" w:rsidRDefault="00525654" w:rsidP="00525654">
      <w:pPr>
        <w:pStyle w:val="Nadpis2"/>
        <w:ind w:left="0" w:firstLine="0"/>
        <w:jc w:val="both"/>
        <w:rPr>
          <w:color w:val="auto"/>
          <w:sz w:val="24"/>
          <w:szCs w:val="24"/>
        </w:rPr>
      </w:pPr>
      <w:r w:rsidRPr="00525654">
        <w:rPr>
          <w:b/>
          <w:bCs/>
          <w:color w:val="auto"/>
          <w:sz w:val="24"/>
          <w:szCs w:val="24"/>
          <w:u w:val="single"/>
        </w:rPr>
        <w:t>U dětí s více vadami a autismem:</w:t>
      </w:r>
    </w:p>
    <w:p w:rsidR="00525654" w:rsidRPr="00525654" w:rsidRDefault="00525654" w:rsidP="00525654">
      <w:pPr>
        <w:pStyle w:val="Nadpis2"/>
        <w:ind w:left="540" w:hanging="540"/>
        <w:rPr>
          <w:color w:val="auto"/>
          <w:sz w:val="24"/>
          <w:szCs w:val="24"/>
        </w:rPr>
      </w:pPr>
    </w:p>
    <w:p w:rsidR="00525654" w:rsidRPr="00525654" w:rsidRDefault="00525654" w:rsidP="00D7498F">
      <w:pPr>
        <w:pStyle w:val="Nadpis2"/>
        <w:numPr>
          <w:ilvl w:val="0"/>
          <w:numId w:val="18"/>
        </w:numPr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je zajištěno osvojení specifických dovedností, zaměřených na sebeobsluhu, </w:t>
      </w:r>
    </w:p>
    <w:p w:rsidR="00525654" w:rsidRPr="00525654" w:rsidRDefault="00525654" w:rsidP="00D7498F">
      <w:pPr>
        <w:pStyle w:val="Nadpis2"/>
        <w:numPr>
          <w:ilvl w:val="0"/>
          <w:numId w:val="18"/>
        </w:numPr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vzdělávací prostředí je klidné a pro dítě podnětné, </w:t>
      </w:r>
    </w:p>
    <w:p w:rsidR="00525654" w:rsidRPr="00525654" w:rsidRDefault="00525654" w:rsidP="00D7498F">
      <w:pPr>
        <w:pStyle w:val="Nadpis2"/>
        <w:numPr>
          <w:ilvl w:val="0"/>
          <w:numId w:val="18"/>
        </w:numPr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je zajištěna přítomnost asistenta, </w:t>
      </w:r>
    </w:p>
    <w:p w:rsidR="00525654" w:rsidRPr="00525654" w:rsidRDefault="00525654" w:rsidP="00D7498F">
      <w:pPr>
        <w:pStyle w:val="Nadpis2"/>
        <w:numPr>
          <w:ilvl w:val="0"/>
          <w:numId w:val="18"/>
        </w:numPr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lastRenderedPageBreak/>
        <w:t xml:space="preserve">počet dětí ve třídě je snížen, </w:t>
      </w:r>
    </w:p>
    <w:p w:rsidR="00525654" w:rsidRPr="00525654" w:rsidRDefault="00525654" w:rsidP="00D7498F">
      <w:pPr>
        <w:pStyle w:val="Nadpis2"/>
        <w:numPr>
          <w:ilvl w:val="0"/>
          <w:numId w:val="18"/>
        </w:numPr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jsou využívány vhodné kompenzační (</w:t>
      </w:r>
      <w:r w:rsidR="007F05B3">
        <w:rPr>
          <w:color w:val="auto"/>
          <w:sz w:val="24"/>
          <w:szCs w:val="24"/>
        </w:rPr>
        <w:t>technické a didaktické) pomůcky</w:t>
      </w:r>
      <w:r w:rsidRPr="00525654">
        <w:rPr>
          <w:color w:val="auto"/>
          <w:sz w:val="24"/>
          <w:szCs w:val="24"/>
        </w:rPr>
        <w:t>,</w:t>
      </w:r>
    </w:p>
    <w:p w:rsidR="00525654" w:rsidRPr="00525654" w:rsidRDefault="00525654" w:rsidP="00D7498F">
      <w:pPr>
        <w:pStyle w:val="Nadpis2"/>
        <w:numPr>
          <w:ilvl w:val="0"/>
          <w:numId w:val="18"/>
        </w:numPr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jsou zajištěny další podmínky podle druhu a stupně postižení. </w:t>
      </w:r>
    </w:p>
    <w:p w:rsidR="00525654" w:rsidRPr="00525654" w:rsidRDefault="00525654" w:rsidP="007F05B3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525654" w:rsidRPr="00D7498F" w:rsidRDefault="00525654" w:rsidP="00525654">
      <w:pPr>
        <w:pStyle w:val="Nadpis1"/>
        <w:ind w:left="0" w:firstLine="0"/>
        <w:rPr>
          <w:b/>
          <w:color w:val="auto"/>
          <w:sz w:val="24"/>
          <w:szCs w:val="24"/>
        </w:rPr>
      </w:pPr>
      <w:r w:rsidRPr="00D7498F">
        <w:rPr>
          <w:b/>
          <w:color w:val="auto"/>
          <w:sz w:val="24"/>
          <w:szCs w:val="24"/>
        </w:rPr>
        <w:t>Poznámky k tvorbě školního</w:t>
      </w:r>
      <w:r w:rsidRPr="00D7498F">
        <w:rPr>
          <w:b/>
          <w:color w:val="auto"/>
          <w:sz w:val="24"/>
          <w:szCs w:val="24"/>
        </w:rPr>
        <w:br/>
        <w:t>vzdělávacího programu v MŠ speciální:</w:t>
      </w:r>
    </w:p>
    <w:p w:rsidR="00525654" w:rsidRPr="00525654" w:rsidRDefault="00525654" w:rsidP="00525654">
      <w:pPr>
        <w:pStyle w:val="Nadpis2"/>
        <w:numPr>
          <w:ilvl w:val="0"/>
          <w:numId w:val="7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měla by být dodržena společná obsahová struktura, </w:t>
      </w:r>
      <w:proofErr w:type="gramStart"/>
      <w:r w:rsidRPr="00525654">
        <w:rPr>
          <w:color w:val="auto"/>
          <w:sz w:val="24"/>
          <w:szCs w:val="24"/>
        </w:rPr>
        <w:t>resp.  stejné</w:t>
      </w:r>
      <w:proofErr w:type="gramEnd"/>
      <w:r w:rsidRPr="00525654">
        <w:rPr>
          <w:color w:val="auto"/>
          <w:sz w:val="24"/>
          <w:szCs w:val="24"/>
        </w:rPr>
        <w:t xml:space="preserve"> informační okruhy,  jako je tomu u programu běžné mateřské školy; </w:t>
      </w:r>
    </w:p>
    <w:p w:rsidR="00525654" w:rsidRPr="00525654" w:rsidRDefault="00525654" w:rsidP="00525654">
      <w:pPr>
        <w:pStyle w:val="Nadpis2"/>
        <w:numPr>
          <w:ilvl w:val="0"/>
          <w:numId w:val="7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ŠVP by měl být dostatečně otevřený a volný pro tvorbu třídních a individuálních vzdělávacích plánů;  </w:t>
      </w:r>
    </w:p>
    <w:p w:rsidR="00525654" w:rsidRPr="00525654" w:rsidRDefault="00525654" w:rsidP="00525654">
      <w:pPr>
        <w:pStyle w:val="Nadpis2"/>
        <w:numPr>
          <w:ilvl w:val="0"/>
          <w:numId w:val="7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 xml:space="preserve">vzdělávací cíle i nabídka by v ŠVP měly </w:t>
      </w:r>
      <w:proofErr w:type="gramStart"/>
      <w:r w:rsidRPr="00525654">
        <w:rPr>
          <w:color w:val="auto"/>
          <w:sz w:val="24"/>
          <w:szCs w:val="24"/>
        </w:rPr>
        <w:t>být  přizpůsobeny</w:t>
      </w:r>
      <w:proofErr w:type="gramEnd"/>
      <w:r w:rsidRPr="00525654">
        <w:rPr>
          <w:color w:val="auto"/>
          <w:sz w:val="24"/>
          <w:szCs w:val="24"/>
        </w:rPr>
        <w:t xml:space="preserve"> druhu a stupni postižení dětí a upraveny tak, aby vyhověly jejich specifickým potřebám a možnostem; </w:t>
      </w:r>
    </w:p>
    <w:p w:rsidR="008570EE" w:rsidRDefault="00525654" w:rsidP="008570EE">
      <w:pPr>
        <w:pStyle w:val="Nadpis2"/>
        <w:numPr>
          <w:ilvl w:val="0"/>
          <w:numId w:val="7"/>
        </w:numPr>
        <w:ind w:left="810" w:hanging="810"/>
        <w:jc w:val="both"/>
        <w:rPr>
          <w:color w:val="auto"/>
          <w:sz w:val="24"/>
          <w:szCs w:val="24"/>
        </w:rPr>
      </w:pPr>
      <w:r w:rsidRPr="00525654">
        <w:rPr>
          <w:color w:val="auto"/>
          <w:sz w:val="24"/>
          <w:szCs w:val="24"/>
        </w:rPr>
        <w:t>ŠVP by měl poskytovat maximální prostor pro pružnou, tvořivou, vynalézavou, improvizačně a kombinačně náročnou práci učitelky.</w:t>
      </w:r>
    </w:p>
    <w:p w:rsidR="007F05B3" w:rsidRPr="007F05B3" w:rsidRDefault="007F05B3" w:rsidP="007F05B3">
      <w:pPr>
        <w:rPr>
          <w:lang w:eastAsia="cs-CZ"/>
        </w:rPr>
      </w:pPr>
    </w:p>
    <w:p w:rsidR="00525654" w:rsidRPr="008570EE" w:rsidRDefault="00525654" w:rsidP="00525654">
      <w:pPr>
        <w:pStyle w:val="Nadpis1"/>
        <w:ind w:left="0" w:firstLine="0"/>
        <w:rPr>
          <w:b/>
          <w:color w:val="auto"/>
          <w:sz w:val="24"/>
          <w:szCs w:val="24"/>
          <w:u w:val="single"/>
        </w:rPr>
      </w:pPr>
      <w:r w:rsidRPr="008570EE">
        <w:rPr>
          <w:b/>
          <w:color w:val="auto"/>
          <w:sz w:val="24"/>
          <w:szCs w:val="24"/>
          <w:u w:val="single"/>
        </w:rPr>
        <w:t>ŠVP MŠ speciální pro děti se zdravotním postižením:</w:t>
      </w:r>
    </w:p>
    <w:p w:rsidR="00F821FA" w:rsidRPr="008570EE" w:rsidRDefault="007F05B3" w:rsidP="008570E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70EE">
        <w:rPr>
          <w:rFonts w:ascii="Times New Roman" w:hAnsi="Times New Roman" w:cs="Times New Roman"/>
          <w:sz w:val="24"/>
          <w:szCs w:val="24"/>
        </w:rPr>
        <w:t>Výběr učiva, který je možno dětem vzhledem k jejich postižení nabídnout. Naopak na některé učivo (témata, činnosti) může být kladen větší důraz.</w:t>
      </w:r>
    </w:p>
    <w:p w:rsidR="00F821FA" w:rsidRPr="008570EE" w:rsidRDefault="007F05B3" w:rsidP="008570E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70EE">
        <w:rPr>
          <w:rFonts w:ascii="Times New Roman" w:hAnsi="Times New Roman" w:cs="Times New Roman"/>
          <w:sz w:val="24"/>
          <w:szCs w:val="24"/>
        </w:rPr>
        <w:t xml:space="preserve">Zřejmě budou do programu zařazena i další témata a specifické činnosti. </w:t>
      </w:r>
    </w:p>
    <w:p w:rsidR="00F821FA" w:rsidRPr="008570EE" w:rsidRDefault="007F05B3" w:rsidP="008570E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70EE">
        <w:rPr>
          <w:rFonts w:ascii="Times New Roman" w:hAnsi="Times New Roman" w:cs="Times New Roman"/>
          <w:sz w:val="24"/>
          <w:szCs w:val="24"/>
        </w:rPr>
        <w:t xml:space="preserve">Důležitější než samotný výběr učiva je jeho přizpůsobení speciálním vzdělávacím potřebám dětí, a tedy jeho modifikace a úprava. </w:t>
      </w:r>
    </w:p>
    <w:p w:rsidR="00F821FA" w:rsidRPr="008570EE" w:rsidRDefault="007F05B3" w:rsidP="008570E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70EE">
        <w:rPr>
          <w:rFonts w:ascii="Times New Roman" w:hAnsi="Times New Roman" w:cs="Times New Roman"/>
          <w:sz w:val="24"/>
          <w:szCs w:val="24"/>
        </w:rPr>
        <w:lastRenderedPageBreak/>
        <w:t>Speciálně pedagogická péče.</w:t>
      </w:r>
    </w:p>
    <w:p w:rsidR="00F821FA" w:rsidRPr="008570EE" w:rsidRDefault="007F05B3" w:rsidP="008570E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70EE">
        <w:rPr>
          <w:rFonts w:ascii="Times New Roman" w:hAnsi="Times New Roman" w:cs="Times New Roman"/>
          <w:sz w:val="24"/>
          <w:szCs w:val="24"/>
        </w:rPr>
        <w:t>Specificky zaměřené projekty.</w:t>
      </w:r>
    </w:p>
    <w:p w:rsidR="00F821FA" w:rsidRPr="008570EE" w:rsidRDefault="007F05B3" w:rsidP="008570E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570EE">
        <w:rPr>
          <w:rFonts w:ascii="Times New Roman" w:hAnsi="Times New Roman" w:cs="Times New Roman"/>
          <w:sz w:val="24"/>
          <w:szCs w:val="24"/>
        </w:rPr>
        <w:t>Integrované bloky</w:t>
      </w:r>
    </w:p>
    <w:p w:rsidR="00D53F84" w:rsidRPr="00525654" w:rsidRDefault="00D53F84">
      <w:pPr>
        <w:rPr>
          <w:rFonts w:ascii="Times New Roman" w:hAnsi="Times New Roman" w:cs="Times New Roman"/>
          <w:sz w:val="24"/>
          <w:szCs w:val="24"/>
        </w:rPr>
      </w:pPr>
    </w:p>
    <w:sectPr w:rsidR="00D53F84" w:rsidRPr="00525654" w:rsidSect="0052565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24A0F6"/>
    <w:lvl w:ilvl="0">
      <w:numFmt w:val="bullet"/>
      <w:lvlText w:val="*"/>
      <w:lvlJc w:val="left"/>
    </w:lvl>
  </w:abstractNum>
  <w:abstractNum w:abstractNumId="1">
    <w:nsid w:val="075B6799"/>
    <w:multiLevelType w:val="hybridMultilevel"/>
    <w:tmpl w:val="4E50CE4C"/>
    <w:lvl w:ilvl="0" w:tplc="F51266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074F"/>
    <w:multiLevelType w:val="hybridMultilevel"/>
    <w:tmpl w:val="17381AC8"/>
    <w:lvl w:ilvl="0" w:tplc="F41EE5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0EC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63A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85F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887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8F6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43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A80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5EA6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B7672A"/>
    <w:multiLevelType w:val="hybridMultilevel"/>
    <w:tmpl w:val="E300FE92"/>
    <w:lvl w:ilvl="0" w:tplc="F512669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F970A6"/>
    <w:multiLevelType w:val="hybridMultilevel"/>
    <w:tmpl w:val="DF1E28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9F2A16"/>
    <w:multiLevelType w:val="hybridMultilevel"/>
    <w:tmpl w:val="AD54F2AA"/>
    <w:lvl w:ilvl="0" w:tplc="F512669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776297"/>
    <w:multiLevelType w:val="hybridMultilevel"/>
    <w:tmpl w:val="F724D8E0"/>
    <w:lvl w:ilvl="0" w:tplc="F512669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42"/>
        </w:rPr>
      </w:lvl>
    </w:lvlOverride>
  </w:num>
  <w:num w:numId="3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30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7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33"/>
        </w:rPr>
      </w:lvl>
    </w:lvlOverride>
  </w:num>
  <w:num w:numId="8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3"/>
        </w:rPr>
      </w:lvl>
    </w:lvlOverride>
  </w:num>
  <w:num w:numId="10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3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33"/>
        </w:rPr>
      </w:lvl>
    </w:lvlOverride>
  </w:num>
  <w:num w:numId="1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14">
    <w:abstractNumId w:val="4"/>
  </w:num>
  <w:num w:numId="15">
    <w:abstractNumId w:val="5"/>
  </w:num>
  <w:num w:numId="16">
    <w:abstractNumId w:val="3"/>
  </w:num>
  <w:num w:numId="17">
    <w:abstractNumId w:val="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54"/>
    <w:rsid w:val="00525654"/>
    <w:rsid w:val="007F05B3"/>
    <w:rsid w:val="008570EE"/>
    <w:rsid w:val="00D1226E"/>
    <w:rsid w:val="00D53F84"/>
    <w:rsid w:val="00D7498F"/>
    <w:rsid w:val="00F821FA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654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Theme="minorEastAsia" w:hAnsi="Times New Roman" w:cs="Times New Roman"/>
      <w:color w:val="000000"/>
      <w:sz w:val="56"/>
      <w:szCs w:val="56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25654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Theme="minorEastAsia" w:hAnsi="Times New Roman" w:cs="Times New Roman"/>
      <w:color w:val="000000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654"/>
    <w:rPr>
      <w:rFonts w:ascii="Times New Roman" w:eastAsiaTheme="minorEastAsia" w:hAnsi="Times New Roman" w:cs="Times New Roman"/>
      <w:color w:val="000000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25654"/>
    <w:rPr>
      <w:rFonts w:ascii="Times New Roman" w:eastAsiaTheme="minorEastAsia" w:hAnsi="Times New Roman" w:cs="Times New Roman"/>
      <w:color w:val="000000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654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Theme="minorEastAsia" w:hAnsi="Times New Roman" w:cs="Times New Roman"/>
      <w:color w:val="000000"/>
      <w:sz w:val="56"/>
      <w:szCs w:val="56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25654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Theme="minorEastAsia" w:hAnsi="Times New Roman" w:cs="Times New Roman"/>
      <w:color w:val="000000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654"/>
    <w:rPr>
      <w:rFonts w:ascii="Times New Roman" w:eastAsiaTheme="minorEastAsia" w:hAnsi="Times New Roman" w:cs="Times New Roman"/>
      <w:color w:val="000000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25654"/>
    <w:rPr>
      <w:rFonts w:ascii="Times New Roman" w:eastAsiaTheme="minorEastAsia" w:hAnsi="Times New Roman" w:cs="Times New Roman"/>
      <w:color w:val="000000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588">
          <w:marLeft w:val="80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772">
          <w:marLeft w:val="80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94">
          <w:marLeft w:val="80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576">
          <w:marLeft w:val="80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816">
          <w:marLeft w:val="80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733">
          <w:marLeft w:val="80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</dc:creator>
  <cp:lastModifiedBy>Chaloupkova</cp:lastModifiedBy>
  <cp:revision>4</cp:revision>
  <dcterms:created xsi:type="dcterms:W3CDTF">2014-11-03T12:54:00Z</dcterms:created>
  <dcterms:modified xsi:type="dcterms:W3CDTF">2016-04-14T11:30:00Z</dcterms:modified>
</cp:coreProperties>
</file>