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b/>
          <w:bCs/>
          <w:i/>
          <w:iCs/>
          <w:color w:val="000000" w:themeColor="text1"/>
          <w:sz w:val="24"/>
          <w:szCs w:val="24"/>
        </w:rPr>
        <w:t>Rámcový vzdělávací program pro základní vzdělávání (RVP ZV) s přílohou upravující vzdělávání žáků s lehkým mentálním postižením (RVP ZV - LMP):</w:t>
      </w:r>
      <w:r w:rsidRPr="00354783">
        <w:rPr>
          <w:color w:val="000000" w:themeColor="text1"/>
          <w:sz w:val="24"/>
          <w:szCs w:val="24"/>
        </w:rPr>
        <w:t xml:space="preserve"> </w:t>
      </w:r>
    </w:p>
    <w:p w:rsidR="00354783" w:rsidRPr="00354783" w:rsidRDefault="00354783" w:rsidP="00354783">
      <w:pPr>
        <w:pStyle w:val="Nadpis2"/>
        <w:ind w:left="540" w:hanging="54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b/>
          <w:bCs/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 xml:space="preserve">Od </w:t>
      </w:r>
      <w:proofErr w:type="gramStart"/>
      <w:r w:rsidRPr="00354783">
        <w:rPr>
          <w:b/>
          <w:bCs/>
          <w:color w:val="000000" w:themeColor="text1"/>
          <w:sz w:val="24"/>
          <w:szCs w:val="24"/>
        </w:rPr>
        <w:t>1.9. 2007</w:t>
      </w:r>
      <w:proofErr w:type="gramEnd"/>
      <w:r w:rsidRPr="00354783">
        <w:rPr>
          <w:b/>
          <w:bCs/>
          <w:color w:val="000000" w:themeColor="text1"/>
          <w:sz w:val="24"/>
          <w:szCs w:val="24"/>
        </w:rPr>
        <w:t xml:space="preserve"> v 1. a 6. ročníku.</w:t>
      </w:r>
    </w:p>
    <w:p w:rsidR="00354783" w:rsidRPr="00354783" w:rsidRDefault="00354783" w:rsidP="00354783">
      <w:pPr>
        <w:pStyle w:val="Nadpis2"/>
        <w:ind w:left="0" w:hanging="540"/>
        <w:jc w:val="both"/>
        <w:rPr>
          <w:i/>
          <w:iCs/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1"/>
        <w:numPr>
          <w:ilvl w:val="0"/>
          <w:numId w:val="11"/>
        </w:numPr>
        <w:rPr>
          <w:b/>
          <w:bCs/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>RVP ZV – LMP: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 xml:space="preserve">Příloha Rámcového vzdělávacího programu pro základní vzdělávání upravující vzdělávání žáků s lehkým mentálním postižením (RVP ZV – LMP) </w:t>
      </w:r>
      <w:r w:rsidRPr="00354783">
        <w:rPr>
          <w:color w:val="000000" w:themeColor="text1"/>
          <w:sz w:val="24"/>
          <w:szCs w:val="24"/>
        </w:rPr>
        <w:t xml:space="preserve">z roku 2005 představuje modifikaci RVP ZV, která respektuje sníženou úroveň rozumových schopností a odlišné fyzické a pracovní předpoklady žáků s lehkým mentálním postižením. </w:t>
      </w:r>
    </w:p>
    <w:p w:rsidR="00354783" w:rsidRPr="00354783" w:rsidRDefault="00354783" w:rsidP="00354783">
      <w:pPr>
        <w:pStyle w:val="Nadpis2"/>
        <w:ind w:left="0" w:firstLine="0"/>
        <w:jc w:val="both"/>
        <w:rPr>
          <w:i/>
          <w:iCs/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1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354783">
        <w:rPr>
          <w:color w:val="000000" w:themeColor="text1"/>
          <w:sz w:val="24"/>
          <w:szCs w:val="24"/>
        </w:rPr>
        <w:t xml:space="preserve">ZŠ praktická podle </w:t>
      </w:r>
      <w:r w:rsidRPr="00354783">
        <w:rPr>
          <w:color w:val="000000" w:themeColor="text1"/>
          <w:sz w:val="24"/>
          <w:szCs w:val="24"/>
        </w:rPr>
        <w:br/>
        <w:t>RVP ZV - LMP: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color w:val="000000" w:themeColor="text1"/>
          <w:sz w:val="24"/>
          <w:szCs w:val="24"/>
        </w:rPr>
        <w:t xml:space="preserve">Povinná školní docházka </w:t>
      </w:r>
      <w:r w:rsidRPr="00354783">
        <w:rPr>
          <w:b/>
          <w:bCs/>
          <w:color w:val="000000" w:themeColor="text1"/>
          <w:sz w:val="24"/>
          <w:szCs w:val="24"/>
        </w:rPr>
        <w:t>9 let</w:t>
      </w:r>
      <w:r w:rsidRPr="00354783">
        <w:rPr>
          <w:color w:val="000000" w:themeColor="text1"/>
          <w:sz w:val="24"/>
          <w:szCs w:val="24"/>
        </w:rPr>
        <w:t>.</w:t>
      </w:r>
    </w:p>
    <w:p w:rsidR="00354783" w:rsidRPr="00354783" w:rsidRDefault="00354783" w:rsidP="00354783">
      <w:pPr>
        <w:pStyle w:val="Nadpis2"/>
        <w:ind w:left="540" w:hanging="54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354783">
        <w:rPr>
          <w:b/>
          <w:bCs/>
          <w:color w:val="000000" w:themeColor="text1"/>
          <w:sz w:val="24"/>
          <w:szCs w:val="24"/>
          <w:u w:val="single"/>
        </w:rPr>
        <w:t>2. stupně:</w:t>
      </w:r>
    </w:p>
    <w:p w:rsidR="00354783" w:rsidRPr="00354783" w:rsidRDefault="00354783" w:rsidP="00354783">
      <w:pPr>
        <w:pStyle w:val="Nadpis2"/>
        <w:ind w:left="540" w:hanging="54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>1. stupeň</w:t>
      </w:r>
      <w:r w:rsidRPr="00354783">
        <w:rPr>
          <w:color w:val="000000" w:themeColor="text1"/>
          <w:sz w:val="24"/>
          <w:szCs w:val="24"/>
        </w:rPr>
        <w:t xml:space="preserve"> (1. – 5. ročník)</w:t>
      </w:r>
    </w:p>
    <w:p w:rsidR="00354783" w:rsidRPr="00354783" w:rsidRDefault="00354783" w:rsidP="00354783">
      <w:pPr>
        <w:pStyle w:val="Nadpis2"/>
        <w:ind w:left="540" w:hanging="54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color w:val="000000" w:themeColor="text1"/>
          <w:sz w:val="24"/>
          <w:szCs w:val="24"/>
        </w:rPr>
        <w:t xml:space="preserve">1. období (1. – 3. ročník) 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color w:val="000000" w:themeColor="text1"/>
          <w:sz w:val="24"/>
          <w:szCs w:val="24"/>
        </w:rPr>
        <w:t xml:space="preserve">2. období (4. – 5. ročník) </w:t>
      </w:r>
    </w:p>
    <w:p w:rsidR="00354783" w:rsidRPr="00354783" w:rsidRDefault="00354783" w:rsidP="00354783">
      <w:pPr>
        <w:pStyle w:val="Nadpis2"/>
        <w:ind w:left="540" w:hanging="54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b/>
          <w:bCs/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 xml:space="preserve">2. stupeň </w:t>
      </w:r>
      <w:r w:rsidRPr="00354783">
        <w:rPr>
          <w:color w:val="000000" w:themeColor="text1"/>
          <w:sz w:val="24"/>
          <w:szCs w:val="24"/>
        </w:rPr>
        <w:t>(6. – 9. ročník)</w:t>
      </w:r>
    </w:p>
    <w:p w:rsidR="00354783" w:rsidRPr="00354783" w:rsidRDefault="00354783" w:rsidP="00354783">
      <w:pPr>
        <w:pStyle w:val="Nadpis2"/>
        <w:ind w:left="0" w:firstLine="0"/>
        <w:jc w:val="both"/>
        <w:rPr>
          <w:color w:val="000000" w:themeColor="text1"/>
          <w:sz w:val="24"/>
          <w:szCs w:val="24"/>
        </w:rPr>
      </w:pPr>
    </w:p>
    <w:p w:rsidR="00354783" w:rsidRDefault="00354783" w:rsidP="00354783">
      <w:pPr>
        <w:pStyle w:val="Nadpis2"/>
        <w:ind w:left="810" w:hanging="810"/>
        <w:jc w:val="both"/>
        <w:rPr>
          <w:color w:val="000000" w:themeColor="text1"/>
          <w:sz w:val="24"/>
          <w:szCs w:val="24"/>
        </w:rPr>
      </w:pPr>
    </w:p>
    <w:p w:rsidR="00354783" w:rsidRDefault="00354783" w:rsidP="00354783">
      <w:pPr>
        <w:rPr>
          <w:lang w:eastAsia="cs-CZ"/>
        </w:rPr>
      </w:pPr>
    </w:p>
    <w:p w:rsidR="00354783" w:rsidRPr="00354783" w:rsidRDefault="00354783" w:rsidP="00354783">
      <w:pPr>
        <w:rPr>
          <w:lang w:eastAsia="cs-CZ"/>
        </w:rPr>
      </w:pP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b/>
          <w:bCs/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lastRenderedPageBreak/>
        <w:t>KLÍČOVÉ KOMPETENCE:</w:t>
      </w:r>
    </w:p>
    <w:p w:rsidR="00354783" w:rsidRPr="00354783" w:rsidRDefault="00354783" w:rsidP="00354783">
      <w:pPr>
        <w:pStyle w:val="Nadpis2"/>
        <w:ind w:left="540" w:hanging="54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color w:val="000000" w:themeColor="text1"/>
          <w:sz w:val="24"/>
          <w:szCs w:val="24"/>
        </w:rPr>
        <w:t>souhrn vědomostí, dovedností, schopností, postojů a hodnot, důležitých pro rozvoj osobnosti a zapojení do běžného života. Klíčové kompetence tvoří základ pro celoživotní učení žáka a jeho vstup do pracovního procesu. Musí odpovídat individuálním potřebám žáka a vzájemně na sebe navazovat.</w:t>
      </w:r>
    </w:p>
    <w:p w:rsidR="00354783" w:rsidRPr="00354783" w:rsidRDefault="00354783" w:rsidP="00354783">
      <w:pPr>
        <w:pStyle w:val="Nadpis2"/>
        <w:ind w:left="540" w:hanging="54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color w:val="000000" w:themeColor="text1"/>
          <w:sz w:val="24"/>
          <w:szCs w:val="24"/>
        </w:rPr>
        <w:t xml:space="preserve">Kompetence k učení. 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color w:val="000000" w:themeColor="text1"/>
          <w:sz w:val="24"/>
          <w:szCs w:val="24"/>
        </w:rPr>
        <w:t xml:space="preserve">Kompetence k řešení problémů. 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354783">
        <w:rPr>
          <w:b/>
          <w:bCs/>
          <w:i/>
          <w:iCs/>
          <w:color w:val="000000" w:themeColor="text1"/>
          <w:sz w:val="24"/>
          <w:szCs w:val="24"/>
        </w:rPr>
        <w:t xml:space="preserve">Kompetence komunikativní. 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354783">
        <w:rPr>
          <w:b/>
          <w:bCs/>
          <w:i/>
          <w:iCs/>
          <w:color w:val="000000" w:themeColor="text1"/>
          <w:sz w:val="24"/>
          <w:szCs w:val="24"/>
        </w:rPr>
        <w:t xml:space="preserve">Kompetence sociální a personální. 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color w:val="000000" w:themeColor="text1"/>
          <w:sz w:val="24"/>
          <w:szCs w:val="24"/>
        </w:rPr>
        <w:t xml:space="preserve">Kompetence občanské. 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  <w:r w:rsidRPr="00354783">
        <w:rPr>
          <w:b/>
          <w:bCs/>
          <w:i/>
          <w:iCs/>
          <w:color w:val="000000" w:themeColor="text1"/>
          <w:sz w:val="24"/>
          <w:szCs w:val="24"/>
        </w:rPr>
        <w:t>Kompetence pracovní.</w:t>
      </w:r>
    </w:p>
    <w:p w:rsidR="00354783" w:rsidRPr="00354783" w:rsidRDefault="00354783" w:rsidP="00354783">
      <w:pPr>
        <w:pStyle w:val="Nadpis2"/>
        <w:ind w:left="540" w:hanging="54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ind w:left="540" w:hanging="54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>VZDĚLÁVACÍ OBLASTI (9) a příslušné vzdělávací obory: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>Jazyk a jazyková komunikace</w:t>
      </w:r>
      <w:r w:rsidRPr="00354783">
        <w:rPr>
          <w:color w:val="000000" w:themeColor="text1"/>
          <w:sz w:val="24"/>
          <w:szCs w:val="24"/>
        </w:rPr>
        <w:t xml:space="preserve"> (</w:t>
      </w:r>
      <w:r w:rsidRPr="00354783">
        <w:rPr>
          <w:i/>
          <w:iCs/>
          <w:color w:val="000000" w:themeColor="text1"/>
          <w:sz w:val="24"/>
          <w:szCs w:val="24"/>
        </w:rPr>
        <w:t>Český jazyk a literatura, Cizí jazyk</w:t>
      </w:r>
      <w:r w:rsidRPr="00354783">
        <w:rPr>
          <w:color w:val="000000" w:themeColor="text1"/>
          <w:sz w:val="24"/>
          <w:szCs w:val="24"/>
        </w:rPr>
        <w:t>).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>Matematika a její aplikace</w:t>
      </w:r>
      <w:r w:rsidRPr="00354783">
        <w:rPr>
          <w:color w:val="000000" w:themeColor="text1"/>
          <w:sz w:val="24"/>
          <w:szCs w:val="24"/>
        </w:rPr>
        <w:t xml:space="preserve"> (</w:t>
      </w:r>
      <w:r w:rsidRPr="00354783">
        <w:rPr>
          <w:i/>
          <w:iCs/>
          <w:color w:val="000000" w:themeColor="text1"/>
          <w:sz w:val="24"/>
          <w:szCs w:val="24"/>
        </w:rPr>
        <w:t>Matematika a její aplikace).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>Informační a komunikační technologie</w:t>
      </w:r>
      <w:r w:rsidRPr="00354783">
        <w:rPr>
          <w:color w:val="000000" w:themeColor="text1"/>
          <w:sz w:val="24"/>
          <w:szCs w:val="24"/>
        </w:rPr>
        <w:t xml:space="preserve"> (</w:t>
      </w:r>
      <w:r w:rsidRPr="00354783">
        <w:rPr>
          <w:i/>
          <w:iCs/>
          <w:color w:val="000000" w:themeColor="text1"/>
          <w:sz w:val="24"/>
          <w:szCs w:val="24"/>
        </w:rPr>
        <w:t>Informační a komunikační technologie</w:t>
      </w:r>
      <w:r w:rsidRPr="00354783">
        <w:rPr>
          <w:color w:val="000000" w:themeColor="text1"/>
          <w:sz w:val="24"/>
          <w:szCs w:val="24"/>
        </w:rPr>
        <w:t xml:space="preserve">). 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>Člověk a jeho svět</w:t>
      </w:r>
      <w:r w:rsidRPr="00354783">
        <w:rPr>
          <w:color w:val="000000" w:themeColor="text1"/>
          <w:sz w:val="24"/>
          <w:szCs w:val="24"/>
        </w:rPr>
        <w:t xml:space="preserve"> (</w:t>
      </w:r>
      <w:r w:rsidRPr="00354783">
        <w:rPr>
          <w:i/>
          <w:iCs/>
          <w:color w:val="000000" w:themeColor="text1"/>
          <w:sz w:val="24"/>
          <w:szCs w:val="24"/>
        </w:rPr>
        <w:t>Člověk a jeho svět</w:t>
      </w:r>
      <w:r w:rsidRPr="00354783">
        <w:rPr>
          <w:color w:val="000000" w:themeColor="text1"/>
          <w:sz w:val="24"/>
          <w:szCs w:val="24"/>
        </w:rPr>
        <w:t>).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>Člověk a společnost</w:t>
      </w:r>
      <w:r w:rsidRPr="00354783">
        <w:rPr>
          <w:color w:val="000000" w:themeColor="text1"/>
          <w:sz w:val="24"/>
          <w:szCs w:val="24"/>
        </w:rPr>
        <w:t xml:space="preserve"> (</w:t>
      </w:r>
      <w:r w:rsidRPr="00354783">
        <w:rPr>
          <w:i/>
          <w:iCs/>
          <w:color w:val="000000" w:themeColor="text1"/>
          <w:sz w:val="24"/>
          <w:szCs w:val="24"/>
        </w:rPr>
        <w:t>Dějepis, Výchova k občanství</w:t>
      </w:r>
      <w:r w:rsidRPr="00354783">
        <w:rPr>
          <w:color w:val="000000" w:themeColor="text1"/>
          <w:sz w:val="24"/>
          <w:szCs w:val="24"/>
        </w:rPr>
        <w:t xml:space="preserve">). 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>Člověk a příroda</w:t>
      </w:r>
      <w:r w:rsidRPr="00354783">
        <w:rPr>
          <w:color w:val="000000" w:themeColor="text1"/>
          <w:sz w:val="24"/>
          <w:szCs w:val="24"/>
        </w:rPr>
        <w:t xml:space="preserve"> (</w:t>
      </w:r>
      <w:r w:rsidRPr="00354783">
        <w:rPr>
          <w:i/>
          <w:iCs/>
          <w:color w:val="000000" w:themeColor="text1"/>
          <w:sz w:val="24"/>
          <w:szCs w:val="24"/>
        </w:rPr>
        <w:t>Fyzika, Chemie, Přírodopis, Zeměpis</w:t>
      </w:r>
      <w:r w:rsidRPr="00354783">
        <w:rPr>
          <w:color w:val="000000" w:themeColor="text1"/>
          <w:sz w:val="24"/>
          <w:szCs w:val="24"/>
        </w:rPr>
        <w:t>).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>Umění a kultura</w:t>
      </w:r>
      <w:r w:rsidRPr="00354783">
        <w:rPr>
          <w:color w:val="000000" w:themeColor="text1"/>
          <w:sz w:val="24"/>
          <w:szCs w:val="24"/>
        </w:rPr>
        <w:t xml:space="preserve"> (</w:t>
      </w:r>
      <w:r w:rsidRPr="00354783">
        <w:rPr>
          <w:i/>
          <w:iCs/>
          <w:color w:val="000000" w:themeColor="text1"/>
          <w:sz w:val="24"/>
          <w:szCs w:val="24"/>
        </w:rPr>
        <w:t>Hudební výchova, Výtvarná výchova</w:t>
      </w:r>
      <w:r w:rsidRPr="00354783">
        <w:rPr>
          <w:color w:val="000000" w:themeColor="text1"/>
          <w:sz w:val="24"/>
          <w:szCs w:val="24"/>
        </w:rPr>
        <w:t>).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>Člověk a zdraví</w:t>
      </w:r>
      <w:r w:rsidRPr="00354783">
        <w:rPr>
          <w:color w:val="000000" w:themeColor="text1"/>
          <w:sz w:val="24"/>
          <w:szCs w:val="24"/>
        </w:rPr>
        <w:t xml:space="preserve"> (</w:t>
      </w:r>
      <w:r w:rsidRPr="00354783">
        <w:rPr>
          <w:i/>
          <w:iCs/>
          <w:color w:val="000000" w:themeColor="text1"/>
          <w:sz w:val="24"/>
          <w:szCs w:val="24"/>
        </w:rPr>
        <w:t>Výchova ke zdraví, Tělesná výchova</w:t>
      </w:r>
      <w:r w:rsidRPr="00354783">
        <w:rPr>
          <w:color w:val="000000" w:themeColor="text1"/>
          <w:sz w:val="24"/>
          <w:szCs w:val="24"/>
        </w:rPr>
        <w:t>).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>Člověk a svět práce</w:t>
      </w:r>
      <w:r w:rsidRPr="00354783">
        <w:rPr>
          <w:color w:val="000000" w:themeColor="text1"/>
          <w:sz w:val="24"/>
          <w:szCs w:val="24"/>
        </w:rPr>
        <w:t xml:space="preserve"> (</w:t>
      </w:r>
      <w:r w:rsidRPr="00354783">
        <w:rPr>
          <w:i/>
          <w:iCs/>
          <w:color w:val="000000" w:themeColor="text1"/>
          <w:sz w:val="24"/>
          <w:szCs w:val="24"/>
        </w:rPr>
        <w:t>Člověk a svět práce</w:t>
      </w:r>
      <w:r w:rsidRPr="00354783">
        <w:rPr>
          <w:color w:val="000000" w:themeColor="text1"/>
          <w:sz w:val="24"/>
          <w:szCs w:val="24"/>
        </w:rPr>
        <w:t>).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b/>
          <w:bCs/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>Doplňující vzdělávací oblasti.</w:t>
      </w:r>
    </w:p>
    <w:p w:rsidR="00354783" w:rsidRPr="00354783" w:rsidRDefault="00354783" w:rsidP="00354783">
      <w:pPr>
        <w:pStyle w:val="Nadpis2"/>
        <w:ind w:left="540" w:hanging="54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ind w:left="540" w:hanging="54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ind w:left="540" w:hanging="540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ind w:left="540" w:hanging="540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b/>
          <w:bCs/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>PR</w:t>
      </w:r>
      <w:r w:rsidRPr="00354783">
        <w:rPr>
          <w:rFonts w:eastAsia="Times New Roman"/>
          <w:b/>
          <w:bCs/>
          <w:color w:val="000000" w:themeColor="text1"/>
          <w:sz w:val="24"/>
          <w:szCs w:val="24"/>
        </w:rPr>
        <w:t>ŮŘEZOVÁ TÉMATA (6)</w:t>
      </w:r>
      <w:r w:rsidRPr="00354783">
        <w:rPr>
          <w:b/>
          <w:bCs/>
          <w:color w:val="000000" w:themeColor="text1"/>
          <w:sz w:val="24"/>
          <w:szCs w:val="24"/>
        </w:rPr>
        <w:t>:</w:t>
      </w:r>
    </w:p>
    <w:p w:rsidR="00354783" w:rsidRPr="00354783" w:rsidRDefault="00354783" w:rsidP="00354783">
      <w:pPr>
        <w:pStyle w:val="Nadpis2"/>
        <w:ind w:left="540" w:hanging="54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color w:val="000000" w:themeColor="text1"/>
          <w:sz w:val="24"/>
          <w:szCs w:val="24"/>
        </w:rPr>
        <w:t xml:space="preserve">Jedná se o důležitý formativní prvek základního vzdělávání se silným výchovným aspektem, jež napomáhá rozvíjet osobnost žáka s lehkým mentálním postižením, a to především v oblasti postojů a hodnot. </w:t>
      </w:r>
    </w:p>
    <w:p w:rsidR="00354783" w:rsidRPr="00354783" w:rsidRDefault="00354783" w:rsidP="00354783">
      <w:pPr>
        <w:pStyle w:val="Nadpis2"/>
        <w:ind w:left="540" w:hanging="540"/>
        <w:jc w:val="both"/>
        <w:rPr>
          <w:i/>
          <w:iCs/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b/>
          <w:bCs/>
          <w:color w:val="000000" w:themeColor="text1"/>
          <w:sz w:val="24"/>
          <w:szCs w:val="24"/>
        </w:rPr>
      </w:pPr>
      <w:r w:rsidRPr="00354783">
        <w:rPr>
          <w:b/>
          <w:bCs/>
          <w:i/>
          <w:iCs/>
          <w:color w:val="000000" w:themeColor="text1"/>
          <w:sz w:val="24"/>
          <w:szCs w:val="24"/>
        </w:rPr>
        <w:t>Osobnostní a sociální výchova.</w:t>
      </w:r>
      <w:r w:rsidRPr="00354783">
        <w:rPr>
          <w:b/>
          <w:bCs/>
          <w:color w:val="000000" w:themeColor="text1"/>
          <w:sz w:val="24"/>
          <w:szCs w:val="24"/>
        </w:rPr>
        <w:t xml:space="preserve"> 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b/>
          <w:bCs/>
          <w:color w:val="000000" w:themeColor="text1"/>
          <w:sz w:val="24"/>
          <w:szCs w:val="24"/>
        </w:rPr>
      </w:pPr>
      <w:r w:rsidRPr="00354783">
        <w:rPr>
          <w:b/>
          <w:bCs/>
          <w:i/>
          <w:iCs/>
          <w:color w:val="000000" w:themeColor="text1"/>
          <w:sz w:val="24"/>
          <w:szCs w:val="24"/>
        </w:rPr>
        <w:t>Výchova demokratického občana.</w:t>
      </w:r>
      <w:r w:rsidRPr="00354783">
        <w:rPr>
          <w:b/>
          <w:bCs/>
          <w:color w:val="000000" w:themeColor="text1"/>
          <w:sz w:val="24"/>
          <w:szCs w:val="24"/>
        </w:rPr>
        <w:t xml:space="preserve"> 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b/>
          <w:bCs/>
          <w:color w:val="000000" w:themeColor="text1"/>
          <w:sz w:val="24"/>
          <w:szCs w:val="24"/>
        </w:rPr>
      </w:pPr>
      <w:r w:rsidRPr="00354783">
        <w:rPr>
          <w:b/>
          <w:bCs/>
          <w:i/>
          <w:iCs/>
          <w:color w:val="000000" w:themeColor="text1"/>
          <w:sz w:val="24"/>
          <w:szCs w:val="24"/>
        </w:rPr>
        <w:t>Výchova k myšlení v evropských a globálních souvislostech.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b/>
          <w:bCs/>
          <w:color w:val="000000" w:themeColor="text1"/>
          <w:sz w:val="24"/>
          <w:szCs w:val="24"/>
        </w:rPr>
      </w:pPr>
      <w:r w:rsidRPr="00354783">
        <w:rPr>
          <w:b/>
          <w:bCs/>
          <w:i/>
          <w:iCs/>
          <w:color w:val="000000" w:themeColor="text1"/>
          <w:sz w:val="24"/>
          <w:szCs w:val="24"/>
        </w:rPr>
        <w:t>Multikulturní výchova.</w:t>
      </w:r>
      <w:r w:rsidRPr="00354783">
        <w:rPr>
          <w:b/>
          <w:bCs/>
          <w:color w:val="000000" w:themeColor="text1"/>
          <w:sz w:val="24"/>
          <w:szCs w:val="24"/>
        </w:rPr>
        <w:t xml:space="preserve"> 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b/>
          <w:bCs/>
          <w:color w:val="000000" w:themeColor="text1"/>
          <w:sz w:val="24"/>
          <w:szCs w:val="24"/>
        </w:rPr>
      </w:pPr>
      <w:r w:rsidRPr="00354783">
        <w:rPr>
          <w:b/>
          <w:bCs/>
          <w:i/>
          <w:iCs/>
          <w:color w:val="000000" w:themeColor="text1"/>
          <w:sz w:val="24"/>
          <w:szCs w:val="24"/>
        </w:rPr>
        <w:t>Environmentální výchova.</w:t>
      </w:r>
      <w:r w:rsidRPr="00354783">
        <w:rPr>
          <w:b/>
          <w:bCs/>
          <w:color w:val="000000" w:themeColor="text1"/>
          <w:sz w:val="24"/>
          <w:szCs w:val="24"/>
        </w:rPr>
        <w:t xml:space="preserve"> </w:t>
      </w: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b/>
          <w:bCs/>
          <w:color w:val="000000" w:themeColor="text1"/>
          <w:sz w:val="24"/>
          <w:szCs w:val="24"/>
        </w:rPr>
      </w:pPr>
      <w:r w:rsidRPr="00354783">
        <w:rPr>
          <w:b/>
          <w:bCs/>
          <w:i/>
          <w:iCs/>
          <w:color w:val="000000" w:themeColor="text1"/>
          <w:sz w:val="24"/>
          <w:szCs w:val="24"/>
        </w:rPr>
        <w:t>Mediální výchova</w:t>
      </w:r>
      <w:r w:rsidRPr="00354783">
        <w:rPr>
          <w:b/>
          <w:bCs/>
          <w:color w:val="000000" w:themeColor="text1"/>
          <w:sz w:val="24"/>
          <w:szCs w:val="24"/>
        </w:rPr>
        <w:t xml:space="preserve">. </w:t>
      </w:r>
    </w:p>
    <w:p w:rsidR="00354783" w:rsidRPr="00354783" w:rsidRDefault="00354783" w:rsidP="00354783">
      <w:pPr>
        <w:pStyle w:val="Nadpis2"/>
        <w:ind w:left="540" w:hanging="54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ind w:left="540" w:hanging="54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ind w:left="540" w:hanging="54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354783">
        <w:rPr>
          <w:b/>
          <w:bCs/>
          <w:color w:val="000000" w:themeColor="text1"/>
          <w:sz w:val="24"/>
          <w:szCs w:val="24"/>
          <w:u w:val="single"/>
        </w:rPr>
        <w:t>Hodnocení na ZŠ praktické podle RVP ZV - LMP:</w:t>
      </w:r>
    </w:p>
    <w:p w:rsidR="00354783" w:rsidRPr="00354783" w:rsidRDefault="00354783" w:rsidP="00354783">
      <w:pPr>
        <w:pStyle w:val="Nadpis2"/>
        <w:ind w:left="540" w:hanging="54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354783">
        <w:rPr>
          <w:b/>
          <w:bCs/>
          <w:color w:val="000000" w:themeColor="text1"/>
          <w:sz w:val="24"/>
          <w:szCs w:val="24"/>
        </w:rPr>
        <w:t>Hodnocení výsledků vzdělávání</w:t>
      </w:r>
      <w:r w:rsidRPr="00354783">
        <w:rPr>
          <w:color w:val="000000" w:themeColor="text1"/>
          <w:sz w:val="24"/>
          <w:szCs w:val="24"/>
        </w:rPr>
        <w:t xml:space="preserve"> </w:t>
      </w:r>
      <w:r w:rsidRPr="00354783">
        <w:rPr>
          <w:color w:val="000000" w:themeColor="text1"/>
          <w:sz w:val="24"/>
          <w:szCs w:val="24"/>
        </w:rPr>
        <w:br/>
        <w:t>(</w:t>
      </w:r>
      <w:r w:rsidRPr="00354783">
        <w:rPr>
          <w:b/>
          <w:bCs/>
          <w:color w:val="000000" w:themeColor="text1"/>
          <w:sz w:val="24"/>
          <w:szCs w:val="24"/>
        </w:rPr>
        <w:t>§ 51-53 školského zákona)</w:t>
      </w:r>
      <w:r w:rsidRPr="00354783">
        <w:rPr>
          <w:color w:val="000000" w:themeColor="text1"/>
          <w:sz w:val="24"/>
          <w:szCs w:val="24"/>
        </w:rPr>
        <w:t xml:space="preserve">: </w:t>
      </w:r>
    </w:p>
    <w:p w:rsidR="00354783" w:rsidRPr="00354783" w:rsidRDefault="00354783" w:rsidP="00354783">
      <w:pPr>
        <w:pStyle w:val="Nadpis2"/>
        <w:ind w:left="540" w:hanging="54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color w:val="000000" w:themeColor="text1"/>
          <w:sz w:val="24"/>
          <w:szCs w:val="24"/>
        </w:rPr>
        <w:t xml:space="preserve">klasifikačním stupněm, </w:t>
      </w:r>
    </w:p>
    <w:p w:rsidR="00354783" w:rsidRPr="00354783" w:rsidRDefault="00354783" w:rsidP="00354783">
      <w:pPr>
        <w:pStyle w:val="Nadpis2"/>
        <w:ind w:left="720" w:hanging="72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color w:val="000000" w:themeColor="text1"/>
          <w:sz w:val="24"/>
          <w:szCs w:val="24"/>
        </w:rPr>
        <w:t xml:space="preserve">slovně, </w:t>
      </w:r>
    </w:p>
    <w:p w:rsidR="00354783" w:rsidRPr="00354783" w:rsidRDefault="00354783" w:rsidP="00354783">
      <w:pPr>
        <w:pStyle w:val="Nadpis2"/>
        <w:ind w:left="720" w:hanging="72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4783">
        <w:rPr>
          <w:color w:val="000000" w:themeColor="text1"/>
          <w:sz w:val="24"/>
          <w:szCs w:val="24"/>
        </w:rPr>
        <w:t>kombinací obou způsobů.</w:t>
      </w:r>
    </w:p>
    <w:p w:rsidR="00354783" w:rsidRPr="00354783" w:rsidRDefault="00354783" w:rsidP="00354783">
      <w:pPr>
        <w:pStyle w:val="Nadpis2"/>
        <w:ind w:left="540" w:hanging="540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ind w:left="540" w:hanging="540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ind w:left="540" w:hanging="540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ind w:left="540" w:hanging="540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ind w:left="540" w:hanging="540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ind w:left="810" w:hanging="810"/>
        <w:jc w:val="both"/>
        <w:rPr>
          <w:color w:val="000000" w:themeColor="text1"/>
          <w:sz w:val="24"/>
          <w:szCs w:val="24"/>
        </w:rPr>
      </w:pPr>
    </w:p>
    <w:p w:rsidR="00354783" w:rsidRPr="00354783" w:rsidRDefault="00354783" w:rsidP="00354783">
      <w:pPr>
        <w:pStyle w:val="Nadpis2"/>
        <w:ind w:left="0" w:hanging="540"/>
        <w:jc w:val="both"/>
        <w:rPr>
          <w:i/>
          <w:iCs/>
          <w:color w:val="000000" w:themeColor="text1"/>
          <w:sz w:val="24"/>
          <w:szCs w:val="24"/>
        </w:rPr>
      </w:pPr>
    </w:p>
    <w:sectPr w:rsidR="00354783" w:rsidRPr="00354783" w:rsidSect="0035478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72A832"/>
    <w:lvl w:ilvl="0">
      <w:numFmt w:val="bullet"/>
      <w:lvlText w:val="*"/>
      <w:lvlJc w:val="left"/>
    </w:lvl>
  </w:abstractNum>
  <w:abstractNum w:abstractNumId="1">
    <w:nsid w:val="124F160E"/>
    <w:multiLevelType w:val="hybridMultilevel"/>
    <w:tmpl w:val="937204EC"/>
    <w:lvl w:ilvl="0" w:tplc="1B90B80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3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Verdana" w:hAnsi="Verdana" w:hint="default"/>
          <w:sz w:val="30"/>
        </w:rPr>
      </w:lvl>
    </w:lvlOverride>
  </w:num>
  <w:num w:numId="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7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Verdana" w:hAnsi="Verdana" w:hint="default"/>
          <w:sz w:val="36"/>
        </w:rPr>
      </w:lvl>
    </w:lvlOverride>
  </w:num>
  <w:num w:numId="9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2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30"/>
        </w:rPr>
      </w:lvl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4783"/>
    <w:rsid w:val="00354783"/>
    <w:rsid w:val="00A8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5C3"/>
  </w:style>
  <w:style w:type="paragraph" w:styleId="Nadpis1">
    <w:name w:val="heading 1"/>
    <w:basedOn w:val="Normln"/>
    <w:next w:val="Normln"/>
    <w:link w:val="Nadpis1Char"/>
    <w:uiPriority w:val="9"/>
    <w:qFormat/>
    <w:rsid w:val="00354783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Theme="minorEastAsia" w:hAnsi="Times New Roman" w:cs="Times New Roman"/>
      <w:color w:val="000000"/>
      <w:sz w:val="56"/>
      <w:szCs w:val="56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54783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eastAsiaTheme="minorEastAsia" w:hAnsi="Times New Roman" w:cs="Times New Roman"/>
      <w:color w:val="000000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783"/>
    <w:rPr>
      <w:rFonts w:ascii="Times New Roman" w:eastAsiaTheme="minorEastAsia" w:hAnsi="Times New Roman" w:cs="Times New Roman"/>
      <w:color w:val="000000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54783"/>
    <w:rPr>
      <w:rFonts w:ascii="Times New Roman" w:eastAsiaTheme="minorEastAsia" w:hAnsi="Times New Roman" w:cs="Times New Roman"/>
      <w:color w:val="000000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2014</Characters>
  <Application>Microsoft Office Word</Application>
  <DocSecurity>0</DocSecurity>
  <Lines>16</Lines>
  <Paragraphs>4</Paragraphs>
  <ScaleCrop>false</ScaleCrop>
  <Company>Pedagogicka fakulta MU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</dc:creator>
  <cp:lastModifiedBy>Chaloupkova</cp:lastModifiedBy>
  <cp:revision>1</cp:revision>
  <dcterms:created xsi:type="dcterms:W3CDTF">2014-11-21T12:17:00Z</dcterms:created>
  <dcterms:modified xsi:type="dcterms:W3CDTF">2014-11-21T12:20:00Z</dcterms:modified>
</cp:coreProperties>
</file>