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80" w:rsidRDefault="00AE40C5">
      <w:pPr>
        <w:spacing w:after="215" w:line="259" w:lineRule="auto"/>
        <w:ind w:left="112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6"/>
        </w:rPr>
        <w:t xml:space="preserve"> </w:t>
      </w:r>
    </w:p>
    <w:p w:rsidR="00377E80" w:rsidRDefault="00AE40C5">
      <w:pPr>
        <w:spacing w:after="122" w:line="259" w:lineRule="auto"/>
        <w:ind w:right="8" w:firstLine="0"/>
        <w:jc w:val="center"/>
      </w:pPr>
      <w:r>
        <w:rPr>
          <w:rFonts w:ascii="Times New Roman" w:eastAsia="Times New Roman" w:hAnsi="Times New Roman" w:cs="Times New Roman"/>
          <w:b/>
          <w:sz w:val="46"/>
          <w:u w:val="single" w:color="000000"/>
        </w:rPr>
        <w:t>Téma: Sebereflexe</w:t>
      </w:r>
      <w:r>
        <w:rPr>
          <w:rFonts w:ascii="Times New Roman" w:eastAsia="Times New Roman" w:hAnsi="Times New Roman" w:cs="Times New Roman"/>
          <w:b/>
          <w:sz w:val="46"/>
        </w:rPr>
        <w:t xml:space="preserve"> </w:t>
      </w:r>
    </w:p>
    <w:p w:rsidR="00377E80" w:rsidRDefault="00AE40C5">
      <w:pPr>
        <w:spacing w:after="141" w:line="259" w:lineRule="auto"/>
        <w:ind w:left="231" w:firstLine="0"/>
        <w:jc w:val="left"/>
      </w:pPr>
      <w:r>
        <w:rPr>
          <w:rFonts w:ascii="Times New Roman" w:eastAsia="Times New Roman" w:hAnsi="Times New Roman" w:cs="Times New Roman"/>
          <w:b/>
          <w:sz w:val="30"/>
        </w:rPr>
        <w:t xml:space="preserve">Předmět: Doučování dětí ze sociálně znevýhodněného prostředí 1 </w:t>
      </w:r>
    </w:p>
    <w:p w:rsidR="00377E80" w:rsidRDefault="00AE40C5">
      <w:pPr>
        <w:spacing w:after="93" w:line="259" w:lineRule="auto"/>
        <w:ind w:left="72" w:firstLine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377E80" w:rsidRDefault="00AE40C5">
      <w:pPr>
        <w:spacing w:after="20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Nejdříve jsem chodila domů za Davidem, žákem čtvrté třídy základní školy. Vyrůstá jako jedináček. Doučování nám šlo, řekla bych, skvěle, on je snaživý, pozorný a rád se učí. Probírali jsme především češtinu, ta mu podle jeho slov nejde a ani ho vůbec nebav</w:t>
      </w:r>
      <w:r>
        <w:t>í. Zaměřili jsme se na i/y. Vyjmenovaná slova mu šla, znal je nazpaměť. Svižně je dokázal odříkávat. Problém byl ve shodě podmětu s přísudkem. Tam se ztrácel a neměl ani základní tušení podle čeho se i/y určí. Všimla jsem si, že věci, které aktuálně ve ško</w:t>
      </w:r>
      <w:r>
        <w:t>le probírali, zvládal. Ale nechápal souvislosti. Když opakovali učivo z minulého ročníku – převody jednotek. Kolik centimetrů má metr, kolik milimetrů má centimetr. Když jsem mu to pro názornost ukazovala na pravítku, tak to po chvilce pochopil, až jsem se</w:t>
      </w:r>
      <w:r>
        <w:t xml:space="preserve"> divila jak rychle. Myslím, že mu chybí citlivější přístup jak ze strany učitelky ve škole, tak ze strany jeho zákonného zástupce – babičky. Babička ho vychovává sama, sama má základní vzdělání a učit se s Davidem nezvládá. Davidův velký problém je, že ztr</w:t>
      </w:r>
      <w:r>
        <w:t>ácí pomůcky a má ve věcech nepořádek. Psali písemku z matematiky, z geometrie, dostal pětku. Když jsem ho zkoušela z těch samých otázek, věděl všechno, narýsoval všechno. Zeptala jsem se ho, jak je možné, že to měl špatně. Tvrdil, že měl jenom jednu chybu.</w:t>
      </w:r>
      <w:r>
        <w:t xml:space="preserve"> Nevěřila jsem mu to s tím, že za jednu chybu by určitě nedostal nejhorší známku. Velmi namáhavým „vyšetřováním“ jsem se dopídila, jak to vlastně bylo. On totiž neměl trojúhelník s ryskou a to je při rýsování kolmic a rovnoběžek zásadní pomůcka. On to vzal</w:t>
      </w:r>
      <w:r>
        <w:t xml:space="preserve"> od ruky a nakreslil čáru. Paní učitelka neměla ani moc práce, aby od oka viděla, že to není správně a ta pětka byla zaslouženě. Jenomže když David rýsoval přede mnou, tak vzal trojúhelník a narýsoval to správně. Doporučila jsem mu, aby přesně tohle ukázal</w:t>
      </w:r>
      <w:r>
        <w:t xml:space="preserve"> paní učitelce, aby viděla, že to zvládá. Nechtěl. Nikdy to neřekl na rovinu, ale asi jí vůbec nemá rád. To ale jeho prospěch velmi ztěžuje. </w:t>
      </w:r>
    </w:p>
    <w:p w:rsidR="00377E80" w:rsidRDefault="00AE40C5">
      <w:pPr>
        <w:spacing w:after="0" w:line="259" w:lineRule="auto"/>
        <w:ind w:left="567"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S doučováním v této rodině jsem skočila, protože ani on, ani jeho babička neměli smysl pro odpovědnost. Byli jsm</w:t>
      </w:r>
      <w:r>
        <w:t xml:space="preserve">e domluveni na dvě hodiny odpoledne a on přišel v 14:20. Když </w:t>
      </w:r>
      <w:r>
        <w:lastRenderedPageBreak/>
        <w:t xml:space="preserve">jsme se domluvili na půl 3, přišel ve tři čtvrtě na tři. Když dvakrát nedorazili vůbec, doučování jsem vzdala a hledala jiné útočiště.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Od ledna tohoto roku chodím do jednoho nízkoprahového za</w:t>
      </w:r>
      <w:r>
        <w:t xml:space="preserve">řízení pro děti a mládež. Jsem tam spokojená hlavně proto, že už nechci „k někomu domů“. Na doučování chodí různé děti, zatím se nestalo, že by nepřišlo žádné. Ale jedou sociální pracovnice měly školení a nedaly dopředu vědět, že se doučování ruší. </w:t>
      </w:r>
    </w:p>
    <w:p w:rsidR="00377E80" w:rsidRDefault="00AE40C5">
      <w:pPr>
        <w:spacing w:after="123" w:line="259" w:lineRule="auto"/>
        <w:ind w:left="567"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Já c</w:t>
      </w:r>
      <w:r>
        <w:t xml:space="preserve">hodím každé pondělí a čtvrtek. V pondělí chodí ještě jeden praktikant, také student Masarykovy univerzity, akorát z fakulty sociálních studií. Ve čtvrtek tam </w:t>
      </w:r>
      <w:proofErr w:type="spellStart"/>
      <w:r>
        <w:t>byvám</w:t>
      </w:r>
      <w:proofErr w:type="spellEnd"/>
      <w:r>
        <w:t xml:space="preserve"> z řad praktikantů/dobrovolníků sama. Pokud je hodně dětí, doučují i sociální pracovnice/prac</w:t>
      </w:r>
      <w:r>
        <w:t xml:space="preserve">ovnice v sociálních službách. Většina dětí do školy nechodí. Na známkách jim vesměs nezáleží. Děti jsou ve věku šest až dvanáct let.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Jsem tam spokojená. Líbí se mi, že se děti obměňují, že to není „na jedno brdo“. A tím, jak jsou všechny podobně staré, je kamenem úrazu pro všechny totéž – vyjmenovaná slova. I jsem si všimla, jak tyto děti špatně píšou a čtou. To je na opravdu špatné úro</w:t>
      </w:r>
      <w:r>
        <w:t xml:space="preserve">vni. Ale matematika jim jde perfektně. 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 xml:space="preserve">V klubu mají také systém odměn. Za deset příkladů správně (nebo třeba patnáct, pokud jsou lehčí) dostanou jedničku. Za padesát jedniček dostanou čokoládu. Proto funguje systém – </w:t>
      </w:r>
      <w:proofErr w:type="spellStart"/>
      <w:r>
        <w:t>eurofólie</w:t>
      </w:r>
      <w:proofErr w:type="spellEnd"/>
      <w:r>
        <w:t>, kde má každé dítě, které</w:t>
      </w:r>
      <w:r>
        <w:t xml:space="preserve"> na doučování chodí, svou složku a v ní různé pracovní sešity a papíry. Proto děti jedničky shromažďují a střádají. I díky tomu je dobře vidět, co které dítě probíralo a při příštím doučování se na to může navázat.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Zajímavá je jejich poctivost, když nap</w:t>
      </w:r>
      <w:r>
        <w:t xml:space="preserve">říklad někdy jedničky počítáme, tak děti nikdy nepodvádějí (nebo alespoň já jsem se s tím nesetkala). Nezažila jsem, že by v tomhle dítě zalhalo. </w:t>
      </w:r>
    </w:p>
    <w:p w:rsidR="00377E80" w:rsidRDefault="00AE40C5">
      <w:pPr>
        <w:spacing w:after="123" w:line="259" w:lineRule="auto"/>
        <w:ind w:left="567"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lastRenderedPageBreak/>
        <w:t>A právě tím, jak jim povětšinou čeština nejde, vyhýbají se jí, jak můžou. Nejčastěji slyším: „Dejte mi přík</w:t>
      </w:r>
      <w:r>
        <w:t>lad, paní učitelko, příklady.“ Když počítáme, jsou spokojené, ale když po nich chci psát nebo „</w:t>
      </w:r>
      <w:proofErr w:type="spellStart"/>
      <w:r>
        <w:t>nedejbože</w:t>
      </w:r>
      <w:proofErr w:type="spellEnd"/>
      <w:r>
        <w:t xml:space="preserve">“ číst, je zle. Začnou se vztekat, křičet, kopat kolem sebe a demonstrativně si oblékají bundu, že jdou pryč. Když o tom tak přemýšlím, mně ještě žádné </w:t>
      </w:r>
      <w:r>
        <w:t>dítě „neuteklo“. Ale už jsem byla svědkem, že kvůli tomu, že dítě chtělo psát červenou tužkou (tou smějí psát jenom paní učitelky), a byla mu dovolena pouze modrá propiska, rozzuřené odešlo. Jsou velmi temperamentní, což si myslím, že v běžné škole není do</w:t>
      </w:r>
      <w:r>
        <w:t xml:space="preserve">bře, protože když se má učitelka věnovat třiceti dětem zaráz, tak to ani nejde.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/>
      </w:pPr>
      <w:r>
        <w:t>Na oslovení „paní učitelko“ jsem si zvykla rychle. Byl to pro mě ze začátku šok, vždyť já sama chodím do školy, ale přece jenom pro tyto děti jsem starší a učím je, takže to</w:t>
      </w:r>
      <w:r>
        <w:t xml:space="preserve">to oslovení je správné.  </w:t>
      </w:r>
    </w:p>
    <w:p w:rsidR="00377E80" w:rsidRDefault="00AE40C5">
      <w:pPr>
        <w:spacing w:after="123" w:line="259" w:lineRule="auto"/>
        <w:ind w:firstLine="0"/>
        <w:jc w:val="left"/>
      </w:pPr>
      <w:r>
        <w:t xml:space="preserve"> </w:t>
      </w:r>
    </w:p>
    <w:p w:rsidR="00377E80" w:rsidRDefault="00AE40C5">
      <w:pPr>
        <w:ind w:left="-15" w:right="-13" w:firstLine="144"/>
      </w:pPr>
      <w:r>
        <w:t>Tento předmět – SZ9BP_DSZ1 Doučování dětí ze sociálně znevýhodněného prostředí 1 - byl můj první kontakt s edukační realitou v roli učitelky. Velmi mi pomohl v tom, že jsem si vyučování zkusila (sice ne jako v klasické základní/</w:t>
      </w:r>
      <w:r>
        <w:t>střední škole), ale je to neocenitelná zkušenost a jsem za ni velmi ráda. Oproti spolužákům ze stejného oboru mám tuto praxi navíc, i když jsem jim nabízela, že by taky mohli takto chodit doučovat, nikdo nechtěl. Já jsem opravdu nadšená.  Budu chodit doučo</w:t>
      </w:r>
      <w:r>
        <w:t xml:space="preserve">vat i nadále, jenom se přesunu do projektu. </w:t>
      </w:r>
    </w:p>
    <w:sectPr w:rsidR="00377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62" w:right="1408" w:bottom="1854" w:left="1699" w:header="749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C5" w:rsidRDefault="00AE40C5">
      <w:pPr>
        <w:spacing w:after="0" w:line="240" w:lineRule="auto"/>
      </w:pPr>
      <w:r>
        <w:separator/>
      </w:r>
    </w:p>
  </w:endnote>
  <w:endnote w:type="continuationSeparator" w:id="0">
    <w:p w:rsidR="00AE40C5" w:rsidRDefault="00AE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AE40C5">
    <w:pPr>
      <w:tabs>
        <w:tab w:val="right" w:pos="8792"/>
      </w:tabs>
      <w:spacing w:after="0" w:line="259" w:lineRule="auto"/>
      <w:ind w:left="-2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9838942</wp:posOffset>
              </wp:positionV>
              <wp:extent cx="5797296" cy="56388"/>
              <wp:effectExtent l="0" t="0" r="0" b="0"/>
              <wp:wrapSquare wrapText="bothSides"/>
              <wp:docPr id="2026" name="Group 2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56388"/>
                        <a:chOff x="0" y="0"/>
                        <a:chExt cx="5797296" cy="56388"/>
                      </a:xfrm>
                    </wpg:grpSpPr>
                    <wps:wsp>
                      <wps:cNvPr id="2076" name="Shape 2076"/>
                      <wps:cNvSpPr/>
                      <wps:spPr>
                        <a:xfrm>
                          <a:off x="0" y="0"/>
                          <a:ext cx="579729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38100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" name="Shape 2077"/>
                      <wps:cNvSpPr/>
                      <wps:spPr>
                        <a:xfrm>
                          <a:off x="0" y="47244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6" style="width:456.48pt;height:4.44pt;position:absolute;mso-position-horizontal-relative:page;mso-position-horizontal:absolute;margin-left:69.36pt;mso-position-vertical-relative:page;margin-top:774.72pt;" coordsize="57972,563">
              <v:shape id="Shape 2078" style="position:absolute;width:57972;height:381;left:0;top:0;" coordsize="5797296,38100" path="m0,0l5797296,0l5797296,38100l0,38100l0,0">
                <v:stroke weight="0pt" endcap="flat" joinstyle="miter" miterlimit="10" on="false" color="#000000" opacity="0"/>
                <v:fill on="true" color="#622423"/>
              </v:shape>
              <v:shape id="Shape 2079" style="position:absolute;width:57972;height:91;left:0;top:472;" coordsize="5797296,9144" path="m0,0l5797296,0l579729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</w:r>
    <w:r>
      <w:rPr>
        <w:rFonts w:ascii="Cambria" w:eastAsia="Cambria" w:hAnsi="Cambria" w:cs="Cambria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AE40C5">
    <w:pPr>
      <w:tabs>
        <w:tab w:val="right" w:pos="8792"/>
      </w:tabs>
      <w:spacing w:after="0" w:line="259" w:lineRule="auto"/>
      <w:ind w:left="-2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9838942</wp:posOffset>
              </wp:positionV>
              <wp:extent cx="5797296" cy="56388"/>
              <wp:effectExtent l="0" t="0" r="0" b="0"/>
              <wp:wrapSquare wrapText="bothSides"/>
              <wp:docPr id="1997" name="Group 1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56388"/>
                        <a:chOff x="0" y="0"/>
                        <a:chExt cx="5797296" cy="56388"/>
                      </a:xfrm>
                    </wpg:grpSpPr>
                    <wps:wsp>
                      <wps:cNvPr id="2072" name="Shape 2072"/>
                      <wps:cNvSpPr/>
                      <wps:spPr>
                        <a:xfrm>
                          <a:off x="0" y="0"/>
                          <a:ext cx="579729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38100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3" name="Shape 2073"/>
                      <wps:cNvSpPr/>
                      <wps:spPr>
                        <a:xfrm>
                          <a:off x="0" y="47244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7" style="width:456.48pt;height:4.44pt;position:absolute;mso-position-horizontal-relative:page;mso-position-horizontal:absolute;margin-left:69.36pt;mso-position-vertical-relative:page;margin-top:774.72pt;" coordsize="57972,563">
              <v:shape id="Shape 2074" style="position:absolute;width:57972;height:381;left:0;top:0;" coordsize="5797296,38100" path="m0,0l5797296,0l5797296,38100l0,38100l0,0">
                <v:stroke weight="0pt" endcap="flat" joinstyle="miter" miterlimit="10" on="false" color="#000000" opacity="0"/>
                <v:fill on="true" color="#622423"/>
              </v:shape>
              <v:shape id="Shape 2075" style="position:absolute;width:57972;height:91;left:0;top:472;" coordsize="5797296,9144" path="m0,0l5797296,0l579729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5F2EE2" w:rsidRPr="005F2EE2">
      <w:rPr>
        <w:rFonts w:ascii="Cambria" w:eastAsia="Cambria" w:hAnsi="Cambria" w:cs="Cambria"/>
        <w:noProof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AE40C5">
    <w:pPr>
      <w:tabs>
        <w:tab w:val="right" w:pos="8792"/>
      </w:tabs>
      <w:spacing w:after="0" w:line="259" w:lineRule="auto"/>
      <w:ind w:left="-2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9838942</wp:posOffset>
              </wp:positionV>
              <wp:extent cx="5797296" cy="56388"/>
              <wp:effectExtent l="0" t="0" r="0" b="0"/>
              <wp:wrapSquare wrapText="bothSides"/>
              <wp:docPr id="1968" name="Group 1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6" cy="56388"/>
                        <a:chOff x="0" y="0"/>
                        <a:chExt cx="5797296" cy="56388"/>
                      </a:xfrm>
                    </wpg:grpSpPr>
                    <wps:wsp>
                      <wps:cNvPr id="2068" name="Shape 2068"/>
                      <wps:cNvSpPr/>
                      <wps:spPr>
                        <a:xfrm>
                          <a:off x="0" y="0"/>
                          <a:ext cx="579729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38100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" name="Shape 2069"/>
                      <wps:cNvSpPr/>
                      <wps:spPr>
                        <a:xfrm>
                          <a:off x="0" y="47244"/>
                          <a:ext cx="5797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9144">
                              <a:moveTo>
                                <a:pt x="0" y="0"/>
                              </a:moveTo>
                              <a:lnTo>
                                <a:pt x="5797296" y="0"/>
                              </a:lnTo>
                              <a:lnTo>
                                <a:pt x="5797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8" style="width:456.48pt;height:4.44pt;position:absolute;mso-position-horizontal-relative:page;mso-position-horizontal:absolute;margin-left:69.36pt;mso-position-vertical-relative:page;margin-top:774.72pt;" coordsize="57972,563">
              <v:shape id="Shape 2070" style="position:absolute;width:57972;height:381;left:0;top:0;" coordsize="5797296,38100" path="m0,0l5797296,0l5797296,38100l0,38100l0,0">
                <v:stroke weight="0pt" endcap="flat" joinstyle="miter" miterlimit="10" on="false" color="#000000" opacity="0"/>
                <v:fill on="true" color="#622423"/>
              </v:shape>
              <v:shape id="Shape 2071" style="position:absolute;width:57972;height:91;left:0;top:472;" coordsize="5797296,9144" path="m0,0l5797296,0l579729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2"/>
      </w:rPr>
      <w:t xml:space="preserve"> </w:t>
    </w:r>
    <w:r>
      <w:rPr>
        <w:rFonts w:ascii="Cambria" w:eastAsia="Cambria" w:hAnsi="Cambria" w:cs="Cambria"/>
        <w:sz w:val="22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C5" w:rsidRDefault="00AE40C5">
      <w:pPr>
        <w:spacing w:after="0" w:line="240" w:lineRule="auto"/>
      </w:pPr>
      <w:r>
        <w:separator/>
      </w:r>
    </w:p>
  </w:footnote>
  <w:footnote w:type="continuationSeparator" w:id="0">
    <w:p w:rsidR="00AE40C5" w:rsidRDefault="00AE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Michaela Knytlová, 371929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5. února 2012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377E80">
    <w:pPr>
      <w:spacing w:after="0" w:line="259" w:lineRule="auto"/>
      <w:ind w:left="-283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Michaela Knytlová, 371929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5. února 2012 </w:t>
    </w:r>
  </w:p>
  <w:p w:rsidR="00377E80" w:rsidRDefault="00AE40C5">
    <w:pPr>
      <w:spacing w:after="0" w:line="259" w:lineRule="auto"/>
      <w:ind w:left="-283" w:firstLine="0"/>
      <w:jc w:val="left"/>
    </w:pPr>
    <w:r>
      <w:rPr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80"/>
    <w:rsid w:val="00377E80"/>
    <w:rsid w:val="005F2EE2"/>
    <w:rsid w:val="00A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8D9"/>
  <w15:docId w15:val="{516DE914-8234-42FA-94D7-67D8D259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3" w:line="360" w:lineRule="auto"/>
      <w:ind w:firstLine="557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Reflexe</dc:title>
  <dc:subject/>
  <dc:creator>Míša</dc:creator>
  <cp:keywords/>
  <cp:lastModifiedBy>František Georgiadis</cp:lastModifiedBy>
  <cp:revision>2</cp:revision>
  <dcterms:created xsi:type="dcterms:W3CDTF">2016-12-06T19:16:00Z</dcterms:created>
  <dcterms:modified xsi:type="dcterms:W3CDTF">2016-12-06T19:16:00Z</dcterms:modified>
</cp:coreProperties>
</file>