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2CFFD" w14:textId="77777777" w:rsidR="003E38C7" w:rsidRPr="00DD41ED" w:rsidRDefault="003E38C7" w:rsidP="00141BD4">
      <w:pPr>
        <w:ind w:left="360"/>
        <w:jc w:val="left"/>
        <w:rPr>
          <w:rFonts w:cs="Calibri"/>
        </w:rPr>
      </w:pPr>
    </w:p>
    <w:p w14:paraId="31D213E6" w14:textId="6D702C12" w:rsidR="00A74D07" w:rsidRPr="00DD41ED" w:rsidRDefault="00A74D07" w:rsidP="00141BD4">
      <w:pPr>
        <w:pStyle w:val="Bezmezer"/>
        <w:jc w:val="center"/>
        <w:rPr>
          <w:rFonts w:cs="Calibri"/>
          <w:b/>
          <w:sz w:val="48"/>
          <w:szCs w:val="48"/>
        </w:rPr>
      </w:pPr>
      <w:r w:rsidRPr="00DD41ED">
        <w:rPr>
          <w:rFonts w:cs="Calibri"/>
          <w:b/>
          <w:sz w:val="48"/>
          <w:szCs w:val="48"/>
        </w:rPr>
        <w:t xml:space="preserve">Didaktika </w:t>
      </w:r>
      <w:r w:rsidR="0025003A">
        <w:rPr>
          <w:rFonts w:cs="Calibri"/>
          <w:b/>
          <w:sz w:val="48"/>
          <w:szCs w:val="48"/>
        </w:rPr>
        <w:t>finančního vzdělávání</w:t>
      </w:r>
    </w:p>
    <w:p w14:paraId="6352231D" w14:textId="5BC04B15" w:rsidR="00A74D07" w:rsidRPr="00DD41ED" w:rsidRDefault="00A74D07" w:rsidP="00141BD4">
      <w:pPr>
        <w:pStyle w:val="Bezmezer"/>
        <w:jc w:val="center"/>
        <w:rPr>
          <w:rFonts w:cs="Calibri"/>
          <w:b/>
          <w:sz w:val="32"/>
          <w:szCs w:val="32"/>
        </w:rPr>
      </w:pPr>
      <w:r w:rsidRPr="00DD41ED">
        <w:rPr>
          <w:rFonts w:cs="Calibri"/>
          <w:b/>
          <w:sz w:val="32"/>
          <w:szCs w:val="32"/>
        </w:rPr>
        <w:t>OVp1</w:t>
      </w:r>
      <w:r w:rsidR="0025003A">
        <w:rPr>
          <w:rFonts w:cs="Calibri"/>
          <w:b/>
          <w:sz w:val="32"/>
          <w:szCs w:val="32"/>
        </w:rPr>
        <w:t>21</w:t>
      </w:r>
    </w:p>
    <w:p w14:paraId="6119F117" w14:textId="77777777" w:rsidR="00A74D07" w:rsidRPr="00DD41ED" w:rsidRDefault="00525389" w:rsidP="00141BD4">
      <w:pPr>
        <w:pStyle w:val="Bezmezer"/>
        <w:jc w:val="center"/>
        <w:rPr>
          <w:rFonts w:cs="Calibri"/>
          <w:b/>
          <w:sz w:val="36"/>
          <w:szCs w:val="36"/>
        </w:rPr>
      </w:pPr>
      <w:r w:rsidRPr="00DD41ED">
        <w:rPr>
          <w:rFonts w:cs="Calibri"/>
          <w:b/>
          <w:sz w:val="36"/>
          <w:szCs w:val="36"/>
        </w:rPr>
        <w:t>Seminární práce</w:t>
      </w:r>
    </w:p>
    <w:p w14:paraId="3B42EC3A" w14:textId="77777777" w:rsidR="00525389" w:rsidRPr="00DD41ED" w:rsidRDefault="00525389" w:rsidP="00525389">
      <w:pPr>
        <w:pStyle w:val="Nzev"/>
        <w:rPr>
          <w:rFonts w:cs="Calibri"/>
        </w:rPr>
      </w:pPr>
      <w:r w:rsidRPr="00DD41ED">
        <w:rPr>
          <w:rFonts w:cs="Calibri"/>
        </w:rPr>
        <w:t>Úvod</w:t>
      </w:r>
    </w:p>
    <w:p w14:paraId="116D43FE" w14:textId="475E9902" w:rsidR="00DA5DE2" w:rsidRPr="00875350" w:rsidRDefault="00525389" w:rsidP="00525389">
      <w:pPr>
        <w:rPr>
          <w:rFonts w:cs="Calibri"/>
        </w:rPr>
      </w:pPr>
      <w:r w:rsidRPr="00DD41ED">
        <w:rPr>
          <w:rFonts w:cs="Calibri"/>
        </w:rPr>
        <w:tab/>
      </w:r>
      <w:r w:rsidR="004832FF" w:rsidRPr="00DD41ED">
        <w:rPr>
          <w:rFonts w:cs="Calibri"/>
        </w:rPr>
        <w:t xml:space="preserve">V seminární práci </w:t>
      </w:r>
      <w:r w:rsidR="0007775C">
        <w:rPr>
          <w:rFonts w:cs="Calibri"/>
        </w:rPr>
        <w:t>vymezíme teoretickou rovinu jednoho z</w:t>
      </w:r>
      <w:r w:rsidR="001A43D6">
        <w:rPr>
          <w:rFonts w:cs="Calibri"/>
        </w:rPr>
        <w:t> </w:t>
      </w:r>
      <w:r w:rsidR="0007775C">
        <w:rPr>
          <w:rFonts w:cs="Calibri"/>
        </w:rPr>
        <w:t>témat</w:t>
      </w:r>
      <w:r w:rsidR="001A43D6">
        <w:rPr>
          <w:rFonts w:cs="Calibri"/>
        </w:rPr>
        <w:t xml:space="preserve"> finanční gramotnosti,  a to úvěry a leasing. Uvedeny budou typy úvěrů s důrazem na úvěr spotřebitelský. Vzhledem k budoucímu využití pro ZŠ </w:t>
      </w:r>
      <w:r w:rsidR="00D85272">
        <w:rPr>
          <w:rFonts w:cs="Calibri"/>
        </w:rPr>
        <w:t>je práce zaměřena na zodpovědné chování spotřebitele s</w:t>
      </w:r>
      <w:r w:rsidR="007340B4">
        <w:rPr>
          <w:rFonts w:cs="Calibri"/>
        </w:rPr>
        <w:t> </w:t>
      </w:r>
      <w:r w:rsidR="00D85272">
        <w:rPr>
          <w:rFonts w:cs="Calibri"/>
        </w:rPr>
        <w:t>cílem</w:t>
      </w:r>
      <w:r w:rsidR="007340B4">
        <w:rPr>
          <w:rFonts w:cs="Calibri"/>
        </w:rPr>
        <w:t xml:space="preserve"> vyhnout se přílišnému zadlužení. </w:t>
      </w:r>
      <w:r w:rsidR="005B4439">
        <w:rPr>
          <w:rFonts w:cs="Calibri"/>
        </w:rPr>
        <w:t xml:space="preserve">Dále budou uvedeny hlavní rozdíly mezi úvěrem a leasingem. </w:t>
      </w:r>
      <w:r w:rsidR="00875350">
        <w:rPr>
          <w:rFonts w:cs="Calibri"/>
        </w:rPr>
        <w:t xml:space="preserve">Součástí práce je i struktura vyučovací hodiny na téma </w:t>
      </w:r>
      <w:r w:rsidR="00875350" w:rsidRPr="00875350">
        <w:rPr>
          <w:rFonts w:cs="Calibri"/>
          <w:i/>
        </w:rPr>
        <w:t>Spotřebitelský úvěr</w:t>
      </w:r>
      <w:r w:rsidR="00875350">
        <w:rPr>
          <w:rFonts w:cs="Calibri"/>
          <w:i/>
        </w:rPr>
        <w:t xml:space="preserve"> </w:t>
      </w:r>
      <w:r w:rsidR="00875350">
        <w:rPr>
          <w:rFonts w:cs="Calibri"/>
        </w:rPr>
        <w:t xml:space="preserve">právě pro teoretický výklad učiva je možné se opřít o poznatky z úvodní části. </w:t>
      </w:r>
      <w:r w:rsidR="00B51A20">
        <w:rPr>
          <w:rFonts w:cs="Calibri"/>
        </w:rPr>
        <w:t xml:space="preserve">Cílem a poselstvím vyučovací hodiny je, aby žáci věděla, že při zodpovědném jednání spotřebiteli může být půjčka užitečným prostředkem na </w:t>
      </w:r>
      <w:r w:rsidR="003A5F71">
        <w:rPr>
          <w:rFonts w:cs="Calibri"/>
        </w:rPr>
        <w:t xml:space="preserve">krytí nedostatku financí, kterého není třeba se bát, zná-li spotřebitel zásady bezpečné půjčky, </w:t>
      </w:r>
      <w:r w:rsidR="00B771A7">
        <w:rPr>
          <w:rFonts w:cs="Calibri"/>
        </w:rPr>
        <w:t xml:space="preserve">umí-li uvážit vlastní možnosti splácení půjčky, zná svá práva spotřebiteli </w:t>
      </w:r>
      <w:r w:rsidR="00087ADA">
        <w:rPr>
          <w:rFonts w:cs="Calibri"/>
        </w:rPr>
        <w:t>a dokáže rozeznat výhodnou a nevýhodnou půjčku.</w:t>
      </w:r>
    </w:p>
    <w:p w14:paraId="27D60F5D" w14:textId="0F3B123A" w:rsidR="00DA5DE2" w:rsidRDefault="0011139A" w:rsidP="00DA5DE2">
      <w:pPr>
        <w:pStyle w:val="Nzev"/>
      </w:pPr>
      <w:r>
        <w:t>Úvěry</w:t>
      </w:r>
    </w:p>
    <w:p w14:paraId="1363855D" w14:textId="74FDC62D" w:rsidR="00DA5DE2" w:rsidRDefault="00DA5DE2" w:rsidP="0011139A">
      <w:r>
        <w:tab/>
      </w:r>
      <w:r w:rsidR="00E51841">
        <w:t xml:space="preserve">Co </w:t>
      </w:r>
      <w:r w:rsidR="00EC4C4B">
        <w:t>se obecně pod pojmem úvěr</w:t>
      </w:r>
      <w:r w:rsidR="003C4C44">
        <w:t xml:space="preserve"> skrývá? Úvěr je služba, kdy finanční</w:t>
      </w:r>
      <w:r w:rsidR="00351A5E">
        <w:t xml:space="preserve"> bankovní či nebankovní instituce poskytne klientovi/spotřebiteli </w:t>
      </w:r>
      <w:r w:rsidR="00D25144">
        <w:t>peníze na pokrytí jeho služeb. Tato služba je vždy zpoplatněná. Úvěr nebo</w:t>
      </w:r>
      <w:r w:rsidR="00FD47D4">
        <w:t>li</w:t>
      </w:r>
      <w:r w:rsidR="00D25144">
        <w:t xml:space="preserve"> půjčka je tedy poskytnutí </w:t>
      </w:r>
      <w:r w:rsidR="0058676C">
        <w:t xml:space="preserve">finančních prostředků za předem stanovenou </w:t>
      </w:r>
      <w:r w:rsidR="00E9048D">
        <w:t xml:space="preserve">finanční kompenzaci. Společnost, který úvěr poskytne se stává věřitelem, klient se vůči společnosti stává dlužníkem. </w:t>
      </w:r>
      <w:r w:rsidR="00C247EF">
        <w:t xml:space="preserve">Úvěry může podle různých hledisek dělit na </w:t>
      </w:r>
      <w:r w:rsidR="00525574">
        <w:t>úvěry účelové a bezúčelové (podle toho, zda je předem urč</w:t>
      </w:r>
      <w:r w:rsidR="00D978BF">
        <w:t>ený účel na který je úvěr poskytnut), na úvěry hotovostní a bezhotovostní</w:t>
      </w:r>
      <w:r w:rsidR="008F2443">
        <w:t xml:space="preserve"> (peníze buďto v hotovosti nebo bezhotovostně na vybraný bankovní účet, na úvěry zajištěné a nezajištěné (zda musí klient svůj úvěr movitou či nemovitou věcí jistit) a podle doby splatnosti na úvěry krátkodobé, střednědobé a dlouhodobé. </w:t>
      </w:r>
      <w:r w:rsidR="009139C2">
        <w:t>V následující části se budeme věnovat vybraným typům úvěrů, kon</w:t>
      </w:r>
      <w:r w:rsidR="00AE6C53">
        <w:t>krétně spotřebitelskému úvěru a jeho formám, hypotečnímu úvěru a leasingu.</w:t>
      </w:r>
    </w:p>
    <w:p w14:paraId="40FFCA92" w14:textId="300B1E9A" w:rsidR="00113C2A" w:rsidRDefault="00113C2A" w:rsidP="0011139A"/>
    <w:p w14:paraId="1A42C8A9" w14:textId="77777777" w:rsidR="00113C2A" w:rsidRPr="00AE6C53" w:rsidRDefault="00113C2A" w:rsidP="0011139A">
      <w:pPr>
        <w:rPr>
          <w:sz w:val="32"/>
          <w:szCs w:val="32"/>
        </w:rPr>
      </w:pPr>
    </w:p>
    <w:p w14:paraId="3970B98A" w14:textId="3EA75993" w:rsidR="0021086B" w:rsidRPr="00AE6C53" w:rsidRDefault="0021086B" w:rsidP="0011139A">
      <w:pPr>
        <w:rPr>
          <w:b/>
          <w:sz w:val="32"/>
          <w:szCs w:val="32"/>
        </w:rPr>
      </w:pPr>
      <w:r w:rsidRPr="00AE6C53">
        <w:rPr>
          <w:b/>
          <w:sz w:val="32"/>
          <w:szCs w:val="32"/>
        </w:rPr>
        <w:lastRenderedPageBreak/>
        <w:t>Spotřebitelský úvěr</w:t>
      </w:r>
    </w:p>
    <w:p w14:paraId="09316E78" w14:textId="77777777" w:rsidR="00EE573D" w:rsidRDefault="005259BF" w:rsidP="00EE573D">
      <w:pPr>
        <w:ind w:firstLine="708"/>
      </w:pPr>
      <w:r>
        <w:t xml:space="preserve">Pokud </w:t>
      </w:r>
      <w:r w:rsidR="002A169D">
        <w:t>je klient ve stavu, kdy má nedostatek finančních prostředků na pokrytí koupě movité či nemovité věci ať už pro osobní či firemní účely,</w:t>
      </w:r>
      <w:r w:rsidR="00BF7CA4">
        <w:t xml:space="preserve"> má velký množství možností, </w:t>
      </w:r>
      <w:r w:rsidR="002A169D">
        <w:t xml:space="preserve">jaký typ úvěru zvolit. </w:t>
      </w:r>
      <w:r w:rsidR="006F54E1">
        <w:t>První z možností je</w:t>
      </w:r>
      <w:r w:rsidR="00EA39D9">
        <w:t xml:space="preserve"> spotřebitelský úvěr</w:t>
      </w:r>
      <w:r w:rsidR="00142C82">
        <w:t>,</w:t>
      </w:r>
      <w:r w:rsidR="003F7F51">
        <w:t xml:space="preserve"> který </w:t>
      </w:r>
      <w:r w:rsidR="00B83953">
        <w:t xml:space="preserve">je poskytovaný klientům </w:t>
      </w:r>
      <w:r w:rsidR="00DF7609" w:rsidRPr="00DF7609">
        <w:t>k financování jejich nepodnikatelských potřeb, které mohou sloužit k určitému konkrétnímu účelu</w:t>
      </w:r>
      <w:r w:rsidR="00DF7609">
        <w:t xml:space="preserve"> – </w:t>
      </w:r>
      <w:r w:rsidR="00DF7609" w:rsidRPr="00DF7609">
        <w:t>nákupu zboží či služeb</w:t>
      </w:r>
      <w:r w:rsidR="006F54E1">
        <w:t>.</w:t>
      </w:r>
      <w:r w:rsidR="009850F0">
        <w:t xml:space="preserve"> Ať už je úvěr sjednáván u bankovní (která je vždy spolehlivější) či nebankovní společnosti, má věřitel povinnost poskytnou úvěr na základě písemné smlouvy, jejíž součástí jsou podmínky pro poskytnutí, čerpání a splácení úvěru</w:t>
      </w:r>
      <w:r w:rsidR="00FE43F5">
        <w:t xml:space="preserve">. </w:t>
      </w:r>
    </w:p>
    <w:p w14:paraId="6BDC4BD0" w14:textId="25D845D4" w:rsidR="00FD47D4" w:rsidRDefault="00FE43F5" w:rsidP="00EE573D">
      <w:pPr>
        <w:ind w:firstLine="708"/>
      </w:pPr>
      <w:r>
        <w:t>Nejdůležitější informace pro klienta</w:t>
      </w:r>
      <w:r w:rsidR="00E42F21">
        <w:t xml:space="preserve"> před uzavřením smlouvy je výše RPSN, tedy roční pr</w:t>
      </w:r>
      <w:r w:rsidR="00535D40">
        <w:t xml:space="preserve">ocentní sazbě nákladů, která zahrnuje jak výši úroku (ceny za poskytnutí </w:t>
      </w:r>
      <w:r w:rsidR="009E1246">
        <w:t>půjčky, přeplacená částka po splacení úvěru), tak veškeré poplatky se zřízením úvěru související a jedná se tedy o kompletní částku za poskytnutí úvěru.</w:t>
      </w:r>
      <w:r w:rsidR="005C3AC9">
        <w:t xml:space="preserve"> I přesto, že si klient zjistí před uzavřením </w:t>
      </w:r>
      <w:r w:rsidR="0069075D">
        <w:t>úvěrové smlouvy vše potřebné, zváží svou finanční situaci a možnosti splácení</w:t>
      </w:r>
      <w:r w:rsidR="004B36AA">
        <w:t xml:space="preserve">, ale i po podepsání smlouvy si smluvený úvěr rozmyslí, má možnost do 14 </w:t>
      </w:r>
      <w:r w:rsidR="00F1341C">
        <w:t xml:space="preserve">kalendářních </w:t>
      </w:r>
      <w:r w:rsidR="004B36AA">
        <w:t>dn</w:t>
      </w:r>
      <w:r w:rsidR="00F1341C">
        <w:t>ů</w:t>
      </w:r>
      <w:r w:rsidR="004B36AA">
        <w:t xml:space="preserve"> od uzavření smlouvy </w:t>
      </w:r>
      <w:r w:rsidR="00580010">
        <w:t>o spotřebitelském úvěru</w:t>
      </w:r>
      <w:r w:rsidR="0052793F">
        <w:t xml:space="preserve"> odstoupit. </w:t>
      </w:r>
      <w:r w:rsidR="00EE573D">
        <w:t xml:space="preserve">Zároveň má spotřebitel právo úvěr </w:t>
      </w:r>
      <w:r w:rsidR="003E303C">
        <w:t xml:space="preserve">kdykoliv předčasně splatit. </w:t>
      </w:r>
      <w:r w:rsidR="00FB68F4">
        <w:t xml:space="preserve">U jakékoliv výše úvěru a u vyšších částek zvlášť, je třeba si </w:t>
      </w:r>
      <w:r w:rsidR="00582F72">
        <w:t xml:space="preserve">vybrat solidní, stabilní společnost, která mi za férových podmínek úvěr poskytne. Většina bankovních institucí nabízí ke sjednanému úvěru zřídit i pojištění, proti změně </w:t>
      </w:r>
      <w:r w:rsidR="00020C2C">
        <w:t>výše RPSN, většinou však jen na určité časové období.</w:t>
      </w:r>
      <w:r w:rsidR="006F54E1">
        <w:t xml:space="preserve"> </w:t>
      </w:r>
      <w:r w:rsidR="008D078D">
        <w:t xml:space="preserve"> I věřitel si zji</w:t>
      </w:r>
      <w:r w:rsidR="00AE0477">
        <w:t>šťuje pro něj podstatné informace, což jsou především schopnost klienta úvěr splácet tedy jeho bonitu</w:t>
      </w:r>
      <w:r w:rsidR="00390727">
        <w:t xml:space="preserve">, a také jeho finanční závazky u jiných věřitelů, které jsou všechny i již splacené dohledatelné v úvěrových registrech. </w:t>
      </w:r>
    </w:p>
    <w:p w14:paraId="4026459A" w14:textId="791DA9DA" w:rsidR="005259BF" w:rsidRDefault="00FD47D4" w:rsidP="0021086B">
      <w:pPr>
        <w:ind w:firstLine="708"/>
      </w:pPr>
      <w:r>
        <w:t>Spotřebitelský úvěr má více podob. První z nich je k</w:t>
      </w:r>
      <w:r w:rsidR="00142C82">
        <w:t>ontokorent</w:t>
      </w:r>
      <w:r w:rsidR="006F54E1">
        <w:t xml:space="preserve">, což </w:t>
      </w:r>
      <w:r w:rsidR="006F54E1" w:rsidRPr="006F54E1">
        <w:t>je krátkodobý, neúčelový a nezajištěný úvěr, který nám banka poskytuje na našem běžném účtu v pohyblivé výši dle našich potřeb až do maximální výše sjednaného úvěrového rámce.  Čerpat peníze můžeme automaticky na svém běžném účtu, kde máme nastavenu možnost tzv. přečerpání (mluvíme o tom, že jdeme do mínusu)</w:t>
      </w:r>
      <w:r w:rsidR="00C50F24">
        <w:t xml:space="preserve">. Kontokorent je čerpán z běžného účtu společně s debetní kartou. Dalším typem spotřebitelského úvěru je úvěr z kreditní karty což je opět </w:t>
      </w:r>
      <w:r w:rsidR="00971A1F" w:rsidRPr="00971A1F">
        <w:t xml:space="preserve">krátkodobý, neúčelový a nezajištěný úvěr, který čerpáme při každém použití kreditní karty. Po určitou krátkou dobu nám banka poskytuje finanční prostředky bezúročně (během tzv. bezúročného období), ale je nutné určitou částku nebo plnou výši vyčerpaných peněz ve stanovený čas vždy vrátit (zpravidla postačí mít je na běžném účtu, z něhož si je banka sama </w:t>
      </w:r>
      <w:r w:rsidR="00971A1F" w:rsidRPr="00971A1F">
        <w:lastRenderedPageBreak/>
        <w:t>strhne), jinak nastupují vysoké sankční úroky.</w:t>
      </w:r>
      <w:r w:rsidR="00971A1F">
        <w:t xml:space="preserve"> Při používání kreditní karty manipulujeme s</w:t>
      </w:r>
      <w:r w:rsidR="007A416D">
        <w:t> </w:t>
      </w:r>
      <w:r w:rsidR="00971A1F">
        <w:t>pe</w:t>
      </w:r>
      <w:r w:rsidR="007A416D">
        <w:t xml:space="preserve">nězi, které nejsou naše, ale musí je pravidelně pokrýt zpět. U placení kreditní kartou hrozí riziko nízké sebekontroly při čerpání. </w:t>
      </w:r>
      <w:r w:rsidR="001C08EF" w:rsidRPr="001C08EF">
        <w:t>Kontokorent i úvěr z kreditní karty patří mezi revolvingové úvěry</w:t>
      </w:r>
      <w:r w:rsidR="009D432A">
        <w:t>, tedy stále se opakující půjčky svým čerpáním a krytím</w:t>
      </w:r>
      <w:r w:rsidR="001C08EF" w:rsidRPr="001C08EF">
        <w:t>.</w:t>
      </w:r>
      <w:r w:rsidR="009D432A">
        <w:t xml:space="preserve"> Ke spotřebitelskému úvěru můžeme zařadit i koupi na splátky jejíž podstatou je, že si o úvěr žádáme přímo u prodejce daného zboží. </w:t>
      </w:r>
      <w:r w:rsidR="00E26CF2" w:rsidRPr="00E26CF2">
        <w:t xml:space="preserve">Úvěr samotný nám </w:t>
      </w:r>
      <w:r w:rsidR="00E26CF2">
        <w:t>však</w:t>
      </w:r>
      <w:r w:rsidR="00E26CF2" w:rsidRPr="00E26CF2">
        <w:t xml:space="preserve"> neposkytuje obchod, ale některý z nebankovních poskytovatelů úvěrů (těm větším také říkáme splátkové společnosti) či banka.  Při vyřízení nákupu musíme být vždy seznámeni s podmínkami poskytnutí úvěru a veškerými informacemi, stejně jako při žádosti o úvěr v bance. Obdobně po nás obchodník bude chtít sdělení osobních údajů, jejich ověření v dokladu totožnosti, případně i další informace.</w:t>
      </w:r>
      <w:r w:rsidR="00D928C6">
        <w:t xml:space="preserve"> </w:t>
      </w:r>
      <w:r w:rsidR="00D928C6" w:rsidRPr="00D928C6">
        <w:t>Na plnění povinností stanovených zákonem o spotřebitelském úvěru dohlíží v případě bank, spořitelních družstev a platebních institucí Česká národní banka. U všech ostatních subjektů je to Česká obchodní inspekce.</w:t>
      </w:r>
    </w:p>
    <w:p w14:paraId="03ADBDF4" w14:textId="77777777" w:rsidR="00AE6C53" w:rsidRDefault="00AE6C53" w:rsidP="0021086B">
      <w:pPr>
        <w:ind w:firstLine="708"/>
      </w:pPr>
    </w:p>
    <w:p w14:paraId="141B879E" w14:textId="6B3C2127" w:rsidR="00113C2A" w:rsidRPr="00AE6C53" w:rsidRDefault="00113C2A" w:rsidP="00113C2A">
      <w:pPr>
        <w:rPr>
          <w:b/>
          <w:sz w:val="32"/>
          <w:szCs w:val="32"/>
        </w:rPr>
      </w:pPr>
      <w:r w:rsidRPr="00AE6C53">
        <w:rPr>
          <w:b/>
          <w:sz w:val="32"/>
          <w:szCs w:val="32"/>
        </w:rPr>
        <w:t>Hypoteční úvěr</w:t>
      </w:r>
    </w:p>
    <w:p w14:paraId="7CD0C6FB" w14:textId="4EB79B80" w:rsidR="00113C2A" w:rsidRPr="00113C2A" w:rsidRDefault="00113C2A" w:rsidP="00AE6C53">
      <w:pPr>
        <w:ind w:firstLine="708"/>
      </w:pPr>
      <w:r>
        <w:t>Od spotřebitelské úvěru se liší</w:t>
      </w:r>
      <w:r w:rsidR="00AE6C53">
        <w:t xml:space="preserve"> v prvé řadě dobou splácení. U spotřebitelských úvěrů se jedná o půjčky krátkodobé – střednědobé, u hypotečního úvěru se jedná o </w:t>
      </w:r>
      <w:r w:rsidR="001A1316">
        <w:t>úvěr dlouhodobý</w:t>
      </w:r>
      <w:r w:rsidR="00FA62F6">
        <w:t xml:space="preserve">, v ČR je průměrná doba splatnosti cca 24 let. </w:t>
      </w:r>
      <w:r w:rsidR="001A1316">
        <w:t xml:space="preserve">Zajištění </w:t>
      </w:r>
      <w:r w:rsidR="00015C9B">
        <w:t xml:space="preserve">splácení </w:t>
      </w:r>
      <w:r w:rsidR="001A1316">
        <w:t xml:space="preserve">hypotečního úvěru </w:t>
      </w:r>
      <w:r w:rsidR="00015C9B">
        <w:t>probíhá formou zás</w:t>
      </w:r>
      <w:r w:rsidR="00A0038D">
        <w:t>tavního práva k nemovitosti, které je zapsáno v katastru nemovi</w:t>
      </w:r>
      <w:r w:rsidR="00F363D3">
        <w:t xml:space="preserve">tostí. Hypoteční úvěry mohou být jak účelové tak neúčelové. </w:t>
      </w:r>
      <w:r w:rsidR="00F132F7">
        <w:t xml:space="preserve">Hypoteční úvěr může být sjednán jak ke koupit nemovitosti, tak </w:t>
      </w:r>
      <w:r w:rsidR="00157BE6">
        <w:t xml:space="preserve">k rekonstrukci, výstavbu nové nemovitosti, či </w:t>
      </w:r>
      <w:r w:rsidR="0043050F">
        <w:t>k refinancování dřívější investice do nemovitosti</w:t>
      </w:r>
      <w:r w:rsidR="00974C17">
        <w:t xml:space="preserve"> ad. Účelové hypoteční úvěry </w:t>
      </w:r>
      <w:r w:rsidR="00FA62F6">
        <w:t xml:space="preserve">poskytují banky </w:t>
      </w:r>
      <w:r w:rsidR="00FA62F6" w:rsidRPr="00FA62F6">
        <w:t>až do výše 100 % zástavní hodnoty nemovitosti</w:t>
      </w:r>
      <w:r w:rsidR="00FA62F6">
        <w:t>.</w:t>
      </w:r>
      <w:r w:rsidR="00FA62F6" w:rsidRPr="00FA62F6">
        <w:t xml:space="preserve"> </w:t>
      </w:r>
      <w:r w:rsidR="0043050F">
        <w:t xml:space="preserve"> </w:t>
      </w:r>
      <w:r w:rsidR="001A1316">
        <w:t xml:space="preserve"> </w:t>
      </w:r>
      <w:r w:rsidR="00B864A0">
        <w:t xml:space="preserve">Neúčelový hypoteční úvěr neboli americká hypotéka, nemá z hlediska zapůjčených prostředků žádné omezení a může být použita na cokoliv. </w:t>
      </w:r>
      <w:r w:rsidR="00566BB6">
        <w:t>Oproti účelovému úvěru je u americké hypotéky vyšší</w:t>
      </w:r>
      <w:r w:rsidR="00E45C7C">
        <w:t xml:space="preserve"> úroková sazba.</w:t>
      </w:r>
      <w:r w:rsidR="00C316FB">
        <w:t xml:space="preserve"> S hypotečním úvěrem se úzce pojí, případně bývá i </w:t>
      </w:r>
      <w:r w:rsidR="00A20144">
        <w:t>vyžadováno pojištění schopnosti splácet</w:t>
      </w:r>
      <w:r w:rsidR="001D0393">
        <w:t xml:space="preserve">, kdy se klient pojišťuje </w:t>
      </w:r>
      <w:r w:rsidR="00BB287F">
        <w:t xml:space="preserve">kvůli </w:t>
      </w:r>
      <w:r w:rsidR="00BB287F" w:rsidRPr="00BB287F">
        <w:t>úmrtí, nemoc</w:t>
      </w:r>
      <w:r w:rsidR="00BB287F">
        <w:t>i</w:t>
      </w:r>
      <w:r w:rsidR="00BB287F" w:rsidRPr="00BB287F">
        <w:t>, ztráta zaměstnání, dlouhodob</w:t>
      </w:r>
      <w:r w:rsidR="00BB287F">
        <w:t>é</w:t>
      </w:r>
      <w:r w:rsidR="00BB287F" w:rsidRPr="00BB287F">
        <w:t xml:space="preserve"> pracovní neschopnost</w:t>
      </w:r>
      <w:r w:rsidR="00BB287F">
        <w:t>i.</w:t>
      </w:r>
    </w:p>
    <w:p w14:paraId="6BFFFF0C" w14:textId="45B12329" w:rsidR="00B024A2" w:rsidRDefault="00D928C6" w:rsidP="00B024A2">
      <w:pPr>
        <w:pStyle w:val="Nzev"/>
      </w:pPr>
      <w:r>
        <w:t>Leasing</w:t>
      </w:r>
    </w:p>
    <w:p w14:paraId="1358A434" w14:textId="7AED005E" w:rsidR="00475678" w:rsidRDefault="00B024A2" w:rsidP="00475678">
      <w:r>
        <w:tab/>
      </w:r>
      <w:r w:rsidR="00BB2D7D" w:rsidRPr="00BB2D7D">
        <w:t xml:space="preserve">Leasing je finanční produkt, kterým lze financovat pořízení movité věci. Je využíván jak k financování investičních záměrů, tak potřeb domácností. Váže se především na financovaný </w:t>
      </w:r>
      <w:r w:rsidR="00BB2D7D" w:rsidRPr="00BB2D7D">
        <w:lastRenderedPageBreak/>
        <w:t>předmět. Umožňuje užívat potřebnou věc ve vlastnictví jiného subjektu (leasingové společnosti) na nezbytně nutnou dobu. Představuje v podstatě specifickou formu pronájmu, na jehož konci se pronajímaná věc může stát součástí majetku klienta.</w:t>
      </w:r>
      <w:r w:rsidR="00A351E8">
        <w:t xml:space="preserve"> </w:t>
      </w:r>
      <w:r w:rsidR="00706DE5">
        <w:t>Hlavním rozdílem mezi úrokem a leasingem je</w:t>
      </w:r>
      <w:r w:rsidR="00A351E8">
        <w:t xml:space="preserve"> tedy</w:t>
      </w:r>
      <w:r w:rsidR="00706DE5">
        <w:t xml:space="preserve"> </w:t>
      </w:r>
      <w:r w:rsidR="00F87BBF">
        <w:t xml:space="preserve">ve vlastnictví kupovaného zboží. </w:t>
      </w:r>
      <w:r w:rsidR="002F195D">
        <w:t>Při financování nákupu úvěrem je kupující hned majitelem zboží​</w:t>
      </w:r>
      <w:r w:rsidR="002F195D">
        <w:t xml:space="preserve">. </w:t>
      </w:r>
      <w:r w:rsidR="002F195D">
        <w:t>V případě leasingu je majitelem leasingová společnost až do skončení leasingové smlouvy nebo převodu předmětu leasingu na pronájemce​</w:t>
      </w:r>
      <w:r w:rsidR="002F195D">
        <w:t xml:space="preserve">. </w:t>
      </w:r>
      <w:r w:rsidR="002F195D">
        <w:t>Leasingová společnost je tudíž ve vztahu k nájemci v mnohem silnější právní pozici než banka vůči dlužníkovi. V případě špatné platební morálky tak může leasingová společnost poměrně snadno předmět leasingu zabavit</w:t>
      </w:r>
      <w:r w:rsidR="009C0323">
        <w:t>.</w:t>
      </w:r>
      <w:r w:rsidR="00402F96">
        <w:t xml:space="preserve"> </w:t>
      </w:r>
    </w:p>
    <w:p w14:paraId="4FB3AED6" w14:textId="21B7B457" w:rsidR="00DD41ED" w:rsidRDefault="00402F96" w:rsidP="0092786B">
      <w:pPr>
        <w:ind w:firstLine="708"/>
      </w:pPr>
      <w:r>
        <w:t xml:space="preserve">Leasing se na trhu vyskytuje ve dvou základních typech a to finanční a operativní leasing. </w:t>
      </w:r>
      <w:r w:rsidR="00475678">
        <w:t xml:space="preserve">V rámci finančního leasingu přebíráte jako klient odpovědnost za </w:t>
      </w:r>
      <w:proofErr w:type="spellStart"/>
      <w:r w:rsidR="00475678">
        <w:t>leasovanou</w:t>
      </w:r>
      <w:proofErr w:type="spellEnd"/>
      <w:r w:rsidR="00475678">
        <w:t xml:space="preserve"> věc. Jste </w:t>
      </w:r>
      <w:proofErr w:type="spellStart"/>
      <w:r w:rsidR="00475678">
        <w:t>zodpovědni</w:t>
      </w:r>
      <w:proofErr w:type="spellEnd"/>
      <w:r w:rsidR="00475678">
        <w:t xml:space="preserve"> nejen za údržbu, opravy a provoz, ale i nebezpečí a rizika jako je například poškození věci nebo riziko poklesu tržní hodnoty atd.</w:t>
      </w:r>
      <w:r w:rsidR="00475678">
        <w:t xml:space="preserve"> </w:t>
      </w:r>
      <w:r w:rsidR="00475678">
        <w:t xml:space="preserve">Finanční leasing je většinou uzavírán na delší dobu, která je dána dobou odpisování </w:t>
      </w:r>
      <w:proofErr w:type="spellStart"/>
      <w:r w:rsidR="00475678">
        <w:t>leasované</w:t>
      </w:r>
      <w:proofErr w:type="spellEnd"/>
      <w:r w:rsidR="00475678">
        <w:t xml:space="preserve"> věci podle daňových předpisů. Jako nájemce zpravidla můžete získat pronajímaný majetek do vlastnictví při splnění všech podmínek leasingové smlouvy.</w:t>
      </w:r>
      <w:r w:rsidR="0092786B">
        <w:t xml:space="preserve"> </w:t>
      </w:r>
      <w:r w:rsidR="0092786B">
        <w:t>Smlouva o operativním leasingu vám jako nájemci umožňuje především krátkodobé užívání potřebné věci. Operativní leasing je většinou uzavírána na dobu, která je výrazně kratší než odpisová doba této věci podle daňových předpisů, a to podle subjektivní ekonomické potřeby nájemce. Nebezpečí škody na věci, běžná vlastnická rizika i investiční riziko nese v operativním leasingu zásadně leasingová společnost.</w:t>
      </w:r>
      <w:r w:rsidR="0092786B">
        <w:t xml:space="preserve"> </w:t>
      </w:r>
      <w:r w:rsidR="0092786B">
        <w:t xml:space="preserve">Ta odpovídá za provozuschopnost </w:t>
      </w:r>
      <w:proofErr w:type="spellStart"/>
      <w:r w:rsidR="0092786B">
        <w:t>leasované</w:t>
      </w:r>
      <w:proofErr w:type="spellEnd"/>
      <w:r w:rsidR="0092786B">
        <w:t xml:space="preserve"> věci a za dosahování jejích dohodnutých provozních parametrů. Nese také náklady údržby a oprav </w:t>
      </w:r>
      <w:proofErr w:type="spellStart"/>
      <w:r w:rsidR="0092786B">
        <w:t>leasované</w:t>
      </w:r>
      <w:proofErr w:type="spellEnd"/>
      <w:r w:rsidR="0092786B">
        <w:t xml:space="preserve"> věci. Při její poruše bránící dohodnutému užívání zpravidla poskytuje náhradní věc podobných parametrů. Leasingová společnost nese v operativním leasingu také riziko poklesu tržní hodnoty </w:t>
      </w:r>
      <w:proofErr w:type="spellStart"/>
      <w:r w:rsidR="0092786B">
        <w:t>leasované</w:t>
      </w:r>
      <w:proofErr w:type="spellEnd"/>
      <w:r w:rsidR="0092786B">
        <w:t xml:space="preserve"> věci. Po skončení operativního leasingu je tato věc vrácena leasingové společnosti, pokud nedojde k jiné dohodě.</w:t>
      </w:r>
      <w:r w:rsidR="00A9054E">
        <w:rPr>
          <w:rStyle w:val="Znakapoznpodarou"/>
        </w:rPr>
        <w:footnoteReference w:id="1"/>
      </w:r>
    </w:p>
    <w:p w14:paraId="762F2A00" w14:textId="77777777" w:rsidR="00B90A40" w:rsidRDefault="00B90A40" w:rsidP="00DD41ED">
      <w:pPr>
        <w:pStyle w:val="Nzev"/>
      </w:pPr>
    </w:p>
    <w:p w14:paraId="3B4724BB" w14:textId="766E07D3" w:rsidR="002712DB" w:rsidRPr="00DD41ED" w:rsidRDefault="00DD41ED" w:rsidP="00DD41ED">
      <w:pPr>
        <w:pStyle w:val="Nzev"/>
      </w:pPr>
      <w:r>
        <w:lastRenderedPageBreak/>
        <w:t>Struktura hodiny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7"/>
        <w:gridCol w:w="3902"/>
      </w:tblGrid>
      <w:tr w:rsidR="002712DB" w:rsidRPr="00DD41ED" w14:paraId="2F6D01FE" w14:textId="77777777" w:rsidTr="002C1980">
        <w:tc>
          <w:tcPr>
            <w:tcW w:w="5807" w:type="dxa"/>
            <w:tcBorders>
              <w:top w:val="single" w:sz="4" w:space="0" w:color="auto"/>
              <w:left w:val="single" w:sz="4" w:space="0" w:color="auto"/>
              <w:bottom w:val="single" w:sz="4" w:space="0" w:color="auto"/>
              <w:right w:val="single" w:sz="4" w:space="0" w:color="auto"/>
            </w:tcBorders>
          </w:tcPr>
          <w:p w14:paraId="3358DD5F" w14:textId="3430DD61" w:rsidR="002712DB" w:rsidRPr="00DD41ED" w:rsidRDefault="002712DB" w:rsidP="00DD41ED">
            <w:pPr>
              <w:jc w:val="left"/>
              <w:rPr>
                <w:rFonts w:cs="Calibri"/>
                <w:u w:val="single"/>
              </w:rPr>
            </w:pPr>
            <w:r w:rsidRPr="00DD41ED">
              <w:rPr>
                <w:rFonts w:cs="Calibri"/>
                <w:u w:val="single"/>
              </w:rPr>
              <w:t>Tematický okruh-téma</w:t>
            </w:r>
            <w:r w:rsidRPr="00DD41ED">
              <w:rPr>
                <w:rFonts w:cs="Calibri"/>
              </w:rPr>
              <w:t xml:space="preserve">: </w:t>
            </w:r>
            <w:r w:rsidR="00DD41ED" w:rsidRPr="00DD41ED">
              <w:rPr>
                <w:rFonts w:cs="Calibri"/>
              </w:rPr>
              <w:t xml:space="preserve">Člověk </w:t>
            </w:r>
            <w:r w:rsidR="007D791F">
              <w:rPr>
                <w:rFonts w:cs="Calibri"/>
              </w:rPr>
              <w:t>a svět práce</w:t>
            </w:r>
            <w:r w:rsidRPr="00DD41ED">
              <w:rPr>
                <w:rFonts w:cs="Calibri"/>
              </w:rPr>
              <w:t>,</w:t>
            </w:r>
            <w:r w:rsidR="00F75110">
              <w:rPr>
                <w:rFonts w:cs="Calibri"/>
              </w:rPr>
              <w:t xml:space="preserve"> Člověk </w:t>
            </w:r>
            <w:r w:rsidR="0089472C">
              <w:rPr>
                <w:rFonts w:cs="Calibri"/>
              </w:rPr>
              <w:t>a společnost</w:t>
            </w:r>
            <w:r w:rsidR="00F75110">
              <w:rPr>
                <w:rFonts w:cs="Calibri"/>
              </w:rPr>
              <w:t xml:space="preserve"> –</w:t>
            </w:r>
            <w:r w:rsidRPr="00DD41ED">
              <w:rPr>
                <w:rFonts w:cs="Calibri"/>
              </w:rPr>
              <w:t xml:space="preserve"> </w:t>
            </w:r>
            <w:r w:rsidR="00DF5484">
              <w:rPr>
                <w:rFonts w:cs="Calibri"/>
              </w:rPr>
              <w:t>Člověk, stát a hospodářství</w:t>
            </w:r>
          </w:p>
        </w:tc>
        <w:tc>
          <w:tcPr>
            <w:tcW w:w="3902" w:type="dxa"/>
            <w:tcBorders>
              <w:top w:val="single" w:sz="4" w:space="0" w:color="auto"/>
              <w:left w:val="single" w:sz="4" w:space="0" w:color="auto"/>
              <w:bottom w:val="single" w:sz="4" w:space="0" w:color="auto"/>
              <w:right w:val="single" w:sz="4" w:space="0" w:color="auto"/>
            </w:tcBorders>
          </w:tcPr>
          <w:p w14:paraId="73314B44" w14:textId="6268C881" w:rsidR="002712DB" w:rsidRPr="00DD41ED" w:rsidRDefault="002712DB" w:rsidP="00141BD4">
            <w:pPr>
              <w:jc w:val="left"/>
              <w:rPr>
                <w:rFonts w:cs="Calibri"/>
              </w:rPr>
            </w:pPr>
            <w:r w:rsidRPr="00DD41ED">
              <w:rPr>
                <w:rFonts w:cs="Calibri"/>
                <w:u w:val="single"/>
              </w:rPr>
              <w:t>Třída</w:t>
            </w:r>
            <w:r w:rsidR="00DD41ED" w:rsidRPr="00DD41ED">
              <w:rPr>
                <w:rFonts w:cs="Calibri"/>
              </w:rPr>
              <w:t xml:space="preserve">: </w:t>
            </w:r>
            <w:r w:rsidR="00C13F27">
              <w:rPr>
                <w:rFonts w:cs="Calibri"/>
              </w:rPr>
              <w:t>7</w:t>
            </w:r>
            <w:r w:rsidRPr="00DD41ED">
              <w:rPr>
                <w:rFonts w:cs="Calibri"/>
              </w:rPr>
              <w:t>.</w:t>
            </w:r>
            <w:r w:rsidR="00C13F27">
              <w:rPr>
                <w:rFonts w:cs="Calibri"/>
              </w:rPr>
              <w:t xml:space="preserve"> – 9.</w:t>
            </w:r>
            <w:r w:rsidRPr="00DD41ED">
              <w:rPr>
                <w:rFonts w:cs="Calibri"/>
              </w:rPr>
              <w:t xml:space="preserve"> ročník</w:t>
            </w:r>
          </w:p>
          <w:p w14:paraId="45217407" w14:textId="77777777" w:rsidR="002712DB" w:rsidRPr="00DD41ED" w:rsidRDefault="002712DB" w:rsidP="00141BD4">
            <w:pPr>
              <w:jc w:val="left"/>
              <w:rPr>
                <w:rFonts w:cs="Calibri"/>
                <w:u w:val="single"/>
              </w:rPr>
            </w:pPr>
            <w:r w:rsidRPr="00DD41ED">
              <w:rPr>
                <w:rFonts w:cs="Calibri"/>
                <w:u w:val="single"/>
              </w:rPr>
              <w:t>Časová dotace</w:t>
            </w:r>
            <w:r w:rsidRPr="00DD41ED">
              <w:rPr>
                <w:rFonts w:cs="Calibri"/>
              </w:rPr>
              <w:t>: 1 hodina</w:t>
            </w:r>
          </w:p>
        </w:tc>
      </w:tr>
      <w:tr w:rsidR="002712DB" w:rsidRPr="00DD41ED" w14:paraId="7E68FD60" w14:textId="77777777" w:rsidTr="002C1980">
        <w:trPr>
          <w:trHeight w:val="811"/>
        </w:trPr>
        <w:tc>
          <w:tcPr>
            <w:tcW w:w="5807" w:type="dxa"/>
            <w:tcBorders>
              <w:top w:val="single" w:sz="4" w:space="0" w:color="auto"/>
              <w:left w:val="single" w:sz="4" w:space="0" w:color="auto"/>
              <w:bottom w:val="single" w:sz="4" w:space="0" w:color="auto"/>
              <w:right w:val="single" w:sz="4" w:space="0" w:color="auto"/>
            </w:tcBorders>
          </w:tcPr>
          <w:p w14:paraId="03F231C3" w14:textId="77777777" w:rsidR="002712DB" w:rsidRPr="00DD41ED" w:rsidRDefault="002712DB" w:rsidP="00DD41ED">
            <w:pPr>
              <w:jc w:val="left"/>
              <w:rPr>
                <w:rFonts w:cs="Calibri"/>
              </w:rPr>
            </w:pPr>
            <w:r w:rsidRPr="00DD41ED">
              <w:rPr>
                <w:rFonts w:cs="Calibri"/>
                <w:u w:val="single"/>
              </w:rPr>
              <w:t>Průřezová témata</w:t>
            </w:r>
            <w:r w:rsidRPr="00DD41ED">
              <w:rPr>
                <w:rFonts w:cs="Calibri"/>
              </w:rPr>
              <w:t xml:space="preserve">: </w:t>
            </w:r>
            <w:r w:rsidR="00DD41ED" w:rsidRPr="00DD41ED">
              <w:rPr>
                <w:rFonts w:cs="Calibri"/>
              </w:rPr>
              <w:t>Osobnostní a sociální výchova</w:t>
            </w:r>
          </w:p>
        </w:tc>
        <w:tc>
          <w:tcPr>
            <w:tcW w:w="3902" w:type="dxa"/>
            <w:tcBorders>
              <w:top w:val="single" w:sz="4" w:space="0" w:color="auto"/>
              <w:left w:val="single" w:sz="4" w:space="0" w:color="auto"/>
              <w:bottom w:val="single" w:sz="4" w:space="0" w:color="auto"/>
              <w:right w:val="single" w:sz="4" w:space="0" w:color="auto"/>
            </w:tcBorders>
          </w:tcPr>
          <w:p w14:paraId="7D6BBA10" w14:textId="171B689E" w:rsidR="002712DB" w:rsidRPr="00DD41ED" w:rsidRDefault="002712DB" w:rsidP="00141BD4">
            <w:pPr>
              <w:jc w:val="left"/>
              <w:rPr>
                <w:rFonts w:cs="Calibri"/>
              </w:rPr>
            </w:pPr>
            <w:r w:rsidRPr="00DD41ED">
              <w:rPr>
                <w:rFonts w:cs="Calibri"/>
                <w:u w:val="single"/>
              </w:rPr>
              <w:t>Mezipředmětové vztahy</w:t>
            </w:r>
            <w:r w:rsidR="00DD41ED" w:rsidRPr="00DD41ED">
              <w:rPr>
                <w:rFonts w:cs="Calibri"/>
              </w:rPr>
              <w:t xml:space="preserve">: </w:t>
            </w:r>
            <w:r w:rsidR="006A4C4D">
              <w:rPr>
                <w:rFonts w:cs="Calibri"/>
              </w:rPr>
              <w:t xml:space="preserve">Matematika, svět práce, finanční </w:t>
            </w:r>
            <w:r w:rsidR="00D84740">
              <w:rPr>
                <w:rFonts w:cs="Calibri"/>
              </w:rPr>
              <w:t>gramotnost</w:t>
            </w:r>
          </w:p>
          <w:p w14:paraId="28CDE8CE" w14:textId="77777777" w:rsidR="002712DB" w:rsidRPr="00DD41ED" w:rsidRDefault="002712DB" w:rsidP="00141BD4">
            <w:pPr>
              <w:jc w:val="left"/>
              <w:rPr>
                <w:rFonts w:cs="Calibri"/>
              </w:rPr>
            </w:pPr>
          </w:p>
        </w:tc>
      </w:tr>
      <w:tr w:rsidR="002712DB" w:rsidRPr="00DD41ED" w14:paraId="04FEBCFB" w14:textId="77777777" w:rsidTr="00570EAD">
        <w:tc>
          <w:tcPr>
            <w:tcW w:w="9709" w:type="dxa"/>
            <w:gridSpan w:val="2"/>
            <w:tcBorders>
              <w:top w:val="single" w:sz="4" w:space="0" w:color="auto"/>
              <w:left w:val="single" w:sz="4" w:space="0" w:color="auto"/>
              <w:bottom w:val="single" w:sz="4" w:space="0" w:color="auto"/>
              <w:right w:val="single" w:sz="4" w:space="0" w:color="auto"/>
            </w:tcBorders>
            <w:vAlign w:val="bottom"/>
          </w:tcPr>
          <w:p w14:paraId="1CCD4436" w14:textId="5D8D2EED" w:rsidR="002712DB" w:rsidRDefault="002712DB" w:rsidP="00141BD4">
            <w:pPr>
              <w:jc w:val="left"/>
              <w:rPr>
                <w:rFonts w:cs="Calibri"/>
              </w:rPr>
            </w:pPr>
            <w:r w:rsidRPr="00DD41ED">
              <w:rPr>
                <w:rFonts w:cs="Calibri"/>
                <w:u w:val="single"/>
              </w:rPr>
              <w:t>Cíle vyučovací hodiny</w:t>
            </w:r>
            <w:r w:rsidRPr="00DD41ED">
              <w:rPr>
                <w:rFonts w:cs="Calibri"/>
              </w:rPr>
              <w:t xml:space="preserve">: </w:t>
            </w:r>
          </w:p>
          <w:p w14:paraId="0C4E3030" w14:textId="72E9435B" w:rsidR="00DC1A3A" w:rsidRPr="00DD41ED" w:rsidRDefault="00DC1A3A" w:rsidP="00141BD4">
            <w:pPr>
              <w:jc w:val="left"/>
              <w:rPr>
                <w:rFonts w:cs="Calibri"/>
              </w:rPr>
            </w:pPr>
            <w:r>
              <w:rPr>
                <w:rFonts w:cs="Calibri"/>
              </w:rPr>
              <w:t>Ž</w:t>
            </w:r>
            <w:r w:rsidRPr="00DC1A3A">
              <w:rPr>
                <w:rFonts w:cs="Calibri"/>
              </w:rPr>
              <w:t>ák ví co je to spotřebitelský úvěr, rozumí základním pojmům, které s úvěrem souvisí, rozumí zásadám a pravidlům, která je potřeba zohlednit před podepsáním smlouvy, žák zná svá spotřebitelská práva</w:t>
            </w:r>
            <w:r>
              <w:rPr>
                <w:rFonts w:cs="Calibri"/>
              </w:rPr>
              <w:t>.</w:t>
            </w:r>
          </w:p>
          <w:p w14:paraId="70405DCC" w14:textId="4A4413E7" w:rsidR="002712DB" w:rsidRDefault="00B2473A" w:rsidP="00141BD4">
            <w:pPr>
              <w:jc w:val="left"/>
              <w:rPr>
                <w:rFonts w:cs="Calibri"/>
                <w:u w:val="single"/>
              </w:rPr>
            </w:pPr>
            <w:r w:rsidRPr="00DD41ED">
              <w:rPr>
                <w:rFonts w:cs="Calibri"/>
                <w:u w:val="single"/>
              </w:rPr>
              <w:t>D</w:t>
            </w:r>
            <w:r w:rsidR="002712DB" w:rsidRPr="00DD41ED">
              <w:rPr>
                <w:rFonts w:cs="Calibri"/>
                <w:u w:val="single"/>
              </w:rPr>
              <w:t xml:space="preserve">ílčí očekávané výstupy: </w:t>
            </w:r>
          </w:p>
          <w:p w14:paraId="30BC6FB1" w14:textId="1176FAB1" w:rsidR="00AC75C1" w:rsidRDefault="00AC75C1" w:rsidP="002C1980">
            <w:pPr>
              <w:pStyle w:val="paragraph"/>
              <w:spacing w:before="0" w:beforeAutospacing="0" w:after="0" w:afterAutospacing="0"/>
              <w:textAlignment w:val="baseline"/>
              <w:rPr>
                <w:rStyle w:val="eop"/>
                <w:rFonts w:asciiTheme="minorHAnsi" w:hAnsiTheme="minorHAnsi" w:cstheme="minorHAnsi"/>
              </w:rPr>
            </w:pPr>
            <w:r w:rsidRPr="00AC75C1">
              <w:rPr>
                <w:rStyle w:val="normaltextrun"/>
                <w:rFonts w:asciiTheme="minorHAnsi" w:hAnsiTheme="minorHAnsi" w:cstheme="minorHAnsi"/>
                <w:color w:val="000000"/>
              </w:rPr>
              <w:t>Ž</w:t>
            </w:r>
            <w:r w:rsidRPr="00AC75C1">
              <w:rPr>
                <w:rStyle w:val="normaltextrun"/>
                <w:rFonts w:asciiTheme="minorHAnsi" w:hAnsiTheme="minorHAnsi" w:cstheme="minorHAnsi"/>
                <w:color w:val="000000"/>
              </w:rPr>
              <w:t>ák ví jaké typy půjček jsou na trhu, rozumí, k čemu půjčka slouží a chápe pojem bonita spotřebitele, žák chápe, že se půjčky není třeba bát, dodržuje-li určitá pravidla</w:t>
            </w:r>
            <w:r w:rsidRPr="00AC75C1">
              <w:rPr>
                <w:rStyle w:val="eop"/>
                <w:rFonts w:asciiTheme="minorHAnsi" w:hAnsiTheme="minorHAnsi" w:cstheme="minorHAnsi"/>
              </w:rPr>
              <w:t>​</w:t>
            </w:r>
          </w:p>
          <w:p w14:paraId="1C7C0CA4" w14:textId="77777777" w:rsidR="002C1980" w:rsidRPr="002C1980" w:rsidRDefault="002C1980" w:rsidP="002C1980">
            <w:pPr>
              <w:pStyle w:val="paragraph"/>
              <w:spacing w:before="0" w:beforeAutospacing="0" w:after="0" w:afterAutospacing="0"/>
              <w:textAlignment w:val="baseline"/>
              <w:rPr>
                <w:rFonts w:asciiTheme="minorHAnsi" w:hAnsiTheme="minorHAnsi" w:cstheme="minorHAnsi"/>
              </w:rPr>
            </w:pPr>
          </w:p>
          <w:p w14:paraId="78ABC1C2" w14:textId="0B25F89D" w:rsidR="002712DB" w:rsidRPr="00DD41ED" w:rsidRDefault="00B2473A" w:rsidP="00141BD4">
            <w:pPr>
              <w:jc w:val="left"/>
              <w:rPr>
                <w:rFonts w:cs="Calibri"/>
                <w:u w:val="single"/>
              </w:rPr>
            </w:pPr>
            <w:r w:rsidRPr="00DD41ED">
              <w:rPr>
                <w:rFonts w:cs="Calibri"/>
                <w:u w:val="single"/>
              </w:rPr>
              <w:t>O</w:t>
            </w:r>
            <w:r w:rsidR="002712DB" w:rsidRPr="00DD41ED">
              <w:rPr>
                <w:rFonts w:cs="Calibri"/>
                <w:u w:val="single"/>
              </w:rPr>
              <w:t>čekávané výstupy RVP:</w:t>
            </w:r>
          </w:p>
          <w:p w14:paraId="70353106" w14:textId="6B363824" w:rsidR="002712DB" w:rsidRPr="00DD41ED" w:rsidRDefault="00F75110" w:rsidP="00141BD4">
            <w:pPr>
              <w:jc w:val="left"/>
              <w:rPr>
                <w:rFonts w:cs="Calibri"/>
              </w:rPr>
            </w:pPr>
            <w:r>
              <w:rPr>
                <w:rFonts w:cs="Calibri"/>
              </w:rPr>
              <w:t xml:space="preserve">Žák </w:t>
            </w:r>
            <w:r w:rsidR="00FD0A46" w:rsidRPr="00FD0A46">
              <w:t>uvede příklady služeb, které banky nabízejí občanům</w:t>
            </w:r>
            <w:r w:rsidR="00203F6F">
              <w:t xml:space="preserve">. </w:t>
            </w:r>
            <w:r w:rsidR="00203F6F">
              <w:rPr>
                <w:rFonts w:cs="Calibri"/>
              </w:rPr>
              <w:t xml:space="preserve">Žák vysvětlí </w:t>
            </w:r>
            <w:r w:rsidR="00203F6F" w:rsidRPr="00BF17AC">
              <w:rPr>
                <w:rFonts w:cs="Calibri"/>
              </w:rPr>
              <w:t>význam úroku placeného a přijatého</w:t>
            </w:r>
            <w:r w:rsidR="00203F6F">
              <w:rPr>
                <w:rFonts w:cs="Calibri"/>
              </w:rPr>
              <w:t>. Žák vysvětlí význam úroku.</w:t>
            </w:r>
            <w:r w:rsidR="00DC1A3A">
              <w:rPr>
                <w:rFonts w:cs="Calibri"/>
              </w:rPr>
              <w:t xml:space="preserve"> </w:t>
            </w:r>
            <w:r w:rsidR="00DC1A3A">
              <w:rPr>
                <w:rFonts w:cs="Calibri"/>
              </w:rPr>
              <w:t xml:space="preserve">Žák </w:t>
            </w:r>
            <w:r w:rsidR="00DC1A3A" w:rsidRPr="003D160E">
              <w:rPr>
                <w:rFonts w:cs="Calibri"/>
              </w:rPr>
              <w:t xml:space="preserve">dodržuje zásady hospodárnosti a vyhýbá se rizikům při hospodaření s penězi </w:t>
            </w:r>
          </w:p>
          <w:p w14:paraId="43A6B5A1" w14:textId="77777777" w:rsidR="002712DB" w:rsidRPr="00DD41ED" w:rsidRDefault="00B2473A" w:rsidP="00141BD4">
            <w:pPr>
              <w:jc w:val="left"/>
              <w:rPr>
                <w:rFonts w:cs="Calibri"/>
                <w:u w:val="single"/>
              </w:rPr>
            </w:pPr>
            <w:r w:rsidRPr="00DD41ED">
              <w:rPr>
                <w:rFonts w:cs="Calibri"/>
                <w:u w:val="single"/>
              </w:rPr>
              <w:t>K</w:t>
            </w:r>
            <w:r w:rsidR="002712DB" w:rsidRPr="00DD41ED">
              <w:rPr>
                <w:rFonts w:cs="Calibri"/>
                <w:u w:val="single"/>
              </w:rPr>
              <w:t>líčové kompetence:</w:t>
            </w:r>
          </w:p>
          <w:p w14:paraId="6D92C477" w14:textId="77777777" w:rsidR="00D00CD5" w:rsidRDefault="00570EAD" w:rsidP="00570EAD">
            <w:pPr>
              <w:jc w:val="left"/>
              <w:rPr>
                <w:rFonts w:cs="Calibri"/>
              </w:rPr>
            </w:pPr>
            <w:r>
              <w:rPr>
                <w:rFonts w:cs="Calibri"/>
              </w:rPr>
              <w:t xml:space="preserve">Kompetence komunikativní </w:t>
            </w:r>
          </w:p>
          <w:p w14:paraId="32880769" w14:textId="77777777" w:rsidR="00570EAD" w:rsidRDefault="00570EAD" w:rsidP="00570EAD">
            <w:pPr>
              <w:jc w:val="left"/>
              <w:rPr>
                <w:rFonts w:cs="Calibri"/>
              </w:rPr>
            </w:pPr>
            <w:r>
              <w:rPr>
                <w:rFonts w:cs="Calibri"/>
              </w:rPr>
              <w:t>Kompetence sociální a personální</w:t>
            </w:r>
          </w:p>
          <w:p w14:paraId="27911C7D" w14:textId="77777777" w:rsidR="00570EAD" w:rsidRPr="00DD41ED" w:rsidRDefault="00570EAD" w:rsidP="00570EAD">
            <w:pPr>
              <w:jc w:val="left"/>
              <w:rPr>
                <w:rFonts w:cs="Calibri"/>
              </w:rPr>
            </w:pPr>
            <w:r>
              <w:rPr>
                <w:rFonts w:cs="Calibri"/>
              </w:rPr>
              <w:t>Kompetence pracovní</w:t>
            </w:r>
          </w:p>
        </w:tc>
      </w:tr>
      <w:tr w:rsidR="002712DB" w:rsidRPr="00DD41ED" w14:paraId="3F6DE6FD" w14:textId="77777777" w:rsidTr="00570EAD">
        <w:tc>
          <w:tcPr>
            <w:tcW w:w="9709" w:type="dxa"/>
            <w:gridSpan w:val="2"/>
            <w:tcBorders>
              <w:top w:val="single" w:sz="4" w:space="0" w:color="auto"/>
              <w:left w:val="single" w:sz="4" w:space="0" w:color="auto"/>
              <w:bottom w:val="single" w:sz="4" w:space="0" w:color="auto"/>
              <w:right w:val="single" w:sz="4" w:space="0" w:color="auto"/>
            </w:tcBorders>
          </w:tcPr>
          <w:p w14:paraId="3BA4AD4B" w14:textId="77777777" w:rsidR="002712DB" w:rsidRPr="00DD41ED" w:rsidRDefault="002712DB" w:rsidP="00141BD4">
            <w:pPr>
              <w:jc w:val="left"/>
              <w:rPr>
                <w:rFonts w:cs="Calibri"/>
              </w:rPr>
            </w:pPr>
            <w:r w:rsidRPr="00DD41ED">
              <w:rPr>
                <w:rFonts w:cs="Calibri"/>
                <w:u w:val="single"/>
              </w:rPr>
              <w:t>Obsah</w:t>
            </w:r>
            <w:r w:rsidRPr="00DD41ED">
              <w:rPr>
                <w:rFonts w:cs="Calibri"/>
              </w:rPr>
              <w:t>:</w:t>
            </w:r>
          </w:p>
          <w:p w14:paraId="3798F45B" w14:textId="77777777" w:rsidR="002712DB" w:rsidRPr="00DD41ED" w:rsidRDefault="002712DB" w:rsidP="00141BD4">
            <w:pPr>
              <w:jc w:val="left"/>
              <w:rPr>
                <w:rFonts w:cs="Calibri"/>
                <w:u w:val="single"/>
              </w:rPr>
            </w:pPr>
            <w:r w:rsidRPr="00DD41ED">
              <w:rPr>
                <w:rFonts w:cs="Calibri"/>
                <w:u w:val="single"/>
              </w:rPr>
              <w:t>Učivo</w:t>
            </w:r>
          </w:p>
          <w:p w14:paraId="01E3264C" w14:textId="62DA95B4" w:rsidR="002712DB" w:rsidRPr="00DD41ED" w:rsidRDefault="000E487A" w:rsidP="00141BD4">
            <w:pPr>
              <w:jc w:val="left"/>
              <w:rPr>
                <w:rFonts w:cs="Calibri"/>
              </w:rPr>
            </w:pPr>
            <w:r>
              <w:rPr>
                <w:rFonts w:cs="Calibri"/>
              </w:rPr>
              <w:t>Finanční gramotnost – spotřebitelský úv</w:t>
            </w:r>
            <w:r w:rsidR="00497BCE">
              <w:rPr>
                <w:rFonts w:cs="Calibri"/>
              </w:rPr>
              <w:t>ě</w:t>
            </w:r>
            <w:r>
              <w:rPr>
                <w:rFonts w:cs="Calibri"/>
              </w:rPr>
              <w:t xml:space="preserve">r. </w:t>
            </w:r>
          </w:p>
          <w:p w14:paraId="0240DFEB" w14:textId="77777777" w:rsidR="002712DB" w:rsidRPr="00DD41ED" w:rsidRDefault="00B2473A" w:rsidP="00141BD4">
            <w:pPr>
              <w:jc w:val="left"/>
              <w:rPr>
                <w:rFonts w:cs="Calibri"/>
                <w:u w:val="single"/>
              </w:rPr>
            </w:pPr>
            <w:r w:rsidRPr="00DD41ED">
              <w:rPr>
                <w:rFonts w:cs="Calibri"/>
                <w:u w:val="single"/>
              </w:rPr>
              <w:t>P</w:t>
            </w:r>
            <w:r w:rsidR="002712DB" w:rsidRPr="00DD41ED">
              <w:rPr>
                <w:rFonts w:cs="Calibri"/>
                <w:u w:val="single"/>
              </w:rPr>
              <w:t>ojmy opěrné (žák je zná, měl by je znát)</w:t>
            </w:r>
          </w:p>
          <w:p w14:paraId="0DDAF798" w14:textId="7E2A4BEF" w:rsidR="002712DB" w:rsidRPr="00DD41ED" w:rsidRDefault="00497BCE" w:rsidP="00141BD4">
            <w:pPr>
              <w:jc w:val="left"/>
              <w:rPr>
                <w:rFonts w:cs="Calibri"/>
              </w:rPr>
            </w:pPr>
            <w:r>
              <w:rPr>
                <w:rFonts w:cs="Calibri"/>
              </w:rPr>
              <w:t xml:space="preserve">Půjčka, bankovní účet, </w:t>
            </w:r>
            <w:r w:rsidR="00B71270">
              <w:rPr>
                <w:rFonts w:cs="Calibri"/>
              </w:rPr>
              <w:t>finance, hotovost</w:t>
            </w:r>
            <w:r w:rsidR="007456A5">
              <w:rPr>
                <w:rFonts w:cs="Calibri"/>
              </w:rPr>
              <w:t>, splátky.</w:t>
            </w:r>
          </w:p>
          <w:p w14:paraId="245935B1" w14:textId="77777777" w:rsidR="002712DB" w:rsidRPr="00DD41ED" w:rsidRDefault="00B2473A" w:rsidP="00141BD4">
            <w:pPr>
              <w:jc w:val="left"/>
              <w:rPr>
                <w:rFonts w:cs="Calibri"/>
                <w:u w:val="single"/>
              </w:rPr>
            </w:pPr>
            <w:r w:rsidRPr="00DD41ED">
              <w:rPr>
                <w:rFonts w:cs="Calibri"/>
                <w:u w:val="single"/>
              </w:rPr>
              <w:t>P</w:t>
            </w:r>
            <w:r w:rsidR="002712DB" w:rsidRPr="00DD41ED">
              <w:rPr>
                <w:rFonts w:cs="Calibri"/>
                <w:u w:val="single"/>
              </w:rPr>
              <w:t>ojmy nové (souvisí s obsahem učiva)</w:t>
            </w:r>
          </w:p>
          <w:p w14:paraId="0D6D915A" w14:textId="5ABB3BC0" w:rsidR="002712DB" w:rsidRPr="00DD41ED" w:rsidRDefault="00B71270" w:rsidP="00141BD4">
            <w:pPr>
              <w:jc w:val="left"/>
              <w:rPr>
                <w:rFonts w:cs="Calibri"/>
              </w:rPr>
            </w:pPr>
            <w:r>
              <w:rPr>
                <w:rFonts w:cs="Calibri"/>
              </w:rPr>
              <w:t xml:space="preserve">Úvěr, úrok, </w:t>
            </w:r>
            <w:r w:rsidR="007456A5">
              <w:rPr>
                <w:rFonts w:cs="Calibri"/>
              </w:rPr>
              <w:t xml:space="preserve">hypotéka, kreditní karta, debetní karta, </w:t>
            </w:r>
            <w:r>
              <w:rPr>
                <w:rFonts w:cs="Calibri"/>
              </w:rPr>
              <w:t>hotovostní a bezhotovostní transakce.</w:t>
            </w:r>
          </w:p>
        </w:tc>
      </w:tr>
      <w:tr w:rsidR="002712DB" w:rsidRPr="00DD41ED" w14:paraId="50BA43A2" w14:textId="77777777" w:rsidTr="00570EAD">
        <w:tc>
          <w:tcPr>
            <w:tcW w:w="9709" w:type="dxa"/>
            <w:gridSpan w:val="2"/>
            <w:tcBorders>
              <w:top w:val="single" w:sz="4" w:space="0" w:color="auto"/>
              <w:left w:val="single" w:sz="4" w:space="0" w:color="auto"/>
              <w:bottom w:val="single" w:sz="4" w:space="0" w:color="auto"/>
              <w:right w:val="single" w:sz="4" w:space="0" w:color="auto"/>
            </w:tcBorders>
          </w:tcPr>
          <w:p w14:paraId="764341B6" w14:textId="77777777" w:rsidR="002712DB" w:rsidRPr="00DD41ED" w:rsidRDefault="002712DB" w:rsidP="00141BD4">
            <w:pPr>
              <w:jc w:val="left"/>
              <w:rPr>
                <w:rFonts w:cs="Calibri"/>
              </w:rPr>
            </w:pPr>
            <w:r w:rsidRPr="00DD41ED">
              <w:rPr>
                <w:rFonts w:cs="Calibri"/>
                <w:u w:val="single"/>
              </w:rPr>
              <w:t>Výukové metody</w:t>
            </w:r>
            <w:r w:rsidRPr="00DD41ED">
              <w:rPr>
                <w:rFonts w:cs="Calibri"/>
              </w:rPr>
              <w:t>:</w:t>
            </w:r>
          </w:p>
          <w:p w14:paraId="5D207A40" w14:textId="77777777" w:rsidR="00570EAD" w:rsidRDefault="00960A80" w:rsidP="00570EAD">
            <w:pPr>
              <w:jc w:val="left"/>
              <w:rPr>
                <w:rFonts w:cs="Calibri"/>
              </w:rPr>
            </w:pPr>
            <w:r>
              <w:rPr>
                <w:rFonts w:cs="Calibri"/>
              </w:rPr>
              <w:t>Didaktická hra</w:t>
            </w:r>
          </w:p>
          <w:p w14:paraId="5CD0C8F5" w14:textId="22BAF700" w:rsidR="00960A80" w:rsidRPr="00DD41ED" w:rsidRDefault="00960A80" w:rsidP="00570EAD">
            <w:pPr>
              <w:jc w:val="left"/>
              <w:rPr>
                <w:rFonts w:cs="Calibri"/>
              </w:rPr>
            </w:pPr>
            <w:r>
              <w:rPr>
                <w:rFonts w:cs="Calibri"/>
              </w:rPr>
              <w:lastRenderedPageBreak/>
              <w:t>Praktické uplatnění nových poznatků</w:t>
            </w:r>
          </w:p>
        </w:tc>
      </w:tr>
      <w:tr w:rsidR="002712DB" w:rsidRPr="00DD41ED" w14:paraId="3B2E3505" w14:textId="77777777" w:rsidTr="00570EAD">
        <w:tc>
          <w:tcPr>
            <w:tcW w:w="9709" w:type="dxa"/>
            <w:gridSpan w:val="2"/>
            <w:tcBorders>
              <w:top w:val="single" w:sz="4" w:space="0" w:color="auto"/>
              <w:left w:val="single" w:sz="4" w:space="0" w:color="auto"/>
              <w:bottom w:val="single" w:sz="4" w:space="0" w:color="auto"/>
              <w:right w:val="single" w:sz="4" w:space="0" w:color="auto"/>
            </w:tcBorders>
          </w:tcPr>
          <w:p w14:paraId="14C17585" w14:textId="77777777" w:rsidR="002712DB" w:rsidRPr="00DD41ED" w:rsidRDefault="002712DB" w:rsidP="00141BD4">
            <w:pPr>
              <w:jc w:val="left"/>
              <w:rPr>
                <w:rFonts w:cs="Calibri"/>
              </w:rPr>
            </w:pPr>
            <w:r w:rsidRPr="00DD41ED">
              <w:rPr>
                <w:rFonts w:cs="Calibri"/>
                <w:u w:val="single"/>
              </w:rPr>
              <w:lastRenderedPageBreak/>
              <w:t>Organizační formy výuky</w:t>
            </w:r>
            <w:r w:rsidRPr="00DD41ED">
              <w:rPr>
                <w:rFonts w:cs="Calibri"/>
              </w:rPr>
              <w:t>:</w:t>
            </w:r>
          </w:p>
          <w:p w14:paraId="5CC636B9" w14:textId="6830C181" w:rsidR="002712DB" w:rsidRPr="00DD41ED" w:rsidRDefault="004B1230" w:rsidP="009417D8">
            <w:pPr>
              <w:jc w:val="left"/>
              <w:rPr>
                <w:rFonts w:cs="Calibri"/>
              </w:rPr>
            </w:pPr>
            <w:r>
              <w:rPr>
                <w:rFonts w:cs="Calibri"/>
              </w:rPr>
              <w:t>F</w:t>
            </w:r>
            <w:r w:rsidRPr="004B1230">
              <w:rPr>
                <w:rFonts w:cs="Calibri"/>
              </w:rPr>
              <w:t>rontální</w:t>
            </w:r>
            <w:r>
              <w:rPr>
                <w:rFonts w:cs="Calibri"/>
              </w:rPr>
              <w:t xml:space="preserve"> výuka</w:t>
            </w:r>
            <w:r w:rsidRPr="004B1230">
              <w:rPr>
                <w:rFonts w:cs="Calibri"/>
              </w:rPr>
              <w:t>, skupinová práce, samostatná práce​</w:t>
            </w:r>
            <w:r>
              <w:rPr>
                <w:rFonts w:cs="Calibri"/>
              </w:rPr>
              <w:t>.</w:t>
            </w:r>
          </w:p>
        </w:tc>
      </w:tr>
      <w:tr w:rsidR="002712DB" w:rsidRPr="00DD41ED" w14:paraId="40162BBB" w14:textId="77777777" w:rsidTr="00570EAD">
        <w:tc>
          <w:tcPr>
            <w:tcW w:w="9709" w:type="dxa"/>
            <w:gridSpan w:val="2"/>
            <w:tcBorders>
              <w:top w:val="single" w:sz="4" w:space="0" w:color="auto"/>
              <w:left w:val="single" w:sz="4" w:space="0" w:color="auto"/>
              <w:bottom w:val="single" w:sz="4" w:space="0" w:color="auto"/>
              <w:right w:val="single" w:sz="4" w:space="0" w:color="auto"/>
            </w:tcBorders>
          </w:tcPr>
          <w:p w14:paraId="76B4C42D" w14:textId="77777777" w:rsidR="002712DB" w:rsidRPr="00DD41ED" w:rsidRDefault="002712DB" w:rsidP="00141BD4">
            <w:pPr>
              <w:jc w:val="left"/>
              <w:rPr>
                <w:rFonts w:cs="Calibri"/>
              </w:rPr>
            </w:pPr>
            <w:r w:rsidRPr="00DD41ED">
              <w:rPr>
                <w:rFonts w:cs="Calibri"/>
                <w:u w:val="single"/>
              </w:rPr>
              <w:t>Učební pomůcky, didaktická technika</w:t>
            </w:r>
            <w:r w:rsidRPr="00DD41ED">
              <w:rPr>
                <w:rFonts w:cs="Calibri"/>
              </w:rPr>
              <w:t>:</w:t>
            </w:r>
          </w:p>
          <w:p w14:paraId="0FD6D781" w14:textId="09B09D6F" w:rsidR="002712DB" w:rsidRPr="00DD41ED" w:rsidRDefault="000D10D6" w:rsidP="009417D8">
            <w:pPr>
              <w:jc w:val="left"/>
              <w:rPr>
                <w:rFonts w:cs="Calibri"/>
              </w:rPr>
            </w:pPr>
            <w:r>
              <w:rPr>
                <w:rFonts w:cs="Calibri"/>
              </w:rPr>
              <w:t xml:space="preserve">Dataprojektor, prezentace, </w:t>
            </w:r>
            <w:r w:rsidR="00CE1EC0">
              <w:rPr>
                <w:rFonts w:cs="Calibri"/>
              </w:rPr>
              <w:t>nastříhané pojmy pro každého</w:t>
            </w:r>
            <w:r>
              <w:rPr>
                <w:rFonts w:cs="Calibri"/>
              </w:rPr>
              <w:t>,</w:t>
            </w:r>
            <w:r w:rsidR="00CE1EC0">
              <w:rPr>
                <w:rFonts w:cs="Calibri"/>
              </w:rPr>
              <w:t xml:space="preserve"> sešity, lepidla,</w:t>
            </w:r>
            <w:r>
              <w:rPr>
                <w:rFonts w:cs="Calibri"/>
              </w:rPr>
              <w:t xml:space="preserve"> mobil/notebook/tablet.</w:t>
            </w:r>
          </w:p>
        </w:tc>
      </w:tr>
    </w:tbl>
    <w:p w14:paraId="2D9883CB" w14:textId="77777777" w:rsidR="00F53B3A" w:rsidRDefault="00F53B3A" w:rsidP="00E75DDC">
      <w:pPr>
        <w:jc w:val="left"/>
        <w:rPr>
          <w:rFonts w:cs="Calibri"/>
        </w:rPr>
      </w:pPr>
    </w:p>
    <w:p w14:paraId="4138C36D" w14:textId="77777777" w:rsidR="00E75DDC" w:rsidRPr="00DD41ED" w:rsidRDefault="00E75DDC" w:rsidP="00F53B3A">
      <w:pPr>
        <w:jc w:val="center"/>
        <w:rPr>
          <w:rFonts w:cs="Calibri"/>
          <w:b/>
        </w:rPr>
      </w:pPr>
      <w:r w:rsidRPr="00DD41ED">
        <w:rPr>
          <w:rFonts w:cs="Calibri"/>
          <w:b/>
        </w:rPr>
        <w:t>Rozpracování scénáře</w:t>
      </w:r>
    </w:p>
    <w:tbl>
      <w:tblPr>
        <w:tblW w:w="1077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
        <w:gridCol w:w="5812"/>
        <w:gridCol w:w="1134"/>
        <w:gridCol w:w="1275"/>
        <w:gridCol w:w="567"/>
        <w:gridCol w:w="1068"/>
      </w:tblGrid>
      <w:tr w:rsidR="00E75DDC" w:rsidRPr="00DD41ED" w14:paraId="4436CA57" w14:textId="77777777" w:rsidTr="00DD0C23">
        <w:tc>
          <w:tcPr>
            <w:tcW w:w="918" w:type="dxa"/>
            <w:tcBorders>
              <w:top w:val="single" w:sz="4" w:space="0" w:color="auto"/>
              <w:left w:val="single" w:sz="4" w:space="0" w:color="auto"/>
              <w:bottom w:val="single" w:sz="4" w:space="0" w:color="auto"/>
              <w:right w:val="single" w:sz="4" w:space="0" w:color="auto"/>
            </w:tcBorders>
          </w:tcPr>
          <w:p w14:paraId="39AE138D" w14:textId="77777777" w:rsidR="00E75DDC" w:rsidRPr="00DD41ED" w:rsidRDefault="00E75DDC" w:rsidP="00243CB7">
            <w:pPr>
              <w:jc w:val="left"/>
              <w:rPr>
                <w:rFonts w:cs="Calibri"/>
              </w:rPr>
            </w:pPr>
            <w:r w:rsidRPr="00DD41ED">
              <w:rPr>
                <w:rFonts w:cs="Calibri"/>
              </w:rPr>
              <w:t>Fáze hodiny</w:t>
            </w:r>
          </w:p>
        </w:tc>
        <w:tc>
          <w:tcPr>
            <w:tcW w:w="5812" w:type="dxa"/>
            <w:tcBorders>
              <w:top w:val="single" w:sz="4" w:space="0" w:color="auto"/>
              <w:left w:val="single" w:sz="4" w:space="0" w:color="auto"/>
              <w:bottom w:val="single" w:sz="4" w:space="0" w:color="auto"/>
              <w:right w:val="single" w:sz="4" w:space="0" w:color="auto"/>
            </w:tcBorders>
          </w:tcPr>
          <w:p w14:paraId="6630D1BA" w14:textId="77777777" w:rsidR="00E75DDC" w:rsidRPr="00DD41ED" w:rsidRDefault="00E75DDC" w:rsidP="00243CB7">
            <w:pPr>
              <w:jc w:val="left"/>
              <w:rPr>
                <w:rFonts w:cs="Calibri"/>
              </w:rPr>
            </w:pPr>
            <w:r w:rsidRPr="00DD41ED">
              <w:rPr>
                <w:rFonts w:cs="Calibri"/>
              </w:rPr>
              <w:t>Činnosti vedoucí k naplnění výukových cílů</w:t>
            </w:r>
          </w:p>
        </w:tc>
        <w:tc>
          <w:tcPr>
            <w:tcW w:w="1134" w:type="dxa"/>
            <w:tcBorders>
              <w:top w:val="single" w:sz="4" w:space="0" w:color="auto"/>
              <w:left w:val="single" w:sz="4" w:space="0" w:color="auto"/>
              <w:bottom w:val="single" w:sz="4" w:space="0" w:color="auto"/>
              <w:right w:val="single" w:sz="4" w:space="0" w:color="auto"/>
            </w:tcBorders>
          </w:tcPr>
          <w:p w14:paraId="79EAADAD" w14:textId="77777777" w:rsidR="00E75DDC" w:rsidRPr="00DD41ED" w:rsidRDefault="00E75DDC" w:rsidP="00243CB7">
            <w:pPr>
              <w:jc w:val="left"/>
              <w:rPr>
                <w:rFonts w:cs="Calibri"/>
              </w:rPr>
            </w:pPr>
            <w:r w:rsidRPr="00DD41ED">
              <w:rPr>
                <w:rFonts w:cs="Calibri"/>
              </w:rPr>
              <w:t>metoda</w:t>
            </w:r>
          </w:p>
        </w:tc>
        <w:tc>
          <w:tcPr>
            <w:tcW w:w="1275" w:type="dxa"/>
            <w:tcBorders>
              <w:top w:val="single" w:sz="4" w:space="0" w:color="auto"/>
              <w:left w:val="single" w:sz="4" w:space="0" w:color="auto"/>
              <w:bottom w:val="single" w:sz="4" w:space="0" w:color="auto"/>
              <w:right w:val="single" w:sz="4" w:space="0" w:color="auto"/>
            </w:tcBorders>
          </w:tcPr>
          <w:p w14:paraId="3B15AF46" w14:textId="77777777" w:rsidR="00E75DDC" w:rsidRPr="00DD41ED" w:rsidRDefault="00E75DDC" w:rsidP="00243CB7">
            <w:pPr>
              <w:jc w:val="left"/>
              <w:rPr>
                <w:rFonts w:cs="Calibri"/>
              </w:rPr>
            </w:pPr>
            <w:r w:rsidRPr="00DD41ED">
              <w:rPr>
                <w:rFonts w:cs="Calibri"/>
              </w:rPr>
              <w:t>forma</w:t>
            </w:r>
          </w:p>
        </w:tc>
        <w:tc>
          <w:tcPr>
            <w:tcW w:w="567" w:type="dxa"/>
            <w:tcBorders>
              <w:top w:val="single" w:sz="4" w:space="0" w:color="auto"/>
              <w:left w:val="single" w:sz="4" w:space="0" w:color="auto"/>
              <w:bottom w:val="single" w:sz="4" w:space="0" w:color="auto"/>
              <w:right w:val="single" w:sz="4" w:space="0" w:color="auto"/>
            </w:tcBorders>
          </w:tcPr>
          <w:p w14:paraId="49F1D9C9" w14:textId="77777777" w:rsidR="00E75DDC" w:rsidRPr="00DD41ED" w:rsidRDefault="00E75DDC" w:rsidP="00243CB7">
            <w:pPr>
              <w:jc w:val="left"/>
              <w:rPr>
                <w:rFonts w:cs="Calibri"/>
              </w:rPr>
            </w:pPr>
            <w:r w:rsidRPr="00DD41ED">
              <w:rPr>
                <w:rFonts w:cs="Calibri"/>
              </w:rPr>
              <w:t>čas</w:t>
            </w:r>
          </w:p>
        </w:tc>
        <w:tc>
          <w:tcPr>
            <w:tcW w:w="1068" w:type="dxa"/>
            <w:tcBorders>
              <w:top w:val="single" w:sz="4" w:space="0" w:color="auto"/>
              <w:left w:val="single" w:sz="4" w:space="0" w:color="auto"/>
              <w:bottom w:val="single" w:sz="4" w:space="0" w:color="auto"/>
              <w:right w:val="single" w:sz="4" w:space="0" w:color="auto"/>
            </w:tcBorders>
          </w:tcPr>
          <w:p w14:paraId="5E3CC730" w14:textId="77777777" w:rsidR="00E75DDC" w:rsidRPr="00DD41ED" w:rsidRDefault="00E75DDC" w:rsidP="00243CB7">
            <w:pPr>
              <w:jc w:val="left"/>
              <w:rPr>
                <w:rFonts w:cs="Calibri"/>
              </w:rPr>
            </w:pPr>
            <w:r w:rsidRPr="00DD41ED">
              <w:rPr>
                <w:rFonts w:cs="Calibri"/>
              </w:rPr>
              <w:t>pomůcky,</w:t>
            </w:r>
          </w:p>
          <w:p w14:paraId="5CB26E1A" w14:textId="77777777" w:rsidR="00E75DDC" w:rsidRPr="00DD41ED" w:rsidRDefault="00E75DDC" w:rsidP="00243CB7">
            <w:pPr>
              <w:jc w:val="left"/>
              <w:rPr>
                <w:rFonts w:cs="Calibri"/>
              </w:rPr>
            </w:pPr>
            <w:r w:rsidRPr="00DD41ED">
              <w:rPr>
                <w:rFonts w:cs="Calibri"/>
              </w:rPr>
              <w:t>technika</w:t>
            </w:r>
          </w:p>
        </w:tc>
      </w:tr>
      <w:tr w:rsidR="00E75DDC" w:rsidRPr="00DD41ED" w14:paraId="0D45CAC7" w14:textId="77777777" w:rsidTr="00DD0C23">
        <w:trPr>
          <w:trHeight w:val="2086"/>
        </w:trPr>
        <w:tc>
          <w:tcPr>
            <w:tcW w:w="918" w:type="dxa"/>
            <w:tcBorders>
              <w:top w:val="single" w:sz="4" w:space="0" w:color="auto"/>
              <w:left w:val="single" w:sz="4" w:space="0" w:color="auto"/>
              <w:bottom w:val="single" w:sz="4" w:space="0" w:color="auto"/>
              <w:right w:val="single" w:sz="4" w:space="0" w:color="auto"/>
            </w:tcBorders>
          </w:tcPr>
          <w:p w14:paraId="04FD3EDB" w14:textId="77777777" w:rsidR="00E75DDC" w:rsidRPr="00DD41ED" w:rsidRDefault="00E75DDC" w:rsidP="00243CB7">
            <w:pPr>
              <w:jc w:val="left"/>
              <w:rPr>
                <w:rFonts w:cs="Calibri"/>
              </w:rPr>
            </w:pPr>
            <w:r w:rsidRPr="00DD41ED">
              <w:rPr>
                <w:rFonts w:cs="Calibri"/>
              </w:rPr>
              <w:t>Úvod</w:t>
            </w:r>
          </w:p>
        </w:tc>
        <w:tc>
          <w:tcPr>
            <w:tcW w:w="5812" w:type="dxa"/>
            <w:tcBorders>
              <w:top w:val="single" w:sz="4" w:space="0" w:color="auto"/>
              <w:left w:val="single" w:sz="4" w:space="0" w:color="auto"/>
              <w:bottom w:val="single" w:sz="4" w:space="0" w:color="auto"/>
              <w:right w:val="single" w:sz="4" w:space="0" w:color="auto"/>
            </w:tcBorders>
          </w:tcPr>
          <w:p w14:paraId="5ECED700" w14:textId="32C787F4" w:rsidR="00E75DDC" w:rsidRPr="00DD41ED" w:rsidRDefault="00F53B3A" w:rsidP="00147980">
            <w:pPr>
              <w:jc w:val="left"/>
              <w:rPr>
                <w:rFonts w:cs="Calibri"/>
              </w:rPr>
            </w:pPr>
            <w:r>
              <w:rPr>
                <w:rFonts w:cs="Calibri"/>
              </w:rPr>
              <w:t>Pozdravení, představení tématu</w:t>
            </w:r>
            <w:r w:rsidR="00147980">
              <w:rPr>
                <w:rFonts w:cs="Calibri"/>
              </w:rPr>
              <w:t xml:space="preserve"> </w:t>
            </w:r>
            <w:r w:rsidR="00147980" w:rsidRPr="00147980">
              <w:rPr>
                <w:rFonts w:cs="Calibri"/>
              </w:rPr>
              <w:t xml:space="preserve">formou hádanky – na tabuli (prezentaci) bude nápověda: </w:t>
            </w:r>
            <w:r w:rsidR="00147980" w:rsidRPr="00147980">
              <w:rPr>
                <w:rFonts w:cs="Calibri"/>
                <w:i/>
              </w:rPr>
              <w:t>„</w:t>
            </w:r>
            <w:r w:rsidR="00147980" w:rsidRPr="00147980">
              <w:rPr>
                <w:rFonts w:cs="Calibri"/>
                <w:i/>
              </w:rPr>
              <w:t>Splní v</w:t>
            </w:r>
            <w:r w:rsidR="00147980">
              <w:rPr>
                <w:rFonts w:cs="Calibri"/>
                <w:i/>
              </w:rPr>
              <w:t>á</w:t>
            </w:r>
            <w:r w:rsidR="00147980" w:rsidRPr="00147980">
              <w:rPr>
                <w:rFonts w:cs="Calibri"/>
                <w:i/>
              </w:rPr>
              <w:t>m i více než 3 přání, dostanete se k ní téměř všude, ty, co vypadají na první pohled nejlépe, bývají ty nejhorší a má ji dnes téměř každý. Co je to?</w:t>
            </w:r>
            <w:r w:rsidR="00147980" w:rsidRPr="00147980">
              <w:rPr>
                <w:rFonts w:cs="Calibri"/>
                <w:i/>
              </w:rPr>
              <w:t>“</w:t>
            </w:r>
          </w:p>
        </w:tc>
        <w:tc>
          <w:tcPr>
            <w:tcW w:w="1134" w:type="dxa"/>
            <w:tcBorders>
              <w:top w:val="single" w:sz="4" w:space="0" w:color="auto"/>
              <w:left w:val="single" w:sz="4" w:space="0" w:color="auto"/>
              <w:bottom w:val="single" w:sz="4" w:space="0" w:color="auto"/>
              <w:right w:val="single" w:sz="4" w:space="0" w:color="auto"/>
            </w:tcBorders>
          </w:tcPr>
          <w:p w14:paraId="401B14FC" w14:textId="30928D80" w:rsidR="00E75DDC" w:rsidRPr="00DD41ED" w:rsidRDefault="00051C29" w:rsidP="00243CB7">
            <w:pPr>
              <w:jc w:val="left"/>
              <w:rPr>
                <w:rFonts w:cs="Calibri"/>
              </w:rPr>
            </w:pPr>
            <w:r>
              <w:rPr>
                <w:rFonts w:cs="Calibri"/>
              </w:rPr>
              <w:t>Práce s prekoncepty</w:t>
            </w:r>
          </w:p>
        </w:tc>
        <w:tc>
          <w:tcPr>
            <w:tcW w:w="1275" w:type="dxa"/>
            <w:tcBorders>
              <w:top w:val="single" w:sz="4" w:space="0" w:color="auto"/>
              <w:left w:val="single" w:sz="4" w:space="0" w:color="auto"/>
              <w:bottom w:val="single" w:sz="4" w:space="0" w:color="auto"/>
              <w:right w:val="single" w:sz="4" w:space="0" w:color="auto"/>
            </w:tcBorders>
          </w:tcPr>
          <w:p w14:paraId="6A00ED4C" w14:textId="77777777" w:rsidR="00E75DDC" w:rsidRPr="00DD41ED" w:rsidRDefault="00E75DDC" w:rsidP="00F53B3A">
            <w:pPr>
              <w:jc w:val="left"/>
              <w:rPr>
                <w:rFonts w:cs="Calibri"/>
              </w:rPr>
            </w:pPr>
            <w:r w:rsidRPr="00DD41ED">
              <w:rPr>
                <w:rFonts w:cs="Calibri"/>
              </w:rPr>
              <w:t xml:space="preserve">Hromadná, </w:t>
            </w:r>
            <w:r w:rsidR="00F53B3A">
              <w:rPr>
                <w:rFonts w:cs="Calibri"/>
              </w:rPr>
              <w:t>individuální.</w:t>
            </w:r>
          </w:p>
        </w:tc>
        <w:tc>
          <w:tcPr>
            <w:tcW w:w="567" w:type="dxa"/>
            <w:tcBorders>
              <w:top w:val="single" w:sz="4" w:space="0" w:color="auto"/>
              <w:left w:val="single" w:sz="4" w:space="0" w:color="auto"/>
              <w:bottom w:val="single" w:sz="4" w:space="0" w:color="auto"/>
              <w:right w:val="single" w:sz="4" w:space="0" w:color="auto"/>
            </w:tcBorders>
          </w:tcPr>
          <w:p w14:paraId="409C7013" w14:textId="25036F0E" w:rsidR="00E75DDC" w:rsidRPr="00DD41ED" w:rsidRDefault="00051C29" w:rsidP="00243CB7">
            <w:pPr>
              <w:jc w:val="left"/>
              <w:rPr>
                <w:rFonts w:cs="Calibri"/>
              </w:rPr>
            </w:pPr>
            <w:r>
              <w:rPr>
                <w:rFonts w:cs="Calibri"/>
              </w:rPr>
              <w:t xml:space="preserve">3 </w:t>
            </w:r>
            <w:r w:rsidR="00F53B3A">
              <w:rPr>
                <w:rFonts w:cs="Calibri"/>
              </w:rPr>
              <w:t>min</w:t>
            </w:r>
          </w:p>
        </w:tc>
        <w:tc>
          <w:tcPr>
            <w:tcW w:w="1068" w:type="dxa"/>
            <w:tcBorders>
              <w:top w:val="single" w:sz="4" w:space="0" w:color="auto"/>
              <w:left w:val="single" w:sz="4" w:space="0" w:color="auto"/>
              <w:bottom w:val="single" w:sz="4" w:space="0" w:color="auto"/>
              <w:right w:val="single" w:sz="4" w:space="0" w:color="auto"/>
            </w:tcBorders>
          </w:tcPr>
          <w:p w14:paraId="4C845F38" w14:textId="31A8132C" w:rsidR="00E75DDC" w:rsidRPr="00DD41ED" w:rsidRDefault="00051C29" w:rsidP="00243CB7">
            <w:pPr>
              <w:jc w:val="left"/>
              <w:rPr>
                <w:rFonts w:cs="Calibri"/>
              </w:rPr>
            </w:pPr>
            <w:r>
              <w:rPr>
                <w:rFonts w:cs="Calibri"/>
              </w:rPr>
              <w:t>Prezentace, dataprojektor</w:t>
            </w:r>
          </w:p>
        </w:tc>
      </w:tr>
      <w:tr w:rsidR="00E75DDC" w:rsidRPr="00DD41ED" w14:paraId="1DA2BD2A" w14:textId="77777777" w:rsidTr="00DD0C23">
        <w:trPr>
          <w:trHeight w:val="3392"/>
        </w:trPr>
        <w:tc>
          <w:tcPr>
            <w:tcW w:w="918" w:type="dxa"/>
            <w:tcBorders>
              <w:top w:val="single" w:sz="4" w:space="0" w:color="auto"/>
              <w:left w:val="single" w:sz="4" w:space="0" w:color="auto"/>
              <w:bottom w:val="single" w:sz="4" w:space="0" w:color="auto"/>
              <w:right w:val="single" w:sz="4" w:space="0" w:color="auto"/>
            </w:tcBorders>
          </w:tcPr>
          <w:p w14:paraId="4980E931" w14:textId="2DC03830" w:rsidR="00E75DDC" w:rsidRPr="00DD41ED" w:rsidRDefault="003128BB" w:rsidP="00243CB7">
            <w:pPr>
              <w:jc w:val="left"/>
              <w:rPr>
                <w:rFonts w:cs="Calibri"/>
              </w:rPr>
            </w:pPr>
            <w:r>
              <w:rPr>
                <w:rFonts w:cs="Calibri"/>
              </w:rPr>
              <w:t>1.</w:t>
            </w:r>
            <w:r w:rsidR="00E75DDC" w:rsidRPr="00DD41ED">
              <w:rPr>
                <w:rFonts w:cs="Calibri"/>
              </w:rPr>
              <w:t xml:space="preserve"> část</w:t>
            </w:r>
          </w:p>
        </w:tc>
        <w:tc>
          <w:tcPr>
            <w:tcW w:w="5812" w:type="dxa"/>
            <w:tcBorders>
              <w:top w:val="single" w:sz="4" w:space="0" w:color="auto"/>
              <w:left w:val="single" w:sz="4" w:space="0" w:color="auto"/>
              <w:bottom w:val="single" w:sz="4" w:space="0" w:color="auto"/>
              <w:right w:val="single" w:sz="4" w:space="0" w:color="auto"/>
            </w:tcBorders>
          </w:tcPr>
          <w:p w14:paraId="717EDFC7" w14:textId="2C6F07E8" w:rsidR="00E75DDC" w:rsidRPr="00DD41ED" w:rsidRDefault="003128BB" w:rsidP="00F53B3A">
            <w:pPr>
              <w:jc w:val="left"/>
              <w:rPr>
                <w:rFonts w:cs="Calibri"/>
              </w:rPr>
            </w:pPr>
            <w:r>
              <w:rPr>
                <w:rFonts w:cs="Calibri"/>
              </w:rPr>
              <w:t>V první části se žáci seznámí se základními</w:t>
            </w:r>
            <w:r w:rsidRPr="003128BB">
              <w:rPr>
                <w:rFonts w:cs="Calibri"/>
              </w:rPr>
              <w:t xml:space="preserve"> pojmy. Nachystáme a nastříháme pro každého definici s vysvětlením a ve třídě nebo na chodbě nachystáme dvě hromádky lístků. Žáci si samostatně hledají správné dvojice, které si lepí do sešitu. Následně bude mít každá dvojici, podle zasedacího pořádku, za úkol, vysvětlit třídě, jak pochopila jeden z pojmů. Tímto způsobem budou představeny základní pojmy, které bude učitel užívat.</w:t>
            </w:r>
          </w:p>
        </w:tc>
        <w:tc>
          <w:tcPr>
            <w:tcW w:w="1134" w:type="dxa"/>
            <w:tcBorders>
              <w:top w:val="single" w:sz="4" w:space="0" w:color="auto"/>
              <w:left w:val="single" w:sz="4" w:space="0" w:color="auto"/>
              <w:bottom w:val="single" w:sz="4" w:space="0" w:color="auto"/>
              <w:right w:val="single" w:sz="4" w:space="0" w:color="auto"/>
            </w:tcBorders>
          </w:tcPr>
          <w:p w14:paraId="2B5BD379" w14:textId="22BE4CE5" w:rsidR="00E75DDC" w:rsidRPr="00DD41ED" w:rsidRDefault="007E412A" w:rsidP="00243CB7">
            <w:pPr>
              <w:jc w:val="left"/>
              <w:rPr>
                <w:rFonts w:cs="Calibri"/>
              </w:rPr>
            </w:pPr>
            <w:r>
              <w:rPr>
                <w:rFonts w:cs="Calibri"/>
              </w:rPr>
              <w:t xml:space="preserve">Didaktická hra na určování </w:t>
            </w:r>
            <w:r w:rsidR="00CE1EC0">
              <w:rPr>
                <w:rFonts w:cs="Calibri"/>
              </w:rPr>
              <w:t>základních pojmů.</w:t>
            </w:r>
          </w:p>
        </w:tc>
        <w:tc>
          <w:tcPr>
            <w:tcW w:w="1275" w:type="dxa"/>
            <w:tcBorders>
              <w:top w:val="single" w:sz="4" w:space="0" w:color="auto"/>
              <w:left w:val="single" w:sz="4" w:space="0" w:color="auto"/>
              <w:bottom w:val="single" w:sz="4" w:space="0" w:color="auto"/>
              <w:right w:val="single" w:sz="4" w:space="0" w:color="auto"/>
            </w:tcBorders>
          </w:tcPr>
          <w:p w14:paraId="7CCC9E4C" w14:textId="39FCBC9C" w:rsidR="00E75DDC" w:rsidRPr="00DD41ED" w:rsidRDefault="007E412A" w:rsidP="00243CB7">
            <w:pPr>
              <w:jc w:val="left"/>
              <w:rPr>
                <w:rFonts w:cs="Calibri"/>
              </w:rPr>
            </w:pPr>
            <w:r>
              <w:rPr>
                <w:rFonts w:cs="Calibri"/>
              </w:rPr>
              <w:t>Individuáln</w:t>
            </w:r>
            <w:r w:rsidR="00D06EB3">
              <w:rPr>
                <w:rFonts w:cs="Calibri"/>
              </w:rPr>
              <w:t>í</w:t>
            </w:r>
            <w:r>
              <w:rPr>
                <w:rFonts w:cs="Calibri"/>
              </w:rPr>
              <w:t xml:space="preserve"> ve dvojicích, skupinová</w:t>
            </w:r>
          </w:p>
        </w:tc>
        <w:tc>
          <w:tcPr>
            <w:tcW w:w="567" w:type="dxa"/>
            <w:tcBorders>
              <w:top w:val="single" w:sz="4" w:space="0" w:color="auto"/>
              <w:left w:val="single" w:sz="4" w:space="0" w:color="auto"/>
              <w:bottom w:val="single" w:sz="4" w:space="0" w:color="auto"/>
              <w:right w:val="single" w:sz="4" w:space="0" w:color="auto"/>
            </w:tcBorders>
          </w:tcPr>
          <w:p w14:paraId="50E1C58A" w14:textId="047D0F68" w:rsidR="00E75DDC" w:rsidRPr="00DD41ED" w:rsidRDefault="007E412A" w:rsidP="00243CB7">
            <w:pPr>
              <w:jc w:val="left"/>
              <w:rPr>
                <w:rFonts w:cs="Calibri"/>
              </w:rPr>
            </w:pPr>
            <w:r>
              <w:rPr>
                <w:rFonts w:cs="Calibri"/>
              </w:rPr>
              <w:t>10</w:t>
            </w:r>
            <w:r w:rsidR="0048697C">
              <w:rPr>
                <w:rFonts w:cs="Calibri"/>
              </w:rPr>
              <w:t xml:space="preserve"> min</w:t>
            </w:r>
          </w:p>
        </w:tc>
        <w:tc>
          <w:tcPr>
            <w:tcW w:w="1068" w:type="dxa"/>
            <w:tcBorders>
              <w:top w:val="single" w:sz="4" w:space="0" w:color="auto"/>
              <w:left w:val="single" w:sz="4" w:space="0" w:color="auto"/>
              <w:bottom w:val="single" w:sz="4" w:space="0" w:color="auto"/>
              <w:right w:val="single" w:sz="4" w:space="0" w:color="auto"/>
            </w:tcBorders>
          </w:tcPr>
          <w:p w14:paraId="006429C3" w14:textId="57946DA2" w:rsidR="00E75DDC" w:rsidRPr="00DD41ED" w:rsidRDefault="00CE1EC0" w:rsidP="00243CB7">
            <w:pPr>
              <w:jc w:val="left"/>
              <w:rPr>
                <w:rFonts w:cs="Calibri"/>
              </w:rPr>
            </w:pPr>
            <w:r>
              <w:rPr>
                <w:rFonts w:cs="Calibri"/>
              </w:rPr>
              <w:t>Sešity, lepidla.</w:t>
            </w:r>
          </w:p>
        </w:tc>
      </w:tr>
      <w:tr w:rsidR="00051C29" w:rsidRPr="00DD41ED" w14:paraId="306BB78B" w14:textId="77777777" w:rsidTr="00DD0C23">
        <w:trPr>
          <w:trHeight w:val="2975"/>
        </w:trPr>
        <w:tc>
          <w:tcPr>
            <w:tcW w:w="918" w:type="dxa"/>
            <w:tcBorders>
              <w:top w:val="single" w:sz="4" w:space="0" w:color="auto"/>
              <w:left w:val="single" w:sz="4" w:space="0" w:color="auto"/>
              <w:bottom w:val="single" w:sz="4" w:space="0" w:color="auto"/>
              <w:right w:val="single" w:sz="4" w:space="0" w:color="auto"/>
            </w:tcBorders>
          </w:tcPr>
          <w:p w14:paraId="17BAE674" w14:textId="667C2C3D" w:rsidR="00051C29" w:rsidRPr="00CE1EC0" w:rsidRDefault="00CE1EC0" w:rsidP="00CE1EC0">
            <w:pPr>
              <w:jc w:val="left"/>
              <w:rPr>
                <w:rFonts w:cs="Calibri"/>
              </w:rPr>
            </w:pPr>
            <w:r w:rsidRPr="00CE1EC0">
              <w:rPr>
                <w:rFonts w:cs="Calibri"/>
              </w:rPr>
              <w:t>2.</w:t>
            </w:r>
            <w:r>
              <w:rPr>
                <w:rFonts w:cs="Calibri"/>
              </w:rPr>
              <w:t xml:space="preserve"> </w:t>
            </w:r>
            <w:r w:rsidRPr="00CE1EC0">
              <w:rPr>
                <w:rFonts w:cs="Calibri"/>
              </w:rPr>
              <w:t>část</w:t>
            </w:r>
          </w:p>
        </w:tc>
        <w:tc>
          <w:tcPr>
            <w:tcW w:w="5812" w:type="dxa"/>
            <w:tcBorders>
              <w:top w:val="single" w:sz="4" w:space="0" w:color="auto"/>
              <w:left w:val="single" w:sz="4" w:space="0" w:color="auto"/>
              <w:bottom w:val="single" w:sz="4" w:space="0" w:color="auto"/>
              <w:right w:val="single" w:sz="4" w:space="0" w:color="auto"/>
            </w:tcBorders>
          </w:tcPr>
          <w:p w14:paraId="7827AEC7" w14:textId="6855AFB0" w:rsidR="00051C29" w:rsidRPr="00DD41ED" w:rsidRDefault="0001107D" w:rsidP="00F53B3A">
            <w:pPr>
              <w:jc w:val="left"/>
              <w:rPr>
                <w:rFonts w:cs="Calibri"/>
              </w:rPr>
            </w:pPr>
            <w:r w:rsidRPr="0001107D">
              <w:rPr>
                <w:rFonts w:cs="Calibri"/>
              </w:rPr>
              <w:t xml:space="preserve">Následuje výkladová část učitele, který s pomocí prezentace představí žákům téma. Žáci si buď do sešitu nebo do pracovního listu vytváří zápis. Základní poznatky: co je to úvěr a jaké máme typy (důraz na spotřebitelský úvěr).  Učitel klade důraz na práva spotřebitele, které před uzavřením úvěru má, zmiňuje podmínky, v jakých si spotřebitel může půjčku dovolit a představuje žákům </w:t>
            </w:r>
            <w:r w:rsidRPr="0001107D">
              <w:rPr>
                <w:rFonts w:cs="Calibri"/>
              </w:rPr>
              <w:lastRenderedPageBreak/>
              <w:t>srovnávaní půjček od různých bankovních i nebankovních věřitelů.</w:t>
            </w:r>
          </w:p>
        </w:tc>
        <w:tc>
          <w:tcPr>
            <w:tcW w:w="1134" w:type="dxa"/>
            <w:tcBorders>
              <w:top w:val="single" w:sz="4" w:space="0" w:color="auto"/>
              <w:left w:val="single" w:sz="4" w:space="0" w:color="auto"/>
              <w:bottom w:val="single" w:sz="4" w:space="0" w:color="auto"/>
              <w:right w:val="single" w:sz="4" w:space="0" w:color="auto"/>
            </w:tcBorders>
          </w:tcPr>
          <w:p w14:paraId="256902CD" w14:textId="6C888E19" w:rsidR="00051C29" w:rsidRDefault="004D5833" w:rsidP="00243CB7">
            <w:pPr>
              <w:jc w:val="left"/>
              <w:rPr>
                <w:rFonts w:cs="Calibri"/>
              </w:rPr>
            </w:pPr>
            <w:r>
              <w:rPr>
                <w:rFonts w:cs="Calibri"/>
              </w:rPr>
              <w:lastRenderedPageBreak/>
              <w:t>Frontální výuka.</w:t>
            </w:r>
          </w:p>
        </w:tc>
        <w:tc>
          <w:tcPr>
            <w:tcW w:w="1275" w:type="dxa"/>
            <w:tcBorders>
              <w:top w:val="single" w:sz="4" w:space="0" w:color="auto"/>
              <w:left w:val="single" w:sz="4" w:space="0" w:color="auto"/>
              <w:bottom w:val="single" w:sz="4" w:space="0" w:color="auto"/>
              <w:right w:val="single" w:sz="4" w:space="0" w:color="auto"/>
            </w:tcBorders>
          </w:tcPr>
          <w:p w14:paraId="489D4BB6" w14:textId="2F8F7D07" w:rsidR="00051C29" w:rsidRDefault="004D5833" w:rsidP="00243CB7">
            <w:pPr>
              <w:jc w:val="left"/>
              <w:rPr>
                <w:rFonts w:cs="Calibri"/>
              </w:rPr>
            </w:pPr>
            <w:r>
              <w:rPr>
                <w:rFonts w:cs="Calibri"/>
              </w:rPr>
              <w:t>Hromadná.</w:t>
            </w:r>
          </w:p>
        </w:tc>
        <w:tc>
          <w:tcPr>
            <w:tcW w:w="567" w:type="dxa"/>
            <w:tcBorders>
              <w:top w:val="single" w:sz="4" w:space="0" w:color="auto"/>
              <w:left w:val="single" w:sz="4" w:space="0" w:color="auto"/>
              <w:bottom w:val="single" w:sz="4" w:space="0" w:color="auto"/>
              <w:right w:val="single" w:sz="4" w:space="0" w:color="auto"/>
            </w:tcBorders>
          </w:tcPr>
          <w:p w14:paraId="556E6BC5" w14:textId="17719DF2" w:rsidR="00051C29" w:rsidRDefault="004D5833" w:rsidP="00243CB7">
            <w:pPr>
              <w:jc w:val="left"/>
              <w:rPr>
                <w:rFonts w:cs="Calibri"/>
              </w:rPr>
            </w:pPr>
            <w:r>
              <w:rPr>
                <w:rFonts w:cs="Calibri"/>
              </w:rPr>
              <w:t>15 min</w:t>
            </w:r>
          </w:p>
        </w:tc>
        <w:tc>
          <w:tcPr>
            <w:tcW w:w="1068" w:type="dxa"/>
            <w:tcBorders>
              <w:top w:val="single" w:sz="4" w:space="0" w:color="auto"/>
              <w:left w:val="single" w:sz="4" w:space="0" w:color="auto"/>
              <w:bottom w:val="single" w:sz="4" w:space="0" w:color="auto"/>
              <w:right w:val="single" w:sz="4" w:space="0" w:color="auto"/>
            </w:tcBorders>
          </w:tcPr>
          <w:p w14:paraId="08293891" w14:textId="3976DBF2" w:rsidR="00051C29" w:rsidRDefault="004D5833" w:rsidP="00243CB7">
            <w:pPr>
              <w:jc w:val="left"/>
              <w:rPr>
                <w:rFonts w:cs="Calibri"/>
              </w:rPr>
            </w:pPr>
            <w:r>
              <w:rPr>
                <w:rFonts w:cs="Calibri"/>
              </w:rPr>
              <w:t>Sešity, případně PL.</w:t>
            </w:r>
          </w:p>
        </w:tc>
      </w:tr>
      <w:tr w:rsidR="004D5833" w:rsidRPr="00DD41ED" w14:paraId="3F4E3541" w14:textId="77777777" w:rsidTr="00DD0C23">
        <w:trPr>
          <w:trHeight w:val="4668"/>
        </w:trPr>
        <w:tc>
          <w:tcPr>
            <w:tcW w:w="918" w:type="dxa"/>
            <w:tcBorders>
              <w:top w:val="single" w:sz="4" w:space="0" w:color="auto"/>
              <w:left w:val="single" w:sz="4" w:space="0" w:color="auto"/>
              <w:bottom w:val="single" w:sz="4" w:space="0" w:color="auto"/>
              <w:right w:val="single" w:sz="4" w:space="0" w:color="auto"/>
            </w:tcBorders>
          </w:tcPr>
          <w:p w14:paraId="2BE1E121" w14:textId="5D1E9346" w:rsidR="004D5833" w:rsidRPr="006F0D6B" w:rsidRDefault="006F0D6B" w:rsidP="006F0D6B">
            <w:pPr>
              <w:jc w:val="left"/>
              <w:rPr>
                <w:rFonts w:cs="Calibri"/>
              </w:rPr>
            </w:pPr>
            <w:r w:rsidRPr="006F0D6B">
              <w:rPr>
                <w:rFonts w:cs="Calibri"/>
              </w:rPr>
              <w:t>3.</w:t>
            </w:r>
            <w:r>
              <w:rPr>
                <w:rFonts w:cs="Calibri"/>
              </w:rPr>
              <w:t xml:space="preserve"> část</w:t>
            </w:r>
          </w:p>
        </w:tc>
        <w:tc>
          <w:tcPr>
            <w:tcW w:w="5812" w:type="dxa"/>
            <w:tcBorders>
              <w:top w:val="single" w:sz="4" w:space="0" w:color="auto"/>
              <w:left w:val="single" w:sz="4" w:space="0" w:color="auto"/>
              <w:bottom w:val="single" w:sz="4" w:space="0" w:color="auto"/>
              <w:right w:val="single" w:sz="4" w:space="0" w:color="auto"/>
            </w:tcBorders>
          </w:tcPr>
          <w:p w14:paraId="13866A69" w14:textId="026A5ACD" w:rsidR="004D5833" w:rsidRPr="0001107D" w:rsidRDefault="006F0D6B" w:rsidP="00F53B3A">
            <w:pPr>
              <w:jc w:val="left"/>
              <w:rPr>
                <w:rFonts w:cs="Calibri"/>
              </w:rPr>
            </w:pPr>
            <w:r w:rsidRPr="006F0D6B">
              <w:rPr>
                <w:rFonts w:cs="Calibri"/>
              </w:rPr>
              <w:t xml:space="preserve">V </w:t>
            </w:r>
            <w:r>
              <w:rPr>
                <w:rFonts w:cs="Calibri"/>
              </w:rPr>
              <w:t xml:space="preserve">aplikační </w:t>
            </w:r>
            <w:r w:rsidRPr="006F0D6B">
              <w:rPr>
                <w:rFonts w:cs="Calibri"/>
              </w:rPr>
              <w:t>části hodiny budou mít žáci ve skupinách po 3 za úkol zjistit, u jaké bankovní a nebankovní společnosti bude nejlepší sjednat si úvěr. Každá skupina dostane jinou částku, kterou budou požadovat. Zároveň s pomocí online kalkulačky vypočítají výši úroku za vybranou půjčku. Práce může probíhat buďto s mobilními telefony, tablety nebo nejlépe s počítači. Za domácí úkol zpracují projekt, který bude sloužit jako návod, jak si společnost pro úvěr vybrali, co srovnávali, kde hledali, na co si dávali pozor a jaká výše úroku na daný úvěr bude. Projekty budou následně vyvěšeny na chodbě školy</w:t>
            </w:r>
            <w:r>
              <w:rPr>
                <w:rFonts w:cs="Calibri"/>
              </w:rPr>
              <w:t>.</w:t>
            </w:r>
          </w:p>
        </w:tc>
        <w:tc>
          <w:tcPr>
            <w:tcW w:w="1134" w:type="dxa"/>
            <w:tcBorders>
              <w:top w:val="single" w:sz="4" w:space="0" w:color="auto"/>
              <w:left w:val="single" w:sz="4" w:space="0" w:color="auto"/>
              <w:bottom w:val="single" w:sz="4" w:space="0" w:color="auto"/>
              <w:right w:val="single" w:sz="4" w:space="0" w:color="auto"/>
            </w:tcBorders>
          </w:tcPr>
          <w:p w14:paraId="26ACF332" w14:textId="13F342A4" w:rsidR="004D5833" w:rsidRDefault="00D06EB3" w:rsidP="00243CB7">
            <w:pPr>
              <w:jc w:val="left"/>
              <w:rPr>
                <w:rFonts w:cs="Calibri"/>
              </w:rPr>
            </w:pPr>
            <w:r>
              <w:rPr>
                <w:rFonts w:cs="Calibri"/>
              </w:rPr>
              <w:t xml:space="preserve">Vytváření projektů, práce na </w:t>
            </w:r>
            <w:r w:rsidR="00CE130B">
              <w:rPr>
                <w:rFonts w:cs="Calibri"/>
              </w:rPr>
              <w:t>praktickém úkolu</w:t>
            </w:r>
          </w:p>
        </w:tc>
        <w:tc>
          <w:tcPr>
            <w:tcW w:w="1275" w:type="dxa"/>
            <w:tcBorders>
              <w:top w:val="single" w:sz="4" w:space="0" w:color="auto"/>
              <w:left w:val="single" w:sz="4" w:space="0" w:color="auto"/>
              <w:bottom w:val="single" w:sz="4" w:space="0" w:color="auto"/>
              <w:right w:val="single" w:sz="4" w:space="0" w:color="auto"/>
            </w:tcBorders>
          </w:tcPr>
          <w:p w14:paraId="53FA8FB8" w14:textId="55A8335A" w:rsidR="004D5833" w:rsidRDefault="00CE130B" w:rsidP="00243CB7">
            <w:pPr>
              <w:jc w:val="left"/>
              <w:rPr>
                <w:rFonts w:cs="Calibri"/>
              </w:rPr>
            </w:pPr>
            <w:r>
              <w:rPr>
                <w:rFonts w:cs="Calibri"/>
              </w:rPr>
              <w:t>Skupinová</w:t>
            </w:r>
          </w:p>
        </w:tc>
        <w:tc>
          <w:tcPr>
            <w:tcW w:w="567" w:type="dxa"/>
            <w:tcBorders>
              <w:top w:val="single" w:sz="4" w:space="0" w:color="auto"/>
              <w:left w:val="single" w:sz="4" w:space="0" w:color="auto"/>
              <w:bottom w:val="single" w:sz="4" w:space="0" w:color="auto"/>
              <w:right w:val="single" w:sz="4" w:space="0" w:color="auto"/>
            </w:tcBorders>
          </w:tcPr>
          <w:p w14:paraId="4E68556B" w14:textId="748DD7A8" w:rsidR="004D5833" w:rsidRDefault="00CE130B" w:rsidP="00243CB7">
            <w:pPr>
              <w:jc w:val="left"/>
              <w:rPr>
                <w:rFonts w:cs="Calibri"/>
              </w:rPr>
            </w:pPr>
            <w:r>
              <w:rPr>
                <w:rFonts w:cs="Calibri"/>
              </w:rPr>
              <w:t>15 min</w:t>
            </w:r>
          </w:p>
        </w:tc>
        <w:tc>
          <w:tcPr>
            <w:tcW w:w="1068" w:type="dxa"/>
            <w:tcBorders>
              <w:top w:val="single" w:sz="4" w:space="0" w:color="auto"/>
              <w:left w:val="single" w:sz="4" w:space="0" w:color="auto"/>
              <w:bottom w:val="single" w:sz="4" w:space="0" w:color="auto"/>
              <w:right w:val="single" w:sz="4" w:space="0" w:color="auto"/>
            </w:tcBorders>
          </w:tcPr>
          <w:p w14:paraId="13A1BFF7" w14:textId="72FE440E" w:rsidR="004D5833" w:rsidRDefault="00CE130B" w:rsidP="00243CB7">
            <w:pPr>
              <w:jc w:val="left"/>
              <w:rPr>
                <w:rFonts w:cs="Calibri"/>
              </w:rPr>
            </w:pPr>
            <w:r>
              <w:rPr>
                <w:rFonts w:cs="Calibri"/>
              </w:rPr>
              <w:t>Technika do skupiny, papíry na projekty</w:t>
            </w:r>
          </w:p>
        </w:tc>
      </w:tr>
      <w:tr w:rsidR="00E75DDC" w:rsidRPr="00DD41ED" w14:paraId="722C856C" w14:textId="77777777" w:rsidTr="00DD0C23">
        <w:trPr>
          <w:trHeight w:val="2536"/>
        </w:trPr>
        <w:tc>
          <w:tcPr>
            <w:tcW w:w="918" w:type="dxa"/>
            <w:tcBorders>
              <w:top w:val="single" w:sz="4" w:space="0" w:color="auto"/>
              <w:left w:val="single" w:sz="4" w:space="0" w:color="auto"/>
              <w:bottom w:val="single" w:sz="4" w:space="0" w:color="auto"/>
              <w:right w:val="single" w:sz="4" w:space="0" w:color="auto"/>
            </w:tcBorders>
          </w:tcPr>
          <w:p w14:paraId="073FA4E4" w14:textId="77777777" w:rsidR="00E75DDC" w:rsidRPr="00DD41ED" w:rsidRDefault="00E75DDC" w:rsidP="00243CB7">
            <w:pPr>
              <w:jc w:val="left"/>
              <w:rPr>
                <w:rFonts w:cs="Calibri"/>
              </w:rPr>
            </w:pPr>
            <w:r w:rsidRPr="00DD41ED">
              <w:rPr>
                <w:rFonts w:cs="Calibri"/>
              </w:rPr>
              <w:t>Závěr</w:t>
            </w:r>
          </w:p>
        </w:tc>
        <w:tc>
          <w:tcPr>
            <w:tcW w:w="5812" w:type="dxa"/>
            <w:tcBorders>
              <w:top w:val="single" w:sz="4" w:space="0" w:color="auto"/>
              <w:left w:val="single" w:sz="4" w:space="0" w:color="auto"/>
              <w:bottom w:val="single" w:sz="4" w:space="0" w:color="auto"/>
              <w:right w:val="single" w:sz="4" w:space="0" w:color="auto"/>
            </w:tcBorders>
          </w:tcPr>
          <w:p w14:paraId="2FA57C45" w14:textId="1078F6E4" w:rsidR="00E75DDC" w:rsidRPr="00DD41ED" w:rsidRDefault="0048697C" w:rsidP="00243CB7">
            <w:pPr>
              <w:jc w:val="left"/>
              <w:rPr>
                <w:rFonts w:cs="Calibri"/>
              </w:rPr>
            </w:pPr>
            <w:r>
              <w:rPr>
                <w:rFonts w:cs="Calibri"/>
              </w:rPr>
              <w:t>Ukončení skupinové práce, prezentace jednotlivých výstupů</w:t>
            </w:r>
            <w:r w:rsidR="005C53B4">
              <w:rPr>
                <w:rFonts w:cs="Calibri"/>
              </w:rPr>
              <w:t xml:space="preserve"> a hodnocení skupinové práce v následující hodině</w:t>
            </w:r>
            <w:r w:rsidR="00761343">
              <w:rPr>
                <w:rFonts w:cs="Calibri"/>
              </w:rPr>
              <w:t xml:space="preserve">, projekty zadány na dokončení za DÚ. V závěru žáci </w:t>
            </w:r>
            <w:r w:rsidR="00761343" w:rsidRPr="00761343">
              <w:rPr>
                <w:rFonts w:cs="Calibri"/>
              </w:rPr>
              <w:t xml:space="preserve">reflektují hodinu </w:t>
            </w:r>
            <w:r w:rsidR="00F6292C" w:rsidRPr="00F6292C">
              <w:rPr>
                <w:rFonts w:cs="Calibri"/>
              </w:rPr>
              <w:t>s pomocí  krátkého dotazníku určí vlastní porozumění učiva. Dotazník obsahuje otevřené i uzavřené otázky typu: Co je to úvěr, co je to úrok, co vše si musím kontrolovat před uzavřením úvěrové smlouvy, je lepší půjčka od banky nebo nebankovní společnosti atd.</w:t>
            </w:r>
          </w:p>
        </w:tc>
        <w:tc>
          <w:tcPr>
            <w:tcW w:w="1134" w:type="dxa"/>
            <w:tcBorders>
              <w:top w:val="single" w:sz="4" w:space="0" w:color="auto"/>
              <w:left w:val="single" w:sz="4" w:space="0" w:color="auto"/>
              <w:bottom w:val="single" w:sz="4" w:space="0" w:color="auto"/>
              <w:right w:val="single" w:sz="4" w:space="0" w:color="auto"/>
            </w:tcBorders>
          </w:tcPr>
          <w:p w14:paraId="7A9D3ACE" w14:textId="22A3BBBD" w:rsidR="00E75DDC" w:rsidRPr="00DD41ED" w:rsidRDefault="000D6026" w:rsidP="00243CB7">
            <w:pPr>
              <w:jc w:val="left"/>
              <w:rPr>
                <w:rFonts w:cs="Calibri"/>
              </w:rPr>
            </w:pPr>
            <w:r>
              <w:rPr>
                <w:rFonts w:cs="Calibri"/>
              </w:rPr>
              <w:t>R</w:t>
            </w:r>
            <w:r w:rsidR="0048697C">
              <w:rPr>
                <w:rFonts w:cs="Calibri"/>
              </w:rPr>
              <w:t>eflexe p</w:t>
            </w:r>
            <w:r>
              <w:rPr>
                <w:rFonts w:cs="Calibri"/>
              </w:rPr>
              <w:t>orozumění učivu</w:t>
            </w:r>
          </w:p>
        </w:tc>
        <w:tc>
          <w:tcPr>
            <w:tcW w:w="1275" w:type="dxa"/>
            <w:tcBorders>
              <w:top w:val="single" w:sz="4" w:space="0" w:color="auto"/>
              <w:left w:val="single" w:sz="4" w:space="0" w:color="auto"/>
              <w:bottom w:val="single" w:sz="4" w:space="0" w:color="auto"/>
              <w:right w:val="single" w:sz="4" w:space="0" w:color="auto"/>
            </w:tcBorders>
          </w:tcPr>
          <w:p w14:paraId="7CE5E592" w14:textId="767287BD" w:rsidR="00E75DDC" w:rsidRPr="00DD41ED" w:rsidRDefault="000D6026" w:rsidP="00243CB7">
            <w:pPr>
              <w:jc w:val="left"/>
              <w:rPr>
                <w:rFonts w:cs="Calibri"/>
              </w:rPr>
            </w:pPr>
            <w:r>
              <w:rPr>
                <w:rFonts w:cs="Calibri"/>
              </w:rPr>
              <w:t>Individuální</w:t>
            </w:r>
          </w:p>
        </w:tc>
        <w:tc>
          <w:tcPr>
            <w:tcW w:w="567" w:type="dxa"/>
            <w:tcBorders>
              <w:top w:val="single" w:sz="4" w:space="0" w:color="auto"/>
              <w:left w:val="single" w:sz="4" w:space="0" w:color="auto"/>
              <w:bottom w:val="single" w:sz="4" w:space="0" w:color="auto"/>
              <w:right w:val="single" w:sz="4" w:space="0" w:color="auto"/>
            </w:tcBorders>
          </w:tcPr>
          <w:p w14:paraId="1AA5123E" w14:textId="34911ED0" w:rsidR="00E75DDC" w:rsidRPr="00DD41ED" w:rsidRDefault="005C53B4" w:rsidP="00243CB7">
            <w:pPr>
              <w:jc w:val="left"/>
              <w:rPr>
                <w:rFonts w:cs="Calibri"/>
              </w:rPr>
            </w:pPr>
            <w:r>
              <w:rPr>
                <w:rFonts w:cs="Calibri"/>
              </w:rPr>
              <w:t>2</w:t>
            </w:r>
            <w:r w:rsidR="0048697C">
              <w:rPr>
                <w:rFonts w:cs="Calibri"/>
              </w:rPr>
              <w:t xml:space="preserve"> min</w:t>
            </w:r>
          </w:p>
        </w:tc>
        <w:tc>
          <w:tcPr>
            <w:tcW w:w="1068" w:type="dxa"/>
            <w:tcBorders>
              <w:top w:val="single" w:sz="4" w:space="0" w:color="auto"/>
              <w:left w:val="single" w:sz="4" w:space="0" w:color="auto"/>
              <w:bottom w:val="single" w:sz="4" w:space="0" w:color="auto"/>
              <w:right w:val="single" w:sz="4" w:space="0" w:color="auto"/>
            </w:tcBorders>
          </w:tcPr>
          <w:p w14:paraId="49B9A645" w14:textId="7CD377C0" w:rsidR="00E75DDC" w:rsidRPr="00DD41ED" w:rsidRDefault="000D6026" w:rsidP="00243CB7">
            <w:pPr>
              <w:jc w:val="left"/>
              <w:rPr>
                <w:rFonts w:cs="Calibri"/>
              </w:rPr>
            </w:pPr>
            <w:r>
              <w:rPr>
                <w:rFonts w:cs="Calibri"/>
              </w:rPr>
              <w:t>Dotazníky na reflexi</w:t>
            </w:r>
          </w:p>
        </w:tc>
      </w:tr>
    </w:tbl>
    <w:p w14:paraId="135C5A9D" w14:textId="77F54712" w:rsidR="00655F94" w:rsidRDefault="00655F94" w:rsidP="00655F94">
      <w:pPr>
        <w:pStyle w:val="Nzev"/>
      </w:pPr>
      <w:r>
        <w:t>Závěr</w:t>
      </w:r>
    </w:p>
    <w:p w14:paraId="17B472BB" w14:textId="283B62DB" w:rsidR="00AA2E72" w:rsidRPr="00AA2E72" w:rsidRDefault="005A498C" w:rsidP="00AA2E72">
      <w:r>
        <w:t xml:space="preserve">Žáci si z výuky finanční gramotnosti odnesou nejvíce mají-li možnost si </w:t>
      </w:r>
      <w:r w:rsidR="00900A48">
        <w:t>získané dovednosti prakticky ověřit. Proto je vhodné zařazovat úkoly, které se přibližují jejich budoucí realitě</w:t>
      </w:r>
      <w:r w:rsidR="007329D5">
        <w:t>,</w:t>
      </w:r>
      <w:r w:rsidR="00900A48">
        <w:t xml:space="preserve"> </w:t>
      </w:r>
      <w:r w:rsidR="007329D5">
        <w:t xml:space="preserve">kdy budou s penězi sami operovat. </w:t>
      </w:r>
      <w:r w:rsidR="00456654">
        <w:t xml:space="preserve">Je tedy možné nastíněnou strukturu hodiny připravit jako </w:t>
      </w:r>
      <w:r w:rsidR="00456654">
        <w:lastRenderedPageBreak/>
        <w:t xml:space="preserve">dvouhodinovou, ve které budou mít žáci na praktickou část více času. Důležité je, aby si reálně vyzkoušeli hledaní půjček na internetu, zjišťování a srovnávání nabídek podle adekvátních </w:t>
      </w:r>
      <w:r w:rsidR="004A23BC">
        <w:t xml:space="preserve">parametrů, vypočítávání si úroku podle dané sazby a vytváření logické struktury tohoto procesu. </w:t>
      </w:r>
      <w:r w:rsidR="009120A0">
        <w:t>Rozšíření projektu může být o předchozí vypočítání si fiktivního rodinného rozpočtu podle příjmů a výdajů</w:t>
      </w:r>
      <w:r w:rsidR="00175BF1">
        <w:t xml:space="preserve"> rodiny. Na základě něho žáci uvažují, na jaké movité či nemovité věci je vhodné a bezpečné si </w:t>
      </w:r>
      <w:r w:rsidR="00141D24">
        <w:t>úvěr sjednat.</w:t>
      </w:r>
    </w:p>
    <w:p w14:paraId="5F0045A2" w14:textId="4E843793" w:rsidR="00655F94" w:rsidRDefault="00655F94" w:rsidP="008571E2">
      <w:pPr>
        <w:pStyle w:val="Nzev"/>
      </w:pPr>
      <w:r>
        <w:t>Zdroje</w:t>
      </w:r>
    </w:p>
    <w:p w14:paraId="46409630" w14:textId="77777777" w:rsidR="00956252" w:rsidRDefault="00956252" w:rsidP="00956252">
      <w:r>
        <w:t xml:space="preserve">NOVESKÝ, Ivan. Slabikář finanční gramotnosti: učebnice základních 7 modulů finanční gramotnosti. 1. vyd. Praha: </w:t>
      </w:r>
      <w:proofErr w:type="spellStart"/>
      <w:r>
        <w:t>Cofet</w:t>
      </w:r>
      <w:proofErr w:type="spellEnd"/>
      <w:r>
        <w:t>, 2009, 448 s. ISBN 978-80-9043-96-1-0. ​</w:t>
      </w:r>
    </w:p>
    <w:p w14:paraId="36CE8322" w14:textId="77777777" w:rsidR="00956252" w:rsidRDefault="00956252" w:rsidP="00956252"/>
    <w:p w14:paraId="6556A36A" w14:textId="77777777" w:rsidR="00B90A40" w:rsidRDefault="00B90A40" w:rsidP="00B90A40">
      <w:r>
        <w:t>http://www.financnivzdelavani.cz</w:t>
      </w:r>
    </w:p>
    <w:p w14:paraId="68C4EA1F" w14:textId="77777777" w:rsidR="00B90A40" w:rsidRDefault="00B90A40" w:rsidP="00956252"/>
    <w:p w14:paraId="2B898512" w14:textId="67C08FCF" w:rsidR="00956252" w:rsidRDefault="00956252" w:rsidP="00956252">
      <w:r>
        <w:t>https://www.penize.cz/produkty​</w:t>
      </w:r>
    </w:p>
    <w:p w14:paraId="55C2D596" w14:textId="77777777" w:rsidR="00956252" w:rsidRDefault="00956252" w:rsidP="00956252"/>
    <w:p w14:paraId="2E88B15D" w14:textId="77777777" w:rsidR="00956252" w:rsidRDefault="00956252" w:rsidP="00956252">
      <w:r>
        <w:t>https://finance.idnes.cz/pujcky.aspx?y=leasing/leasxspotreb.htm​</w:t>
      </w:r>
    </w:p>
    <w:p w14:paraId="4D08F668" w14:textId="77777777" w:rsidR="00956252" w:rsidRDefault="00956252" w:rsidP="00956252"/>
    <w:p w14:paraId="6BE1C168" w14:textId="77777777" w:rsidR="00956252" w:rsidRDefault="00956252" w:rsidP="00956252">
      <w:r>
        <w:t>http://www.cfi.cz/slovnicek/uver​</w:t>
      </w:r>
    </w:p>
    <w:p w14:paraId="4EC59383" w14:textId="77777777" w:rsidR="00956252" w:rsidRDefault="00956252" w:rsidP="00956252"/>
    <w:p w14:paraId="0CB8F59D" w14:textId="77777777" w:rsidR="00956252" w:rsidRDefault="00956252" w:rsidP="00956252">
      <w:r>
        <w:t>http://www.ipodnikatel.cz/Financovani/leasing-vs-uver.html​</w:t>
      </w:r>
    </w:p>
    <w:p w14:paraId="1BA9CBA9" w14:textId="77777777" w:rsidR="00956252" w:rsidRDefault="00956252" w:rsidP="00956252">
      <w:bookmarkStart w:id="0" w:name="_GoBack"/>
      <w:bookmarkEnd w:id="0"/>
    </w:p>
    <w:p w14:paraId="4154D08E" w14:textId="5BF6CAF7" w:rsidR="00655F94" w:rsidRPr="00655F94" w:rsidRDefault="00956252" w:rsidP="00956252">
      <w:r>
        <w:t>https://www.spotrebitelsky-uver.net/nevyhody-spotrebitelskeho-uveru/</w:t>
      </w:r>
    </w:p>
    <w:p w14:paraId="7CF65687" w14:textId="77777777" w:rsidR="008571E2" w:rsidRPr="008571E2" w:rsidRDefault="008571E2" w:rsidP="008571E2"/>
    <w:p w14:paraId="11626DB6" w14:textId="77777777" w:rsidR="002712DB" w:rsidRPr="00DD41ED" w:rsidRDefault="002712DB" w:rsidP="00141BD4">
      <w:pPr>
        <w:jc w:val="left"/>
        <w:rPr>
          <w:rFonts w:cs="Calibri"/>
        </w:rPr>
      </w:pPr>
    </w:p>
    <w:sectPr w:rsidR="002712DB" w:rsidRPr="00DD41E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A9A05" w14:textId="77777777" w:rsidR="00023E1F" w:rsidRDefault="00023E1F" w:rsidP="00A74D07">
      <w:r>
        <w:separator/>
      </w:r>
    </w:p>
  </w:endnote>
  <w:endnote w:type="continuationSeparator" w:id="0">
    <w:p w14:paraId="6C0EC957" w14:textId="77777777" w:rsidR="00023E1F" w:rsidRDefault="00023E1F" w:rsidP="00A74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683D8" w14:textId="77777777" w:rsidR="00DD41ED" w:rsidRDefault="00DD41ED">
    <w:pPr>
      <w:pStyle w:val="Zpat"/>
      <w:jc w:val="center"/>
    </w:pPr>
    <w:r>
      <w:fldChar w:fldCharType="begin"/>
    </w:r>
    <w:r>
      <w:instrText>PAGE   \* MERGEFORMAT</w:instrText>
    </w:r>
    <w:r>
      <w:fldChar w:fldCharType="separate"/>
    </w:r>
    <w:r w:rsidR="005E65C4">
      <w:rPr>
        <w:noProof/>
      </w:rPr>
      <w:t>1</w:t>
    </w:r>
    <w:r>
      <w:fldChar w:fldCharType="end"/>
    </w:r>
  </w:p>
  <w:p w14:paraId="3BECEDF4" w14:textId="77777777" w:rsidR="00DD41ED" w:rsidRDefault="00DD41E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F7A42" w14:textId="77777777" w:rsidR="00023E1F" w:rsidRDefault="00023E1F" w:rsidP="00A74D07">
      <w:r>
        <w:separator/>
      </w:r>
    </w:p>
  </w:footnote>
  <w:footnote w:type="continuationSeparator" w:id="0">
    <w:p w14:paraId="64F33D82" w14:textId="77777777" w:rsidR="00023E1F" w:rsidRDefault="00023E1F" w:rsidP="00A74D07">
      <w:r>
        <w:continuationSeparator/>
      </w:r>
    </w:p>
  </w:footnote>
  <w:footnote w:id="1">
    <w:p w14:paraId="1F8E43B3" w14:textId="77077504" w:rsidR="00A9054E" w:rsidRDefault="00A9054E">
      <w:pPr>
        <w:pStyle w:val="Textpoznpodarou"/>
      </w:pPr>
      <w:r>
        <w:rPr>
          <w:rStyle w:val="Znakapoznpodarou"/>
        </w:rPr>
        <w:footnoteRef/>
      </w:r>
      <w:r>
        <w:t xml:space="preserve"> </w:t>
      </w:r>
      <w:r w:rsidRPr="00A9054E">
        <w:t>www.financnivzdelavani.cz.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E03B6" w14:textId="00094B80" w:rsidR="00A74D07" w:rsidRDefault="00A74D07">
    <w:pPr>
      <w:pStyle w:val="Zhlav"/>
    </w:pPr>
    <w:r>
      <w:t>T</w:t>
    </w:r>
    <w:r w:rsidR="00525389">
      <w:t>ereza Přibylová 437708</w:t>
    </w:r>
    <w:r w:rsidR="00525389">
      <w:tab/>
    </w:r>
    <w:r w:rsidR="00525389">
      <w:tab/>
    </w:r>
    <w:r w:rsidR="003C1BC4">
      <w:t>4</w:t>
    </w:r>
    <w:r>
      <w:t>.</w:t>
    </w:r>
    <w:r w:rsidR="003C1BC4">
      <w:t xml:space="preserve"> 4.</w:t>
    </w:r>
    <w:r>
      <w:t xml:space="preserve"> 201</w:t>
    </w:r>
    <w:r w:rsidR="003C1BC4">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6EA"/>
    <w:multiLevelType w:val="hybridMultilevel"/>
    <w:tmpl w:val="FF6209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1A32C5"/>
    <w:multiLevelType w:val="hybridMultilevel"/>
    <w:tmpl w:val="B8E48E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27777A"/>
    <w:multiLevelType w:val="multilevel"/>
    <w:tmpl w:val="CAF0F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FA227B"/>
    <w:multiLevelType w:val="hybridMultilevel"/>
    <w:tmpl w:val="FA7AD53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527A6B04"/>
    <w:multiLevelType w:val="hybridMultilevel"/>
    <w:tmpl w:val="946C86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6EC5FFF"/>
    <w:multiLevelType w:val="hybridMultilevel"/>
    <w:tmpl w:val="9086E1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9C56CB5"/>
    <w:multiLevelType w:val="hybridMultilevel"/>
    <w:tmpl w:val="13E0CE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1AF1B1D"/>
    <w:multiLevelType w:val="hybridMultilevel"/>
    <w:tmpl w:val="DA5452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8C026F8"/>
    <w:multiLevelType w:val="hybridMultilevel"/>
    <w:tmpl w:val="C25827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7"/>
  </w:num>
  <w:num w:numId="5">
    <w:abstractNumId w:val="3"/>
  </w:num>
  <w:num w:numId="6">
    <w:abstractNumId w:val="4"/>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8C7"/>
    <w:rsid w:val="0001107D"/>
    <w:rsid w:val="00015C9B"/>
    <w:rsid w:val="00020C2C"/>
    <w:rsid w:val="00023E1F"/>
    <w:rsid w:val="00051C29"/>
    <w:rsid w:val="00073142"/>
    <w:rsid w:val="0007775C"/>
    <w:rsid w:val="00083A9A"/>
    <w:rsid w:val="00087ADA"/>
    <w:rsid w:val="000D10D6"/>
    <w:rsid w:val="000D6026"/>
    <w:rsid w:val="000E487A"/>
    <w:rsid w:val="0011139A"/>
    <w:rsid w:val="00113C2A"/>
    <w:rsid w:val="00141BD4"/>
    <w:rsid w:val="00141D24"/>
    <w:rsid w:val="00142C82"/>
    <w:rsid w:val="00147980"/>
    <w:rsid w:val="00157BE6"/>
    <w:rsid w:val="00175BF1"/>
    <w:rsid w:val="001A1316"/>
    <w:rsid w:val="001A43D6"/>
    <w:rsid w:val="001C08EF"/>
    <w:rsid w:val="001D0393"/>
    <w:rsid w:val="00200F4A"/>
    <w:rsid w:val="00203F6F"/>
    <w:rsid w:val="00204C55"/>
    <w:rsid w:val="0021086B"/>
    <w:rsid w:val="00243CB7"/>
    <w:rsid w:val="0025003A"/>
    <w:rsid w:val="002712DB"/>
    <w:rsid w:val="002A169D"/>
    <w:rsid w:val="002C1980"/>
    <w:rsid w:val="002F195D"/>
    <w:rsid w:val="00304155"/>
    <w:rsid w:val="003128BB"/>
    <w:rsid w:val="003465C9"/>
    <w:rsid w:val="00351A5E"/>
    <w:rsid w:val="0036462D"/>
    <w:rsid w:val="00380118"/>
    <w:rsid w:val="00390727"/>
    <w:rsid w:val="003A5F71"/>
    <w:rsid w:val="003C1BC4"/>
    <w:rsid w:val="003C4C44"/>
    <w:rsid w:val="003D160E"/>
    <w:rsid w:val="003E303C"/>
    <w:rsid w:val="003E38C7"/>
    <w:rsid w:val="003F7F51"/>
    <w:rsid w:val="00402F96"/>
    <w:rsid w:val="0043050F"/>
    <w:rsid w:val="00441C58"/>
    <w:rsid w:val="00456654"/>
    <w:rsid w:val="00475678"/>
    <w:rsid w:val="004832FF"/>
    <w:rsid w:val="0048697C"/>
    <w:rsid w:val="00497BCE"/>
    <w:rsid w:val="004A23BC"/>
    <w:rsid w:val="004B1230"/>
    <w:rsid w:val="004B36AA"/>
    <w:rsid w:val="004D5833"/>
    <w:rsid w:val="00522C0B"/>
    <w:rsid w:val="00525389"/>
    <w:rsid w:val="00525574"/>
    <w:rsid w:val="005259BF"/>
    <w:rsid w:val="0052793F"/>
    <w:rsid w:val="00535D40"/>
    <w:rsid w:val="005420A1"/>
    <w:rsid w:val="00566BB6"/>
    <w:rsid w:val="00570EAD"/>
    <w:rsid w:val="00580010"/>
    <w:rsid w:val="00582F72"/>
    <w:rsid w:val="0058676C"/>
    <w:rsid w:val="005A498C"/>
    <w:rsid w:val="005B4439"/>
    <w:rsid w:val="005C3AC9"/>
    <w:rsid w:val="005C53B4"/>
    <w:rsid w:val="005E65C4"/>
    <w:rsid w:val="00652080"/>
    <w:rsid w:val="00655F94"/>
    <w:rsid w:val="0069075D"/>
    <w:rsid w:val="006A4C4D"/>
    <w:rsid w:val="006D5C45"/>
    <w:rsid w:val="006F0D6B"/>
    <w:rsid w:val="006F54E1"/>
    <w:rsid w:val="007049BF"/>
    <w:rsid w:val="00706DE5"/>
    <w:rsid w:val="007329D5"/>
    <w:rsid w:val="007340B4"/>
    <w:rsid w:val="007456A5"/>
    <w:rsid w:val="007518D1"/>
    <w:rsid w:val="00761343"/>
    <w:rsid w:val="007A416D"/>
    <w:rsid w:val="007B166F"/>
    <w:rsid w:val="007D791F"/>
    <w:rsid w:val="007E412A"/>
    <w:rsid w:val="008571E2"/>
    <w:rsid w:val="00875350"/>
    <w:rsid w:val="0089472C"/>
    <w:rsid w:val="008D078D"/>
    <w:rsid w:val="008F2443"/>
    <w:rsid w:val="00900A48"/>
    <w:rsid w:val="009120A0"/>
    <w:rsid w:val="009139C2"/>
    <w:rsid w:val="0092786B"/>
    <w:rsid w:val="009417D8"/>
    <w:rsid w:val="00956252"/>
    <w:rsid w:val="00960A80"/>
    <w:rsid w:val="00971A1F"/>
    <w:rsid w:val="00974C17"/>
    <w:rsid w:val="009850F0"/>
    <w:rsid w:val="009C0323"/>
    <w:rsid w:val="009D432A"/>
    <w:rsid w:val="009E1246"/>
    <w:rsid w:val="00A0038D"/>
    <w:rsid w:val="00A00DDC"/>
    <w:rsid w:val="00A20144"/>
    <w:rsid w:val="00A351E8"/>
    <w:rsid w:val="00A7492F"/>
    <w:rsid w:val="00A74D07"/>
    <w:rsid w:val="00A9054E"/>
    <w:rsid w:val="00AA2E72"/>
    <w:rsid w:val="00AC75C1"/>
    <w:rsid w:val="00AE0477"/>
    <w:rsid w:val="00AE11DA"/>
    <w:rsid w:val="00AE6C53"/>
    <w:rsid w:val="00B024A2"/>
    <w:rsid w:val="00B2473A"/>
    <w:rsid w:val="00B24C73"/>
    <w:rsid w:val="00B51A20"/>
    <w:rsid w:val="00B71270"/>
    <w:rsid w:val="00B771A7"/>
    <w:rsid w:val="00B83953"/>
    <w:rsid w:val="00B864A0"/>
    <w:rsid w:val="00B90A40"/>
    <w:rsid w:val="00BB287F"/>
    <w:rsid w:val="00BB2D7D"/>
    <w:rsid w:val="00BE10EB"/>
    <w:rsid w:val="00BF17AC"/>
    <w:rsid w:val="00BF7CA4"/>
    <w:rsid w:val="00C13F27"/>
    <w:rsid w:val="00C247EF"/>
    <w:rsid w:val="00C316FB"/>
    <w:rsid w:val="00C50F24"/>
    <w:rsid w:val="00C67AC7"/>
    <w:rsid w:val="00C914E0"/>
    <w:rsid w:val="00CD5A82"/>
    <w:rsid w:val="00CE130B"/>
    <w:rsid w:val="00CE1EC0"/>
    <w:rsid w:val="00D00A1C"/>
    <w:rsid w:val="00D00CD5"/>
    <w:rsid w:val="00D06EB3"/>
    <w:rsid w:val="00D25144"/>
    <w:rsid w:val="00D66F04"/>
    <w:rsid w:val="00D84740"/>
    <w:rsid w:val="00D85272"/>
    <w:rsid w:val="00D928C6"/>
    <w:rsid w:val="00D978BF"/>
    <w:rsid w:val="00DA5DE2"/>
    <w:rsid w:val="00DC1A3A"/>
    <w:rsid w:val="00DC779D"/>
    <w:rsid w:val="00DD0C23"/>
    <w:rsid w:val="00DD41ED"/>
    <w:rsid w:val="00DF5484"/>
    <w:rsid w:val="00DF7609"/>
    <w:rsid w:val="00E26CF2"/>
    <w:rsid w:val="00E42F21"/>
    <w:rsid w:val="00E45C7C"/>
    <w:rsid w:val="00E51841"/>
    <w:rsid w:val="00E75DDC"/>
    <w:rsid w:val="00E9048D"/>
    <w:rsid w:val="00EA39D9"/>
    <w:rsid w:val="00EC4C4B"/>
    <w:rsid w:val="00EE573D"/>
    <w:rsid w:val="00F132F7"/>
    <w:rsid w:val="00F1341C"/>
    <w:rsid w:val="00F363D3"/>
    <w:rsid w:val="00F53B3A"/>
    <w:rsid w:val="00F6292C"/>
    <w:rsid w:val="00F75110"/>
    <w:rsid w:val="00F87BBF"/>
    <w:rsid w:val="00F91F95"/>
    <w:rsid w:val="00FA4DBC"/>
    <w:rsid w:val="00FA62F6"/>
    <w:rsid w:val="00FB68F4"/>
    <w:rsid w:val="00FD0A46"/>
    <w:rsid w:val="00FD47D4"/>
    <w:rsid w:val="00FE43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C10C166"/>
  <w15:chartTrackingRefBased/>
  <w15:docId w15:val="{EE9B2860-1859-4576-80FD-8333A84F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DA5DE2"/>
    <w:pPr>
      <w:spacing w:line="360" w:lineRule="auto"/>
      <w:jc w:val="both"/>
    </w:pPr>
    <w:rPr>
      <w:rFonts w:ascii="Calibri" w:hAnsi="Calibri"/>
      <w:sz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Bezmezer">
    <w:name w:val="No Spacing"/>
    <w:uiPriority w:val="1"/>
    <w:qFormat/>
    <w:rsid w:val="00A74D07"/>
    <w:rPr>
      <w:rFonts w:ascii="Calibri" w:eastAsia="Calibri" w:hAnsi="Calibri"/>
      <w:sz w:val="22"/>
      <w:szCs w:val="22"/>
      <w:lang w:eastAsia="en-US"/>
    </w:rPr>
  </w:style>
  <w:style w:type="paragraph" w:styleId="Zhlav">
    <w:name w:val="header"/>
    <w:basedOn w:val="Normln"/>
    <w:link w:val="ZhlavChar"/>
    <w:rsid w:val="00A74D07"/>
    <w:pPr>
      <w:tabs>
        <w:tab w:val="center" w:pos="4536"/>
        <w:tab w:val="right" w:pos="9072"/>
      </w:tabs>
    </w:pPr>
  </w:style>
  <w:style w:type="character" w:customStyle="1" w:styleId="ZhlavChar">
    <w:name w:val="Záhlaví Char"/>
    <w:link w:val="Zhlav"/>
    <w:rsid w:val="00A74D07"/>
    <w:rPr>
      <w:sz w:val="24"/>
    </w:rPr>
  </w:style>
  <w:style w:type="paragraph" w:styleId="Zpat">
    <w:name w:val="footer"/>
    <w:basedOn w:val="Normln"/>
    <w:link w:val="ZpatChar"/>
    <w:uiPriority w:val="99"/>
    <w:rsid w:val="00A74D07"/>
    <w:pPr>
      <w:tabs>
        <w:tab w:val="center" w:pos="4536"/>
        <w:tab w:val="right" w:pos="9072"/>
      </w:tabs>
    </w:pPr>
  </w:style>
  <w:style w:type="character" w:customStyle="1" w:styleId="ZpatChar">
    <w:name w:val="Zápatí Char"/>
    <w:link w:val="Zpat"/>
    <w:uiPriority w:val="99"/>
    <w:rsid w:val="00A74D07"/>
    <w:rPr>
      <w:sz w:val="24"/>
    </w:rPr>
  </w:style>
  <w:style w:type="paragraph" w:styleId="Nzev">
    <w:name w:val="Title"/>
    <w:basedOn w:val="Normln"/>
    <w:next w:val="Normln"/>
    <w:link w:val="NzevChar"/>
    <w:qFormat/>
    <w:rsid w:val="00DA5DE2"/>
    <w:pPr>
      <w:spacing w:before="240" w:after="60"/>
      <w:jc w:val="left"/>
      <w:outlineLvl w:val="0"/>
    </w:pPr>
    <w:rPr>
      <w:b/>
      <w:bCs/>
      <w:kern w:val="28"/>
      <w:sz w:val="32"/>
      <w:szCs w:val="32"/>
    </w:rPr>
  </w:style>
  <w:style w:type="character" w:customStyle="1" w:styleId="NzevChar">
    <w:name w:val="Název Char"/>
    <w:link w:val="Nzev"/>
    <w:rsid w:val="00DA5DE2"/>
    <w:rPr>
      <w:rFonts w:ascii="Calibri" w:eastAsia="Times New Roman" w:hAnsi="Calibri" w:cs="Times New Roman"/>
      <w:b/>
      <w:bCs/>
      <w:kern w:val="28"/>
      <w:sz w:val="32"/>
      <w:szCs w:val="32"/>
    </w:rPr>
  </w:style>
  <w:style w:type="paragraph" w:styleId="Textpoznpodarou">
    <w:name w:val="footnote text"/>
    <w:basedOn w:val="Normln"/>
    <w:link w:val="TextpoznpodarouChar"/>
    <w:rsid w:val="00DA5DE2"/>
    <w:rPr>
      <w:sz w:val="20"/>
    </w:rPr>
  </w:style>
  <w:style w:type="character" w:customStyle="1" w:styleId="TextpoznpodarouChar">
    <w:name w:val="Text pozn. pod čarou Char"/>
    <w:link w:val="Textpoznpodarou"/>
    <w:rsid w:val="00DA5DE2"/>
    <w:rPr>
      <w:rFonts w:ascii="Calibri" w:hAnsi="Calibri"/>
    </w:rPr>
  </w:style>
  <w:style w:type="character" w:styleId="Znakapoznpodarou">
    <w:name w:val="footnote reference"/>
    <w:rsid w:val="00DA5DE2"/>
    <w:rPr>
      <w:vertAlign w:val="superscript"/>
    </w:rPr>
  </w:style>
  <w:style w:type="character" w:styleId="Hypertextovodkaz">
    <w:name w:val="Hyperlink"/>
    <w:rsid w:val="00522C0B"/>
    <w:rPr>
      <w:color w:val="0000FF"/>
      <w:u w:val="single"/>
    </w:rPr>
  </w:style>
  <w:style w:type="paragraph" w:customStyle="1" w:styleId="Styl2">
    <w:name w:val="Styl2"/>
    <w:basedOn w:val="Normln"/>
    <w:link w:val="Styl2Char"/>
    <w:qFormat/>
    <w:rsid w:val="005E65C4"/>
    <w:pPr>
      <w:spacing w:line="240" w:lineRule="auto"/>
    </w:pPr>
    <w:rPr>
      <w:rFonts w:ascii="Times New Roman" w:hAnsi="Times New Roman"/>
      <w:b/>
      <w:sz w:val="28"/>
      <w:szCs w:val="24"/>
    </w:rPr>
  </w:style>
  <w:style w:type="paragraph" w:customStyle="1" w:styleId="Styl3">
    <w:name w:val="Styl3"/>
    <w:basedOn w:val="Styl2"/>
    <w:link w:val="Styl3Char"/>
    <w:qFormat/>
    <w:rsid w:val="005E65C4"/>
    <w:rPr>
      <w:sz w:val="24"/>
    </w:rPr>
  </w:style>
  <w:style w:type="character" w:customStyle="1" w:styleId="Styl2Char">
    <w:name w:val="Styl2 Char"/>
    <w:link w:val="Styl2"/>
    <w:rsid w:val="005E65C4"/>
    <w:rPr>
      <w:b/>
      <w:sz w:val="28"/>
      <w:szCs w:val="24"/>
    </w:rPr>
  </w:style>
  <w:style w:type="character" w:customStyle="1" w:styleId="Styl3Char">
    <w:name w:val="Styl3 Char"/>
    <w:link w:val="Styl3"/>
    <w:rsid w:val="005E65C4"/>
    <w:rPr>
      <w:b/>
      <w:sz w:val="24"/>
      <w:szCs w:val="24"/>
    </w:rPr>
  </w:style>
  <w:style w:type="table" w:styleId="Mkatabulky">
    <w:name w:val="Table Grid"/>
    <w:basedOn w:val="Normlntabulka"/>
    <w:uiPriority w:val="59"/>
    <w:rsid w:val="005E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ln"/>
    <w:rsid w:val="00AC75C1"/>
    <w:pPr>
      <w:spacing w:before="100" w:beforeAutospacing="1" w:after="100" w:afterAutospacing="1" w:line="240" w:lineRule="auto"/>
      <w:jc w:val="left"/>
    </w:pPr>
    <w:rPr>
      <w:rFonts w:ascii="Times New Roman" w:hAnsi="Times New Roman"/>
      <w:szCs w:val="24"/>
    </w:rPr>
  </w:style>
  <w:style w:type="character" w:customStyle="1" w:styleId="normaltextrun">
    <w:name w:val="normaltextrun"/>
    <w:basedOn w:val="Standardnpsmoodstavce"/>
    <w:rsid w:val="00AC75C1"/>
  </w:style>
  <w:style w:type="character" w:customStyle="1" w:styleId="eop">
    <w:name w:val="eop"/>
    <w:basedOn w:val="Standardnpsmoodstavce"/>
    <w:rsid w:val="00AC75C1"/>
  </w:style>
  <w:style w:type="paragraph" w:styleId="Odstavecseseznamem">
    <w:name w:val="List Paragraph"/>
    <w:basedOn w:val="Normln"/>
    <w:uiPriority w:val="34"/>
    <w:qFormat/>
    <w:rsid w:val="00CE1EC0"/>
    <w:pPr>
      <w:ind w:left="720"/>
      <w:contextualSpacing/>
    </w:pPr>
  </w:style>
  <w:style w:type="character" w:styleId="Nevyeenzmnka">
    <w:name w:val="Unresolved Mention"/>
    <w:basedOn w:val="Standardnpsmoodstavce"/>
    <w:uiPriority w:val="99"/>
    <w:semiHidden/>
    <w:unhideWhenUsed/>
    <w:rsid w:val="00B90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637699">
      <w:bodyDiv w:val="1"/>
      <w:marLeft w:val="0"/>
      <w:marRight w:val="0"/>
      <w:marTop w:val="0"/>
      <w:marBottom w:val="0"/>
      <w:divBdr>
        <w:top w:val="none" w:sz="0" w:space="0" w:color="auto"/>
        <w:left w:val="none" w:sz="0" w:space="0" w:color="auto"/>
        <w:bottom w:val="none" w:sz="0" w:space="0" w:color="auto"/>
        <w:right w:val="none" w:sz="0" w:space="0" w:color="auto"/>
      </w:divBdr>
    </w:div>
    <w:div w:id="1284767995">
      <w:bodyDiv w:val="1"/>
      <w:marLeft w:val="0"/>
      <w:marRight w:val="0"/>
      <w:marTop w:val="0"/>
      <w:marBottom w:val="0"/>
      <w:divBdr>
        <w:top w:val="none" w:sz="0" w:space="0" w:color="auto"/>
        <w:left w:val="none" w:sz="0" w:space="0" w:color="auto"/>
        <w:bottom w:val="none" w:sz="0" w:space="0" w:color="auto"/>
        <w:right w:val="none" w:sz="0" w:space="0" w:color="auto"/>
      </w:divBdr>
    </w:div>
    <w:div w:id="1343967829">
      <w:bodyDiv w:val="1"/>
      <w:marLeft w:val="0"/>
      <w:marRight w:val="0"/>
      <w:marTop w:val="0"/>
      <w:marBottom w:val="0"/>
      <w:divBdr>
        <w:top w:val="none" w:sz="0" w:space="0" w:color="auto"/>
        <w:left w:val="none" w:sz="0" w:space="0" w:color="auto"/>
        <w:bottom w:val="none" w:sz="0" w:space="0" w:color="auto"/>
        <w:right w:val="none" w:sz="0" w:space="0" w:color="auto"/>
      </w:divBdr>
    </w:div>
    <w:div w:id="1520855225">
      <w:bodyDiv w:val="1"/>
      <w:marLeft w:val="0"/>
      <w:marRight w:val="0"/>
      <w:marTop w:val="0"/>
      <w:marBottom w:val="0"/>
      <w:divBdr>
        <w:top w:val="none" w:sz="0" w:space="0" w:color="auto"/>
        <w:left w:val="none" w:sz="0" w:space="0" w:color="auto"/>
        <w:bottom w:val="none" w:sz="0" w:space="0" w:color="auto"/>
        <w:right w:val="none" w:sz="0" w:space="0" w:color="auto"/>
      </w:divBdr>
    </w:div>
    <w:div w:id="1781877585">
      <w:bodyDiv w:val="1"/>
      <w:marLeft w:val="0"/>
      <w:marRight w:val="0"/>
      <w:marTop w:val="0"/>
      <w:marBottom w:val="0"/>
      <w:divBdr>
        <w:top w:val="none" w:sz="0" w:space="0" w:color="auto"/>
        <w:left w:val="none" w:sz="0" w:space="0" w:color="auto"/>
        <w:bottom w:val="none" w:sz="0" w:space="0" w:color="auto"/>
        <w:right w:val="none" w:sz="0" w:space="0" w:color="auto"/>
      </w:divBdr>
    </w:div>
    <w:div w:id="187769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C567F41-862A-47BE-8080-1A003F436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2085</Words>
  <Characters>12540</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Struktura přípravy na vyučovací hodinu</vt:lpstr>
    </vt:vector>
  </TitlesOfParts>
  <Company>PdF MU</Company>
  <LinksUpToDate>false</LinksUpToDate>
  <CharactersWithSpaces>14596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Struktura přípravy na vyučovací hodinu</dc:title>
  <dc:subject/>
  <dc:creator>Tereza Přibylová</dc:creator>
  <cp:keywords/>
  <cp:lastModifiedBy>Tereza Přibylová</cp:lastModifiedBy>
  <cp:revision>143</cp:revision>
  <dcterms:created xsi:type="dcterms:W3CDTF">2019-04-04T13:25:00Z</dcterms:created>
  <dcterms:modified xsi:type="dcterms:W3CDTF">2019-04-04T21:24:00Z</dcterms:modified>
</cp:coreProperties>
</file>