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0D" w:rsidRDefault="0000169A" w:rsidP="00E255A8">
      <w:pPr>
        <w:jc w:val="center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Dějepisectví 2. poloviny 19. století, pozitivismus</w:t>
      </w:r>
    </w:p>
    <w:p w:rsidR="0000169A" w:rsidRDefault="0000169A" w:rsidP="00E255A8">
      <w:pPr>
        <w:jc w:val="center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Přednáška</w:t>
      </w:r>
    </w:p>
    <w:p w:rsidR="0000169A" w:rsidRPr="00287B08" w:rsidRDefault="0000169A" w:rsidP="00287B08">
      <w:pPr>
        <w:spacing w:line="36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Michal Pehr</w:t>
      </w:r>
    </w:p>
    <w:p w:rsidR="00E255A8" w:rsidRPr="00287B08" w:rsidRDefault="00E255A8" w:rsidP="00287B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Období druhé poloviny 19. století se neslo ve znamení tzv. pozitivismu- tj. rigorózní metody odborného historického studia založeného na kritice pramenů</w:t>
      </w:r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V této době se hovoří mimochodem o renesanci pozitivismu. Je tu dvojí pozitivismus- filozofický pozitivismus a filologický pozitivismus. Klíčovými postavami tohoto směru byl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Hyppolite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Taine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Ernest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Renan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Henry Thomas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Buckle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další. Z německých autorů připomeňme alespoň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Th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Mommsene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J.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Fickera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či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Th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Sickel</w:t>
      </w:r>
      <w:proofErr w:type="spellEnd"/>
      <w:r w:rsidR="00B6486E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další.</w:t>
      </w:r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Práce vznikaly nejen na univerzitách, knihovnách a v dalších institucích, ale i v řadě institucích, které se zaměřovaly primárně na historický výzkum typu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Ecole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des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Chartes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nebo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Ecole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des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Hautes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Etudes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ve Francii či Institut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für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österreichische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Geschichtsforschung</w:t>
      </w:r>
      <w:proofErr w:type="spellEnd"/>
      <w:r w:rsidR="00F80895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ve Vídni.</w:t>
      </w:r>
    </w:p>
    <w:p w:rsidR="00B6486E" w:rsidRPr="00287B08" w:rsidRDefault="00B6486E" w:rsidP="00287B08">
      <w:pPr>
        <w:spacing w:line="36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  <w:t>České prostředí v této době hodně vycházelo z německých zdrojů- jakkoliv se historiografie ohlížela i po jiných zdrojích. Vedle vědeckých zdrojů byly ovlivněny přirozeně i politickými událostmi. Tím nejdůležitějším bylo jistě vývoj ve smyslu emancipace českého národa (boj o jazyková práva, 1867 rakousko-uherské vyrovnání atd.) V této době přibývá obrovské množství odborných časopisů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8E39B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(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např. 1869 časopis Matice Moravské nebo 1887 zahájení vydávání Vlastivědy moravské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spolků, klubů a organizací </w:t>
      </w:r>
      <w:r w:rsidR="004B563D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respektive institucí (1862 založení Archivu země české) 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pěstující historii a dochází také k velkému zmnožení historické tvorby</w:t>
      </w:r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vychází obrovské množství historických prací (nap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říklad prostřednictvím </w:t>
      </w:r>
      <w:r w:rsidR="008E39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Bibliotéky</w:t>
      </w:r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historické od roku 1861)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</w:t>
      </w:r>
    </w:p>
    <w:p w:rsidR="008A7ECE" w:rsidRPr="00287B08" w:rsidRDefault="008A7ECE" w:rsidP="00287B08">
      <w:pPr>
        <w:spacing w:line="36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  <w:t>V české tvorbě můžeme sledovat v rámci historiografie dva ideové směry historické tvorby. První je konzervativní ma</w:t>
      </w:r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jící názorově blízko svojí menta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litou ke katolictví ale i k rakouskému Habsburskému domu. Druhý směr je pak liberální, který je v mnohým silně ovlivňován i socialismem a levicí obecně. Přičemž toto ovlivnění se začíná prohlubovat.</w:t>
      </w:r>
    </w:p>
    <w:p w:rsidR="00BF4161" w:rsidRPr="00287B08" w:rsidRDefault="00BF4161" w:rsidP="00287B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Obecně můžeme říci, že v této době vystupovala do popředí generace pokračovatelů Fr. Palackého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152F4E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Do</w:t>
      </w:r>
      <w:r w:rsidR="008A750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152F4E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první skupiny konzervativců bezpochyby patřil Václav </w:t>
      </w:r>
      <w:proofErr w:type="spellStart"/>
      <w:r w:rsidR="00152F4E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Wladivoj</w:t>
      </w:r>
      <w:proofErr w:type="spellEnd"/>
      <w:r w:rsidR="00152F4E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Tomek (jedno z hlavních děl Dějepis města Prahy</w:t>
      </w:r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I- XII vydával v letech 1855-1901</w:t>
      </w:r>
      <w:r w:rsidR="00152F4E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Děje království českého. Dalšími byl třeba A. </w:t>
      </w:r>
      <w:proofErr w:type="spellStart"/>
      <w:r w:rsidR="00152F4E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Gindely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</w:t>
      </w:r>
      <w:r w:rsidR="004B563D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1857-58 </w:t>
      </w:r>
      <w:proofErr w:type="spellStart"/>
      <w:r w:rsidR="004B563D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Geschichte</w:t>
      </w:r>
      <w:proofErr w:type="spellEnd"/>
      <w:r w:rsidR="004B563D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der </w:t>
      </w:r>
      <w:proofErr w:type="spellStart"/>
      <w:r w:rsidR="004B563D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böhmischen</w:t>
      </w:r>
      <w:proofErr w:type="spellEnd"/>
      <w:r w:rsidR="004B563D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4B563D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Brüder</w:t>
      </w:r>
      <w:proofErr w:type="spellEnd"/>
      <w:r w:rsidR="004B563D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I- II, 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1870 Dějiny českého povstání 1618)</w:t>
      </w:r>
      <w:r w:rsidR="00152F4E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Do druhé skupiny patří pak Josef Kalousek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(1871 České státní právo)</w:t>
      </w:r>
    </w:p>
    <w:p w:rsidR="008A7508" w:rsidRPr="00287B08" w:rsidRDefault="008A7508" w:rsidP="00287B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lastRenderedPageBreak/>
        <w:t xml:space="preserve">Současně v této době dochází k rozvoji ediční práce. Česká společnost (a tím i historiografie) klade v této době velký důraz na rozvoj ediční práce. Dotýkající se v té době především nejstarších a středověkých dějin ale postupně můžeme sledovat i edici z doby novověké. V této souvislosti musíme zmínit především práci Josefa </w:t>
      </w:r>
      <w:proofErr w:type="spellStart"/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Emlera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(1870 </w:t>
      </w:r>
      <w:r w:rsidR="004B563D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ozůstatky </w:t>
      </w:r>
      <w:proofErr w:type="spellStart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desk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zemských a 1876 </w:t>
      </w:r>
      <w:r w:rsidR="004B563D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Rukověť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chronologie křesťanské)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 který je vnímán jako jedna z nejdůležitějších postav ediční tvorby druhé poloviny 19. století. Nebyl přirozeně sám.</w:t>
      </w:r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(Z edic jmenujme např. 1855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Regesta</w:t>
      </w:r>
      <w:proofErr w:type="spellEnd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diplomatica</w:t>
      </w:r>
      <w:proofErr w:type="spellEnd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nec</w:t>
      </w:r>
      <w:proofErr w:type="spellEnd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non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epistolaria</w:t>
      </w:r>
      <w:proofErr w:type="spellEnd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Bohemiae</w:t>
      </w:r>
      <w:proofErr w:type="spellEnd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et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Moraviae</w:t>
      </w:r>
      <w:proofErr w:type="spellEnd"/>
    </w:p>
    <w:p w:rsidR="008A7508" w:rsidRPr="00287B08" w:rsidRDefault="008A7508" w:rsidP="00287B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Druhá polovina 19. století je i dobou prudkého rozvoje a rozkvětu moravské ale i obecně regionální historiografie. Dějiny tak už nejsou v „jen českými“ dějinami ale rozvíjí se regionální tvorba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(například tvorba Zikmunda Wintra)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do popředí zájmu vstupují i nejrůznější další témata z oblasti hospodářské a sociální historiografie. Z m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ravské historiografie této doby je zapotřebí připomenout především </w:t>
      </w:r>
      <w:proofErr w:type="spellStart"/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Bedu</w:t>
      </w:r>
      <w:proofErr w:type="spellEnd"/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Dudíka</w:t>
      </w:r>
      <w:proofErr w:type="spellEnd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(1860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Mährens</w:t>
      </w:r>
      <w:proofErr w:type="spellEnd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allgemeine</w:t>
      </w:r>
      <w:proofErr w:type="spellEnd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Geschichte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I díl)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Vincence Brandla</w:t>
      </w:r>
      <w:r w:rsidR="004B563D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(1862 Kniha pro každého Moravana či 1866-1872 Spisy Karla st. ze Žerotína)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</w:t>
      </w:r>
    </w:p>
    <w:p w:rsidR="008A7508" w:rsidRPr="00287B08" w:rsidRDefault="008A7508" w:rsidP="00287B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 druhé polovině 19. století dochází rovněž k rozvoji silně nacionalisticky orientované sudetoněmecké historiografii</w:t>
      </w:r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jejímž cílem bylo podpořit význam sudetských Němců a jejich místo v českých zemích</w:t>
      </w:r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Sudeto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-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německá historiografie se v té době zabývala především</w:t>
      </w:r>
      <w:r w:rsidR="00612D6A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počátky české státnosti. Jejich cílem bylo dokázat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 že česká kultura je něm</w:t>
      </w:r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eckého původu a že rozvoj křesť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anství v českých zemích je primárně spojen ne s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 sv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Cyrilem a Metodějem ale díky bavorským misiím</w:t>
      </w:r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Podobně kritičtí byli i k husitům a jejich významu pro české dějiny atd.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(srovnej tvorbu Karl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Adolf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Höfler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</w:t>
      </w:r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např. 1856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Geschitsschreiber</w:t>
      </w:r>
      <w:proofErr w:type="spellEnd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der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husitischen</w:t>
      </w:r>
      <w:proofErr w:type="spellEnd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Bewegung</w:t>
      </w:r>
      <w:proofErr w:type="spellEnd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in </w:t>
      </w:r>
      <w:proofErr w:type="spellStart"/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Böhmen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)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Ludwig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Sc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h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lesinger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</w:t>
      </w:r>
      <w:proofErr w:type="spellEnd"/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či později Adolf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</w:t>
      </w:r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665682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Bachmann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)</w:t>
      </w:r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Centrum jejich badání a setkávání byl v roce 1862 založený 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Verein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für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Geschichte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der 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Deutschen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in 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Böhmen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(obdobou byl pak český Historický spolek (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zal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1866) či pozd</w:t>
      </w:r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ěji Historický klub (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zal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1870). Sudetoněmecké historiografie se v té době ovšem zaměřuje vedle nacionálních témat též i na regionální tvorbu (např. Ludwig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Schlesinger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1879-1884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Deutsche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Chroniken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aus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Böhmen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či Julius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Lippert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1870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Geschichte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der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königlichen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Stadt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Leitmeritz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)</w:t>
      </w:r>
      <w:r w:rsidR="00287B0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</w:t>
      </w:r>
    </w:p>
    <w:p w:rsidR="008A7508" w:rsidRPr="00287B08" w:rsidRDefault="008A7508" w:rsidP="00287B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Velkým tématem je pak pro českou společnost této doby spor o pravost rukopisů. Zatímco v první polovině 19. století bylo málo těch, kdo pochybovali o pravosti rukopisů, pak v této době přibývá kritických hlasů, které nejvíce zazní v souvislosti s pověstným boj o rukopisy, které vede T. G. Masaryk a jeho další spolupracovníci.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Tento boj vrcholí v letech 1886–1888</w:t>
      </w:r>
    </w:p>
    <w:p w:rsidR="00665682" w:rsidRPr="00287B08" w:rsidRDefault="00665682" w:rsidP="00287B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lastRenderedPageBreak/>
        <w:t>Rozvoji historiografie též pomohla i ta skutečnost, že došlo k rozdělení pražské univerzity na českou a německou část, ke které dochází v roce 1882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ve stejném roce je zřízen historický seminář na UK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Zde </w:t>
      </w:r>
      <w:proofErr w:type="gramStart"/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je</w:t>
      </w:r>
      <w:proofErr w:type="gramEnd"/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česká část univerzity spojena se jmény Jaroslava Golla</w:t>
      </w:r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(1888 Dějiny a dějepis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jeho pokračovatelů. Goll byl známý mimo jiné i tím, že usiloval o to, aby docházelo k propojování české a evropské historiografie a odmítal podřizovat svoji práci politickým požadavkům té doby. Vedle J. Golla připomeňme ještě Antonína Rezka, který položil základy výuky obecných dějin</w:t>
      </w:r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</w:t>
      </w:r>
    </w:p>
    <w:p w:rsidR="00BC6687" w:rsidRPr="00287B08" w:rsidRDefault="00BC6687" w:rsidP="00287B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 neposlední řadě se musíme zmínit i o</w:t>
      </w:r>
      <w:r w:rsidR="008E39B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situaci na Slovensku, která je přirozeně komplikována vývojem slovensko- maďarských vztahů a kdy Slovensko v rámci Uher prožívá nelehké období. Dá se říci, že většina slovenské historiografie se </w:t>
      </w:r>
      <w:r w:rsidR="008E39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soustřeďuje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kolem Matice Slovenské, která byla založena 1861. Kolem této instituce a časopisů, které Matice vydávala</w:t>
      </w:r>
      <w:r w:rsidR="00287B0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se shromáždila většina tehdejších slovenských historiků (např. František V. </w:t>
      </w:r>
      <w:proofErr w:type="spellStart"/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Sasinek</w:t>
      </w:r>
      <w:proofErr w:type="spellEnd"/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Jozef Škultéty, Jaroslav Vlček, Samuel </w:t>
      </w:r>
      <w:proofErr w:type="spellStart"/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Tomášik</w:t>
      </w:r>
      <w:proofErr w:type="spellEnd"/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další)</w:t>
      </w:r>
    </w:p>
    <w:p w:rsidR="00665682" w:rsidRPr="00287B08" w:rsidRDefault="00665682" w:rsidP="00287B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Dějiny v duchu pozitivistickém nejsou v této době zkoumány jen z pohledu politického a národního ale dochází k rozvoji dalších historických disciplín a odvětví. V druhé polovině 19. století můžeme pozorovat velký rozvoj archeologie</w:t>
      </w:r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(1854 se začínají vydávat Památky místopisné a archeologické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; 1868 Jan Erazim </w:t>
      </w:r>
      <w:proofErr w:type="spellStart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Vocel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vydává Pravěk země české</w:t>
      </w:r>
      <w:r w:rsidR="002226F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)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</w:t>
      </w:r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dějinám umění (1893 vychází první číslo Časopisu Společnosti přátel starožitností českých), 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právních dějin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(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např.</w:t>
      </w:r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Hermenegild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Jireček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Codex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iuris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bohemici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I- XII od roku </w:t>
      </w:r>
      <w:proofErr w:type="gramStart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1866;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Jaromír</w:t>
      </w:r>
      <w:proofErr w:type="gram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Čelakovský </w:t>
      </w:r>
      <w:proofErr w:type="spellStart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Codex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iuris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municipalis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regni</w:t>
      </w:r>
      <w:proofErr w:type="spellEnd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proofErr w:type="spellStart"/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Bohemiae</w:t>
      </w:r>
      <w:proofErr w:type="spellEnd"/>
      <w:r w:rsidR="00750C01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1886-1895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)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 hospodářských ději</w:t>
      </w:r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n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 sociálních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</w:t>
      </w:r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církevních (např. tvorba Klementa Borového, Františka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Krásla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Antonína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Lenze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), literárních dějin (např. tvorba Josefa </w:t>
      </w:r>
      <w:proofErr w:type="spellStart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Jirečka</w:t>
      </w:r>
      <w:proofErr w:type="spellEnd"/>
      <w:r w:rsidR="00BC6687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, který byl mimo jiné i ministrem rakouské vlády), </w:t>
      </w:r>
      <w:r w:rsidR="000A45B8"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etnologie (1891 založení časopisu Český lid)</w:t>
      </w:r>
      <w:r w:rsidRPr="00287B0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atd.</w:t>
      </w:r>
    </w:p>
    <w:p w:rsidR="00665682" w:rsidRPr="00287B08" w:rsidRDefault="00152F4E" w:rsidP="00287B08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87B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B6486E" w:rsidRPr="00287B08" w:rsidRDefault="00B6486E" w:rsidP="00287B08">
      <w:pPr>
        <w:spacing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:rsidR="0000169A" w:rsidRDefault="0000169A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Dokumenty ke </w:t>
      </w:r>
      <w:proofErr w:type="gram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shlédnutí</w:t>
      </w:r>
      <w:proofErr w:type="gram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:</w:t>
      </w:r>
    </w:p>
    <w:p w:rsidR="00612D6A" w:rsidRDefault="00612D6A"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Beda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Dudík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hyperlink r:id="rId4" w:history="1">
        <w:r>
          <w:rPr>
            <w:rStyle w:val="Hypertextovodkaz"/>
          </w:rPr>
          <w:t>https://www.youtube.com/watch?v=WO3g1o4vTMU</w:t>
        </w:r>
      </w:hyperlink>
    </w:p>
    <w:p w:rsidR="00612D6A" w:rsidRDefault="00612D6A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00169A" w:rsidRDefault="0000169A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Doporučená literatura:</w:t>
      </w:r>
      <w:r w:rsidR="00EC695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František </w:t>
      </w:r>
      <w:proofErr w:type="spellStart"/>
      <w:r w:rsidR="00EC695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Kutnar</w:t>
      </w:r>
      <w:proofErr w:type="spellEnd"/>
      <w:r w:rsidR="00EC695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- Jaroslav Marek: Přehledné dějiny českého a slovenského děj</w:t>
      </w:r>
      <w:r w:rsidR="00E255A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episectví. Praha 1997, s 271-364</w:t>
      </w:r>
    </w:p>
    <w:p w:rsidR="0000169A" w:rsidRDefault="0000169A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Kontrolní otázky:</w:t>
      </w:r>
    </w:p>
    <w:p w:rsidR="00EC6952" w:rsidRDefault="00EC6952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1/ Vyjmenujte nejdůležitější české a moravské historické časopisy?</w:t>
      </w:r>
    </w:p>
    <w:p w:rsidR="00EC6952" w:rsidRDefault="00EC6952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lastRenderedPageBreak/>
        <w:t>2/ Vyjmenujte alespoň tři edice vzniklé v českých zemích?</w:t>
      </w:r>
    </w:p>
    <w:p w:rsidR="00EC6952" w:rsidRDefault="00EC6952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3/ Jak se vyvíjela moravská historiografie druhé poloviny 19. století.</w:t>
      </w:r>
    </w:p>
    <w:p w:rsidR="00EC6952" w:rsidRDefault="00EC6952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4/ Jak se jmenují první dvě velké všeobecné encyklopedie vzniklé v českých zemích?</w:t>
      </w:r>
    </w:p>
    <w:p w:rsidR="00665682" w:rsidRDefault="00665682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5/ Jak se vyvíjela sudetoněmecká historiografie v druhé polovině 19 století?</w:t>
      </w:r>
    </w:p>
    <w:p w:rsidR="00665682" w:rsidRDefault="00665682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6/ Uveďte příklady regionálních historiků té doby a jejich tvorby</w:t>
      </w:r>
    </w:p>
    <w:p w:rsidR="008E39B8" w:rsidRDefault="008E39B8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7/ Uveďte alespoň tři příklady prací, které vznikly např. v oblasti hospodářských, právních, církevních a sociálních dějin? </w:t>
      </w:r>
    </w:p>
    <w:p w:rsidR="00665682" w:rsidRDefault="00600217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8</w:t>
      </w:r>
      <w:bookmarkStart w:id="0" w:name="_GoBack"/>
      <w:bookmarkEnd w:id="0"/>
      <w:r w:rsidR="0066568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/ Jaká byla v té době situace na Slovensku s ohledem na rozvoj slovenského dějepisectví?</w:t>
      </w:r>
    </w:p>
    <w:p w:rsidR="0000169A" w:rsidRDefault="0000169A"/>
    <w:sectPr w:rsidR="00001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02"/>
    <w:rsid w:val="0000169A"/>
    <w:rsid w:val="000A45B8"/>
    <w:rsid w:val="00152F4E"/>
    <w:rsid w:val="001E785E"/>
    <w:rsid w:val="002226F1"/>
    <w:rsid w:val="00287B08"/>
    <w:rsid w:val="004B563D"/>
    <w:rsid w:val="00600217"/>
    <w:rsid w:val="00612D6A"/>
    <w:rsid w:val="00665682"/>
    <w:rsid w:val="00750C01"/>
    <w:rsid w:val="00775802"/>
    <w:rsid w:val="0088510D"/>
    <w:rsid w:val="008A7508"/>
    <w:rsid w:val="008A7ECE"/>
    <w:rsid w:val="008E39B8"/>
    <w:rsid w:val="00A16D8E"/>
    <w:rsid w:val="00B6486E"/>
    <w:rsid w:val="00BC6687"/>
    <w:rsid w:val="00BF4161"/>
    <w:rsid w:val="00E255A8"/>
    <w:rsid w:val="00EC6952"/>
    <w:rsid w:val="00F8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9A209-49C8-4C72-B639-109E8902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2F4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1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O3g1o4vTM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1140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Pehr</dc:creator>
  <cp:keywords/>
  <dc:description/>
  <cp:lastModifiedBy>Michal Pehr</cp:lastModifiedBy>
  <cp:revision>7</cp:revision>
  <dcterms:created xsi:type="dcterms:W3CDTF">2020-05-01T01:06:00Z</dcterms:created>
  <dcterms:modified xsi:type="dcterms:W3CDTF">2020-05-05T17:37:00Z</dcterms:modified>
</cp:coreProperties>
</file>