
<file path=[Content_Types].xml><?xml version="1.0" encoding="utf-8"?>
<Types xmlns="http://schemas.openxmlformats.org/package/2006/content-types">
  <Override PartName="/ppt/slides/slide6.xml" ContentType="application/vnd.openxmlformats-officedocument.presentationml.slide+xml"/>
  <Override PartName="/ppt/slides/slide29.xml" ContentType="application/vnd.openxmlformats-officedocument.presentationml.slide+xml"/>
  <Override PartName="/ppt/slides/slide38.xml" ContentType="application/vnd.openxmlformats-officedocument.presentationml.slide+xml"/>
  <Override PartName="/ppt/slides/slide47.xml" ContentType="application/vnd.openxmlformats-officedocument.presentationml.slide+xml"/>
  <Override PartName="/ppt/slideLayouts/slideLayout8.xml" ContentType="application/vnd.openxmlformats-officedocument.presentationml.slideLayout+xml"/>
  <Override PartName="/ppt/slideMasters/slideMaster1.xml" ContentType="application/vnd.openxmlformats-officedocument.presentationml.slideMaster+xml"/>
  <Override PartName="/ppt/slides/slide4.xml" ContentType="application/vnd.openxmlformats-officedocument.presentationml.slide+xml"/>
  <Override PartName="/ppt/slides/slide18.xml" ContentType="application/vnd.openxmlformats-officedocument.presentationml.slide+xml"/>
  <Override PartName="/ppt/slides/slide27.xml" ContentType="application/vnd.openxmlformats-officedocument.presentationml.slide+xml"/>
  <Override PartName="/ppt/slides/slide36.xml" ContentType="application/vnd.openxmlformats-officedocument.presentationml.slide+xml"/>
  <Override PartName="/ppt/slides/slide45.xml" ContentType="application/vnd.openxmlformats-officedocument.presentationml.slide+xml"/>
  <Override PartName="/ppt/slideLayouts/slideLayout4.xml" ContentType="application/vnd.openxmlformats-officedocument.presentationml.slideLayout+xml"/>
  <Override PartName="/ppt/slideLayouts/slideLayout6.xml" ContentType="application/vnd.openxmlformats-officedocument.presentationml.slideLayout+xml"/>
  <Override PartName="/ppt/theme/theme3.xml" ContentType="application/vnd.openxmlformats-officedocument.theme+xml"/>
  <Override PartName="/ppt/slides/slide2.xml" ContentType="application/vnd.openxmlformats-officedocument.presentationml.slide+xml"/>
  <Override PartName="/ppt/slides/slide16.xml" ContentType="application/vnd.openxmlformats-officedocument.presentationml.slide+xml"/>
  <Override PartName="/ppt/slides/slide25.xml" ContentType="application/vnd.openxmlformats-officedocument.presentationml.slide+xml"/>
  <Override PartName="/ppt/slides/slide34.xml" ContentType="application/vnd.openxmlformats-officedocument.presentationml.slide+xml"/>
  <Override PartName="/ppt/slides/slide43.xml" ContentType="application/vnd.openxmlformats-officedocument.presentationml.slide+xml"/>
  <Override PartName="/ppt/theme/theme1.xml" ContentType="application/vnd.openxmlformats-officedocument.theme+xml"/>
  <Override PartName="/ppt/slideLayouts/slideLayout2.xml" ContentType="application/vnd.openxmlformats-officedocument.presentationml.slideLayout+xml"/>
  <Default Extension="rels" ContentType="application/vnd.openxmlformats-package.relationships+xml"/>
  <Default Extension="xml" ContentType="application/xml"/>
  <Override PartName="/ppt/slides/slide14.xml" ContentType="application/vnd.openxmlformats-officedocument.presentationml.slide+xml"/>
  <Override PartName="/ppt/slides/slide23.xml" ContentType="application/vnd.openxmlformats-officedocument.presentationml.slide+xml"/>
  <Override PartName="/ppt/slides/slide32.xml" ContentType="application/vnd.openxmlformats-officedocument.presentationml.slide+xml"/>
  <Override PartName="/ppt/slides/slide41.xml" ContentType="application/vnd.openxmlformats-officedocument.presentationml.slide+xml"/>
  <Override PartName="/ppt/notesMasters/notesMaster1.xml" ContentType="application/vnd.openxmlformats-officedocument.presentationml.notesMaster+xml"/>
  <Override PartName="/ppt/slideLayouts/slideLayout13.xml" ContentType="application/vnd.openxmlformats-officedocument.presentationml.slideLayout+xml"/>
  <Override PartName="/ppt/slides/slide10.xml" ContentType="application/vnd.openxmlformats-officedocument.presentationml.slide+xml"/>
  <Override PartName="/ppt/slides/slide12.xml" ContentType="application/vnd.openxmlformats-officedocument.presentationml.slide+xml"/>
  <Override PartName="/ppt/slides/slide21.xml" ContentType="application/vnd.openxmlformats-officedocument.presentationml.slide+xml"/>
  <Override PartName="/ppt/slides/slide30.xml" ContentType="application/vnd.openxmlformats-officedocument.presentationml.slide+xml"/>
  <Override PartName="/ppt/tableStyles.xml" ContentType="application/vnd.openxmlformats-officedocument.presentationml.tableStyles+xml"/>
  <Override PartName="/ppt/slideLayouts/slideLayout11.xml" ContentType="application/vnd.openxmlformats-officedocument.presentationml.slideLayout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handoutMasters/handoutMaster1.xml" ContentType="application/vnd.openxmlformats-officedocument.presentationml.handoutMaster+xml"/>
  <Override PartName="/ppt/viewProps.xml" ContentType="application/vnd.openxmlformats-officedocument.presentationml.viewProps+xml"/>
  <Override PartName="/ppt/slideLayouts/slideLayout9.xml" ContentType="application/vnd.openxmlformats-officedocument.presentationml.slideLayout+xml"/>
  <Override PartName="/docProps/core.xml" ContentType="application/vnd.openxmlformats-package.core-properties+xml"/>
  <Override PartName="/ppt/slides/slide5.xml" ContentType="application/vnd.openxmlformats-officedocument.presentationml.slide+xml"/>
  <Override PartName="/ppt/slides/slide19.xml" ContentType="application/vnd.openxmlformats-officedocument.presentationml.slide+xml"/>
  <Override PartName="/ppt/slides/slide28.xml" ContentType="application/vnd.openxmlformats-officedocument.presentationml.slide+xml"/>
  <Override PartName="/ppt/slides/slide39.xml" ContentType="application/vnd.openxmlformats-officedocument.presentationml.slide+xml"/>
  <Override PartName="/ppt/slideLayouts/slideLayout7.xml" ContentType="application/vnd.openxmlformats-officedocument.presentationml.slideLayout+xml"/>
  <Default Extension="png" ContentType="image/png"/>
  <Override PartName="/ppt/slides/slide3.xml" ContentType="application/vnd.openxmlformats-officedocument.presentationml.slide+xml"/>
  <Override PartName="/ppt/slides/slide17.xml" ContentType="application/vnd.openxmlformats-officedocument.presentationml.slide+xml"/>
  <Override PartName="/ppt/slides/slide26.xml" ContentType="application/vnd.openxmlformats-officedocument.presentationml.slide+xml"/>
  <Override PartName="/ppt/slides/slide37.xml" ContentType="application/vnd.openxmlformats-officedocument.presentationml.slide+xml"/>
  <Override PartName="/ppt/slides/slide46.xml" ContentType="application/vnd.openxmlformats-officedocument.presentationml.slide+xml"/>
  <Override PartName="/ppt/presProps.xml" ContentType="application/vnd.openxmlformats-officedocument.presentationml.presProps+xml"/>
  <Override PartName="/ppt/slideLayouts/slideLayout5.xml" ContentType="application/vnd.openxmlformats-officedocument.presentationml.slideLayout+xml"/>
  <Override PartName="/ppt/theme/theme2.xml" ContentType="application/vnd.openxmlformats-officedocument.theme+xml"/>
  <Override PartName="/ppt/slides/slide1.xml" ContentType="application/vnd.openxmlformats-officedocument.presentationml.slide+xml"/>
  <Override PartName="/ppt/slides/slide15.xml" ContentType="application/vnd.openxmlformats-officedocument.presentationml.slide+xml"/>
  <Override PartName="/ppt/slides/slide24.xml" ContentType="application/vnd.openxmlformats-officedocument.presentationml.slide+xml"/>
  <Override PartName="/ppt/slides/slide33.xml" ContentType="application/vnd.openxmlformats-officedocument.presentationml.slide+xml"/>
  <Override PartName="/ppt/slides/slide35.xml" ContentType="application/vnd.openxmlformats-officedocument.presentationml.slide+xml"/>
  <Override PartName="/ppt/slides/slide44.xml" ContentType="application/vnd.openxmlformats-officedocument.presentationml.slide+xml"/>
  <Override PartName="/ppt/slideLayouts/slideLayout3.xml" ContentType="application/vnd.openxmlformats-officedocument.presentationml.slideLayout+xml"/>
  <Default Extension="emf" ContentType="image/x-emf"/>
  <Default Extension="jpeg" ContentType="image/jpeg"/>
  <Override PartName="/ppt/presentation.xml" ContentType="application/vnd.openxmlformats-officedocument.presentationml.presentation.main+xml"/>
  <Override PartName="/ppt/slides/slide13.xml" ContentType="application/vnd.openxmlformats-officedocument.presentationml.slide+xml"/>
  <Override PartName="/ppt/slides/slide22.xml" ContentType="application/vnd.openxmlformats-officedocument.presentationml.slide+xml"/>
  <Override PartName="/ppt/slides/slide31.xml" ContentType="application/vnd.openxmlformats-officedocument.presentationml.slide+xml"/>
  <Override PartName="/ppt/slides/slide42.xml" ContentType="application/vnd.openxmlformats-officedocument.presentationml.slide+xml"/>
  <Override PartName="/ppt/slideLayouts/slideLayout1.xml" ContentType="application/vnd.openxmlformats-officedocument.presentationml.slideLayout+xml"/>
  <Override PartName="/ppt/slideLayouts/slideLayout14.xml" ContentType="application/vnd.openxmlformats-officedocument.presentationml.slideLayout+xml"/>
  <Override PartName="/docProps/app.xml" ContentType="application/vnd.openxmlformats-officedocument.extended-properties+xml"/>
  <Override PartName="/ppt/slides/slide11.xml" ContentType="application/vnd.openxmlformats-officedocument.presentationml.slide+xml"/>
  <Override PartName="/ppt/slides/slide20.xml" ContentType="application/vnd.openxmlformats-officedocument.presentationml.slide+xml"/>
  <Override PartName="/ppt/slides/slide40.xml" ContentType="application/vnd.openxmlformats-officedocument.presentationml.slide+xml"/>
  <Override PartName="/ppt/slideLayouts/slideLayout12.xml" ContentType="application/vnd.openxmlformats-officedocument.presentationml.slideLayout+xml"/>
  <Default Extension="wdp" ContentType="image/vnd.ms-photo"/>
  <Override PartName="/ppt/slideLayouts/slideLayout10.xml" ContentType="application/vnd.openxmlformats-officedocument.presentationml.slideLayout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57" r:id="rId1"/>
  </p:sldMasterIdLst>
  <p:notesMasterIdLst>
    <p:notesMasterId r:id="rId49"/>
  </p:notesMasterIdLst>
  <p:handoutMasterIdLst>
    <p:handoutMasterId r:id="rId50"/>
  </p:handoutMasterIdLst>
  <p:sldIdLst>
    <p:sldId id="256" r:id="rId2"/>
    <p:sldId id="257" r:id="rId3"/>
    <p:sldId id="258" r:id="rId4"/>
    <p:sldId id="259" r:id="rId5"/>
    <p:sldId id="260" r:id="rId6"/>
    <p:sldId id="261" r:id="rId7"/>
    <p:sldId id="262" r:id="rId8"/>
    <p:sldId id="263" r:id="rId9"/>
    <p:sldId id="264" r:id="rId10"/>
    <p:sldId id="265" r:id="rId11"/>
    <p:sldId id="266" r:id="rId12"/>
    <p:sldId id="267" r:id="rId13"/>
    <p:sldId id="268" r:id="rId14"/>
    <p:sldId id="269" r:id="rId15"/>
    <p:sldId id="270" r:id="rId16"/>
    <p:sldId id="271" r:id="rId17"/>
    <p:sldId id="272" r:id="rId18"/>
    <p:sldId id="273" r:id="rId19"/>
    <p:sldId id="274" r:id="rId20"/>
    <p:sldId id="275" r:id="rId21"/>
    <p:sldId id="276" r:id="rId22"/>
    <p:sldId id="277" r:id="rId23"/>
    <p:sldId id="278" r:id="rId24"/>
    <p:sldId id="279" r:id="rId25"/>
    <p:sldId id="280" r:id="rId26"/>
    <p:sldId id="281" r:id="rId27"/>
    <p:sldId id="282" r:id="rId28"/>
    <p:sldId id="283" r:id="rId29"/>
    <p:sldId id="284" r:id="rId30"/>
    <p:sldId id="285" r:id="rId31"/>
    <p:sldId id="286" r:id="rId32"/>
    <p:sldId id="287" r:id="rId33"/>
    <p:sldId id="288" r:id="rId34"/>
    <p:sldId id="289" r:id="rId35"/>
    <p:sldId id="290" r:id="rId36"/>
    <p:sldId id="291" r:id="rId37"/>
    <p:sldId id="292" r:id="rId38"/>
    <p:sldId id="293" r:id="rId39"/>
    <p:sldId id="294" r:id="rId40"/>
    <p:sldId id="295" r:id="rId41"/>
    <p:sldId id="296" r:id="rId42"/>
    <p:sldId id="297" r:id="rId43"/>
    <p:sldId id="298" r:id="rId44"/>
    <p:sldId id="299" r:id="rId45"/>
    <p:sldId id="300" r:id="rId46"/>
    <p:sldId id="301" r:id="rId47"/>
    <p:sldId id="302" r:id="rId48"/>
  </p:sldIdLst>
  <p:sldSz cx="12192000" cy="6858000"/>
  <p:notesSz cx="6858000" cy="9144000"/>
  <p:defaultTextStyle>
    <a:defPPr>
      <a:defRPr lang="en-US"/>
    </a:defPPr>
    <a:lvl1pPr algn="l" rtl="0" fontAlgn="base">
      <a:spcBef>
        <a:spcPct val="0"/>
      </a:spcBef>
      <a:spcAft>
        <a:spcPct val="0"/>
      </a:spcAft>
      <a:defRPr sz="2400" kern="1200">
        <a:solidFill>
          <a:schemeClr val="tx1"/>
        </a:solidFill>
        <a:latin typeface="Tahoma" pitchFamily="34" charset="0"/>
        <a:ea typeface="+mn-ea"/>
        <a:cs typeface="+mn-cs"/>
      </a:defRPr>
    </a:lvl1pPr>
    <a:lvl2pPr marL="457200" algn="l" rtl="0" fontAlgn="base">
      <a:spcBef>
        <a:spcPct val="0"/>
      </a:spcBef>
      <a:spcAft>
        <a:spcPct val="0"/>
      </a:spcAft>
      <a:defRPr sz="2400" kern="1200">
        <a:solidFill>
          <a:schemeClr val="tx1"/>
        </a:solidFill>
        <a:latin typeface="Tahoma" pitchFamily="34" charset="0"/>
        <a:ea typeface="+mn-ea"/>
        <a:cs typeface="+mn-cs"/>
      </a:defRPr>
    </a:lvl2pPr>
    <a:lvl3pPr marL="914400" algn="l" rtl="0" fontAlgn="base">
      <a:spcBef>
        <a:spcPct val="0"/>
      </a:spcBef>
      <a:spcAft>
        <a:spcPct val="0"/>
      </a:spcAft>
      <a:defRPr sz="2400" kern="1200">
        <a:solidFill>
          <a:schemeClr val="tx1"/>
        </a:solidFill>
        <a:latin typeface="Tahoma" pitchFamily="34" charset="0"/>
        <a:ea typeface="+mn-ea"/>
        <a:cs typeface="+mn-cs"/>
      </a:defRPr>
    </a:lvl3pPr>
    <a:lvl4pPr marL="1371600" algn="l" rtl="0" fontAlgn="base">
      <a:spcBef>
        <a:spcPct val="0"/>
      </a:spcBef>
      <a:spcAft>
        <a:spcPct val="0"/>
      </a:spcAft>
      <a:defRPr sz="2400" kern="1200">
        <a:solidFill>
          <a:schemeClr val="tx1"/>
        </a:solidFill>
        <a:latin typeface="Tahoma" pitchFamily="34" charset="0"/>
        <a:ea typeface="+mn-ea"/>
        <a:cs typeface="+mn-cs"/>
      </a:defRPr>
    </a:lvl4pPr>
    <a:lvl5pPr marL="1828800" algn="l" rtl="0" fontAlgn="base">
      <a:spcBef>
        <a:spcPct val="0"/>
      </a:spcBef>
      <a:spcAft>
        <a:spcPct val="0"/>
      </a:spcAft>
      <a:defRPr sz="2400" kern="1200">
        <a:solidFill>
          <a:schemeClr val="tx1"/>
        </a:solidFill>
        <a:latin typeface="Tahoma" pitchFamily="34" charset="0"/>
        <a:ea typeface="+mn-ea"/>
        <a:cs typeface="+mn-cs"/>
      </a:defRPr>
    </a:lvl5pPr>
    <a:lvl6pPr marL="2286000" algn="l" defTabSz="914400" rtl="0" eaLnBrk="1" latinLnBrk="0" hangingPunct="1">
      <a:defRPr sz="2400" kern="1200">
        <a:solidFill>
          <a:schemeClr val="tx1"/>
        </a:solidFill>
        <a:latin typeface="Tahoma" pitchFamily="34" charset="0"/>
        <a:ea typeface="+mn-ea"/>
        <a:cs typeface="+mn-cs"/>
      </a:defRPr>
    </a:lvl6pPr>
    <a:lvl7pPr marL="2743200" algn="l" defTabSz="914400" rtl="0" eaLnBrk="1" latinLnBrk="0" hangingPunct="1">
      <a:defRPr sz="2400" kern="1200">
        <a:solidFill>
          <a:schemeClr val="tx1"/>
        </a:solidFill>
        <a:latin typeface="Tahoma" pitchFamily="34" charset="0"/>
        <a:ea typeface="+mn-ea"/>
        <a:cs typeface="+mn-cs"/>
      </a:defRPr>
    </a:lvl7pPr>
    <a:lvl8pPr marL="3200400" algn="l" defTabSz="914400" rtl="0" eaLnBrk="1" latinLnBrk="0" hangingPunct="1">
      <a:defRPr sz="2400" kern="1200">
        <a:solidFill>
          <a:schemeClr val="tx1"/>
        </a:solidFill>
        <a:latin typeface="Tahoma" pitchFamily="34" charset="0"/>
        <a:ea typeface="+mn-ea"/>
        <a:cs typeface="+mn-cs"/>
      </a:defRPr>
    </a:lvl8pPr>
    <a:lvl9pPr marL="3657600" algn="l" defTabSz="914400" rtl="0" eaLnBrk="1" latinLnBrk="0" hangingPunct="1">
      <a:defRPr sz="2400" kern="1200">
        <a:solidFill>
          <a:schemeClr val="tx1"/>
        </a:solidFill>
        <a:latin typeface="Tahoma" pitchFamily="34" charset="0"/>
        <a:ea typeface="+mn-ea"/>
        <a:cs typeface="+mn-cs"/>
      </a:defRPr>
    </a:lvl9pPr>
  </p:defaultTextStyle>
  <p:extLst>
    <p:ext uri="{EFAFB233-063F-42B5-8137-9DF3F51BA10A}">
      <p15:sldGuideLst xmlns="" xmlns:p15="http://schemas.microsoft.com/office/powerpoint/2012/main">
        <p15:guide id="1" orient="horz" pos="1120" userDrawn="1">
          <p15:clr>
            <a:srgbClr val="A4A3A4"/>
          </p15:clr>
        </p15:guide>
        <p15:guide id="2" orient="horz" pos="1272" userDrawn="1">
          <p15:clr>
            <a:srgbClr val="A4A3A4"/>
          </p15:clr>
        </p15:guide>
        <p15:guide id="3" orient="horz" pos="715" userDrawn="1">
          <p15:clr>
            <a:srgbClr val="A4A3A4"/>
          </p15:clr>
        </p15:guide>
        <p15:guide id="4" orient="horz" pos="3861" userDrawn="1">
          <p15:clr>
            <a:srgbClr val="A4A3A4"/>
          </p15:clr>
        </p15:guide>
        <p15:guide id="5" orient="horz" pos="3944" userDrawn="1">
          <p15:clr>
            <a:srgbClr val="A4A3A4"/>
          </p15:clr>
        </p15:guide>
        <p15:guide id="6" pos="428" userDrawn="1">
          <p15:clr>
            <a:srgbClr val="A4A3A4"/>
          </p15:clr>
        </p15:guide>
        <p15:guide id="7" pos="7224" userDrawn="1">
          <p15:clr>
            <a:srgbClr val="A4A3A4"/>
          </p15:clr>
        </p15:guide>
        <p15:guide id="8" pos="909" userDrawn="1">
          <p15:clr>
            <a:srgbClr val="A4A3A4"/>
          </p15:clr>
        </p15:guide>
        <p15:guide id="9" pos="3688" userDrawn="1">
          <p15:clr>
            <a:srgbClr val="A4A3A4"/>
          </p15:clr>
        </p15:guide>
        <p15:guide id="10" pos="3968" userDrawn="1">
          <p15:clr>
            <a:srgbClr val="A4A3A4"/>
          </p15:clr>
        </p15:guide>
      </p15:sldGuideLst>
    </p:ext>
    <p:ext uri="{2D200454-40CA-4A62-9FC3-DE9A4176ACB9}">
      <p15:notesGuideLst xmlns=""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="" xmlns:p14="http://schemas.microsoft.com/office/powerpoint/2010/main">
          <a:srgbClr val="FF0000"/>
        </p14:laserClr>
      </p:ext>
      <p:ext uri="{2FDB2607-1784-4EEB-B798-7EB5836EED8A}">
        <p14:showMediaCtrls xmlns="" xmlns:p14="http://schemas.microsoft.com/office/powerpoint/2010/main" val="1"/>
      </p:ext>
    </p:extLst>
  </p:showPr>
  <p:clrMru>
    <a:srgbClr val="FF7300"/>
    <a:srgbClr val="D77300"/>
    <a:srgbClr val="B9006E"/>
    <a:srgbClr val="4BC8FF"/>
    <a:srgbClr val="0000DC"/>
    <a:srgbClr val="F01928"/>
    <a:srgbClr val="9100DC"/>
    <a:srgbClr val="5AC8AF"/>
    <a:srgbClr val="00287D"/>
    <a:srgbClr val="969696"/>
  </p:clrMru>
  <p:extLst>
    <p:ext uri="{E76CE94A-603C-4142-B9EB-6D1370010A27}">
      <p14:discardImageEditData xmlns="" xmlns:p14="http://schemas.microsoft.com/office/powerpoint/2010/main" val="0"/>
    </p:ext>
    <p:ext uri="{D31A062A-798A-4329-ABDD-BBA856620510}">
      <p14:defaultImageDpi xmlns="" xmlns:p14="http://schemas.microsoft.com/office/powerpoint/2010/main" val="220"/>
    </p:ext>
    <p:ext uri="{FD5EFAAD-0ECE-453E-9831-46B23BE46B34}">
      <p15:chartTrackingRefBased xmlns=""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Střední styl 2 – zvýraznění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21090" autoAdjust="0"/>
    <p:restoredTop sz="69310" autoAdjust="0"/>
  </p:normalViewPr>
  <p:slideViewPr>
    <p:cSldViewPr snapToGrid="0">
      <p:cViewPr varScale="1">
        <p:scale>
          <a:sx n="39" d="100"/>
          <a:sy n="39" d="100"/>
        </p:scale>
        <p:origin x="-126" y="-408"/>
      </p:cViewPr>
      <p:guideLst>
        <p:guide orient="horz" pos="1120"/>
        <p:guide orient="horz" pos="1272"/>
        <p:guide orient="horz" pos="715"/>
        <p:guide orient="horz" pos="3861"/>
        <p:guide orient="horz" pos="3944"/>
        <p:guide pos="428"/>
        <p:guide pos="7224"/>
        <p:guide pos="909"/>
        <p:guide pos="3688"/>
        <p:guide pos="3968"/>
      </p:guideLst>
    </p:cSldViewPr>
  </p:slideViewPr>
  <p:notesTextViewPr>
    <p:cViewPr>
      <p:scale>
        <a:sx n="3" d="2"/>
        <a:sy n="3" d="2"/>
      </p:scale>
      <p:origin x="0" y="0"/>
    </p:cViewPr>
  </p:notesTextViewPr>
  <p:sorterViewPr>
    <p:cViewPr>
      <p:scale>
        <a:sx n="100" d="100"/>
        <a:sy n="100" d="100"/>
      </p:scale>
      <p:origin x="0" y="0"/>
    </p:cViewPr>
  </p:sorterViewPr>
  <p:notesViewPr>
    <p:cSldViewPr snapToGrid="0">
      <p:cViewPr varScale="1">
        <p:scale>
          <a:sx n="125" d="100"/>
          <a:sy n="125" d="100"/>
        </p:scale>
        <p:origin x="4002" y="90"/>
      </p:cViewPr>
      <p:guideLst/>
    </p:cSldViewPr>
  </p:notesViewPr>
  <p:gridSpacing cx="73736200" cy="73736200"/>
</p:viewPr>
</file>

<file path=ppt/_rels/presentation.xml.rels><?xml version="1.0" encoding="UTF-8" standalone="yes"?>
<Relationships xmlns="http://schemas.openxmlformats.org/package/2006/relationships"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39" Type="http://schemas.openxmlformats.org/officeDocument/2006/relationships/slide" Target="slides/slide38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34" Type="http://schemas.openxmlformats.org/officeDocument/2006/relationships/slide" Target="slides/slide33.xml"/><Relationship Id="rId42" Type="http://schemas.openxmlformats.org/officeDocument/2006/relationships/slide" Target="slides/slide41.xml"/><Relationship Id="rId47" Type="http://schemas.openxmlformats.org/officeDocument/2006/relationships/slide" Target="slides/slide46.xml"/><Relationship Id="rId50" Type="http://schemas.openxmlformats.org/officeDocument/2006/relationships/handoutMaster" Target="handoutMasters/handoutMaster1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33" Type="http://schemas.openxmlformats.org/officeDocument/2006/relationships/slide" Target="slides/slide32.xml"/><Relationship Id="rId38" Type="http://schemas.openxmlformats.org/officeDocument/2006/relationships/slide" Target="slides/slide37.xml"/><Relationship Id="rId46" Type="http://schemas.openxmlformats.org/officeDocument/2006/relationships/slide" Target="slides/slide45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slide" Target="slides/slide28.xml"/><Relationship Id="rId41" Type="http://schemas.openxmlformats.org/officeDocument/2006/relationships/slide" Target="slides/slide40.xml"/><Relationship Id="rId54" Type="http://schemas.openxmlformats.org/officeDocument/2006/relationships/tableStyles" Target="tableStyle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32" Type="http://schemas.openxmlformats.org/officeDocument/2006/relationships/slide" Target="slides/slide31.xml"/><Relationship Id="rId37" Type="http://schemas.openxmlformats.org/officeDocument/2006/relationships/slide" Target="slides/slide36.xml"/><Relationship Id="rId40" Type="http://schemas.openxmlformats.org/officeDocument/2006/relationships/slide" Target="slides/slide39.xml"/><Relationship Id="rId45" Type="http://schemas.openxmlformats.org/officeDocument/2006/relationships/slide" Target="slides/slide44.xml"/><Relationship Id="rId53" Type="http://schemas.openxmlformats.org/officeDocument/2006/relationships/theme" Target="theme/theme1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slide" Target="slides/slide27.xml"/><Relationship Id="rId36" Type="http://schemas.openxmlformats.org/officeDocument/2006/relationships/slide" Target="slides/slide35.xml"/><Relationship Id="rId49" Type="http://schemas.openxmlformats.org/officeDocument/2006/relationships/notesMaster" Target="notesMasters/notesMaster1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slide" Target="slides/slide30.xml"/><Relationship Id="rId44" Type="http://schemas.openxmlformats.org/officeDocument/2006/relationships/slide" Target="slides/slide43.xml"/><Relationship Id="rId52" Type="http://schemas.openxmlformats.org/officeDocument/2006/relationships/viewProps" Target="viewProp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slide" Target="slides/slide26.xml"/><Relationship Id="rId30" Type="http://schemas.openxmlformats.org/officeDocument/2006/relationships/slide" Target="slides/slide29.xml"/><Relationship Id="rId35" Type="http://schemas.openxmlformats.org/officeDocument/2006/relationships/slide" Target="slides/slide34.xml"/><Relationship Id="rId43" Type="http://schemas.openxmlformats.org/officeDocument/2006/relationships/slide" Target="slides/slide42.xml"/><Relationship Id="rId48" Type="http://schemas.openxmlformats.org/officeDocument/2006/relationships/slide" Target="slides/slide47.xml"/><Relationship Id="rId8" Type="http://schemas.openxmlformats.org/officeDocument/2006/relationships/slide" Target="slides/slide7.xml"/><Relationship Id="rId51" Type="http://schemas.openxmlformats.org/officeDocument/2006/relationships/presProps" Target="presProps.xml"/></Relationships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0354" name="Rectangle 2"/>
          <p:cNvSpPr>
            <a:spLocks noGrp="1" noChangeArrowheads="1"/>
          </p:cNvSpPr>
          <p:nvPr>
            <p:ph type="hdr" sz="quarter"/>
          </p:nvPr>
        </p:nvSpPr>
        <p:spPr bwMode="auto">
          <a:xfrm>
            <a:off x="0" y="0"/>
            <a:ext cx="29718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>
              <a:defRPr sz="1200"/>
            </a:lvl1pPr>
          </a:lstStyle>
          <a:p>
            <a:endParaRPr lang="cs-CZ" altLang="cs-CZ"/>
          </a:p>
        </p:txBody>
      </p:sp>
      <p:sp>
        <p:nvSpPr>
          <p:cNvPr id="100355" name="Rectangle 3"/>
          <p:cNvSpPr>
            <a:spLocks noGrp="1" noChangeArrowheads="1"/>
          </p:cNvSpPr>
          <p:nvPr>
            <p:ph type="dt" sz="quarter" idx="1"/>
          </p:nvPr>
        </p:nvSpPr>
        <p:spPr bwMode="auto">
          <a:xfrm>
            <a:off x="3886200" y="0"/>
            <a:ext cx="29718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r">
              <a:defRPr sz="1200"/>
            </a:lvl1pPr>
          </a:lstStyle>
          <a:p>
            <a:endParaRPr lang="cs-CZ" altLang="cs-CZ"/>
          </a:p>
        </p:txBody>
      </p:sp>
      <p:sp>
        <p:nvSpPr>
          <p:cNvPr id="100356" name="Rectangle 4"/>
          <p:cNvSpPr>
            <a:spLocks noGrp="1" noChangeArrowheads="1"/>
          </p:cNvSpPr>
          <p:nvPr>
            <p:ph type="ftr" sz="quarter" idx="2"/>
          </p:nvPr>
        </p:nvSpPr>
        <p:spPr bwMode="auto">
          <a:xfrm>
            <a:off x="0" y="8686800"/>
            <a:ext cx="29718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b" anchorCtr="0" compatLnSpc="1">
            <a:prstTxWarp prst="textNoShape">
              <a:avLst/>
            </a:prstTxWarp>
          </a:bodyPr>
          <a:lstStyle>
            <a:lvl1pPr>
              <a:defRPr sz="1200"/>
            </a:lvl1pPr>
          </a:lstStyle>
          <a:p>
            <a:endParaRPr lang="cs-CZ" altLang="cs-CZ"/>
          </a:p>
        </p:txBody>
      </p:sp>
      <p:sp>
        <p:nvSpPr>
          <p:cNvPr id="100357" name="Rectangle 5"/>
          <p:cNvSpPr>
            <a:spLocks noGrp="1" noChangeArrowheads="1"/>
          </p:cNvSpPr>
          <p:nvPr>
            <p:ph type="sldNum" sz="quarter" idx="3"/>
          </p:nvPr>
        </p:nvSpPr>
        <p:spPr bwMode="auto">
          <a:xfrm>
            <a:off x="3886200" y="8686800"/>
            <a:ext cx="29718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b" anchorCtr="0" compatLnSpc="1">
            <a:prstTxWarp prst="textNoShape">
              <a:avLst/>
            </a:prstTxWarp>
          </a:bodyPr>
          <a:lstStyle>
            <a:lvl1pPr algn="r">
              <a:defRPr sz="1200"/>
            </a:lvl1pPr>
          </a:lstStyle>
          <a:p>
            <a:fld id="{C634D9CB-1186-4E97-85EF-EEFDD3E78B1E}" type="slidenum">
              <a:rPr lang="cs-CZ" altLang="cs-CZ"/>
              <a:pPr/>
              <a:t>‹#›</a:t>
            </a:fld>
            <a:endParaRPr lang="cs-CZ" altLang="cs-CZ"/>
          </a:p>
        </p:txBody>
      </p:sp>
    </p:spTree>
    <p:extLst>
      <p:ext uri="{BB962C8B-B14F-4D97-AF65-F5344CB8AC3E}">
        <p14:creationId xmlns="" xmlns:p14="http://schemas.microsoft.com/office/powerpoint/2010/main" val="1845144964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2402" name="Rectangle 2"/>
          <p:cNvSpPr>
            <a:spLocks noGrp="1" noChangeArrowheads="1"/>
          </p:cNvSpPr>
          <p:nvPr>
            <p:ph type="hdr" sz="quarter"/>
          </p:nvPr>
        </p:nvSpPr>
        <p:spPr bwMode="auto">
          <a:xfrm>
            <a:off x="0" y="0"/>
            <a:ext cx="29718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>
              <a:defRPr sz="1200">
                <a:latin typeface="Arial" charset="0"/>
              </a:defRPr>
            </a:lvl1pPr>
          </a:lstStyle>
          <a:p>
            <a:endParaRPr lang="cs-CZ" altLang="cs-CZ"/>
          </a:p>
        </p:txBody>
      </p:sp>
      <p:sp>
        <p:nvSpPr>
          <p:cNvPr id="102403" name="Rectangle 3"/>
          <p:cNvSpPr>
            <a:spLocks noGrp="1" noChangeArrowheads="1"/>
          </p:cNvSpPr>
          <p:nvPr>
            <p:ph type="dt" idx="1"/>
          </p:nvPr>
        </p:nvSpPr>
        <p:spPr bwMode="auto">
          <a:xfrm>
            <a:off x="3884613" y="0"/>
            <a:ext cx="29718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r">
              <a:defRPr sz="1200">
                <a:latin typeface="Arial" charset="0"/>
              </a:defRPr>
            </a:lvl1pPr>
          </a:lstStyle>
          <a:p>
            <a:endParaRPr lang="cs-CZ" altLang="cs-CZ"/>
          </a:p>
        </p:txBody>
      </p:sp>
      <p:sp>
        <p:nvSpPr>
          <p:cNvPr id="102404" name="Rectangle 4"/>
          <p:cNvSpPr>
            <a:spLocks noGrp="1" noRot="1" noChangeAspect="1" noChangeArrowheads="1" noTextEdit="1"/>
          </p:cNvSpPr>
          <p:nvPr>
            <p:ph type="sldImg" idx="2"/>
          </p:nvPr>
        </p:nvSpPr>
        <p:spPr bwMode="auto">
          <a:xfrm>
            <a:off x="381000" y="685800"/>
            <a:ext cx="6096000" cy="3429000"/>
          </a:xfrm>
          <a:prstGeom prst="rect">
            <a:avLst/>
          </a:prstGeom>
          <a:noFill/>
          <a:ln w="9525">
            <a:solidFill>
              <a:srgbClr val="000000"/>
            </a:solidFill>
            <a:miter lim="800000"/>
            <a:headEnd/>
            <a:tailEnd/>
          </a:ln>
          <a:effectLst/>
          <a:extLs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rgbClr val="808080"/>
                  </a:outerShdw>
                </a:effectLst>
              </a14:hiddenEffects>
            </a:ext>
            <a:ext uri="{53640926-AAD7-44D8-BBD7-CCE9431645EC}">
              <a14:shadowObscured xmlns="" xmlns:a14="http://schemas.microsoft.com/office/drawing/2010/main" val="1"/>
            </a:ext>
          </a:extLst>
        </p:spPr>
      </p:sp>
      <p:sp>
        <p:nvSpPr>
          <p:cNvPr id="102405" name="Rectangle 5"/>
          <p:cNvSpPr>
            <a:spLocks noGrp="1" noChangeArrowheads="1"/>
          </p:cNvSpPr>
          <p:nvPr>
            <p:ph type="body" sz="quarter" idx="3"/>
          </p:nvPr>
        </p:nvSpPr>
        <p:spPr bwMode="auto">
          <a:xfrm>
            <a:off x="685800" y="4343400"/>
            <a:ext cx="5486400" cy="41148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cs-CZ" altLang="cs-CZ"/>
              <a:t>Klepnutím lze upravit styly předlohy textu.</a:t>
            </a:r>
          </a:p>
          <a:p>
            <a:pPr lvl="1"/>
            <a:r>
              <a:rPr lang="cs-CZ" altLang="cs-CZ"/>
              <a:t>Druhá úroveň</a:t>
            </a:r>
          </a:p>
          <a:p>
            <a:pPr lvl="2"/>
            <a:r>
              <a:rPr lang="cs-CZ" altLang="cs-CZ"/>
              <a:t>Třetí úroveň</a:t>
            </a:r>
          </a:p>
          <a:p>
            <a:pPr lvl="3"/>
            <a:r>
              <a:rPr lang="cs-CZ" altLang="cs-CZ"/>
              <a:t>Čtvrtá úroveň</a:t>
            </a:r>
          </a:p>
          <a:p>
            <a:pPr lvl="4"/>
            <a:r>
              <a:rPr lang="cs-CZ" altLang="cs-CZ"/>
              <a:t>Pátá úroveň</a:t>
            </a:r>
          </a:p>
        </p:txBody>
      </p:sp>
      <p:sp>
        <p:nvSpPr>
          <p:cNvPr id="102406" name="Rectangle 6"/>
          <p:cNvSpPr>
            <a:spLocks noGrp="1" noChangeArrowheads="1"/>
          </p:cNvSpPr>
          <p:nvPr>
            <p:ph type="ftr" sz="quarter" idx="4"/>
          </p:nvPr>
        </p:nvSpPr>
        <p:spPr bwMode="auto">
          <a:xfrm>
            <a:off x="0" y="8685213"/>
            <a:ext cx="29718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b" anchorCtr="0" compatLnSpc="1">
            <a:prstTxWarp prst="textNoShape">
              <a:avLst/>
            </a:prstTxWarp>
          </a:bodyPr>
          <a:lstStyle>
            <a:lvl1pPr>
              <a:defRPr sz="1200">
                <a:latin typeface="Arial" charset="0"/>
              </a:defRPr>
            </a:lvl1pPr>
          </a:lstStyle>
          <a:p>
            <a:endParaRPr lang="cs-CZ" altLang="cs-CZ"/>
          </a:p>
        </p:txBody>
      </p:sp>
      <p:sp>
        <p:nvSpPr>
          <p:cNvPr id="102407" name="Rectangle 7"/>
          <p:cNvSpPr>
            <a:spLocks noGrp="1" noChangeArrowheads="1"/>
          </p:cNvSpPr>
          <p:nvPr>
            <p:ph type="sldNum" sz="quarter" idx="5"/>
          </p:nvPr>
        </p:nvSpPr>
        <p:spPr bwMode="auto">
          <a:xfrm>
            <a:off x="3884613" y="8685213"/>
            <a:ext cx="29718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91440" tIns="45720" rIns="91440" bIns="45720" numCol="1" anchor="b" anchorCtr="0" compatLnSpc="1">
            <a:prstTxWarp prst="textNoShape">
              <a:avLst/>
            </a:prstTxWarp>
          </a:bodyPr>
          <a:lstStyle>
            <a:lvl1pPr algn="r">
              <a:defRPr sz="1200">
                <a:latin typeface="Arial" charset="0"/>
              </a:defRPr>
            </a:lvl1pPr>
          </a:lstStyle>
          <a:p>
            <a:fld id="{061A6D36-8CFB-40FE-8D60-D2050488125D}" type="slidenum">
              <a:rPr lang="cs-CZ" altLang="cs-CZ"/>
              <a:pPr/>
              <a:t>‹#›</a:t>
            </a:fld>
            <a:endParaRPr lang="cs-CZ" altLang="cs-CZ"/>
          </a:p>
        </p:txBody>
      </p:sp>
    </p:spTree>
    <p:extLst>
      <p:ext uri="{BB962C8B-B14F-4D97-AF65-F5344CB8AC3E}">
        <p14:creationId xmlns="" xmlns:p14="http://schemas.microsoft.com/office/powerpoint/2010/main" val="138811148"/>
      </p:ext>
    </p:extLst>
  </p:cSld>
  <p:clrMap bg1="lt1" tx1="dk1" bg2="lt2" tx2="dk2" accent1="accent1" accent2="accent2" accent3="accent3" accent4="accent4" accent5="accent5" accent6="accent6" hlink="hlink" folHlink="folHlink"/>
  <p:notesStyle>
    <a:lvl1pPr algn="l" rtl="0" fontAlgn="base">
      <a:spcBef>
        <a:spcPct val="30000"/>
      </a:spcBef>
      <a:spcAft>
        <a:spcPct val="0"/>
      </a:spcAft>
      <a:defRPr kumimoji="1" sz="1200" kern="1200">
        <a:solidFill>
          <a:schemeClr val="tx1"/>
        </a:solidFill>
        <a:latin typeface="Arial" charset="0"/>
        <a:ea typeface="+mn-ea"/>
        <a:cs typeface="+mn-cs"/>
      </a:defRPr>
    </a:lvl1pPr>
    <a:lvl2pPr marL="457200" algn="l" rtl="0" fontAlgn="base">
      <a:spcBef>
        <a:spcPct val="30000"/>
      </a:spcBef>
      <a:spcAft>
        <a:spcPct val="0"/>
      </a:spcAft>
      <a:defRPr kumimoji="1" sz="1200" kern="1200">
        <a:solidFill>
          <a:schemeClr val="tx1"/>
        </a:solidFill>
        <a:latin typeface="Arial" charset="0"/>
        <a:ea typeface="+mn-ea"/>
        <a:cs typeface="+mn-cs"/>
      </a:defRPr>
    </a:lvl2pPr>
    <a:lvl3pPr marL="914400" algn="l" rtl="0" fontAlgn="base">
      <a:spcBef>
        <a:spcPct val="30000"/>
      </a:spcBef>
      <a:spcAft>
        <a:spcPct val="0"/>
      </a:spcAft>
      <a:defRPr kumimoji="1" sz="1200" kern="1200">
        <a:solidFill>
          <a:schemeClr val="tx1"/>
        </a:solidFill>
        <a:latin typeface="Arial" charset="0"/>
        <a:ea typeface="+mn-ea"/>
        <a:cs typeface="+mn-cs"/>
      </a:defRPr>
    </a:lvl3pPr>
    <a:lvl4pPr marL="1371600" algn="l" rtl="0" fontAlgn="base">
      <a:spcBef>
        <a:spcPct val="30000"/>
      </a:spcBef>
      <a:spcAft>
        <a:spcPct val="0"/>
      </a:spcAft>
      <a:defRPr kumimoji="1" sz="1200" kern="1200">
        <a:solidFill>
          <a:schemeClr val="tx1"/>
        </a:solidFill>
        <a:latin typeface="Arial" charset="0"/>
        <a:ea typeface="+mn-ea"/>
        <a:cs typeface="+mn-cs"/>
      </a:defRPr>
    </a:lvl4pPr>
    <a:lvl5pPr marL="1828800" algn="l" rtl="0" fontAlgn="base">
      <a:spcBef>
        <a:spcPct val="30000"/>
      </a:spcBef>
      <a:spcAft>
        <a:spcPct val="0"/>
      </a:spcAft>
      <a:defRPr kumimoji="1" sz="1200" kern="1200">
        <a:solidFill>
          <a:schemeClr val="tx1"/>
        </a:solidFill>
        <a:latin typeface="Arial" charset="0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emf"/><Relationship Id="rId1" Type="http://schemas.openxmlformats.org/officeDocument/2006/relationships/slideMaster" Target="../slideMasters/slideMaster1.xml"/></Relationships>
</file>

<file path=ppt/slideLayouts/_rels/slideLayout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emf"/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emf"/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emf"/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emf"/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preserve="1" userDrawn="1">
  <p:cSld name="Úvodní sníme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Zástupný symbol pro zápatí 2">
            <a:extLst>
              <a:ext uri="{FF2B5EF4-FFF2-40B4-BE49-F238E27FC236}">
                <a16:creationId xmlns="" xmlns:a16="http://schemas.microsoft.com/office/drawing/2014/main" id="{D8587455-5AC3-4F6B-BE52-826326AFD383}"/>
              </a:ext>
            </a:extLst>
          </p:cNvPr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/>
              <a:t>Definujte zápatí - název prezentace / pracoviště</a:t>
            </a:r>
            <a:endParaRPr lang="cs-CZ" dirty="0"/>
          </a:p>
        </p:txBody>
      </p:sp>
      <p:sp>
        <p:nvSpPr>
          <p:cNvPr id="4" name="Zástupný symbol pro číslo snímku 3">
            <a:extLst>
              <a:ext uri="{FF2B5EF4-FFF2-40B4-BE49-F238E27FC236}">
                <a16:creationId xmlns="" xmlns:a16="http://schemas.microsoft.com/office/drawing/2014/main" id="{F3A84368-F699-48A6-8383-4822D7F23BC4}"/>
              </a:ext>
            </a:extLst>
          </p:cNvPr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DE708CC-0C3F-4567-9698-B54C0F35BD31}" type="slidenum">
              <a:rPr lang="cs-CZ" altLang="cs-CZ" smtClean="0"/>
              <a:pPr/>
              <a:t>‹#›</a:t>
            </a:fld>
            <a:endParaRPr lang="cs-CZ" altLang="cs-CZ" dirty="0"/>
          </a:p>
        </p:txBody>
      </p:sp>
      <p:sp>
        <p:nvSpPr>
          <p:cNvPr id="7" name="Nadpis 6">
            <a:extLst>
              <a:ext uri="{FF2B5EF4-FFF2-40B4-BE49-F238E27FC236}">
                <a16:creationId xmlns="" xmlns:a16="http://schemas.microsoft.com/office/drawing/2014/main" id="{322FA9F0-97E4-45C3-84A8-592F85A6A3A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98502" y="2900365"/>
            <a:ext cx="11361600" cy="1171580"/>
          </a:xfrm>
        </p:spPr>
        <p:txBody>
          <a:bodyPr anchor="t"/>
          <a:lstStyle>
            <a:lvl1pPr algn="l">
              <a:lnSpc>
                <a:spcPts val="4400"/>
              </a:lnSpc>
              <a:defRPr sz="4400"/>
            </a:lvl1pPr>
          </a:lstStyle>
          <a:p>
            <a:r>
              <a:rPr lang="cs-CZ" smtClean="0"/>
              <a:t>Klepnutím lze upravit styl předlohy nadpisů.</a:t>
            </a:r>
            <a:endParaRPr lang="cs-CZ" dirty="0"/>
          </a:p>
        </p:txBody>
      </p:sp>
      <p:sp>
        <p:nvSpPr>
          <p:cNvPr id="8" name="Podnadpis 2"/>
          <p:cNvSpPr>
            <a:spLocks noGrp="1"/>
          </p:cNvSpPr>
          <p:nvPr>
            <p:ph type="subTitle" idx="1"/>
          </p:nvPr>
        </p:nvSpPr>
        <p:spPr>
          <a:xfrm>
            <a:off x="398502" y="4116402"/>
            <a:ext cx="11361600" cy="698497"/>
          </a:xfrm>
        </p:spPr>
        <p:txBody>
          <a:bodyPr anchor="t"/>
          <a:lstStyle>
            <a:lvl1pPr marL="0" indent="0" algn="l">
              <a:buNone/>
              <a:defRPr lang="cs-CZ" sz="2400" b="0" dirty="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cs-CZ" smtClean="0"/>
              <a:t>Klepnutím lze upravit styl předlohy podnadpisů.</a:t>
            </a:r>
            <a:endParaRPr lang="cs-CZ" dirty="0"/>
          </a:p>
        </p:txBody>
      </p:sp>
      <p:pic>
        <p:nvPicPr>
          <p:cNvPr id="10" name="Obrázek 9">
            <a:extLst>
              <a:ext uri="{FF2B5EF4-FFF2-40B4-BE49-F238E27FC236}">
                <a16:creationId xmlns="" xmlns:a16="http://schemas.microsoft.com/office/drawing/2014/main" id="{B86CC774-E8F2-443B-8104-C23B78C58899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4000" y="414000"/>
            <a:ext cx="1531624" cy="1056821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935384140"/>
      </p:ext>
    </p:extLst>
  </p:cSld>
  <p:clrMapOvr>
    <a:masterClrMapping/>
  </p:clrMapOvr>
  <p:hf hdr="0" dt="0"/>
  <p:extLst mod="1">
    <p:ext uri="{DCECCB84-F9BA-43D5-87BE-67443E8EF086}">
      <p15:sldGuideLst xmlns="" xmlns:p15="http://schemas.microsoft.com/office/powerpoint/2012/main">
        <p15:guide id="1" orient="horz" pos="2432" userDrawn="1">
          <p15:clr>
            <a:srgbClr val="FBAE40"/>
          </p15:clr>
        </p15:guide>
        <p15:guide id="2" pos="234" userDrawn="1">
          <p15:clr>
            <a:srgbClr val="FBAE40"/>
          </p15:clr>
        </p15:guide>
      </p15:sldGuideLst>
    </p:ext>
  </p:extLst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Obrázky text - dva sloupc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Zástupný symbol pro obsah 12">
            <a:extLst>
              <a:ext uri="{FF2B5EF4-FFF2-40B4-BE49-F238E27FC236}">
                <a16:creationId xmlns="" xmlns:a16="http://schemas.microsoft.com/office/drawing/2014/main" id="{9622FDD6-5C71-4DE9-BFBE-6443A2855E5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719997" y="718712"/>
            <a:ext cx="5220001" cy="3204001"/>
          </a:xfrm>
        </p:spPr>
        <p:txBody>
          <a:bodyPr/>
          <a:lstStyle/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cs-CZ" altLang="cs-CZ" dirty="0"/>
              <a:t>Definujte zápatí - název prezentace / pracoviště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fld id="{D6D6C118-631F-4A80-9886-907009361577}" type="slidenum">
              <a:rPr lang="cs-CZ" altLang="cs-CZ"/>
              <a:pPr/>
              <a:t>‹#›</a:t>
            </a:fld>
            <a:endParaRPr lang="cs-CZ" altLang="cs-CZ" dirty="0"/>
          </a:p>
        </p:txBody>
      </p:sp>
      <p:sp>
        <p:nvSpPr>
          <p:cNvPr id="9" name="Zástupný symbol pro text 5">
            <a:extLst>
              <a:ext uri="{FF2B5EF4-FFF2-40B4-BE49-F238E27FC236}">
                <a16:creationId xmlns="" xmlns:a16="http://schemas.microsoft.com/office/drawing/2014/main" id="{8D903DEB-B441-46DB-8462-2640DC8DB3E8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719999" y="4500000"/>
            <a:ext cx="5220000" cy="1331998"/>
          </a:xfrm>
        </p:spPr>
        <p:txBody>
          <a:bodyPr lIns="0" tIns="0" rIns="0" bIns="0" numCol="1" spcCol="324000">
            <a:noAutofit/>
          </a:bodyPr>
          <a:lstStyle>
            <a:lvl1pPr algn="l">
              <a:lnSpc>
                <a:spcPts val="1800"/>
              </a:lnSpc>
              <a:defRPr sz="1500" b="0">
                <a:solidFill>
                  <a:schemeClr val="tx1"/>
                </a:solidFill>
              </a:defRPr>
            </a:lvl1pPr>
            <a:lvl2pPr algn="l">
              <a:defRPr u="none"/>
            </a:lvl2pPr>
            <a:lvl3pPr algn="l">
              <a:defRPr>
                <a:latin typeface="+mn-lt"/>
              </a:defRPr>
            </a:lvl3pPr>
            <a:lvl4pPr algn="l">
              <a:defRPr/>
            </a:lvl4pPr>
            <a:lvl5pPr algn="l">
              <a:defRPr/>
            </a:lvl5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1" name="Zástupný symbol pro text 13">
            <a:extLst>
              <a:ext uri="{FF2B5EF4-FFF2-40B4-BE49-F238E27FC236}">
                <a16:creationId xmlns="" xmlns:a16="http://schemas.microsoft.com/office/drawing/2014/main" id="{66F1D7B9-D1BE-446E-87CA-6AD81AFA8389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720724" y="4068000"/>
            <a:ext cx="5220000" cy="360000"/>
          </a:xfrm>
        </p:spPr>
        <p:txBody>
          <a:bodyPr/>
          <a:lstStyle>
            <a:lvl1pPr>
              <a:lnSpc>
                <a:spcPts val="1100"/>
              </a:lnSpc>
              <a:defRPr sz="900" b="1"/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3" name="Zástupný symbol pro text 5">
            <a:extLst>
              <a:ext uri="{FF2B5EF4-FFF2-40B4-BE49-F238E27FC236}">
                <a16:creationId xmlns="" xmlns:a16="http://schemas.microsoft.com/office/drawing/2014/main" id="{3947EF07-8AF7-4904-8565-F5D81E4282DE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51278" y="4500000"/>
            <a:ext cx="5220000" cy="1331998"/>
          </a:xfrm>
        </p:spPr>
        <p:txBody>
          <a:bodyPr lIns="0" tIns="0" rIns="0" bIns="0" numCol="1" spcCol="324000">
            <a:noAutofit/>
          </a:bodyPr>
          <a:lstStyle>
            <a:lvl1pPr algn="l">
              <a:lnSpc>
                <a:spcPts val="1800"/>
              </a:lnSpc>
              <a:defRPr sz="1500" b="0">
                <a:solidFill>
                  <a:schemeClr val="tx1"/>
                </a:solidFill>
              </a:defRPr>
            </a:lvl1pPr>
            <a:lvl2pPr algn="l">
              <a:defRPr u="none"/>
            </a:lvl2pPr>
            <a:lvl3pPr algn="l">
              <a:defRPr>
                <a:latin typeface="+mn-lt"/>
              </a:defRPr>
            </a:lvl3pPr>
            <a:lvl4pPr algn="l">
              <a:defRPr/>
            </a:lvl4pPr>
            <a:lvl5pPr algn="l">
              <a:defRPr/>
            </a:lvl5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5" name="Zástupný symbol pro text 13">
            <a:extLst>
              <a:ext uri="{FF2B5EF4-FFF2-40B4-BE49-F238E27FC236}">
                <a16:creationId xmlns="" xmlns:a16="http://schemas.microsoft.com/office/drawing/2014/main" id="{334B9440-7A06-4BF8-9532-C11248171B0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52003" y="4068000"/>
            <a:ext cx="5220000" cy="360000"/>
          </a:xfrm>
        </p:spPr>
        <p:txBody>
          <a:bodyPr/>
          <a:lstStyle>
            <a:lvl1pPr>
              <a:lnSpc>
                <a:spcPts val="1100"/>
              </a:lnSpc>
              <a:defRPr sz="900" b="1"/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7" name="Zástupný symbol pro obsah 12">
            <a:extLst>
              <a:ext uri="{FF2B5EF4-FFF2-40B4-BE49-F238E27FC236}">
                <a16:creationId xmlns="" xmlns:a16="http://schemas.microsoft.com/office/drawing/2014/main" id="{263AA377-982D-4CA3-B9BD-C61AF6524812}"/>
              </a:ext>
            </a:extLst>
          </p:cNvPr>
          <p:cNvSpPr>
            <a:spLocks noGrp="1"/>
          </p:cNvSpPr>
          <p:nvPr>
            <p:ph sz="quarter" idx="25"/>
          </p:nvPr>
        </p:nvSpPr>
        <p:spPr>
          <a:xfrm>
            <a:off x="6251278" y="718712"/>
            <a:ext cx="5220001" cy="3204001"/>
          </a:xfrm>
        </p:spPr>
        <p:txBody>
          <a:bodyPr/>
          <a:lstStyle/>
          <a:p>
            <a:pPr lvl="0"/>
            <a:r>
              <a:rPr lang="cs-CZ" smtClean="0"/>
              <a:t>Klepnutím lze upravit styly předlohy textu.</a:t>
            </a:r>
          </a:p>
        </p:txBody>
      </p:sp>
      <p:pic>
        <p:nvPicPr>
          <p:cNvPr id="14" name="Obrázek 13">
            <a:extLst>
              <a:ext uri="{FF2B5EF4-FFF2-40B4-BE49-F238E27FC236}">
                <a16:creationId xmlns="" xmlns:a16="http://schemas.microsoft.com/office/drawing/2014/main" id="{9A9B9871-9EBA-4393-84B7-3D9DDE1A65A8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897797" y="6060455"/>
            <a:ext cx="840542" cy="579974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1722986648"/>
      </p:ext>
    </p:extLst>
  </p:cSld>
  <p:clrMapOvr>
    <a:masterClrMapping/>
  </p:clrMapOvr>
  <p:hf hdr="0" dt="0"/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Prázdný sníme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cs-CZ" altLang="cs-CZ" dirty="0"/>
              <a:t>Definujte zápatí - název prezentace / pracoviště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fld id="{D6D6C118-631F-4A80-9886-907009361577}" type="slidenum">
              <a:rPr lang="cs-CZ" altLang="cs-CZ"/>
              <a:pPr/>
              <a:t>‹#›</a:t>
            </a:fld>
            <a:endParaRPr lang="cs-CZ" altLang="cs-CZ" dirty="0"/>
          </a:p>
        </p:txBody>
      </p:sp>
      <p:pic>
        <p:nvPicPr>
          <p:cNvPr id="6" name="Obrázek 5">
            <a:extLst>
              <a:ext uri="{FF2B5EF4-FFF2-40B4-BE49-F238E27FC236}">
                <a16:creationId xmlns="" xmlns:a16="http://schemas.microsoft.com/office/drawing/2014/main" id="{AD3B27E1-04C4-44E6-8DD2-879D33954A3B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897797" y="6060455"/>
            <a:ext cx="840542" cy="579974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723890779"/>
      </p:ext>
    </p:extLst>
  </p:cSld>
  <p:clrMapOvr>
    <a:masterClrMapping/>
  </p:clrMapOvr>
  <p:hf hdr="0" dt="0"/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verzní snímek s obrázkem">
    <p:bg>
      <p:bgPr>
        <a:solidFill>
          <a:srgbClr val="FF730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Zástupný symbol pro zápatí 1"/>
          <p:cNvSpPr>
            <a:spLocks noGrp="1"/>
          </p:cNvSpPr>
          <p:nvPr>
            <p:ph type="ftr" sz="quarter" idx="10"/>
          </p:nvPr>
        </p:nvSpPr>
        <p:spPr>
          <a:xfrm>
            <a:off x="720000" y="6228000"/>
            <a:ext cx="7920000" cy="252000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r>
              <a:rPr lang="cs-CZ"/>
              <a:t>Definujte zápatí - název prezentace / pracoviště</a:t>
            </a:r>
            <a:endParaRPr lang="cs-CZ" dirty="0"/>
          </a:p>
        </p:txBody>
      </p:sp>
      <p:sp>
        <p:nvSpPr>
          <p:cNvPr id="5" name="Zástupný symbol pro číslo snímku 2"/>
          <p:cNvSpPr>
            <a:spLocks noGrp="1"/>
          </p:cNvSpPr>
          <p:nvPr>
            <p:ph type="sldNum" sz="quarter" idx="11"/>
          </p:nvPr>
        </p:nvSpPr>
        <p:spPr>
          <a:xfrm>
            <a:off x="414000" y="6228000"/>
            <a:ext cx="252000" cy="252000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fld id="{D6D6C118-631F-4A80-9886-907009361577}" type="slidenum">
              <a:rPr lang="cs-CZ" altLang="cs-CZ" smtClean="0"/>
              <a:pPr/>
              <a:t>‹#›</a:t>
            </a:fld>
            <a:endParaRPr lang="cs-CZ" altLang="cs-CZ" dirty="0"/>
          </a:p>
        </p:txBody>
      </p:sp>
      <p:sp>
        <p:nvSpPr>
          <p:cNvPr id="8" name="Zástupný symbol pro obrázek 7"/>
          <p:cNvSpPr>
            <a:spLocks noGrp="1"/>
          </p:cNvSpPr>
          <p:nvPr>
            <p:ph type="pic" sz="quarter" idx="12"/>
          </p:nvPr>
        </p:nvSpPr>
        <p:spPr>
          <a:xfrm>
            <a:off x="0" y="1"/>
            <a:ext cx="12192000" cy="5842000"/>
          </a:xfrm>
        </p:spPr>
        <p:txBody>
          <a:bodyPr anchor="ctr"/>
          <a:lstStyle>
            <a:lvl1pPr algn="ctr">
              <a:defRPr>
                <a:solidFill>
                  <a:schemeClr val="bg1"/>
                </a:solidFill>
              </a:defRPr>
            </a:lvl1pPr>
          </a:lstStyle>
          <a:p>
            <a:r>
              <a:rPr lang="cs-CZ" smtClean="0"/>
              <a:t>Klepnutím na ikonu přidáte obrázek.</a:t>
            </a:r>
            <a:endParaRPr lang="cs-CZ" dirty="0"/>
          </a:p>
        </p:txBody>
      </p:sp>
      <p:pic>
        <p:nvPicPr>
          <p:cNvPr id="7" name="Obrázek 6">
            <a:extLst>
              <a:ext uri="{FF2B5EF4-FFF2-40B4-BE49-F238E27FC236}">
                <a16:creationId xmlns="" xmlns:a16="http://schemas.microsoft.com/office/drawing/2014/main" id="{4B067BC3-E77A-4F93-8E39-6559029C6D88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879872" y="6053204"/>
            <a:ext cx="855744" cy="590464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3163854523"/>
      </p:ext>
    </p:extLst>
  </p:cSld>
  <p:clrMapOvr>
    <a:masterClrMapping/>
  </p:clrMapOvr>
  <p:hf hdr="0" dt="0"/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nímek MUNI PED">
    <p:bg>
      <p:bgPr>
        <a:solidFill>
          <a:srgbClr val="FF730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Obrázek 4">
            <a:extLst>
              <a:ext uri="{FF2B5EF4-FFF2-40B4-BE49-F238E27FC236}">
                <a16:creationId xmlns="" xmlns:a16="http://schemas.microsoft.com/office/drawing/2014/main" id="{1A0BEB84-E013-4810-A1F4-DBB607A8B75D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029712" y="2019299"/>
            <a:ext cx="4114367" cy="2838914"/>
          </a:xfrm>
          <a:prstGeom prst="rect">
            <a:avLst/>
          </a:prstGeom>
        </p:spPr>
      </p:pic>
      <p:sp>
        <p:nvSpPr>
          <p:cNvPr id="3" name="Zástupný symbol pro zápatí 1"/>
          <p:cNvSpPr>
            <a:spLocks noGrp="1"/>
          </p:cNvSpPr>
          <p:nvPr>
            <p:ph type="ftr" sz="quarter" idx="10"/>
          </p:nvPr>
        </p:nvSpPr>
        <p:spPr>
          <a:xfrm>
            <a:off x="720000" y="6228000"/>
            <a:ext cx="7920000" cy="252000"/>
          </a:xfrm>
        </p:spPr>
        <p:txBody>
          <a:bodyPr/>
          <a:lstStyle>
            <a:lvl1pPr>
              <a:defRPr>
                <a:solidFill>
                  <a:srgbClr val="FF7300"/>
                </a:solidFill>
              </a:defRPr>
            </a:lvl1pPr>
          </a:lstStyle>
          <a:p>
            <a:r>
              <a:rPr lang="cs-CZ" dirty="0"/>
              <a:t>Definujte zápatí - název prezentace / pracoviště</a:t>
            </a:r>
          </a:p>
        </p:txBody>
      </p:sp>
      <p:sp>
        <p:nvSpPr>
          <p:cNvPr id="4" name="Zástupný symbol pro číslo snímku 2"/>
          <p:cNvSpPr>
            <a:spLocks noGrp="1"/>
          </p:cNvSpPr>
          <p:nvPr>
            <p:ph type="sldNum" sz="quarter" idx="11"/>
          </p:nvPr>
        </p:nvSpPr>
        <p:spPr>
          <a:xfrm>
            <a:off x="414000" y="6228000"/>
            <a:ext cx="252000" cy="252000"/>
          </a:xfrm>
        </p:spPr>
        <p:txBody>
          <a:bodyPr/>
          <a:lstStyle>
            <a:lvl1pPr>
              <a:defRPr>
                <a:solidFill>
                  <a:srgbClr val="FF7300"/>
                </a:solidFill>
              </a:defRPr>
            </a:lvl1pPr>
          </a:lstStyle>
          <a:p>
            <a:fld id="{D6D6C118-631F-4A80-9886-907009361577}" type="slidenum">
              <a:rPr lang="cs-CZ" altLang="cs-CZ" smtClean="0"/>
              <a:pPr/>
              <a:t>‹#›</a:t>
            </a:fld>
            <a:endParaRPr lang="cs-CZ" altLang="cs-CZ" dirty="0"/>
          </a:p>
        </p:txBody>
      </p:sp>
    </p:spTree>
    <p:extLst>
      <p:ext uri="{BB962C8B-B14F-4D97-AF65-F5344CB8AC3E}">
        <p14:creationId xmlns="" xmlns:p14="http://schemas.microsoft.com/office/powerpoint/2010/main" val="300970397"/>
      </p:ext>
    </p:extLst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nímek MUNI">
    <p:bg>
      <p:bgRef idx="1001">
        <a:schemeClr val="bg2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Obrázek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250208" y="2434288"/>
            <a:ext cx="7673489" cy="1989423"/>
          </a:xfrm>
          <a:prstGeom prst="rect">
            <a:avLst/>
          </a:prstGeom>
        </p:spPr>
      </p:pic>
      <p:sp>
        <p:nvSpPr>
          <p:cNvPr id="3" name="Zástupný symbol pro zápatí 1">
            <a:extLst>
              <a:ext uri="{FF2B5EF4-FFF2-40B4-BE49-F238E27FC236}">
                <a16:creationId xmlns="" xmlns:a16="http://schemas.microsoft.com/office/drawing/2014/main" id="{325E9DFA-90AD-4BAC-8ACE-80E1EDF9A6C1}"/>
              </a:ext>
            </a:extLst>
          </p:cNvPr>
          <p:cNvSpPr>
            <a:spLocks noGrp="1"/>
          </p:cNvSpPr>
          <p:nvPr>
            <p:ph type="ftr" sz="quarter" idx="10"/>
          </p:nvPr>
        </p:nvSpPr>
        <p:spPr>
          <a:xfrm>
            <a:off x="720000" y="6228000"/>
            <a:ext cx="7920000" cy="252000"/>
          </a:xfrm>
        </p:spPr>
        <p:txBody>
          <a:bodyPr/>
          <a:lstStyle>
            <a:lvl1pPr>
              <a:defRPr>
                <a:solidFill>
                  <a:srgbClr val="0000DC"/>
                </a:solidFill>
              </a:defRPr>
            </a:lvl1pPr>
          </a:lstStyle>
          <a:p>
            <a:r>
              <a:rPr lang="cs-CZ" dirty="0"/>
              <a:t>Definujte zápatí - název prezentace / pracoviště</a:t>
            </a:r>
          </a:p>
        </p:txBody>
      </p:sp>
      <p:sp>
        <p:nvSpPr>
          <p:cNvPr id="5" name="Zástupný symbol pro číslo snímku 2">
            <a:extLst>
              <a:ext uri="{FF2B5EF4-FFF2-40B4-BE49-F238E27FC236}">
                <a16:creationId xmlns="" xmlns:a16="http://schemas.microsoft.com/office/drawing/2014/main" id="{938657D1-8B54-4E06-BB80-F452B998A0C7}"/>
              </a:ext>
            </a:extLst>
          </p:cNvPr>
          <p:cNvSpPr>
            <a:spLocks noGrp="1"/>
          </p:cNvSpPr>
          <p:nvPr>
            <p:ph type="sldNum" sz="quarter" idx="11"/>
          </p:nvPr>
        </p:nvSpPr>
        <p:spPr>
          <a:xfrm>
            <a:off x="414000" y="6228000"/>
            <a:ext cx="252000" cy="252000"/>
          </a:xfrm>
        </p:spPr>
        <p:txBody>
          <a:bodyPr/>
          <a:lstStyle>
            <a:lvl1pPr>
              <a:defRPr>
                <a:solidFill>
                  <a:srgbClr val="0000DC"/>
                </a:solidFill>
              </a:defRPr>
            </a:lvl1pPr>
          </a:lstStyle>
          <a:p>
            <a:fld id="{D6D6C118-631F-4A80-9886-907009361577}" type="slidenum">
              <a:rPr lang="cs-CZ" altLang="cs-CZ" smtClean="0"/>
              <a:pPr/>
              <a:t>‹#›</a:t>
            </a:fld>
            <a:endParaRPr lang="cs-CZ" altLang="cs-CZ" dirty="0"/>
          </a:p>
        </p:txBody>
      </p:sp>
    </p:spTree>
    <p:extLst>
      <p:ext uri="{BB962C8B-B14F-4D97-AF65-F5344CB8AC3E}">
        <p14:creationId xmlns="" xmlns:p14="http://schemas.microsoft.com/office/powerpoint/2010/main" val="791214269"/>
      </p:ext>
    </p:extLst>
  </p:cSld>
  <p:clrMapOvr>
    <a:overrideClrMapping bg1="dk1" tx1="lt1" bg2="dk2" tx2="lt2" accent1="accent1" accent2="accent2" accent3="accent3" accent4="accent4" accent5="accent5" accent6="accent6" hlink="hlink" folHlink="folHlink"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 a obsah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Zástupný symbol pro zápatí 3"/>
          <p:cNvSpPr>
            <a:spLocks noGrp="1"/>
          </p:cNvSpPr>
          <p:nvPr>
            <p:ph type="ftr" sz="quarter" idx="10"/>
          </p:nvPr>
        </p:nvSpPr>
        <p:spPr>
          <a:xfrm>
            <a:off x="720000" y="6228000"/>
            <a:ext cx="7920000" cy="252000"/>
          </a:xfrm>
        </p:spPr>
        <p:txBody>
          <a:bodyPr/>
          <a:lstStyle>
            <a:lvl1pPr>
              <a:defRPr sz="1200"/>
            </a:lvl1pPr>
          </a:lstStyle>
          <a:p>
            <a:r>
              <a:rPr lang="cs-CZ"/>
              <a:t>Definujte zápatí - název prezentace / pracoviště</a:t>
            </a:r>
            <a:endParaRPr lang="cs-CZ" dirty="0"/>
          </a:p>
        </p:txBody>
      </p:sp>
      <p:sp>
        <p:nvSpPr>
          <p:cNvPr id="5" name="Zástupný symbol pro číslo snímku 4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fld id="{0970407D-EE58-4A0B-824B-1D3AE42DD9CF}" type="slidenum">
              <a:rPr lang="cs-CZ" altLang="cs-CZ"/>
              <a:pPr/>
              <a:t>‹#›</a:t>
            </a:fld>
            <a:endParaRPr lang="cs-CZ" altLang="cs-CZ" dirty="0"/>
          </a:p>
        </p:txBody>
      </p:sp>
      <p:sp>
        <p:nvSpPr>
          <p:cNvPr id="13" name="Nadpis 12">
            <a:extLst>
              <a:ext uri="{FF2B5EF4-FFF2-40B4-BE49-F238E27FC236}">
                <a16:creationId xmlns="" xmlns:a16="http://schemas.microsoft.com/office/drawing/2014/main" id="{6B0440B8-6781-4DF7-853B-03D5855A8CB8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smtClean="0"/>
              <a:t>Klepnutím lze upravit styl předlohy nadpisů.</a:t>
            </a:r>
            <a:endParaRPr lang="cs-CZ" dirty="0"/>
          </a:p>
        </p:txBody>
      </p:sp>
      <p:sp>
        <p:nvSpPr>
          <p:cNvPr id="7" name="Zástupný symbol pro obsah 2"/>
          <p:cNvSpPr>
            <a:spLocks noGrp="1"/>
          </p:cNvSpPr>
          <p:nvPr>
            <p:ph idx="1"/>
          </p:nvPr>
        </p:nvSpPr>
        <p:spPr>
          <a:xfrm>
            <a:off x="720000" y="1692002"/>
            <a:ext cx="10753200" cy="4139998"/>
          </a:xfrm>
          <a:prstGeom prst="rect">
            <a:avLst/>
          </a:prstGeom>
        </p:spPr>
        <p:txBody>
          <a:bodyPr/>
          <a:lstStyle>
            <a:lvl1pPr marL="252000" indent="-180000">
              <a:lnSpc>
                <a:spcPct val="150000"/>
              </a:lnSpc>
              <a:buClr>
                <a:schemeClr val="tx2"/>
              </a:buClr>
              <a:buSzPct val="100000"/>
              <a:buFont typeface="Arial" panose="020B0604020202020204" pitchFamily="34" charset="0"/>
              <a:buChar char="̶"/>
              <a:defRPr b="0"/>
            </a:lvl1pPr>
            <a:lvl2pPr marL="504000" indent="-180000">
              <a:lnSpc>
                <a:spcPct val="100000"/>
              </a:lnSpc>
              <a:buClr>
                <a:schemeClr val="tx2"/>
              </a:buClr>
              <a:buFont typeface="Arial" panose="020B0604020202020204" pitchFamily="34" charset="0"/>
              <a:buChar char="̶"/>
              <a:defRPr sz="2000"/>
            </a:lvl2pPr>
            <a:lvl3pPr marL="914400" indent="0">
              <a:buNone/>
              <a:defRPr/>
            </a:lvl3pPr>
          </a:lstStyle>
          <a:p>
            <a:pPr lvl="0"/>
            <a:r>
              <a:rPr lang="cs-CZ" smtClean="0"/>
              <a:t>Klepnutím lze upravit styly předlohy textu.</a:t>
            </a:r>
          </a:p>
          <a:p>
            <a:pPr lvl="1"/>
            <a:r>
              <a:rPr lang="cs-CZ" smtClean="0"/>
              <a:t>Druhá úroveň</a:t>
            </a:r>
          </a:p>
          <a:p>
            <a:pPr lvl="2"/>
            <a:r>
              <a:rPr lang="cs-CZ" smtClean="0"/>
              <a:t>Třetí úroveň</a:t>
            </a:r>
          </a:p>
        </p:txBody>
      </p:sp>
      <p:pic>
        <p:nvPicPr>
          <p:cNvPr id="10" name="Obrázek 9">
            <a:extLst>
              <a:ext uri="{FF2B5EF4-FFF2-40B4-BE49-F238E27FC236}">
                <a16:creationId xmlns="" xmlns:a16="http://schemas.microsoft.com/office/drawing/2014/main" id="{391DB9A3-3792-41D4-AB78-F1910E62BE53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897797" y="6060455"/>
            <a:ext cx="840542" cy="579974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1691229579"/>
      </p:ext>
    </p:extLst>
  </p:cSld>
  <p:clrMapOvr>
    <a:masterClrMapping/>
  </p:clrMapOvr>
  <p:hf hdr="0" dt="0"/>
  <p:extLst mod="1">
    <p:ext uri="{DCECCB84-F9BA-43D5-87BE-67443E8EF086}">
      <p15:sldGuideLst xmlns="" xmlns:p15="http://schemas.microsoft.com/office/powerpoint/2012/main">
        <p15:guide id="1" orient="horz" pos="3997" userDrawn="1">
          <p15:clr>
            <a:srgbClr val="FBAE40"/>
          </p15:clr>
        </p15:guide>
        <p15:guide id="2" pos="438" userDrawn="1">
          <p15:clr>
            <a:srgbClr val="FBAE40"/>
          </p15:clr>
        </p15:guide>
      </p15:sldGuideLst>
    </p:ext>
  </p:extLst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preserve="1" userDrawn="1">
  <p:cSld name="Úvodní snímek – inverzní">
    <p:bg>
      <p:bgPr>
        <a:solidFill>
          <a:srgbClr val="FF7300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Zástupný symbol pro zápatí 2">
            <a:extLst>
              <a:ext uri="{FF2B5EF4-FFF2-40B4-BE49-F238E27FC236}">
                <a16:creationId xmlns="" xmlns:a16="http://schemas.microsoft.com/office/drawing/2014/main" id="{D8587455-5AC3-4F6B-BE52-826326AFD383}"/>
              </a:ext>
            </a:extLst>
          </p:cNvPr>
          <p:cNvSpPr>
            <a:spLocks noGrp="1"/>
          </p:cNvSpPr>
          <p:nvPr>
            <p:ph type="ftr" sz="quarter" idx="10"/>
          </p:nvPr>
        </p:nvSpPr>
        <p:spPr/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r>
              <a:rPr lang="cs-CZ" dirty="0"/>
              <a:t>Definujte zápatí - název prezentace / pracoviště</a:t>
            </a:r>
          </a:p>
        </p:txBody>
      </p:sp>
      <p:sp>
        <p:nvSpPr>
          <p:cNvPr id="4" name="Zástupný symbol pro číslo snímku 3">
            <a:extLst>
              <a:ext uri="{FF2B5EF4-FFF2-40B4-BE49-F238E27FC236}">
                <a16:creationId xmlns="" xmlns:a16="http://schemas.microsoft.com/office/drawing/2014/main" id="{F3A84368-F699-48A6-8383-4822D7F23BC4}"/>
              </a:ext>
            </a:extLst>
          </p:cNvPr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fld id="{0DE708CC-0C3F-4567-9698-B54C0F35BD31}" type="slidenum">
              <a:rPr lang="cs-CZ" altLang="cs-CZ" smtClean="0"/>
              <a:pPr/>
              <a:t>‹#›</a:t>
            </a:fld>
            <a:endParaRPr lang="cs-CZ" altLang="cs-CZ" dirty="0"/>
          </a:p>
        </p:txBody>
      </p:sp>
      <p:sp>
        <p:nvSpPr>
          <p:cNvPr id="7" name="Nadpis 6">
            <a:extLst>
              <a:ext uri="{FF2B5EF4-FFF2-40B4-BE49-F238E27FC236}">
                <a16:creationId xmlns="" xmlns:a16="http://schemas.microsoft.com/office/drawing/2014/main" id="{322FA9F0-97E4-45C3-84A8-592F85A6A3A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98502" y="2900365"/>
            <a:ext cx="11361600" cy="1171580"/>
          </a:xfrm>
        </p:spPr>
        <p:txBody>
          <a:bodyPr anchor="t"/>
          <a:lstStyle>
            <a:lvl1pPr algn="l">
              <a:lnSpc>
                <a:spcPts val="4400"/>
              </a:lnSpc>
              <a:defRPr sz="4400">
                <a:solidFill>
                  <a:schemeClr val="bg1"/>
                </a:solidFill>
              </a:defRPr>
            </a:lvl1pPr>
          </a:lstStyle>
          <a:p>
            <a:r>
              <a:rPr lang="cs-CZ" smtClean="0"/>
              <a:t>Klepnutím lze upravit styl předlohy nadpisů.</a:t>
            </a:r>
            <a:endParaRPr lang="cs-CZ" dirty="0"/>
          </a:p>
        </p:txBody>
      </p:sp>
      <p:sp>
        <p:nvSpPr>
          <p:cNvPr id="8" name="Podnadpis 2"/>
          <p:cNvSpPr>
            <a:spLocks noGrp="1"/>
          </p:cNvSpPr>
          <p:nvPr>
            <p:ph type="subTitle" idx="1"/>
          </p:nvPr>
        </p:nvSpPr>
        <p:spPr>
          <a:xfrm>
            <a:off x="398502" y="4116402"/>
            <a:ext cx="11361600" cy="698497"/>
          </a:xfrm>
        </p:spPr>
        <p:txBody>
          <a:bodyPr anchor="t"/>
          <a:lstStyle>
            <a:lvl1pPr marL="0" indent="0" algn="l">
              <a:buNone/>
              <a:defRPr lang="cs-CZ" sz="2400" b="0" dirty="0">
                <a:solidFill>
                  <a:schemeClr val="bg1"/>
                </a:solidFill>
                <a:latin typeface="+mj-lt"/>
                <a:ea typeface="+mj-ea"/>
                <a:cs typeface="+mj-cs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cs-CZ" smtClean="0"/>
              <a:t>Klepnutím lze upravit styl předlohy podnadpisů.</a:t>
            </a:r>
            <a:endParaRPr lang="cs-CZ" dirty="0"/>
          </a:p>
        </p:txBody>
      </p:sp>
      <p:pic>
        <p:nvPicPr>
          <p:cNvPr id="10" name="Obrázek 9">
            <a:extLst>
              <a:ext uri="{FF2B5EF4-FFF2-40B4-BE49-F238E27FC236}">
                <a16:creationId xmlns="" xmlns:a16="http://schemas.microsoft.com/office/drawing/2014/main" id="{A3E27AE8-8344-46DF-95A1-57C7ED3DEAD8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4000" y="414000"/>
            <a:ext cx="1520782" cy="1049340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39481167"/>
      </p:ext>
    </p:extLst>
  </p:cSld>
  <p:clrMapOvr>
    <a:masterClrMapping/>
  </p:clrMapOvr>
  <p:hf hdr="0" dt="0"/>
  <p:extLst mod="1">
    <p:ext uri="{DCECCB84-F9BA-43D5-87BE-67443E8EF086}">
      <p15:sldGuideLst xmlns="" xmlns:p15="http://schemas.microsoft.com/office/powerpoint/2012/main">
        <p15:guide id="1" orient="horz" pos="2432">
          <p15:clr>
            <a:srgbClr val="FBAE40"/>
          </p15:clr>
        </p15:guide>
        <p15:guide id="2" pos="234">
          <p15:clr>
            <a:srgbClr val="FBAE40"/>
          </p15:clr>
        </p15:guide>
      </p15:sldGuideLst>
    </p:ext>
  </p:extLst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, podnadpis a obsah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Zástupný symbol pro obsah 2"/>
          <p:cNvSpPr>
            <a:spLocks noGrp="1"/>
          </p:cNvSpPr>
          <p:nvPr>
            <p:ph idx="1"/>
          </p:nvPr>
        </p:nvSpPr>
        <p:spPr>
          <a:xfrm>
            <a:off x="720000" y="1692002"/>
            <a:ext cx="10753200" cy="4139998"/>
          </a:xfrm>
          <a:prstGeom prst="rect">
            <a:avLst/>
          </a:prstGeom>
        </p:spPr>
        <p:txBody>
          <a:bodyPr/>
          <a:lstStyle>
            <a:lvl1pPr marL="252000" indent="-180000">
              <a:lnSpc>
                <a:spcPct val="150000"/>
              </a:lnSpc>
              <a:buClr>
                <a:schemeClr val="tx2"/>
              </a:buClr>
              <a:buSzPct val="100000"/>
              <a:buFont typeface="Arial" panose="020B0604020202020204" pitchFamily="34" charset="0"/>
              <a:buChar char="̶"/>
              <a:defRPr b="0"/>
            </a:lvl1pPr>
            <a:lvl2pPr marL="504000" indent="-180000">
              <a:lnSpc>
                <a:spcPct val="100000"/>
              </a:lnSpc>
              <a:buClr>
                <a:schemeClr val="tx2"/>
              </a:buClr>
              <a:buFont typeface="Arial" panose="020B0604020202020204" pitchFamily="34" charset="0"/>
              <a:buChar char="̶"/>
              <a:defRPr sz="2000"/>
            </a:lvl2pPr>
            <a:lvl3pPr marL="914400" indent="0">
              <a:buNone/>
              <a:defRPr/>
            </a:lvl3pPr>
          </a:lstStyle>
          <a:p>
            <a:pPr lvl="0"/>
            <a:r>
              <a:rPr lang="cs-CZ" smtClean="0"/>
              <a:t>Klepnutím lze upravit styly předlohy textu.</a:t>
            </a:r>
          </a:p>
          <a:p>
            <a:pPr lvl="1"/>
            <a:r>
              <a:rPr lang="cs-CZ" smtClean="0"/>
              <a:t>Druhá úroveň</a:t>
            </a:r>
          </a:p>
          <a:p>
            <a:pPr lvl="2"/>
            <a:r>
              <a:rPr lang="cs-CZ" smtClean="0"/>
              <a:t>Třetí úroveň</a:t>
            </a:r>
          </a:p>
        </p:txBody>
      </p:sp>
      <p:sp>
        <p:nvSpPr>
          <p:cNvPr id="4" name="Zástupný symbol pro zápatí 3"/>
          <p:cNvSpPr>
            <a:spLocks noGrp="1"/>
          </p:cNvSpPr>
          <p:nvPr>
            <p:ph type="ftr" sz="quarter" idx="10"/>
          </p:nvPr>
        </p:nvSpPr>
        <p:spPr/>
        <p:txBody>
          <a:bodyPr/>
          <a:lstStyle>
            <a:lvl1pPr>
              <a:defRPr sz="1200"/>
            </a:lvl1pPr>
          </a:lstStyle>
          <a:p>
            <a:r>
              <a:rPr lang="cs-CZ"/>
              <a:t>Definujte zápatí - název prezentace / pracoviště</a:t>
            </a:r>
            <a:endParaRPr lang="cs-CZ" dirty="0"/>
          </a:p>
        </p:txBody>
      </p:sp>
      <p:sp>
        <p:nvSpPr>
          <p:cNvPr id="5" name="Zástupný symbol pro číslo snímku 4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fld id="{0970407D-EE58-4A0B-824B-1D3AE42DD9CF}" type="slidenum">
              <a:rPr lang="cs-CZ" altLang="cs-CZ"/>
              <a:pPr/>
              <a:t>‹#›</a:t>
            </a:fld>
            <a:endParaRPr lang="cs-CZ" altLang="cs-CZ" dirty="0"/>
          </a:p>
        </p:txBody>
      </p:sp>
      <p:sp>
        <p:nvSpPr>
          <p:cNvPr id="7" name="Zástupný symbol pro text 7">
            <a:extLst>
              <a:ext uri="{FF2B5EF4-FFF2-40B4-BE49-F238E27FC236}">
                <a16:creationId xmlns="" xmlns:a16="http://schemas.microsoft.com/office/drawing/2014/main" id="{9F610B39-FB78-4767-BA31-C3D4E7D5586C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720725" y="1296001"/>
            <a:ext cx="10752138" cy="271576"/>
          </a:xfrm>
        </p:spPr>
        <p:txBody>
          <a:bodyPr lIns="0" tIns="0" rIns="0" bIns="0">
            <a:noAutofit/>
          </a:bodyPr>
          <a:lstStyle>
            <a:lvl1pPr algn="l">
              <a:lnSpc>
                <a:spcPts val="2300"/>
              </a:lnSpc>
              <a:defRPr sz="2000" b="0">
                <a:solidFill>
                  <a:schemeClr val="tx2"/>
                </a:solidFill>
              </a:defRPr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3" name="Nadpis 12">
            <a:extLst>
              <a:ext uri="{FF2B5EF4-FFF2-40B4-BE49-F238E27FC236}">
                <a16:creationId xmlns="" xmlns:a16="http://schemas.microsoft.com/office/drawing/2014/main" id="{6B0440B8-6781-4DF7-853B-03D5855A8CB8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smtClean="0"/>
              <a:t>Klepnutím lze upravit styl předlohy nadpisů.</a:t>
            </a:r>
            <a:endParaRPr lang="cs-CZ"/>
          </a:p>
        </p:txBody>
      </p:sp>
      <p:pic>
        <p:nvPicPr>
          <p:cNvPr id="9" name="Obrázek 8">
            <a:extLst>
              <a:ext uri="{FF2B5EF4-FFF2-40B4-BE49-F238E27FC236}">
                <a16:creationId xmlns="" xmlns:a16="http://schemas.microsoft.com/office/drawing/2014/main" id="{21103F4D-0D61-472A-BAFF-19EFE6D636E6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897797" y="6060455"/>
            <a:ext cx="840542" cy="579974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4034428296"/>
      </p:ext>
    </p:extLst>
  </p:cSld>
  <p:clrMapOvr>
    <a:masterClrMapping/>
  </p:clrMapOvr>
  <p:hf hdr="0" dt="0"/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 a porovnání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cs-CZ" altLang="cs-CZ" dirty="0"/>
              <a:t>Definujte zápatí - název prezentace / pracoviště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fld id="{D6D6C118-631F-4A80-9886-907009361577}" type="slidenum">
              <a:rPr lang="cs-CZ" altLang="cs-CZ"/>
              <a:pPr/>
              <a:t>‹#›</a:t>
            </a:fld>
            <a:endParaRPr lang="cs-CZ" altLang="cs-CZ" dirty="0"/>
          </a:p>
        </p:txBody>
      </p:sp>
      <p:sp>
        <p:nvSpPr>
          <p:cNvPr id="16" name="Zástupný symbol pro text 7">
            <a:extLst>
              <a:ext uri="{FF2B5EF4-FFF2-40B4-BE49-F238E27FC236}">
                <a16:creationId xmlns="" xmlns:a16="http://schemas.microsoft.com/office/drawing/2014/main" id="{9F610B39-FB78-4767-BA31-C3D4E7D5586C}"/>
              </a:ext>
            </a:extLst>
          </p:cNvPr>
          <p:cNvSpPr>
            <a:spLocks noGrp="1"/>
          </p:cNvSpPr>
          <p:nvPr>
            <p:ph type="body" sz="quarter" idx="26"/>
          </p:nvPr>
        </p:nvSpPr>
        <p:spPr>
          <a:xfrm>
            <a:off x="720725" y="1296001"/>
            <a:ext cx="5220000" cy="271576"/>
          </a:xfrm>
        </p:spPr>
        <p:txBody>
          <a:bodyPr lIns="0" tIns="0" rIns="0" bIns="0">
            <a:noAutofit/>
          </a:bodyPr>
          <a:lstStyle>
            <a:lvl1pPr algn="l">
              <a:lnSpc>
                <a:spcPts val="2300"/>
              </a:lnSpc>
              <a:defRPr sz="2000" b="0">
                <a:solidFill>
                  <a:schemeClr val="tx2"/>
                </a:solidFill>
              </a:defRPr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8" name="Nadpis 12">
            <a:extLst>
              <a:ext uri="{FF2B5EF4-FFF2-40B4-BE49-F238E27FC236}">
                <a16:creationId xmlns="" xmlns:a16="http://schemas.microsoft.com/office/drawing/2014/main" id="{6B0440B8-6781-4DF7-853B-03D5855A8CB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720000" y="720000"/>
            <a:ext cx="10753200" cy="451576"/>
          </a:xfrm>
        </p:spPr>
        <p:txBody>
          <a:bodyPr/>
          <a:lstStyle/>
          <a:p>
            <a:r>
              <a:rPr lang="cs-CZ" smtClean="0"/>
              <a:t>Klepnutím lze upravit styl předlohy nadpisů.</a:t>
            </a:r>
            <a:endParaRPr lang="cs-CZ"/>
          </a:p>
        </p:txBody>
      </p:sp>
      <p:sp>
        <p:nvSpPr>
          <p:cNvPr id="21" name="Zástupný symbol pro text 7">
            <a:extLst>
              <a:ext uri="{FF2B5EF4-FFF2-40B4-BE49-F238E27FC236}">
                <a16:creationId xmlns="" xmlns:a16="http://schemas.microsoft.com/office/drawing/2014/main" id="{9F610B39-FB78-4767-BA31-C3D4E7D5586C}"/>
              </a:ext>
            </a:extLst>
          </p:cNvPr>
          <p:cNvSpPr>
            <a:spLocks noGrp="1"/>
          </p:cNvSpPr>
          <p:nvPr>
            <p:ph type="body" sz="quarter" idx="27"/>
          </p:nvPr>
        </p:nvSpPr>
        <p:spPr>
          <a:xfrm>
            <a:off x="6251278" y="1290515"/>
            <a:ext cx="5220000" cy="271576"/>
          </a:xfrm>
        </p:spPr>
        <p:txBody>
          <a:bodyPr lIns="0" tIns="0" rIns="0" bIns="0">
            <a:noAutofit/>
          </a:bodyPr>
          <a:lstStyle>
            <a:lvl1pPr algn="l">
              <a:lnSpc>
                <a:spcPts val="2300"/>
              </a:lnSpc>
              <a:defRPr sz="2000" b="0">
                <a:solidFill>
                  <a:schemeClr val="tx2"/>
                </a:solidFill>
              </a:defRPr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22" name="Zástupný symbol pro obsah 2"/>
          <p:cNvSpPr>
            <a:spLocks noGrp="1"/>
          </p:cNvSpPr>
          <p:nvPr>
            <p:ph idx="1"/>
          </p:nvPr>
        </p:nvSpPr>
        <p:spPr>
          <a:xfrm>
            <a:off x="720000" y="1692001"/>
            <a:ext cx="5219998" cy="4140000"/>
          </a:xfrm>
          <a:prstGeom prst="rect">
            <a:avLst/>
          </a:prstGeom>
        </p:spPr>
        <p:txBody>
          <a:bodyPr/>
          <a:lstStyle>
            <a:lvl1pPr marL="252000" indent="-180000">
              <a:lnSpc>
                <a:spcPct val="150000"/>
              </a:lnSpc>
              <a:buClr>
                <a:schemeClr val="tx2"/>
              </a:buClr>
              <a:buSzPct val="100000"/>
              <a:buFont typeface="Arial" panose="020B0604020202020204" pitchFamily="34" charset="0"/>
              <a:buChar char="̶"/>
              <a:defRPr b="0"/>
            </a:lvl1pPr>
            <a:lvl2pPr marL="504000" indent="-180000">
              <a:lnSpc>
                <a:spcPct val="100000"/>
              </a:lnSpc>
              <a:buClr>
                <a:schemeClr val="tx2"/>
              </a:buClr>
              <a:buFont typeface="Arial" panose="020B0604020202020204" pitchFamily="34" charset="0"/>
              <a:buChar char="̶"/>
              <a:defRPr sz="2000"/>
            </a:lvl2pPr>
            <a:lvl3pPr marL="914400" indent="0">
              <a:buNone/>
              <a:defRPr/>
            </a:lvl3pPr>
          </a:lstStyle>
          <a:p>
            <a:pPr lvl="0"/>
            <a:r>
              <a:rPr lang="cs-CZ" smtClean="0"/>
              <a:t>Klepnutím lze upravit styly předlohy textu.</a:t>
            </a:r>
          </a:p>
          <a:p>
            <a:pPr lvl="1"/>
            <a:r>
              <a:rPr lang="cs-CZ" smtClean="0"/>
              <a:t>Druhá úroveň</a:t>
            </a:r>
          </a:p>
          <a:p>
            <a:pPr lvl="2"/>
            <a:r>
              <a:rPr lang="cs-CZ" smtClean="0"/>
              <a:t>Třetí úroveň</a:t>
            </a:r>
          </a:p>
        </p:txBody>
      </p:sp>
      <p:sp>
        <p:nvSpPr>
          <p:cNvPr id="23" name="Zástupný symbol pro obsah 2"/>
          <p:cNvSpPr>
            <a:spLocks noGrp="1"/>
          </p:cNvSpPr>
          <p:nvPr>
            <p:ph idx="28"/>
          </p:nvPr>
        </p:nvSpPr>
        <p:spPr>
          <a:xfrm>
            <a:off x="6251280" y="1690271"/>
            <a:ext cx="5219998" cy="4140000"/>
          </a:xfrm>
          <a:prstGeom prst="rect">
            <a:avLst/>
          </a:prstGeom>
        </p:spPr>
        <p:txBody>
          <a:bodyPr/>
          <a:lstStyle>
            <a:lvl1pPr marL="252000" indent="-180000">
              <a:lnSpc>
                <a:spcPct val="150000"/>
              </a:lnSpc>
              <a:buClr>
                <a:schemeClr val="tx2"/>
              </a:buClr>
              <a:buSzPct val="100000"/>
              <a:buFont typeface="Arial" panose="020B0604020202020204" pitchFamily="34" charset="0"/>
              <a:buChar char="̶"/>
              <a:defRPr b="0"/>
            </a:lvl1pPr>
            <a:lvl2pPr marL="504000" indent="-180000">
              <a:lnSpc>
                <a:spcPct val="100000"/>
              </a:lnSpc>
              <a:buClr>
                <a:schemeClr val="tx2"/>
              </a:buClr>
              <a:buFont typeface="Arial" panose="020B0604020202020204" pitchFamily="34" charset="0"/>
              <a:buChar char="̶"/>
              <a:defRPr sz="2000"/>
            </a:lvl2pPr>
            <a:lvl3pPr marL="914400" indent="0">
              <a:buNone/>
              <a:defRPr/>
            </a:lvl3pPr>
          </a:lstStyle>
          <a:p>
            <a:pPr lvl="0"/>
            <a:r>
              <a:rPr lang="cs-CZ" smtClean="0"/>
              <a:t>Klepnutím lze upravit styly předlohy textu.</a:t>
            </a:r>
          </a:p>
          <a:p>
            <a:pPr lvl="1"/>
            <a:r>
              <a:rPr lang="cs-CZ" smtClean="0"/>
              <a:t>Druhá úroveň</a:t>
            </a:r>
          </a:p>
          <a:p>
            <a:pPr lvl="2"/>
            <a:r>
              <a:rPr lang="cs-CZ" smtClean="0"/>
              <a:t>Třetí úroveň</a:t>
            </a:r>
          </a:p>
        </p:txBody>
      </p:sp>
      <p:pic>
        <p:nvPicPr>
          <p:cNvPr id="11" name="Obrázek 10">
            <a:extLst>
              <a:ext uri="{FF2B5EF4-FFF2-40B4-BE49-F238E27FC236}">
                <a16:creationId xmlns="" xmlns:a16="http://schemas.microsoft.com/office/drawing/2014/main" id="{3AB41CB1-F6A4-458D-85DF-FC3E8229711D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897797" y="6060455"/>
            <a:ext cx="840542" cy="579974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3317168426"/>
      </p:ext>
    </p:extLst>
  </p:cSld>
  <p:clrMapOvr>
    <a:masterClrMapping/>
  </p:clrMapOvr>
  <p:hf hdr="0" dt="0"/>
  <p:extLst mod="1">
    <p:ext uri="{DCECCB84-F9BA-43D5-87BE-67443E8EF086}">
      <p15:sldGuideLst xmlns="" xmlns:p15="http://schemas.microsoft.com/office/powerpoint/2012/main">
        <p15:guide id="1" orient="horz" pos="2886" userDrawn="1">
          <p15:clr>
            <a:srgbClr val="FBAE40"/>
          </p15:clr>
        </p15:guide>
        <p15:guide id="2" pos="3840" userDrawn="1">
          <p15:clr>
            <a:srgbClr val="FBAE40"/>
          </p15:clr>
        </p15:guide>
      </p15:sldGuideLst>
    </p:ext>
  </p:extLst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, obsah a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Zástupný symbol pro obsah 12">
            <a:extLst>
              <a:ext uri="{FF2B5EF4-FFF2-40B4-BE49-F238E27FC236}">
                <a16:creationId xmlns="" xmlns:a16="http://schemas.microsoft.com/office/drawing/2014/main" id="{83517C49-9C06-4658-8660-E0D21D83CE29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719137" y="1695074"/>
            <a:ext cx="5218413" cy="3896711"/>
          </a:xfrm>
        </p:spPr>
        <p:txBody>
          <a:bodyPr/>
          <a:lstStyle/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cs-CZ" altLang="cs-CZ" dirty="0"/>
              <a:t>Definujte zápatí - název prezentace / pracoviště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fld id="{D6D6C118-631F-4A80-9886-907009361577}" type="slidenum">
              <a:rPr lang="cs-CZ" altLang="cs-CZ"/>
              <a:pPr/>
              <a:t>‹#›</a:t>
            </a:fld>
            <a:endParaRPr lang="cs-CZ" altLang="cs-CZ" dirty="0"/>
          </a:p>
        </p:txBody>
      </p:sp>
      <p:sp>
        <p:nvSpPr>
          <p:cNvPr id="4" name="Nadpis 3">
            <a:extLst>
              <a:ext uri="{FF2B5EF4-FFF2-40B4-BE49-F238E27FC236}">
                <a16:creationId xmlns="" xmlns:a16="http://schemas.microsoft.com/office/drawing/2014/main" id="{ABDE9BC5-EE25-44B2-8081-F2B94BAA680C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smtClean="0"/>
              <a:t>Klepnutím lze upravit styl předlohy nadpisů.</a:t>
            </a:r>
            <a:endParaRPr lang="cs-CZ" dirty="0"/>
          </a:p>
        </p:txBody>
      </p:sp>
      <p:sp>
        <p:nvSpPr>
          <p:cNvPr id="9" name="Zástupný symbol pro text 13">
            <a:extLst>
              <a:ext uri="{FF2B5EF4-FFF2-40B4-BE49-F238E27FC236}">
                <a16:creationId xmlns="" xmlns:a16="http://schemas.microsoft.com/office/drawing/2014/main" id="{F7FD9E97-5F69-494E-8672-595752783306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720725" y="5599670"/>
            <a:ext cx="5218412" cy="216000"/>
          </a:xfrm>
        </p:spPr>
        <p:txBody>
          <a:bodyPr anchor="ctr"/>
          <a:lstStyle>
            <a:lvl1pPr>
              <a:lnSpc>
                <a:spcPts val="1100"/>
              </a:lnSpc>
              <a:defRPr sz="1000" b="0" i="0"/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2" name="Zástupný symbol pro obsah 2"/>
          <p:cNvSpPr>
            <a:spLocks noGrp="1"/>
          </p:cNvSpPr>
          <p:nvPr>
            <p:ph idx="28"/>
          </p:nvPr>
        </p:nvSpPr>
        <p:spPr>
          <a:xfrm>
            <a:off x="6251280" y="1667024"/>
            <a:ext cx="5219998" cy="4140000"/>
          </a:xfrm>
          <a:prstGeom prst="rect">
            <a:avLst/>
          </a:prstGeom>
        </p:spPr>
        <p:txBody>
          <a:bodyPr/>
          <a:lstStyle>
            <a:lvl1pPr marL="252000" indent="-180000">
              <a:lnSpc>
                <a:spcPct val="150000"/>
              </a:lnSpc>
              <a:buClr>
                <a:schemeClr val="tx2"/>
              </a:buClr>
              <a:buSzPct val="100000"/>
              <a:buFont typeface="Arial" panose="020B0604020202020204" pitchFamily="34" charset="0"/>
              <a:buChar char="̶"/>
              <a:defRPr sz="2000" b="0"/>
            </a:lvl1pPr>
            <a:lvl2pPr marL="504000" indent="-180000">
              <a:lnSpc>
                <a:spcPct val="100000"/>
              </a:lnSpc>
              <a:buClr>
                <a:schemeClr val="tx2"/>
              </a:buClr>
              <a:buFont typeface="Arial" panose="020B0604020202020204" pitchFamily="34" charset="0"/>
              <a:buChar char="̶"/>
              <a:defRPr sz="1600"/>
            </a:lvl2pPr>
            <a:lvl3pPr marL="914400" indent="0">
              <a:buNone/>
              <a:defRPr/>
            </a:lvl3pPr>
          </a:lstStyle>
          <a:p>
            <a:pPr lvl="0"/>
            <a:r>
              <a:rPr lang="cs-CZ" smtClean="0"/>
              <a:t>Klepnutím lze upravit styly předlohy textu.</a:t>
            </a:r>
          </a:p>
          <a:p>
            <a:pPr lvl="1"/>
            <a:r>
              <a:rPr lang="cs-CZ" smtClean="0"/>
              <a:t>Druhá úroveň</a:t>
            </a:r>
          </a:p>
          <a:p>
            <a:pPr lvl="2"/>
            <a:r>
              <a:rPr lang="cs-CZ" smtClean="0"/>
              <a:t>Třetí úroveň</a:t>
            </a:r>
          </a:p>
        </p:txBody>
      </p:sp>
      <p:pic>
        <p:nvPicPr>
          <p:cNvPr id="10" name="Obrázek 9">
            <a:extLst>
              <a:ext uri="{FF2B5EF4-FFF2-40B4-BE49-F238E27FC236}">
                <a16:creationId xmlns="" xmlns:a16="http://schemas.microsoft.com/office/drawing/2014/main" id="{53D9C202-1E0C-49A0-BD44-0FABFFADA120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897797" y="6060455"/>
            <a:ext cx="840542" cy="579974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2966739591"/>
      </p:ext>
    </p:extLst>
  </p:cSld>
  <p:clrMapOvr>
    <a:masterClrMapping/>
  </p:clrMapOvr>
  <p:hf hdr="0" dt="0"/>
  <p:extLst mod="1">
    <p:ext uri="{DCECCB84-F9BA-43D5-87BE-67443E8EF086}">
      <p15:sldGuideLst xmlns="" xmlns:p15="http://schemas.microsoft.com/office/powerpoint/2012/main">
        <p15:guide id="1" orient="horz" pos="3657" userDrawn="1">
          <p15:clr>
            <a:srgbClr val="FBAE40"/>
          </p15:clr>
        </p15:guide>
        <p15:guide id="2" pos="7242" userDrawn="1">
          <p15:clr>
            <a:srgbClr val="FBAE40"/>
          </p15:clr>
        </p15:guide>
      </p15:sldGuideLst>
    </p:ext>
  </p:extLst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dpis, podnadpis a tři sloupc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3" name="Zástupný symbol pro obsah 12">
            <a:extLst>
              <a:ext uri="{FF2B5EF4-FFF2-40B4-BE49-F238E27FC236}">
                <a16:creationId xmlns="" xmlns:a16="http://schemas.microsoft.com/office/drawing/2014/main" id="{548D6DE9-EB16-4D0A-9F96-DD69C3E97213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440000" y="1692002"/>
            <a:ext cx="3311525" cy="2230711"/>
          </a:xfrm>
        </p:spPr>
        <p:txBody>
          <a:bodyPr/>
          <a:lstStyle/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cs-CZ" altLang="cs-CZ" dirty="0"/>
              <a:t>Definujte zápatí - název prezentace / pracoviště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fld id="{D6D6C118-631F-4A80-9886-907009361577}" type="slidenum">
              <a:rPr lang="cs-CZ" altLang="cs-CZ"/>
              <a:pPr/>
              <a:t>‹#›</a:t>
            </a:fld>
            <a:endParaRPr lang="cs-CZ" altLang="cs-CZ" dirty="0"/>
          </a:p>
        </p:txBody>
      </p:sp>
      <p:sp>
        <p:nvSpPr>
          <p:cNvPr id="6" name="Zástupný symbol pro text 5">
            <a:extLst>
              <a:ext uri="{FF2B5EF4-FFF2-40B4-BE49-F238E27FC236}">
                <a16:creationId xmlns="" xmlns:a16="http://schemas.microsoft.com/office/drawing/2014/main" id="{C2D097E9-9E99-4F02-A434-E69D713D0FBC}"/>
              </a:ext>
            </a:extLst>
          </p:cNvPr>
          <p:cNvSpPr>
            <a:spLocks noGrp="1"/>
          </p:cNvSpPr>
          <p:nvPr>
            <p:ph type="body" sz="quarter" idx="12"/>
          </p:nvPr>
        </p:nvSpPr>
        <p:spPr>
          <a:xfrm>
            <a:off x="719999" y="4414271"/>
            <a:ext cx="3312000" cy="1427730"/>
          </a:xfrm>
        </p:spPr>
        <p:txBody>
          <a:bodyPr lIns="0" tIns="0" rIns="0" bIns="0" numCol="1" spcCol="324000">
            <a:noAutofit/>
          </a:bodyPr>
          <a:lstStyle>
            <a:lvl1pPr algn="l">
              <a:lnSpc>
                <a:spcPts val="1800"/>
              </a:lnSpc>
              <a:defRPr sz="1500" b="0">
                <a:solidFill>
                  <a:schemeClr val="tx1"/>
                </a:solidFill>
              </a:defRPr>
            </a:lvl1pPr>
            <a:lvl2pPr algn="l">
              <a:defRPr u="none"/>
            </a:lvl2pPr>
            <a:lvl3pPr algn="l">
              <a:defRPr>
                <a:latin typeface="+mn-lt"/>
              </a:defRPr>
            </a:lvl3pPr>
            <a:lvl4pPr algn="l">
              <a:defRPr/>
            </a:lvl4pPr>
            <a:lvl5pPr algn="l">
              <a:defRPr/>
            </a:lvl5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7" name="Zástupný symbol pro text 5">
            <a:extLst>
              <a:ext uri="{FF2B5EF4-FFF2-40B4-BE49-F238E27FC236}">
                <a16:creationId xmlns="" xmlns:a16="http://schemas.microsoft.com/office/drawing/2014/main" id="{7E169087-A2FD-4849-9AAC-BD41AA07A5EA}"/>
              </a:ext>
            </a:extLst>
          </p:cNvPr>
          <p:cNvSpPr>
            <a:spLocks noGrp="1"/>
          </p:cNvSpPr>
          <p:nvPr>
            <p:ph type="body" sz="quarter" idx="14"/>
          </p:nvPr>
        </p:nvSpPr>
        <p:spPr>
          <a:xfrm>
            <a:off x="4440000" y="4414271"/>
            <a:ext cx="3312000" cy="1427730"/>
          </a:xfrm>
        </p:spPr>
        <p:txBody>
          <a:bodyPr lIns="0" tIns="0" rIns="0" bIns="0" numCol="1" spcCol="324000">
            <a:noAutofit/>
          </a:bodyPr>
          <a:lstStyle>
            <a:lvl1pPr algn="l">
              <a:lnSpc>
                <a:spcPts val="1800"/>
              </a:lnSpc>
              <a:defRPr sz="1500" b="0">
                <a:solidFill>
                  <a:schemeClr val="tx1"/>
                </a:solidFill>
              </a:defRPr>
            </a:lvl1pPr>
            <a:lvl2pPr algn="l">
              <a:defRPr u="none"/>
            </a:lvl2pPr>
            <a:lvl3pPr algn="l">
              <a:defRPr>
                <a:latin typeface="+mn-lt"/>
              </a:defRPr>
            </a:lvl3pPr>
            <a:lvl4pPr algn="l">
              <a:defRPr/>
            </a:lvl4pPr>
            <a:lvl5pPr algn="l">
              <a:defRPr/>
            </a:lvl5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9" name="Zástupný symbol pro text 5">
            <a:extLst>
              <a:ext uri="{FF2B5EF4-FFF2-40B4-BE49-F238E27FC236}">
                <a16:creationId xmlns="" xmlns:a16="http://schemas.microsoft.com/office/drawing/2014/main" id="{E14CE5FF-FB97-4634-9714-4B5C0FDA3862}"/>
              </a:ext>
            </a:extLst>
          </p:cNvPr>
          <p:cNvSpPr>
            <a:spLocks noGrp="1"/>
          </p:cNvSpPr>
          <p:nvPr>
            <p:ph type="body" sz="quarter" idx="15"/>
          </p:nvPr>
        </p:nvSpPr>
        <p:spPr>
          <a:xfrm>
            <a:off x="8161200" y="4414270"/>
            <a:ext cx="3312000" cy="1427730"/>
          </a:xfrm>
        </p:spPr>
        <p:txBody>
          <a:bodyPr lIns="0" tIns="0" rIns="0" bIns="0" numCol="1" spcCol="324000">
            <a:noAutofit/>
          </a:bodyPr>
          <a:lstStyle>
            <a:lvl1pPr algn="l">
              <a:lnSpc>
                <a:spcPts val="1800"/>
              </a:lnSpc>
              <a:defRPr sz="1500" b="0">
                <a:solidFill>
                  <a:schemeClr val="tx1"/>
                </a:solidFill>
              </a:defRPr>
            </a:lvl1pPr>
            <a:lvl2pPr algn="l">
              <a:defRPr u="none"/>
            </a:lvl2pPr>
            <a:lvl3pPr algn="l">
              <a:defRPr>
                <a:latin typeface="+mn-lt"/>
              </a:defRPr>
            </a:lvl3pPr>
            <a:lvl4pPr algn="l">
              <a:defRPr/>
            </a:lvl4pPr>
            <a:lvl5pPr algn="l">
              <a:defRPr/>
            </a:lvl5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4" name="Zástupný symbol pro text 13">
            <a:extLst>
              <a:ext uri="{FF2B5EF4-FFF2-40B4-BE49-F238E27FC236}">
                <a16:creationId xmlns="" xmlns:a16="http://schemas.microsoft.com/office/drawing/2014/main" id="{DD220DBF-2B26-4E32-826A-79839FF51027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720725" y="4025136"/>
            <a:ext cx="3311525" cy="216000"/>
          </a:xfrm>
        </p:spPr>
        <p:txBody>
          <a:bodyPr anchor="ctr"/>
          <a:lstStyle>
            <a:lvl1pPr>
              <a:lnSpc>
                <a:spcPts val="1100"/>
              </a:lnSpc>
              <a:defRPr sz="1000" b="0"/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5" name="Zástupný symbol pro text 13">
            <a:extLst>
              <a:ext uri="{FF2B5EF4-FFF2-40B4-BE49-F238E27FC236}">
                <a16:creationId xmlns="" xmlns:a16="http://schemas.microsoft.com/office/drawing/2014/main" id="{AD9E96F9-7F56-4453-A9FC-693AF7E57BB4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4440475" y="4025136"/>
            <a:ext cx="3311525" cy="216000"/>
          </a:xfrm>
        </p:spPr>
        <p:txBody>
          <a:bodyPr anchor="ctr"/>
          <a:lstStyle>
            <a:lvl1pPr>
              <a:lnSpc>
                <a:spcPts val="1100"/>
              </a:lnSpc>
              <a:defRPr sz="1000" b="0"/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6" name="Zástupný symbol pro text 13">
            <a:extLst>
              <a:ext uri="{FF2B5EF4-FFF2-40B4-BE49-F238E27FC236}">
                <a16:creationId xmlns="" xmlns:a16="http://schemas.microsoft.com/office/drawing/2014/main" id="{88362389-3E8C-4129-819C-75F0F7922D0F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8161436" y="4025136"/>
            <a:ext cx="3311525" cy="216000"/>
          </a:xfrm>
        </p:spPr>
        <p:txBody>
          <a:bodyPr anchor="ctr"/>
          <a:lstStyle>
            <a:lvl1pPr>
              <a:lnSpc>
                <a:spcPts val="1100"/>
              </a:lnSpc>
              <a:defRPr sz="1000" b="0"/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8" name="Zástupný symbol pro obsah 12">
            <a:extLst>
              <a:ext uri="{FF2B5EF4-FFF2-40B4-BE49-F238E27FC236}">
                <a16:creationId xmlns="" xmlns:a16="http://schemas.microsoft.com/office/drawing/2014/main" id="{DE897ACA-C285-471C-BF3F-2886D04C7F9F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719999" y="1692002"/>
            <a:ext cx="3311525" cy="2230711"/>
          </a:xfrm>
        </p:spPr>
        <p:txBody>
          <a:bodyPr/>
          <a:lstStyle/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20" name="Zástupný symbol pro obsah 12">
            <a:extLst>
              <a:ext uri="{FF2B5EF4-FFF2-40B4-BE49-F238E27FC236}">
                <a16:creationId xmlns="" xmlns:a16="http://schemas.microsoft.com/office/drawing/2014/main" id="{9AF93628-9CF3-4CB5-A8C7-735B527D49B2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160001" y="1692002"/>
            <a:ext cx="3311525" cy="2230711"/>
          </a:xfrm>
        </p:spPr>
        <p:txBody>
          <a:bodyPr/>
          <a:lstStyle/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9" name="Zástupný symbol pro text 7">
            <a:extLst>
              <a:ext uri="{FF2B5EF4-FFF2-40B4-BE49-F238E27FC236}">
                <a16:creationId xmlns="" xmlns:a16="http://schemas.microsoft.com/office/drawing/2014/main" id="{9F610B39-FB78-4767-BA31-C3D4E7D5586C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720725" y="1296001"/>
            <a:ext cx="10752138" cy="271576"/>
          </a:xfrm>
        </p:spPr>
        <p:txBody>
          <a:bodyPr lIns="0" tIns="0" rIns="0" bIns="0">
            <a:noAutofit/>
          </a:bodyPr>
          <a:lstStyle>
            <a:lvl1pPr algn="l">
              <a:lnSpc>
                <a:spcPts val="2300"/>
              </a:lnSpc>
              <a:defRPr sz="2000" b="0">
                <a:solidFill>
                  <a:schemeClr val="tx2"/>
                </a:solidFill>
              </a:defRPr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21" name="Nadpis 12">
            <a:extLst>
              <a:ext uri="{FF2B5EF4-FFF2-40B4-BE49-F238E27FC236}">
                <a16:creationId xmlns="" xmlns:a16="http://schemas.microsoft.com/office/drawing/2014/main" id="{6B0440B8-6781-4DF7-853B-03D5855A8CB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720000" y="720000"/>
            <a:ext cx="10753200" cy="451576"/>
          </a:xfrm>
        </p:spPr>
        <p:txBody>
          <a:bodyPr/>
          <a:lstStyle/>
          <a:p>
            <a:r>
              <a:rPr lang="cs-CZ" smtClean="0"/>
              <a:t>Klepnutím lze upravit styl předlohy nadpisů.</a:t>
            </a:r>
            <a:endParaRPr lang="cs-CZ"/>
          </a:p>
        </p:txBody>
      </p:sp>
      <p:pic>
        <p:nvPicPr>
          <p:cNvPr id="17" name="Obrázek 16">
            <a:extLst>
              <a:ext uri="{FF2B5EF4-FFF2-40B4-BE49-F238E27FC236}">
                <a16:creationId xmlns="" xmlns:a16="http://schemas.microsoft.com/office/drawing/2014/main" id="{C8521D5E-C1D4-49AD-9477-8C693D759072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897797" y="6060455"/>
            <a:ext cx="840542" cy="579974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2713741071"/>
      </p:ext>
    </p:extLst>
  </p:cSld>
  <p:clrMapOvr>
    <a:masterClrMapping/>
  </p:clrMapOvr>
  <p:hf hdr="0" dt="0"/>
  <p:extLst mod="1">
    <p:ext uri="{DCECCB84-F9BA-43D5-87BE-67443E8EF086}">
      <p15:sldGuideLst xmlns="" xmlns:p15="http://schemas.microsoft.com/office/powerpoint/2012/main">
        <p15:guide id="1" orient="horz" pos="1049" userDrawn="1">
          <p15:clr>
            <a:srgbClr val="FBAE40"/>
          </p15:clr>
        </p15:guide>
        <p15:guide id="2" pos="3840" userDrawn="1">
          <p15:clr>
            <a:srgbClr val="FBAE40"/>
          </p15:clr>
        </p15:guide>
      </p15:sldGuideLst>
    </p:ext>
  </p:extLst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Obsah a text bez nadpisu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cs-CZ" altLang="cs-CZ" dirty="0"/>
              <a:t>Definujte zápatí - název prezentace / pracoviště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fld id="{D6D6C118-631F-4A80-9886-907009361577}" type="slidenum">
              <a:rPr lang="cs-CZ" altLang="cs-CZ"/>
              <a:pPr/>
              <a:t>‹#›</a:t>
            </a:fld>
            <a:endParaRPr lang="cs-CZ" altLang="cs-CZ" dirty="0"/>
          </a:p>
        </p:txBody>
      </p:sp>
      <p:sp>
        <p:nvSpPr>
          <p:cNvPr id="14" name="Zástupný symbol pro obsah 2"/>
          <p:cNvSpPr>
            <a:spLocks noGrp="1"/>
          </p:cNvSpPr>
          <p:nvPr>
            <p:ph idx="1"/>
          </p:nvPr>
        </p:nvSpPr>
        <p:spPr>
          <a:xfrm>
            <a:off x="6272212" y="692150"/>
            <a:ext cx="5200987" cy="5139850"/>
          </a:xfrm>
          <a:prstGeom prst="rect">
            <a:avLst/>
          </a:prstGeom>
        </p:spPr>
        <p:txBody>
          <a:bodyPr/>
          <a:lstStyle>
            <a:lvl1pPr marL="252000" indent="-180000">
              <a:lnSpc>
                <a:spcPct val="150000"/>
              </a:lnSpc>
              <a:buClr>
                <a:schemeClr val="tx2"/>
              </a:buClr>
              <a:buSzPct val="100000"/>
              <a:buFont typeface="Arial" panose="020B0604020202020204" pitchFamily="34" charset="0"/>
              <a:buChar char="̶"/>
              <a:defRPr sz="2000" b="0"/>
            </a:lvl1pPr>
            <a:lvl2pPr marL="504000" indent="-180000">
              <a:lnSpc>
                <a:spcPct val="100000"/>
              </a:lnSpc>
              <a:buClr>
                <a:schemeClr val="tx2"/>
              </a:buClr>
              <a:buFont typeface="Arial" panose="020B0604020202020204" pitchFamily="34" charset="0"/>
              <a:buChar char="̶"/>
              <a:defRPr sz="1600"/>
            </a:lvl2pPr>
            <a:lvl3pPr marL="914400" indent="0">
              <a:buNone/>
              <a:defRPr/>
            </a:lvl3pPr>
          </a:lstStyle>
          <a:p>
            <a:pPr lvl="0"/>
            <a:r>
              <a:rPr lang="cs-CZ" smtClean="0"/>
              <a:t>Klepnutím lze upravit styly předlohy textu.</a:t>
            </a:r>
          </a:p>
          <a:p>
            <a:pPr lvl="1"/>
            <a:r>
              <a:rPr lang="cs-CZ" smtClean="0"/>
              <a:t>Druhá úroveň</a:t>
            </a:r>
          </a:p>
          <a:p>
            <a:pPr lvl="2"/>
            <a:r>
              <a:rPr lang="cs-CZ" smtClean="0"/>
              <a:t>Třetí úroveň</a:t>
            </a:r>
          </a:p>
        </p:txBody>
      </p:sp>
      <p:sp>
        <p:nvSpPr>
          <p:cNvPr id="9" name="Zástupný symbol pro obsah 12">
            <a:extLst>
              <a:ext uri="{FF2B5EF4-FFF2-40B4-BE49-F238E27FC236}">
                <a16:creationId xmlns="" xmlns:a16="http://schemas.microsoft.com/office/drawing/2014/main" id="{83517C49-9C06-4658-8660-E0D21D83CE29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719137" y="692150"/>
            <a:ext cx="5218413" cy="4899635"/>
          </a:xfrm>
        </p:spPr>
        <p:txBody>
          <a:bodyPr/>
          <a:lstStyle/>
          <a:p>
            <a:pPr lvl="0"/>
            <a:r>
              <a:rPr lang="cs-CZ" smtClean="0"/>
              <a:t>Klepnutím lze upravit styly předlohy textu.</a:t>
            </a:r>
          </a:p>
        </p:txBody>
      </p:sp>
      <p:sp>
        <p:nvSpPr>
          <p:cNvPr id="10" name="Zástupný symbol pro text 13">
            <a:extLst>
              <a:ext uri="{FF2B5EF4-FFF2-40B4-BE49-F238E27FC236}">
                <a16:creationId xmlns="" xmlns:a16="http://schemas.microsoft.com/office/drawing/2014/main" id="{F7FD9E97-5F69-494E-8672-595752783306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720725" y="5599670"/>
            <a:ext cx="5218412" cy="216000"/>
          </a:xfrm>
        </p:spPr>
        <p:txBody>
          <a:bodyPr anchor="ctr"/>
          <a:lstStyle>
            <a:lvl1pPr>
              <a:lnSpc>
                <a:spcPts val="1100"/>
              </a:lnSpc>
              <a:defRPr sz="1000" b="0" i="0"/>
            </a:lvl1pPr>
          </a:lstStyle>
          <a:p>
            <a:pPr lvl="0"/>
            <a:r>
              <a:rPr lang="cs-CZ" smtClean="0"/>
              <a:t>Klepnutím lze upravit styly předlohy textu.</a:t>
            </a:r>
          </a:p>
        </p:txBody>
      </p:sp>
      <p:pic>
        <p:nvPicPr>
          <p:cNvPr id="11" name="Obrázek 10">
            <a:extLst>
              <a:ext uri="{FF2B5EF4-FFF2-40B4-BE49-F238E27FC236}">
                <a16:creationId xmlns="" xmlns:a16="http://schemas.microsoft.com/office/drawing/2014/main" id="{5C946900-B034-4346-94F7-4849AECA0E42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897797" y="6060455"/>
            <a:ext cx="840542" cy="579974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2117383761"/>
      </p:ext>
    </p:extLst>
  </p:cSld>
  <p:clrMapOvr>
    <a:masterClrMapping/>
  </p:clrMapOvr>
  <p:hf hdr="0" dt="0"/>
  <p:extLst mod="1">
    <p:ext uri="{DCECCB84-F9BA-43D5-87BE-67443E8EF086}">
      <p15:sldGuideLst xmlns="" xmlns:p15="http://schemas.microsoft.com/office/powerpoint/2012/main">
        <p15:guide id="1" orient="horz" pos="3158" userDrawn="1">
          <p15:clr>
            <a:srgbClr val="FBAE40"/>
          </p15:clr>
        </p15:guide>
        <p15:guide id="2" pos="438" userDrawn="1">
          <p15:clr>
            <a:srgbClr val="FBAE40"/>
          </p15:clr>
        </p15:guide>
      </p15:sldGuideLst>
    </p:ext>
  </p:extLst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Obsah bez nadpisu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cs-CZ" altLang="cs-CZ" dirty="0"/>
              <a:t>Definujte zápatí - název prezentace / pracoviště</a:t>
            </a:r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>
            <a:lvl1pPr>
              <a:defRPr/>
            </a:lvl1pPr>
          </a:lstStyle>
          <a:p>
            <a:fld id="{D6D6C118-631F-4A80-9886-907009361577}" type="slidenum">
              <a:rPr lang="cs-CZ" altLang="cs-CZ"/>
              <a:pPr/>
              <a:t>‹#›</a:t>
            </a:fld>
            <a:endParaRPr lang="cs-CZ" altLang="cs-CZ" dirty="0"/>
          </a:p>
        </p:txBody>
      </p:sp>
      <p:sp>
        <p:nvSpPr>
          <p:cNvPr id="10" name="Zástupný symbol pro obsah 2"/>
          <p:cNvSpPr>
            <a:spLocks noGrp="1"/>
          </p:cNvSpPr>
          <p:nvPr>
            <p:ph idx="1"/>
          </p:nvPr>
        </p:nvSpPr>
        <p:spPr>
          <a:xfrm>
            <a:off x="720000" y="692150"/>
            <a:ext cx="10753200" cy="5139850"/>
          </a:xfrm>
          <a:prstGeom prst="rect">
            <a:avLst/>
          </a:prstGeom>
        </p:spPr>
        <p:txBody>
          <a:bodyPr/>
          <a:lstStyle>
            <a:lvl1pPr marL="252000" indent="-180000">
              <a:lnSpc>
                <a:spcPct val="150000"/>
              </a:lnSpc>
              <a:buClr>
                <a:schemeClr val="tx2"/>
              </a:buClr>
              <a:buSzPct val="100000"/>
              <a:buFont typeface="Arial" panose="020B0604020202020204" pitchFamily="34" charset="0"/>
              <a:buChar char="̶"/>
              <a:defRPr b="0"/>
            </a:lvl1pPr>
            <a:lvl2pPr marL="504000" indent="-180000">
              <a:lnSpc>
                <a:spcPct val="100000"/>
              </a:lnSpc>
              <a:buClr>
                <a:schemeClr val="tx2"/>
              </a:buClr>
              <a:buFont typeface="Arial" panose="020B0604020202020204" pitchFamily="34" charset="0"/>
              <a:buChar char="̶"/>
              <a:defRPr sz="2000"/>
            </a:lvl2pPr>
            <a:lvl3pPr marL="914400" indent="0">
              <a:buNone/>
              <a:defRPr/>
            </a:lvl3pPr>
          </a:lstStyle>
          <a:p>
            <a:pPr lvl="0"/>
            <a:r>
              <a:rPr lang="cs-CZ" smtClean="0"/>
              <a:t>Klepnutím lze upravit styly předlohy textu.</a:t>
            </a:r>
          </a:p>
          <a:p>
            <a:pPr lvl="1"/>
            <a:r>
              <a:rPr lang="cs-CZ" smtClean="0"/>
              <a:t>Druhá úroveň</a:t>
            </a:r>
          </a:p>
          <a:p>
            <a:pPr lvl="2"/>
            <a:r>
              <a:rPr lang="cs-CZ" smtClean="0"/>
              <a:t>Třetí úroveň</a:t>
            </a:r>
          </a:p>
        </p:txBody>
      </p:sp>
      <p:pic>
        <p:nvPicPr>
          <p:cNvPr id="7" name="Obrázek 6">
            <a:extLst>
              <a:ext uri="{FF2B5EF4-FFF2-40B4-BE49-F238E27FC236}">
                <a16:creationId xmlns="" xmlns:a16="http://schemas.microsoft.com/office/drawing/2014/main" id="{01ECF861-1DA0-4682-8B9C-824D21236440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897797" y="6060455"/>
            <a:ext cx="840542" cy="579974"/>
          </a:xfrm>
          <a:prstGeom prst="rect">
            <a:avLst/>
          </a:prstGeom>
        </p:spPr>
      </p:pic>
    </p:spTree>
    <p:extLst>
      <p:ext uri="{BB962C8B-B14F-4D97-AF65-F5344CB8AC3E}">
        <p14:creationId xmlns="" xmlns:p14="http://schemas.microsoft.com/office/powerpoint/2010/main" val="234975528"/>
      </p:ext>
    </p:extLst>
  </p:cSld>
  <p:clrMapOvr>
    <a:masterClrMapping/>
  </p:clrMapOvr>
  <p:hf hdr="0" dt="0"/>
  <p:extLst mod="1">
    <p:ext uri="{DCECCB84-F9BA-43D5-87BE-67443E8EF086}">
      <p15:sldGuideLst xmlns="" xmlns:p15="http://schemas.microsoft.com/office/powerpoint/2012/main">
        <p15:guide id="1" orient="horz" pos="436" userDrawn="1">
          <p15:clr>
            <a:srgbClr val="FBAE40"/>
          </p15:clr>
        </p15:guide>
        <p15:guide id="2" pos="438" userDrawn="1">
          <p15:clr>
            <a:srgbClr val="FBAE40"/>
          </p15:clr>
        </p15:guide>
      </p15:sldGuideLst>
    </p:ext>
  </p:extLst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2" Type="http://schemas.openxmlformats.org/officeDocument/2006/relationships/slideLayout" Target="../slideLayouts/slideLayout2.xml"/><Relationship Id="rId16" Type="http://schemas.openxmlformats.org/officeDocument/2006/relationships/image" Target="../media/image1.emf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theme" Target="../theme/theme1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4529" name="Rectangle 17"/>
          <p:cNvSpPr>
            <a:spLocks noGrp="1" noChangeArrowheads="1"/>
          </p:cNvSpPr>
          <p:nvPr>
            <p:ph type="ftr" sz="quarter" idx="3"/>
          </p:nvPr>
        </p:nvSpPr>
        <p:spPr bwMode="auto">
          <a:xfrm>
            <a:off x="720000" y="6228000"/>
            <a:ext cx="7920000" cy="252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square" lIns="0" tIns="0" rIns="0" bIns="0" numCol="1" anchor="ctr" anchorCtr="0" compatLnSpc="1">
            <a:prstTxWarp prst="textNoShape">
              <a:avLst/>
            </a:prstTxWarp>
          </a:bodyPr>
          <a:lstStyle>
            <a:lvl1pPr>
              <a:defRPr lang="cs-CZ" altLang="cs-CZ" sz="1200" dirty="0" smtClean="0">
                <a:solidFill>
                  <a:schemeClr val="tx2"/>
                </a:solidFill>
                <a:latin typeface="+mj-lt"/>
              </a:defRPr>
            </a:lvl1pPr>
          </a:lstStyle>
          <a:p>
            <a:r>
              <a:rPr lang="cs-CZ" dirty="0"/>
              <a:t>Definujte zápatí - název prezentace / pracoviště</a:t>
            </a:r>
          </a:p>
        </p:txBody>
      </p:sp>
      <p:sp>
        <p:nvSpPr>
          <p:cNvPr id="64530" name="Rectangle 18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14000" y="6228000"/>
            <a:ext cx="252000" cy="252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=""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=""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=""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0" tIns="0" rIns="0" bIns="0" numCol="1" anchor="ctr" anchorCtr="0" compatLnSpc="1">
            <a:prstTxWarp prst="textNoShape">
              <a:avLst/>
            </a:prstTxWarp>
          </a:bodyPr>
          <a:lstStyle>
            <a:lvl1pPr algn="l">
              <a:defRPr sz="1200" b="0">
                <a:solidFill>
                  <a:schemeClr val="tx2"/>
                </a:solidFill>
                <a:latin typeface="+mj-lt"/>
              </a:defRPr>
            </a:lvl1pPr>
          </a:lstStyle>
          <a:p>
            <a:fld id="{0DE708CC-0C3F-4567-9698-B54C0F35BD31}" type="slidenum">
              <a:rPr lang="cs-CZ" altLang="cs-CZ" smtClean="0"/>
              <a:pPr/>
              <a:t>‹#›</a:t>
            </a:fld>
            <a:endParaRPr lang="cs-CZ" altLang="cs-CZ" dirty="0"/>
          </a:p>
        </p:txBody>
      </p:sp>
      <p:sp>
        <p:nvSpPr>
          <p:cNvPr id="2" name="Zástupný nadpis 1">
            <a:extLst>
              <a:ext uri="{FF2B5EF4-FFF2-40B4-BE49-F238E27FC236}">
                <a16:creationId xmlns="" xmlns:a16="http://schemas.microsoft.com/office/drawing/2014/main" id="{E73EFD05-44F7-4406-AC4D-1167FBFF800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720000" y="720000"/>
            <a:ext cx="10753200" cy="451576"/>
          </a:xfrm>
          <a:prstGeom prst="rect">
            <a:avLst/>
          </a:prstGeom>
        </p:spPr>
        <p:txBody>
          <a:bodyPr vert="horz" lIns="0" tIns="0" rIns="0" bIns="0" rtlCol="0" anchor="t" anchorCtr="0">
            <a:noAutofit/>
          </a:bodyPr>
          <a:lstStyle/>
          <a:p>
            <a:r>
              <a:rPr lang="cs-CZ" dirty="0"/>
              <a:t>Kliknutím lze upravit styl.</a:t>
            </a:r>
          </a:p>
        </p:txBody>
      </p:sp>
      <p:sp>
        <p:nvSpPr>
          <p:cNvPr id="5" name="Zástupný symbol pro text 4">
            <a:extLst>
              <a:ext uri="{FF2B5EF4-FFF2-40B4-BE49-F238E27FC236}">
                <a16:creationId xmlns="" xmlns:a16="http://schemas.microsoft.com/office/drawing/2014/main" id="{A4DA628E-D8CA-41EE-AA1A-D14D1A53A264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718800" y="1872000"/>
            <a:ext cx="10753200" cy="3960000"/>
          </a:xfrm>
          <a:prstGeom prst="rect">
            <a:avLst/>
          </a:prstGeom>
        </p:spPr>
        <p:txBody>
          <a:bodyPr vert="horz" lIns="0" tIns="0" rIns="0" bIns="0" rtlCol="0">
            <a:noAutofit/>
          </a:bodyPr>
          <a:lstStyle/>
          <a:p>
            <a:pPr lvl="0"/>
            <a:r>
              <a:rPr lang="cs-CZ" dirty="0"/>
              <a:t>Upravte styly předlohy textu</a:t>
            </a:r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78" r:id="rId1"/>
    <p:sldLayoutId id="2147483684" r:id="rId2"/>
    <p:sldLayoutId id="2147483690" r:id="rId3"/>
    <p:sldLayoutId id="2147483685" r:id="rId4"/>
    <p:sldLayoutId id="2147483688" r:id="rId5"/>
    <p:sldLayoutId id="2147483674" r:id="rId6"/>
    <p:sldLayoutId id="2147483673" r:id="rId7"/>
    <p:sldLayoutId id="2147483676" r:id="rId8"/>
    <p:sldLayoutId id="2147483675" r:id="rId9"/>
    <p:sldLayoutId id="2147483677" r:id="rId10"/>
    <p:sldLayoutId id="2147483686" r:id="rId11"/>
    <p:sldLayoutId id="2147483691" r:id="rId12"/>
    <p:sldLayoutId id="2147483692" r:id="rId13"/>
    <p:sldLayoutId id="2147483693" r:id="rId14"/>
  </p:sldLayoutIdLst>
  <p:hf sldNum="0" hdr="0" ftr="0" dt="0"/>
  <p:txStyles>
    <p:titleStyle>
      <a:lvl1pPr algn="l" rtl="0" eaLnBrk="1" fontAlgn="base" hangingPunct="1">
        <a:lnSpc>
          <a:spcPts val="4000"/>
        </a:lnSpc>
        <a:spcBef>
          <a:spcPct val="0"/>
        </a:spcBef>
        <a:spcAft>
          <a:spcPct val="0"/>
        </a:spcAft>
        <a:defRPr sz="4000" b="1">
          <a:solidFill>
            <a:schemeClr val="tx2"/>
          </a:solidFill>
          <a:latin typeface="+mj-lt"/>
          <a:ea typeface="+mj-ea"/>
          <a:cs typeface="+mj-cs"/>
        </a:defRPr>
      </a:lvl1pPr>
      <a:lvl2pPr algn="l" rtl="0" eaLnBrk="1" fontAlgn="base" hangingPunct="1">
        <a:spcBef>
          <a:spcPct val="0"/>
        </a:spcBef>
        <a:spcAft>
          <a:spcPct val="0"/>
        </a:spcAft>
        <a:defRPr sz="2400" b="1">
          <a:solidFill>
            <a:srgbClr val="00287D"/>
          </a:solidFill>
          <a:latin typeface="Tahoma" pitchFamily="34" charset="0"/>
        </a:defRPr>
      </a:lvl2pPr>
      <a:lvl3pPr algn="l" rtl="0" eaLnBrk="1" fontAlgn="base" hangingPunct="1">
        <a:spcBef>
          <a:spcPct val="0"/>
        </a:spcBef>
        <a:spcAft>
          <a:spcPct val="0"/>
        </a:spcAft>
        <a:defRPr sz="2400" b="1">
          <a:solidFill>
            <a:srgbClr val="00287D"/>
          </a:solidFill>
          <a:latin typeface="Tahoma" pitchFamily="34" charset="0"/>
        </a:defRPr>
      </a:lvl3pPr>
      <a:lvl4pPr algn="l" rtl="0" eaLnBrk="1" fontAlgn="base" hangingPunct="1">
        <a:spcBef>
          <a:spcPct val="0"/>
        </a:spcBef>
        <a:spcAft>
          <a:spcPct val="0"/>
        </a:spcAft>
        <a:defRPr sz="2400" b="1">
          <a:solidFill>
            <a:srgbClr val="00287D"/>
          </a:solidFill>
          <a:latin typeface="Tahoma" pitchFamily="34" charset="0"/>
        </a:defRPr>
      </a:lvl4pPr>
      <a:lvl5pPr algn="l" rtl="0" eaLnBrk="1" fontAlgn="base" hangingPunct="1">
        <a:spcBef>
          <a:spcPct val="0"/>
        </a:spcBef>
        <a:spcAft>
          <a:spcPct val="0"/>
        </a:spcAft>
        <a:defRPr sz="2400" b="1">
          <a:solidFill>
            <a:srgbClr val="00287D"/>
          </a:solidFill>
          <a:latin typeface="Tahoma" pitchFamily="34" charset="0"/>
        </a:defRPr>
      </a:lvl5pPr>
      <a:lvl6pPr marL="457200" algn="l" rtl="0" eaLnBrk="1" fontAlgn="base" hangingPunct="1">
        <a:spcBef>
          <a:spcPct val="0"/>
        </a:spcBef>
        <a:spcAft>
          <a:spcPct val="0"/>
        </a:spcAft>
        <a:defRPr sz="2400" b="1">
          <a:solidFill>
            <a:srgbClr val="00287D"/>
          </a:solidFill>
          <a:latin typeface="Tahoma" pitchFamily="34" charset="0"/>
        </a:defRPr>
      </a:lvl6pPr>
      <a:lvl7pPr marL="914400" algn="l" rtl="0" eaLnBrk="1" fontAlgn="base" hangingPunct="1">
        <a:spcBef>
          <a:spcPct val="0"/>
        </a:spcBef>
        <a:spcAft>
          <a:spcPct val="0"/>
        </a:spcAft>
        <a:defRPr sz="2400" b="1">
          <a:solidFill>
            <a:srgbClr val="00287D"/>
          </a:solidFill>
          <a:latin typeface="Tahoma" pitchFamily="34" charset="0"/>
        </a:defRPr>
      </a:lvl7pPr>
      <a:lvl8pPr marL="1371600" algn="l" rtl="0" eaLnBrk="1" fontAlgn="base" hangingPunct="1">
        <a:spcBef>
          <a:spcPct val="0"/>
        </a:spcBef>
        <a:spcAft>
          <a:spcPct val="0"/>
        </a:spcAft>
        <a:defRPr sz="2400" b="1">
          <a:solidFill>
            <a:srgbClr val="00287D"/>
          </a:solidFill>
          <a:latin typeface="Tahoma" pitchFamily="34" charset="0"/>
        </a:defRPr>
      </a:lvl8pPr>
      <a:lvl9pPr marL="1828800" algn="l" rtl="0" eaLnBrk="1" fontAlgn="base" hangingPunct="1">
        <a:spcBef>
          <a:spcPct val="0"/>
        </a:spcBef>
        <a:spcAft>
          <a:spcPct val="0"/>
        </a:spcAft>
        <a:defRPr sz="2400" b="1">
          <a:solidFill>
            <a:srgbClr val="00287D"/>
          </a:solidFill>
          <a:latin typeface="Tahoma" pitchFamily="34" charset="0"/>
        </a:defRPr>
      </a:lvl9pPr>
    </p:titleStyle>
    <p:bodyStyle>
      <a:lvl1pPr marL="0" indent="0" algn="l" rtl="0" eaLnBrk="1" fontAlgn="base" hangingPunct="1">
        <a:lnSpc>
          <a:spcPct val="100000"/>
        </a:lnSpc>
        <a:spcBef>
          <a:spcPts val="0"/>
        </a:spcBef>
        <a:spcAft>
          <a:spcPct val="0"/>
        </a:spcAft>
        <a:buClr>
          <a:schemeClr val="tx2"/>
        </a:buClr>
        <a:buSzPct val="100000"/>
        <a:buFontTx/>
        <a:buNone/>
        <a:defRPr sz="2800" b="0">
          <a:solidFill>
            <a:schemeClr val="tx1"/>
          </a:solidFill>
          <a:latin typeface="+mn-lt"/>
          <a:ea typeface="+mn-ea"/>
          <a:cs typeface="+mn-cs"/>
        </a:defRPr>
      </a:lvl1pPr>
      <a:lvl2pPr marL="0" indent="0" algn="l" rtl="0" eaLnBrk="1" fontAlgn="base" hangingPunct="1">
        <a:lnSpc>
          <a:spcPts val="1800"/>
        </a:lnSpc>
        <a:spcBef>
          <a:spcPts val="0"/>
        </a:spcBef>
        <a:spcAft>
          <a:spcPct val="0"/>
        </a:spcAft>
        <a:buClr>
          <a:schemeClr val="tx2"/>
        </a:buClr>
        <a:buSzPct val="100000"/>
        <a:buFontTx/>
        <a:buNone/>
        <a:defRPr sz="1500" b="0">
          <a:solidFill>
            <a:schemeClr val="tx1"/>
          </a:solidFill>
          <a:latin typeface="+mn-lt"/>
        </a:defRPr>
      </a:lvl2pPr>
      <a:lvl3pPr marL="914400" indent="0" algn="l" rtl="0" eaLnBrk="1" fontAlgn="base" hangingPunct="1">
        <a:lnSpc>
          <a:spcPts val="1800"/>
        </a:lnSpc>
        <a:spcBef>
          <a:spcPts val="0"/>
        </a:spcBef>
        <a:spcAft>
          <a:spcPct val="0"/>
        </a:spcAft>
        <a:buClr>
          <a:schemeClr val="folHlink"/>
        </a:buClr>
        <a:buSzPct val="80000"/>
        <a:buFontTx/>
        <a:buNone/>
        <a:defRPr sz="1500" b="0">
          <a:solidFill>
            <a:schemeClr val="tx1"/>
          </a:solidFill>
          <a:latin typeface="+mn-lt"/>
        </a:defRPr>
      </a:lvl3pPr>
      <a:lvl4pPr marL="1371600" indent="0" algn="l" rtl="0" eaLnBrk="1" fontAlgn="base" hangingPunct="1">
        <a:lnSpc>
          <a:spcPts val="1800"/>
        </a:lnSpc>
        <a:spcBef>
          <a:spcPts val="0"/>
        </a:spcBef>
        <a:spcAft>
          <a:spcPct val="0"/>
        </a:spcAft>
        <a:buClr>
          <a:schemeClr val="accent2"/>
        </a:buClr>
        <a:buSzPct val="90000"/>
        <a:buFontTx/>
        <a:buNone/>
        <a:defRPr sz="1500" b="0">
          <a:solidFill>
            <a:schemeClr val="tx1"/>
          </a:solidFill>
          <a:latin typeface="+mn-lt"/>
        </a:defRPr>
      </a:lvl4pPr>
      <a:lvl5pPr marL="1828800" indent="0" algn="l" rtl="0" eaLnBrk="1" fontAlgn="base" hangingPunct="1">
        <a:lnSpc>
          <a:spcPts val="1800"/>
        </a:lnSpc>
        <a:spcBef>
          <a:spcPts val="0"/>
        </a:spcBef>
        <a:spcAft>
          <a:spcPct val="0"/>
        </a:spcAft>
        <a:buClr>
          <a:schemeClr val="accent1"/>
        </a:buClr>
        <a:buFontTx/>
        <a:buNone/>
        <a:defRPr sz="1500" b="0">
          <a:solidFill>
            <a:schemeClr val="tx1"/>
          </a:solidFill>
          <a:latin typeface="+mn-lt"/>
        </a:defRPr>
      </a:lvl5pPr>
      <a:lvl6pPr marL="2514600" indent="-228600" algn="l" rtl="0" eaLnBrk="1" fontAlgn="base" hangingPunct="1">
        <a:spcBef>
          <a:spcPct val="20000"/>
        </a:spcBef>
        <a:spcAft>
          <a:spcPct val="0"/>
        </a:spcAft>
        <a:buClr>
          <a:schemeClr val="accent1"/>
        </a:buClr>
        <a:buFont typeface="Wingdings" pitchFamily="2" charset="2"/>
        <a:buBlip>
          <a:blip r:embed="rId16"/>
        </a:buBlip>
        <a:defRPr>
          <a:solidFill>
            <a:schemeClr val="tx1"/>
          </a:solidFill>
          <a:latin typeface="+mn-lt"/>
        </a:defRPr>
      </a:lvl6pPr>
      <a:lvl7pPr marL="2743200" indent="0" algn="l" rtl="0" eaLnBrk="1" fontAlgn="base" hangingPunct="1">
        <a:lnSpc>
          <a:spcPts val="1800"/>
        </a:lnSpc>
        <a:spcBef>
          <a:spcPts val="0"/>
        </a:spcBef>
        <a:spcAft>
          <a:spcPct val="0"/>
        </a:spcAft>
        <a:buClr>
          <a:schemeClr val="accent1"/>
        </a:buClr>
        <a:buFont typeface="Arial" panose="020B0604020202020204" pitchFamily="34" charset="0"/>
        <a:buNone/>
        <a:defRPr baseline="0">
          <a:solidFill>
            <a:schemeClr val="tx1"/>
          </a:solidFill>
          <a:latin typeface="+mn-lt"/>
        </a:defRPr>
      </a:lvl7pPr>
      <a:lvl8pPr marL="3200400" indent="0" algn="l" rtl="0" eaLnBrk="1" fontAlgn="base" hangingPunct="1">
        <a:lnSpc>
          <a:spcPts val="1800"/>
        </a:lnSpc>
        <a:spcBef>
          <a:spcPts val="0"/>
        </a:spcBef>
        <a:spcAft>
          <a:spcPct val="0"/>
        </a:spcAft>
        <a:buClr>
          <a:schemeClr val="accent1"/>
        </a:buClr>
        <a:buFont typeface="Arial" panose="020B0604020202020204" pitchFamily="34" charset="0"/>
        <a:buNone/>
        <a:defRPr>
          <a:solidFill>
            <a:schemeClr val="tx1"/>
          </a:solidFill>
          <a:latin typeface="+mn-lt"/>
        </a:defRPr>
      </a:lvl8pPr>
      <a:lvl9pPr marL="3657600" indent="0" algn="l" rtl="0" eaLnBrk="1" fontAlgn="base" hangingPunct="1">
        <a:lnSpc>
          <a:spcPts val="1800"/>
        </a:lnSpc>
        <a:spcBef>
          <a:spcPts val="0"/>
        </a:spcBef>
        <a:spcAft>
          <a:spcPct val="0"/>
        </a:spcAft>
        <a:buClr>
          <a:schemeClr val="accent1"/>
        </a:buClr>
        <a:buFont typeface="Arial" panose="020B0604020202020204" pitchFamily="34" charset="0"/>
        <a:buNone/>
        <a:defRPr>
          <a:solidFill>
            <a:schemeClr val="tx1"/>
          </a:solidFill>
          <a:latin typeface="+mn-lt"/>
        </a:defRPr>
      </a:lvl9pPr>
    </p:bodyStyle>
    <p:otherStyle>
      <a:defPPr>
        <a:defRPr lang="cs-CZ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  <p:extLst mod="1">
    <p:ext uri="{27BBF7A9-308A-43DC-89C8-2F10F3537804}">
      <p15:sldGuideLst xmlns="" xmlns:p15="http://schemas.microsoft.com/office/powerpoint/2012/main">
        <p15:guide id="1" orient="horz" pos="1049" userDrawn="1">
          <p15:clr>
            <a:srgbClr val="F26B43"/>
          </p15:clr>
        </p15:guide>
        <p15:guide id="2" pos="438" userDrawn="1">
          <p15:clr>
            <a:srgbClr val="F26B43"/>
          </p15:clr>
        </p15:guide>
      </p15:sldGuideLst>
    </p:ext>
  </p:extLst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slideLayout" Target="../slideLayouts/slideLayout2.xml"/><Relationship Id="rId6" Type="http://schemas.microsoft.com/office/2007/relationships/hdphoto" Target="../../word/media/hdphoto1.wdp"/></Relationships>
</file>

<file path=ppt/slides/_rels/slide1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3.xml"/></Relationships>
</file>

<file path=ppt/slides/_rels/slide2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DE708CC-0C3F-4567-9698-B54C0F35BD31}" type="slidenum">
              <a:rPr lang="cs-CZ" altLang="cs-CZ" smtClean="0"/>
              <a:pPr/>
              <a:t>1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Management jakosti ve službách</a:t>
            </a:r>
            <a:endParaRPr lang="cs-CZ" dirty="0"/>
          </a:p>
        </p:txBody>
      </p:sp>
      <p:sp>
        <p:nvSpPr>
          <p:cNvPr id="5" name="Podnadpis 4"/>
          <p:cNvSpPr>
            <a:spLocks noGrp="1"/>
          </p:cNvSpPr>
          <p:nvPr>
            <p:ph type="subTitle" idx="1"/>
          </p:nvPr>
        </p:nvSpPr>
        <p:spPr/>
        <p:txBody>
          <a:bodyPr/>
          <a:lstStyle/>
          <a:p>
            <a:r>
              <a:rPr lang="cs-CZ" dirty="0" smtClean="0"/>
              <a:t>Ing. Nikola Straková</a:t>
            </a:r>
            <a:endParaRPr lang="cs-CZ" dirty="0"/>
          </a:p>
        </p:txBody>
      </p:sp>
    </p:spTree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10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Lidé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Klíčoví a nejkomplikovanější</a:t>
            </a:r>
          </a:p>
          <a:p>
            <a:pPr lvl="0"/>
            <a:r>
              <a:rPr lang="cs-CZ" dirty="0" smtClean="0"/>
              <a:t>Odborná způsobilost, rozhodovací kompetence, vhodné pracovní prostředí, chuť angažovat se</a:t>
            </a:r>
          </a:p>
          <a:p>
            <a:pPr lvl="0"/>
            <a:r>
              <a:rPr lang="cs-CZ" dirty="0" smtClean="0"/>
              <a:t>Co člověk dělá? X Co by mohl dělat?</a:t>
            </a:r>
          </a:p>
          <a:p>
            <a:pPr lvl="0"/>
            <a:r>
              <a:rPr lang="cs-CZ" dirty="0" smtClean="0"/>
              <a:t>Požadavky na pracovníky jsou součástí popisů pracovních míst, mají podobu často jen kvalifikačních požadavků</a:t>
            </a:r>
            <a:endParaRPr lang="cs-CZ" dirty="0"/>
          </a:p>
        </p:txBody>
      </p:sp>
    </p:spTree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11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0"/>
            <a:r>
              <a:rPr lang="cs-CZ" dirty="0" smtClean="0"/>
              <a:t>Požadavky na osobní </a:t>
            </a:r>
            <a:r>
              <a:rPr lang="cs-CZ" dirty="0" smtClean="0"/>
              <a:t>kvality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odborné poznatky, </a:t>
            </a:r>
          </a:p>
          <a:p>
            <a:r>
              <a:rPr lang="cs-CZ" dirty="0" smtClean="0"/>
              <a:t>praktické dovednosti, </a:t>
            </a:r>
          </a:p>
          <a:p>
            <a:r>
              <a:rPr lang="cs-CZ" dirty="0" smtClean="0"/>
              <a:t>komunikativnost, </a:t>
            </a:r>
          </a:p>
          <a:p>
            <a:r>
              <a:rPr lang="cs-CZ" dirty="0" smtClean="0"/>
              <a:t>samostatnost, pružnost, </a:t>
            </a:r>
          </a:p>
          <a:p>
            <a:r>
              <a:rPr lang="cs-CZ" dirty="0" smtClean="0"/>
              <a:t>schopnost pracovat v týmu, </a:t>
            </a:r>
          </a:p>
          <a:p>
            <a:r>
              <a:rPr lang="cs-CZ" dirty="0" smtClean="0"/>
              <a:t>disciplinovanost, </a:t>
            </a:r>
          </a:p>
          <a:p>
            <a:r>
              <a:rPr lang="cs-CZ" dirty="0" smtClean="0"/>
              <a:t>charisma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12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Stroje a nástroje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jakost výrobních zařízení, nástrojů a pomůcek je stanovena požadavky na jejich způsobilost pro konkrétní proces</a:t>
            </a:r>
          </a:p>
          <a:p>
            <a:pPr lvl="0"/>
            <a:r>
              <a:rPr lang="cs-CZ" dirty="0" smtClean="0"/>
              <a:t>sleduje se a vyhodnocuje statistickými metodami</a:t>
            </a:r>
          </a:p>
          <a:p>
            <a:pPr>
              <a:buNone/>
            </a:pPr>
            <a:endParaRPr lang="cs-CZ" dirty="0"/>
          </a:p>
        </p:txBody>
      </p:sp>
    </p:spTree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13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Materiály a pomocné přípravky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jejich jakost je nezbytným předpokladem úspěchu výsledného produktu</a:t>
            </a:r>
          </a:p>
          <a:p>
            <a:pPr lvl="0"/>
            <a:r>
              <a:rPr lang="cs-CZ" dirty="0" smtClean="0"/>
              <a:t>specifika pro jejich nákup</a:t>
            </a:r>
          </a:p>
          <a:p>
            <a:pPr lvl="0"/>
            <a:r>
              <a:rPr lang="cs-CZ" dirty="0" smtClean="0"/>
              <a:t>systém hodnocení dodavatelů a zvolení si toho nejvhodnějšího</a:t>
            </a:r>
          </a:p>
          <a:p>
            <a:pPr lvl="1"/>
            <a:r>
              <a:rPr lang="cs-CZ" dirty="0" smtClean="0"/>
              <a:t>zpracovatelnost materiálů, lhůty dodání a skladování, expirační lhůty</a:t>
            </a:r>
            <a:endParaRPr lang="cs-CZ" dirty="0"/>
          </a:p>
        </p:txBody>
      </p:sp>
    </p:spTree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14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Prostředí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požadavky na podmínky – důležité pro splnění nároků na produkt</a:t>
            </a:r>
          </a:p>
          <a:p>
            <a:pPr lvl="1"/>
            <a:r>
              <a:rPr lang="cs-CZ" dirty="0" smtClean="0"/>
              <a:t>čistota, </a:t>
            </a:r>
            <a:endParaRPr lang="cs-CZ" dirty="0" smtClean="0"/>
          </a:p>
          <a:p>
            <a:pPr lvl="1"/>
            <a:r>
              <a:rPr lang="cs-CZ" dirty="0" smtClean="0"/>
              <a:t>klimatické </a:t>
            </a:r>
            <a:r>
              <a:rPr lang="cs-CZ" dirty="0" smtClean="0"/>
              <a:t>podmínky (potravinářský a farmaceutický provoz)</a:t>
            </a:r>
          </a:p>
          <a:p>
            <a:pPr lvl="0"/>
            <a:r>
              <a:rPr lang="cs-CZ" dirty="0" smtClean="0"/>
              <a:t>požadavky na podmínky – umožňující pracovníkům účast na procesech</a:t>
            </a:r>
          </a:p>
          <a:p>
            <a:pPr lvl="1"/>
            <a:r>
              <a:rPr lang="cs-CZ" dirty="0" smtClean="0"/>
              <a:t>vhodná teplota, </a:t>
            </a:r>
            <a:endParaRPr lang="cs-CZ" dirty="0" smtClean="0"/>
          </a:p>
          <a:p>
            <a:pPr lvl="1"/>
            <a:r>
              <a:rPr lang="cs-CZ" dirty="0" smtClean="0"/>
              <a:t>vlhkost</a:t>
            </a:r>
            <a:r>
              <a:rPr lang="cs-CZ" dirty="0" smtClean="0"/>
              <a:t>, </a:t>
            </a:r>
            <a:endParaRPr lang="cs-CZ" dirty="0" smtClean="0"/>
          </a:p>
          <a:p>
            <a:pPr lvl="1"/>
            <a:r>
              <a:rPr lang="cs-CZ" dirty="0" smtClean="0"/>
              <a:t>osvětlení</a:t>
            </a:r>
            <a:r>
              <a:rPr lang="cs-CZ" dirty="0" smtClean="0"/>
              <a:t>, </a:t>
            </a:r>
            <a:endParaRPr lang="cs-CZ" dirty="0" smtClean="0"/>
          </a:p>
          <a:p>
            <a:pPr lvl="1"/>
            <a:r>
              <a:rPr lang="cs-CZ" dirty="0" smtClean="0"/>
              <a:t>pořádek</a:t>
            </a:r>
            <a:r>
              <a:rPr lang="cs-CZ" dirty="0" smtClean="0"/>
              <a:t>, </a:t>
            </a:r>
            <a:endParaRPr lang="cs-CZ" dirty="0" smtClean="0"/>
          </a:p>
          <a:p>
            <a:pPr lvl="1"/>
            <a:r>
              <a:rPr lang="cs-CZ" dirty="0" smtClean="0"/>
              <a:t>nástroje </a:t>
            </a:r>
            <a:r>
              <a:rPr lang="cs-CZ" dirty="0" smtClean="0"/>
              <a:t>a pomůcky</a:t>
            </a:r>
            <a:endParaRPr lang="cs-CZ" dirty="0"/>
          </a:p>
        </p:txBody>
      </p:sp>
    </p:spTree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15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Postupy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jasně a srozumitelně stanoví, jak mají být činnosti prováděny</a:t>
            </a:r>
          </a:p>
          <a:p>
            <a:pPr lvl="0"/>
            <a:r>
              <a:rPr lang="cs-CZ" dirty="0" smtClean="0"/>
              <a:t>zakotveny v dokumentech jako jsou předpisy, instrukce pro pracovníky</a:t>
            </a:r>
          </a:p>
          <a:p>
            <a:pPr lvl="0"/>
            <a:r>
              <a:rPr lang="cs-CZ" dirty="0" smtClean="0"/>
              <a:t>postup musí být reálný a musí vést k očekávanému výsledku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16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Měření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ověřování hodnot dosahovaných parametrů</a:t>
            </a:r>
          </a:p>
          <a:p>
            <a:pPr lvl="0"/>
            <a:r>
              <a:rPr lang="cs-CZ" dirty="0" smtClean="0"/>
              <a:t>měřící, zkušební a kontrolní zařízení</a:t>
            </a:r>
          </a:p>
          <a:p>
            <a:pPr lvl="0"/>
            <a:r>
              <a:rPr lang="cs-CZ" dirty="0" smtClean="0"/>
              <a:t>důraz na přesnost měřidel, správné použití</a:t>
            </a:r>
          </a:p>
          <a:p>
            <a:pPr lvl="0"/>
            <a:r>
              <a:rPr lang="cs-CZ" dirty="0" smtClean="0"/>
              <a:t>pravidelná údržba měřidel</a:t>
            </a:r>
          </a:p>
          <a:p>
            <a:pPr>
              <a:buNone/>
            </a:pPr>
            <a:endParaRPr lang="cs-CZ" dirty="0"/>
          </a:p>
        </p:txBody>
      </p:sp>
    </p:spTree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17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Podstata a postupy managementu jakosti ve službách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2075934"/>
            <a:ext cx="10753200" cy="3756065"/>
          </a:xfrm>
        </p:spPr>
        <p:txBody>
          <a:bodyPr/>
          <a:lstStyle/>
          <a:p>
            <a:pPr lvl="0"/>
            <a:r>
              <a:rPr lang="cs-CZ" dirty="0" smtClean="0"/>
              <a:t>náročnější než v případě výrobních podniků</a:t>
            </a:r>
          </a:p>
          <a:p>
            <a:pPr lvl="0" algn="ctr">
              <a:buNone/>
            </a:pPr>
            <a:endParaRPr lang="cs-CZ" dirty="0" smtClean="0"/>
          </a:p>
          <a:p>
            <a:pPr lvl="0" algn="ctr">
              <a:buNone/>
            </a:pPr>
            <a:r>
              <a:rPr lang="cs-CZ" dirty="0" smtClean="0"/>
              <a:t>„</a:t>
            </a:r>
            <a:r>
              <a:rPr lang="cs-CZ" i="1" dirty="0" smtClean="0"/>
              <a:t>Nemůžeme dopustit žádné zmetky. Bohužel, nemůžeme vyhodit 20 % nespokojených letních hostů tak, jako vyhodíme 20 % defektních výrobků.“</a:t>
            </a:r>
            <a:endParaRPr lang="cs-CZ" i="1" dirty="0"/>
          </a:p>
        </p:txBody>
      </p:sp>
    </p:spTree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altLang="cs-CZ" dirty="0" smtClean="0"/>
              <a:t>Nenadál a kol., </a:t>
            </a:r>
            <a:r>
              <a:rPr lang="cs-CZ" altLang="cs-CZ" dirty="0" smtClean="0"/>
              <a:t>2002</a:t>
            </a:r>
            <a:endParaRPr lang="cs-CZ" altLang="cs-CZ" dirty="0" smtClean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18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>
          <a:xfrm>
            <a:off x="0" y="0"/>
            <a:ext cx="10753200" cy="451576"/>
          </a:xfrm>
        </p:spPr>
        <p:txBody>
          <a:bodyPr/>
          <a:lstStyle/>
          <a:p>
            <a:pPr lvl="0"/>
            <a:r>
              <a:rPr lang="cs-CZ" dirty="0" smtClean="0"/>
              <a:t>Jakost služeb podle ČSN ISO 9004-2018</a:t>
            </a:r>
            <a:br>
              <a:rPr lang="cs-CZ" dirty="0" smtClean="0"/>
            </a:br>
            <a:r>
              <a:rPr lang="cs-CZ" dirty="0" smtClean="0"/>
              <a:t>Smyčka jakosti služeb</a:t>
            </a:r>
            <a:br>
              <a:rPr lang="cs-CZ" dirty="0" smtClean="0"/>
            </a:br>
            <a:r>
              <a:rPr lang="cs-CZ" dirty="0" smtClean="0"/>
              <a:t/>
            </a:r>
            <a:br>
              <a:rPr lang="cs-CZ" dirty="0" smtClean="0"/>
            </a:br>
            <a:endParaRPr lang="cs-CZ" dirty="0"/>
          </a:p>
        </p:txBody>
      </p:sp>
      <p:pic>
        <p:nvPicPr>
          <p:cNvPr id="6" name="Obrázek 1"/>
          <p:cNvPicPr>
            <a:picLocks noGrp="1"/>
          </p:cNvPicPr>
          <p:nvPr>
            <p:ph idx="1"/>
          </p:nvPr>
        </p:nvPicPr>
        <p:blipFill rotWithShape="1">
          <a:blip r:embed="rId2" cstate="print">
            <a:extLst>
              <a:ext uri="{BEBA8EAE-BF5A-486C-A8C5-ECC9F3942E4B}">
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14="http://schemas.microsoft.com/office/drawing/2010/main" xmlns:pic="http://schemas.openxmlformats.org/drawingml/2006/picture" xmlns:lc="http://schemas.openxmlformats.org/drawingml/2006/lockedCanvas">
                  <a14:imgLayer r:embed="rId6">
                    <a14:imgEffect>
                      <a14:brightnessContrast contrast="40000"/>
                    </a14:imgEffect>
                  </a14:imgLayer>
                </a14:imgProps>
              </a:ext>
              <a:ext uri="{28A0092B-C50C-407E-A947-70E740481C1C}">
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14="http://schemas.microsoft.com/office/drawing/2010/main" xmlns:pic="http://schemas.openxmlformats.org/drawingml/2006/picture" xmlns:lc="http://schemas.openxmlformats.org/drawingml/2006/lockedCanvas" val="0"/>
              </a:ext>
            </a:extLst>
          </a:blip>
          <a:srcRect l="33705" t="19032" r="26674" b="7804"/>
          <a:stretch/>
        </p:blipFill>
        <p:spPr bwMode="auto">
          <a:xfrm rot="5400000">
            <a:off x="4347519" y="-986482"/>
            <a:ext cx="5572898" cy="10116065"/>
          </a:xfrm>
          <a:prstGeom prst="rect">
            <a:avLst/>
          </a:prstGeom>
          <a:ln>
            <a:noFill/>
          </a:ln>
          <a:extLst>
            <a:ext uri="{53640926-AAD7-44D8-BBD7-CCE9431645EC}">
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14="http://schemas.microsoft.com/office/drawing/2010/main" xmlns:pic="http://schemas.openxmlformats.org/drawingml/2006/picture" xmlns:lc="http://schemas.openxmlformats.org/drawingml/2006/lockedCanvas"/>
            </a:ext>
          </a:extLst>
        </p:spPr>
      </p:pic>
    </p:spTree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19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Marketingový průzkum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Klíčová role</a:t>
            </a:r>
          </a:p>
          <a:p>
            <a:r>
              <a:rPr lang="cs-CZ" dirty="0" smtClean="0"/>
              <a:t>Zmapování potřeb a požadavků zákazníku </a:t>
            </a:r>
            <a:endParaRPr lang="cs-CZ" dirty="0" smtClean="0"/>
          </a:p>
          <a:p>
            <a:pPr lvl="1"/>
            <a:r>
              <a:rPr lang="cs-CZ" dirty="0" smtClean="0"/>
              <a:t>zkoumání </a:t>
            </a:r>
            <a:r>
              <a:rPr lang="cs-CZ" dirty="0" smtClean="0"/>
              <a:t>trhu (dotazníky, analýzy prostředí, konkurence, rozhovory, pozorování, …)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Management jakosti ve službách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1433384"/>
            <a:ext cx="10753200" cy="4398616"/>
          </a:xfrm>
        </p:spPr>
        <p:txBody>
          <a:bodyPr/>
          <a:lstStyle/>
          <a:p>
            <a:pPr lvl="0"/>
            <a:r>
              <a:rPr lang="cs-CZ" dirty="0" smtClean="0"/>
              <a:t>Služba = produkt v nehmotné podobě</a:t>
            </a:r>
          </a:p>
          <a:p>
            <a:pPr lvl="0"/>
            <a:r>
              <a:rPr lang="cs-CZ" dirty="0" smtClean="0"/>
              <a:t>Činnost(i) poskytované na rozhraní zákazník a dodavatel</a:t>
            </a:r>
          </a:p>
          <a:p>
            <a:pPr lvl="0"/>
            <a:r>
              <a:rPr lang="cs-CZ" dirty="0" smtClean="0"/>
              <a:t>Služba v čisté podobě – poradenství, hlídání dětí</a:t>
            </a:r>
          </a:p>
          <a:p>
            <a:pPr lvl="0"/>
            <a:r>
              <a:rPr lang="cs-CZ" dirty="0" smtClean="0"/>
              <a:t>Služba ve spojení s hmotným produktem – stravovací služby, cestovní ruch</a:t>
            </a:r>
          </a:p>
          <a:p>
            <a:pPr lvl="1"/>
            <a:r>
              <a:rPr lang="cs-CZ" dirty="0" smtClean="0"/>
              <a:t>Komplikované </a:t>
            </a:r>
            <a:r>
              <a:rPr lang="cs-CZ" dirty="0" smtClean="0"/>
              <a:t>nalezení měřitelných znaků jakosti – služby jsou v naprosté většině nehmotné, abstraktní</a:t>
            </a:r>
          </a:p>
          <a:p>
            <a:pPr lvl="1"/>
            <a:r>
              <a:rPr lang="cs-CZ" dirty="0" smtClean="0"/>
              <a:t>Požadavky zákazníků na služby se obtížněji plní než u výrobků</a:t>
            </a:r>
            <a:endParaRPr lang="cs-CZ" dirty="0"/>
          </a:p>
        </p:txBody>
      </p:sp>
    </p:spTree>
  </p:cSld>
  <p:clrMapOvr>
    <a:masterClrMapping/>
  </p:clrMapOvr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20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Stručný popis služby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>
              <a:buNone/>
            </a:pPr>
            <a:r>
              <a:rPr lang="cs-CZ" dirty="0" smtClean="0"/>
              <a:t>=transformované výsledky průzkumů</a:t>
            </a:r>
          </a:p>
          <a:p>
            <a:r>
              <a:rPr lang="cs-CZ" dirty="0" smtClean="0"/>
              <a:t>Rámcová charakteristika koncepce služby</a:t>
            </a:r>
          </a:p>
          <a:p>
            <a:r>
              <a:rPr lang="cs-CZ" dirty="0" smtClean="0"/>
              <a:t>Výběr pozice a cílového segmentu na trhu</a:t>
            </a:r>
          </a:p>
          <a:p>
            <a:pPr lvl="1"/>
            <a:r>
              <a:rPr lang="cs-CZ" dirty="0" smtClean="0"/>
              <a:t>Výhoda v překvapení: „Jsme druzí, proto se víc snažíme.“</a:t>
            </a:r>
            <a:endParaRPr lang="cs-CZ" dirty="0"/>
          </a:p>
        </p:txBody>
      </p:sp>
    </p:spTree>
  </p:cSld>
  <p:clrMapOvr>
    <a:masterClrMapping/>
  </p:clrMapOvr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21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Návrh služby = podrobná </a:t>
            </a:r>
            <a:r>
              <a:rPr lang="cs-CZ" dirty="0" smtClean="0"/>
              <a:t>specifikace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Vlastní </a:t>
            </a:r>
            <a:r>
              <a:rPr lang="cs-CZ" dirty="0" smtClean="0"/>
              <a:t>služby</a:t>
            </a:r>
          </a:p>
          <a:p>
            <a:pPr lvl="1"/>
            <a:r>
              <a:rPr lang="cs-CZ" dirty="0" smtClean="0"/>
              <a:t>s</a:t>
            </a:r>
            <a:r>
              <a:rPr lang="cs-CZ" dirty="0" smtClean="0"/>
              <a:t> důrazem na znaky, které zákazník vnímá a je schopen posuzovat. Vymezení kritérií nepřijatelnosti (hodnoty, jejichž překročení vyvolá nespokojenost zákazníka), popis nutných zdrojů (vybavení, zařízení, kvalifikace pracovníků)</a:t>
            </a:r>
          </a:p>
          <a:p>
            <a:r>
              <a:rPr lang="cs-CZ" dirty="0" smtClean="0"/>
              <a:t>Poskytování služby </a:t>
            </a:r>
            <a:r>
              <a:rPr lang="cs-CZ" dirty="0" smtClean="0"/>
              <a:t>klientům</a:t>
            </a:r>
          </a:p>
          <a:p>
            <a:pPr lvl="1"/>
            <a:r>
              <a:rPr lang="cs-CZ" dirty="0" smtClean="0"/>
              <a:t>přímý </a:t>
            </a:r>
            <a:r>
              <a:rPr lang="cs-CZ" dirty="0" smtClean="0"/>
              <a:t>kontakt poskytovatele a zákazníka, vyřešení problému osobní kvality zaměstnanců (soustavný výcvik – společenské chování, komunikace, pozitivní postoje, úsměvy </a:t>
            </a:r>
            <a:r>
              <a:rPr lang="cs-CZ" dirty="0" smtClean="0">
                <a:sym typeface="Wingdings" pitchFamily="2" charset="2"/>
              </a:rPr>
              <a:t></a:t>
            </a:r>
            <a:r>
              <a:rPr lang="cs-CZ" dirty="0" smtClean="0"/>
              <a:t>, </a:t>
            </a:r>
            <a:r>
              <a:rPr lang="cs-CZ" dirty="0" smtClean="0"/>
              <a:t>…)</a:t>
            </a:r>
          </a:p>
          <a:p>
            <a:r>
              <a:rPr lang="cs-CZ" dirty="0" smtClean="0"/>
              <a:t>Regulace jakosti služby </a:t>
            </a:r>
            <a:endParaRPr lang="cs-CZ" dirty="0" smtClean="0"/>
          </a:p>
          <a:p>
            <a:pPr lvl="1"/>
            <a:r>
              <a:rPr lang="cs-CZ" dirty="0" smtClean="0"/>
              <a:t>které </a:t>
            </a:r>
            <a:r>
              <a:rPr lang="cs-CZ" dirty="0" smtClean="0"/>
              <a:t>vykonávají zaměstnanci za účelem udržení stability jakosti (hlavní aktivity při poskytování služeb, hodnocení vybraných znaků, analýza dat, nápravná a preventivní opatření)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22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1">
              <a:lnSpc>
                <a:spcPts val="4000"/>
              </a:lnSpc>
            </a:pPr>
            <a:r>
              <a:rPr lang="cs-CZ" sz="4000" dirty="0" smtClean="0">
                <a:solidFill>
                  <a:schemeClr val="tx2"/>
                </a:solidFill>
                <a:latin typeface="+mj-lt"/>
              </a:rPr>
              <a:t>Výsledky poskytování služby</a:t>
            </a:r>
            <a:br>
              <a:rPr lang="cs-CZ" sz="4000" dirty="0" smtClean="0">
                <a:solidFill>
                  <a:schemeClr val="tx2"/>
                </a:solidFill>
                <a:latin typeface="+mj-lt"/>
              </a:rPr>
            </a:br>
            <a:endParaRPr lang="cs-CZ" sz="4000" dirty="0">
              <a:solidFill>
                <a:schemeClr val="tx2"/>
              </a:solidFill>
              <a:latin typeface="+mj-lt"/>
            </a:endParaRPr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Soustavně posuzovány a vyhodnocovány</a:t>
            </a:r>
          </a:p>
          <a:p>
            <a:r>
              <a:rPr lang="cs-CZ" dirty="0" smtClean="0"/>
              <a:t>Sledování charakteristik jakosti, nákladů na jakost, ale i hodnocení ze strany zákazníka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23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Př.: Monitoring míry spokojenosti se světovými leteckými společnostmi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1952368"/>
            <a:ext cx="10753200" cy="3879632"/>
          </a:xfrm>
        </p:spPr>
        <p:txBody>
          <a:bodyPr/>
          <a:lstStyle/>
          <a:p>
            <a:pPr lvl="0"/>
            <a:r>
              <a:rPr lang="cs-CZ" dirty="0" smtClean="0"/>
              <a:t>Zaměření na znaky, které zákazník přímo vnímá</a:t>
            </a:r>
          </a:p>
          <a:p>
            <a:pPr lvl="0"/>
            <a:r>
              <a:rPr lang="cs-CZ" dirty="0" smtClean="0"/>
              <a:t>Charakteristické znaky vnímání jakosti přepravních služeb:</a:t>
            </a:r>
          </a:p>
          <a:p>
            <a:pPr lvl="1"/>
            <a:r>
              <a:rPr lang="cs-CZ" dirty="0" smtClean="0"/>
              <a:t>Počet sedadel v letadle</a:t>
            </a:r>
          </a:p>
          <a:p>
            <a:pPr lvl="1"/>
            <a:r>
              <a:rPr lang="cs-CZ" dirty="0" smtClean="0"/>
              <a:t>Frekvence spojů</a:t>
            </a:r>
          </a:p>
          <a:p>
            <a:pPr lvl="1"/>
            <a:r>
              <a:rPr lang="cs-CZ" dirty="0" smtClean="0"/>
              <a:t>Bezvadné odbavení před letem i po ukončení letu</a:t>
            </a:r>
          </a:p>
          <a:p>
            <a:pPr lvl="1"/>
            <a:r>
              <a:rPr lang="cs-CZ" dirty="0" smtClean="0"/>
              <a:t>Přesnost příletů podle letových řádů</a:t>
            </a:r>
          </a:p>
          <a:p>
            <a:pPr lvl="1"/>
            <a:r>
              <a:rPr lang="cs-CZ" dirty="0" smtClean="0"/>
              <a:t>Spolehlivost služeb</a:t>
            </a:r>
          </a:p>
          <a:p>
            <a:pPr lvl="1"/>
            <a:r>
              <a:rPr lang="cs-CZ" dirty="0" smtClean="0"/>
              <a:t>Cena</a:t>
            </a:r>
          </a:p>
          <a:p>
            <a:pPr lvl="1"/>
            <a:r>
              <a:rPr lang="cs-CZ" dirty="0" smtClean="0"/>
              <a:t>…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24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>
          <a:xfrm>
            <a:off x="596433" y="0"/>
            <a:ext cx="10753200" cy="451576"/>
          </a:xfrm>
        </p:spPr>
        <p:txBody>
          <a:bodyPr/>
          <a:lstStyle/>
          <a:p>
            <a:r>
              <a:rPr lang="cs-CZ" dirty="0" smtClean="0"/>
              <a:t>Př.: měřitelné znaky jakosti firmy udržující a opravující výtahy včetně kvantifikovatelných ukazatelů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1532238"/>
            <a:ext cx="10753200" cy="4299762"/>
          </a:xfrm>
        </p:spPr>
        <p:txBody>
          <a:bodyPr/>
          <a:lstStyle/>
          <a:p>
            <a:pPr lvl="0"/>
            <a:r>
              <a:rPr lang="cs-CZ" sz="2400" dirty="0" smtClean="0"/>
              <a:t>Bezpečnost – počet hlášených nehod</a:t>
            </a:r>
          </a:p>
          <a:p>
            <a:pPr lvl="0"/>
            <a:r>
              <a:rPr lang="cs-CZ" sz="2400" dirty="0" smtClean="0"/>
              <a:t>Schopnost rychlé reakce – průměrný čas reakce a průměrný prostoj</a:t>
            </a:r>
          </a:p>
          <a:p>
            <a:pPr lvl="0"/>
            <a:r>
              <a:rPr lang="cs-CZ" sz="2400" dirty="0" smtClean="0"/>
              <a:t>Spolehlivost – počet skutečných revizí k počtu plánovaných, opakované žádosti na opravu jednoho výtahu</a:t>
            </a:r>
          </a:p>
          <a:p>
            <a:pPr lvl="0"/>
            <a:r>
              <a:rPr lang="cs-CZ" sz="2400" dirty="0" smtClean="0"/>
              <a:t>Komunikace – počet písemných stížností/pochval</a:t>
            </a:r>
          </a:p>
          <a:p>
            <a:pPr lvl="0"/>
            <a:r>
              <a:rPr lang="cs-CZ" sz="2400" dirty="0" smtClean="0"/>
              <a:t>Vzhled – úplný seznam výkonů, dosažené standardy</a:t>
            </a:r>
          </a:p>
          <a:p>
            <a:pPr lvl="0"/>
            <a:r>
              <a:rPr lang="cs-CZ" sz="2400" dirty="0" smtClean="0"/>
              <a:t>Angažovanost – počet opožděných/urychlených dokončení, počet prací delších než 2 </a:t>
            </a:r>
            <a:r>
              <a:rPr lang="cs-CZ" sz="2400" dirty="0" smtClean="0"/>
              <a:t>měsíce</a:t>
            </a:r>
          </a:p>
          <a:p>
            <a:pPr>
              <a:buNone/>
            </a:pPr>
            <a:r>
              <a:rPr lang="cs-CZ" sz="2400" dirty="0" smtClean="0"/>
              <a:t>Na základě toho je firma schopna vyhodnocovat, jak zákazníci vnímají kvalitu nabízených a poskytovaných služeb.</a:t>
            </a:r>
          </a:p>
          <a:p>
            <a:pPr lvl="0">
              <a:buNone/>
            </a:pPr>
            <a:endParaRPr lang="cs-CZ" sz="2400" dirty="0"/>
          </a:p>
        </p:txBody>
      </p:sp>
    </p:spTree>
  </p:cSld>
  <p:clrMapOvr>
    <a:masterClrMapping/>
  </p:clrMapOvr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25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>
          <a:xfrm>
            <a:off x="720000" y="324584"/>
            <a:ext cx="10753200" cy="451576"/>
          </a:xfrm>
        </p:spPr>
        <p:txBody>
          <a:bodyPr/>
          <a:lstStyle/>
          <a:p>
            <a:r>
              <a:rPr lang="cs-CZ" dirty="0" smtClean="0"/>
              <a:t>Otázky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889686"/>
            <a:ext cx="10753200" cy="4818746"/>
          </a:xfrm>
        </p:spPr>
        <p:txBody>
          <a:bodyPr/>
          <a:lstStyle/>
          <a:p>
            <a:r>
              <a:rPr lang="cs-CZ" sz="2000" dirty="0" smtClean="0"/>
              <a:t>Uveďte alespoň 5 charakteristických znaků služeb z hlediska managementu jakosti služeb.</a:t>
            </a:r>
          </a:p>
          <a:p>
            <a:r>
              <a:rPr lang="cs-CZ" sz="2000" dirty="0" smtClean="0"/>
              <a:t>Vyjmenujte 6 požadavků na jakost služeb.</a:t>
            </a:r>
          </a:p>
          <a:p>
            <a:r>
              <a:rPr lang="cs-CZ" sz="2000" dirty="0" smtClean="0"/>
              <a:t>Vysvětlete jakost procesu v managementu jakosti služeb.</a:t>
            </a:r>
          </a:p>
          <a:p>
            <a:r>
              <a:rPr lang="cs-CZ" sz="2000" dirty="0" smtClean="0"/>
              <a:t>Vyjmenujte 6 požadavků na jakost procesu.</a:t>
            </a:r>
          </a:p>
          <a:p>
            <a:r>
              <a:rPr lang="cs-CZ" sz="2000" dirty="0" smtClean="0"/>
              <a:t>Lidé jako jeden z požadavků na jakost procesu.</a:t>
            </a:r>
          </a:p>
          <a:p>
            <a:r>
              <a:rPr lang="cs-CZ" sz="2000" dirty="0" smtClean="0"/>
              <a:t>Stroje a nástroje jako jeden z požadavků na jakost procesu.</a:t>
            </a:r>
          </a:p>
          <a:p>
            <a:r>
              <a:rPr lang="cs-CZ" sz="2000" dirty="0" smtClean="0"/>
              <a:t>Materiál jako jeden z požadavků na jakost procesu.</a:t>
            </a:r>
          </a:p>
          <a:p>
            <a:r>
              <a:rPr lang="cs-CZ" sz="2000" dirty="0" smtClean="0"/>
              <a:t>Metody/postupy jako jeden z požadavků na jakost procesu.</a:t>
            </a:r>
          </a:p>
          <a:p>
            <a:r>
              <a:rPr lang="cs-CZ" sz="2000" dirty="0" smtClean="0"/>
              <a:t>Prostředí jako jeden z požadavků na jakost procesu.</a:t>
            </a:r>
          </a:p>
          <a:p>
            <a:r>
              <a:rPr lang="cs-CZ" sz="2000" dirty="0" smtClean="0"/>
              <a:t>Měření jako jeden z požadavků na jakost procesu.</a:t>
            </a:r>
          </a:p>
          <a:p>
            <a:r>
              <a:rPr lang="cs-CZ" sz="2000" dirty="0" smtClean="0"/>
              <a:t>Která z norem ČSN ISO upravuje jakost služeb?</a:t>
            </a:r>
          </a:p>
          <a:p>
            <a:r>
              <a:rPr lang="cs-CZ" sz="2000" dirty="0" smtClean="0"/>
              <a:t>Popište smyčku jakosti služeb podle Nenadála, 2002.</a:t>
            </a:r>
            <a:endParaRPr lang="cs-CZ" sz="2000" dirty="0"/>
          </a:p>
        </p:txBody>
      </p:sp>
    </p:spTree>
  </p:cSld>
  <p:clrMapOvr>
    <a:masterClrMapping/>
  </p:clrMapOvr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26</a:t>
            </a:fld>
            <a:endParaRPr lang="cs-CZ" altLang="cs-CZ" dirty="0"/>
          </a:p>
        </p:txBody>
      </p:sp>
      <p:sp>
        <p:nvSpPr>
          <p:cNvPr id="6" name="Nadpis 5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Kvalita vzdělávání</a:t>
            </a:r>
            <a:endParaRPr lang="cs-CZ" dirty="0"/>
          </a:p>
        </p:txBody>
      </p:sp>
    </p:spTree>
  </p:cSld>
  <p:clrMapOvr>
    <a:masterClrMapping/>
  </p:clrMapOvr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27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Kvalita vzdělávání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Kvalitní vzdělání je podmínkou zabezpečení neustálých inovací </a:t>
            </a:r>
            <a:r>
              <a:rPr lang="cs-CZ" dirty="0" smtClean="0"/>
              <a:t>stále kvalitnějších </a:t>
            </a:r>
            <a:r>
              <a:rPr lang="cs-CZ" dirty="0" smtClean="0"/>
              <a:t>výrobků a služeb</a:t>
            </a:r>
          </a:p>
          <a:p>
            <a:pPr lvl="0"/>
            <a:r>
              <a:rPr lang="cs-CZ" dirty="0" smtClean="0"/>
              <a:t>Budoucnost národů, států, lidstva závisí na kvalitním vzdělávání</a:t>
            </a:r>
          </a:p>
          <a:p>
            <a:pPr lvl="0"/>
            <a:r>
              <a:rPr lang="cs-CZ" dirty="0" smtClean="0"/>
              <a:t>Vysoká kvalita znamená:</a:t>
            </a:r>
          </a:p>
          <a:p>
            <a:pPr lvl="1"/>
            <a:r>
              <a:rPr lang="cs-CZ" dirty="0" smtClean="0"/>
              <a:t>Kvalita vzdělávacího systému</a:t>
            </a:r>
          </a:p>
          <a:p>
            <a:pPr lvl="1"/>
            <a:r>
              <a:rPr lang="cs-CZ" dirty="0" smtClean="0"/>
              <a:t>Kvalita školy</a:t>
            </a:r>
          </a:p>
          <a:p>
            <a:pPr lvl="1"/>
            <a:r>
              <a:rPr lang="cs-CZ" dirty="0" smtClean="0"/>
              <a:t>Kvalita vyučovacího procesu</a:t>
            </a:r>
          </a:p>
          <a:p>
            <a:pPr lvl="1"/>
            <a:r>
              <a:rPr lang="cs-CZ" dirty="0" smtClean="0"/>
              <a:t>Kvalita učení se</a:t>
            </a:r>
            <a:endParaRPr lang="cs-CZ" dirty="0"/>
          </a:p>
        </p:txBody>
      </p:sp>
    </p:spTree>
  </p:cSld>
  <p:clrMapOvr>
    <a:masterClrMapping/>
  </p:clrMapOvr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28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Rozdíly mezi školou a podnikatelskými subjekty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1655806"/>
            <a:ext cx="10753200" cy="4176194"/>
          </a:xfrm>
        </p:spPr>
        <p:txBody>
          <a:bodyPr/>
          <a:lstStyle/>
          <a:p>
            <a:pPr lvl="0"/>
            <a:r>
              <a:rPr lang="cs-CZ" dirty="0" smtClean="0"/>
              <a:t>Žáci, studenti nejsou produkty vzdělávání </a:t>
            </a:r>
            <a:r>
              <a:rPr lang="cs-CZ" dirty="0" smtClean="0"/>
              <a:t>oproti výrobkům/službám</a:t>
            </a:r>
            <a:r>
              <a:rPr lang="cs-CZ" dirty="0" smtClean="0"/>
              <a:t>, které jsou produkty podniků</a:t>
            </a:r>
          </a:p>
          <a:p>
            <a:pPr lvl="0"/>
            <a:r>
              <a:rPr lang="cs-CZ" dirty="0" smtClean="0"/>
              <a:t>Produkty vzdělávání jsou výchova a vzdělání</a:t>
            </a:r>
          </a:p>
          <a:p>
            <a:r>
              <a:rPr lang="cs-CZ" dirty="0" smtClean="0"/>
              <a:t>Vzdělávání má několik </a:t>
            </a:r>
            <a:r>
              <a:rPr lang="cs-CZ" dirty="0" smtClean="0"/>
              <a:t>zákazníků/odběratelů</a:t>
            </a:r>
          </a:p>
          <a:p>
            <a:pPr lvl="0"/>
            <a:r>
              <a:rPr lang="cs-CZ" dirty="0" smtClean="0"/>
              <a:t>Cílem vzdělávání není zisk (i když finanční náklady na vzdělávání jsou důležité)</a:t>
            </a:r>
          </a:p>
          <a:p>
            <a:pPr lvl="0"/>
            <a:r>
              <a:rPr lang="cs-CZ" dirty="0" smtClean="0"/>
              <a:t>Vzdělávaní žáci obvykle nejsou ti, kteří za vzdělávání platí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29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Zákazníci vzdělávání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marL="0"/>
            <a:r>
              <a:rPr lang="cs-CZ" dirty="0" smtClean="0"/>
              <a:t>Vzdělávaní – žáci, studenti</a:t>
            </a:r>
          </a:p>
          <a:p>
            <a:pPr marL="0"/>
            <a:r>
              <a:rPr lang="cs-CZ" dirty="0" smtClean="0"/>
              <a:t>Jejich rodiče</a:t>
            </a:r>
          </a:p>
          <a:p>
            <a:pPr marL="0"/>
            <a:r>
              <a:rPr lang="cs-CZ" dirty="0" smtClean="0"/>
              <a:t>Jejich potenciální zaměstnavatelé</a:t>
            </a:r>
          </a:p>
          <a:p>
            <a:pPr marL="0"/>
            <a:r>
              <a:rPr lang="cs-CZ" dirty="0" smtClean="0"/>
              <a:t>Společnost jako celek</a:t>
            </a:r>
          </a:p>
          <a:p>
            <a:pPr marL="0"/>
            <a:r>
              <a:rPr lang="cs-CZ" dirty="0" smtClean="0"/>
              <a:t>Jiné vzdělávací instituce</a:t>
            </a:r>
            <a:endParaRPr lang="cs-CZ" dirty="0"/>
          </a:p>
        </p:txBody>
      </p:sp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0"/>
            <a:r>
              <a:rPr lang="cs-CZ" dirty="0" smtClean="0"/>
              <a:t>Jakost </a:t>
            </a:r>
            <a:r>
              <a:rPr lang="cs-CZ" dirty="0" smtClean="0"/>
              <a:t>služeb</a:t>
            </a:r>
            <a:r>
              <a:rPr lang="cs-CZ" dirty="0" smtClean="0"/>
              <a:t/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Komplikované nalezení měřitelných znaků jakosti – služby jsou v naprosté většině nehmotné, abstraktní</a:t>
            </a:r>
          </a:p>
          <a:p>
            <a:r>
              <a:rPr lang="cs-CZ" dirty="0" smtClean="0"/>
              <a:t>Požadavky zákazníků na služby se obtížněji plní než u výrobků</a:t>
            </a:r>
            <a:endParaRPr lang="cs-CZ" dirty="0"/>
          </a:p>
        </p:txBody>
      </p:sp>
    </p:spTree>
  </p:cSld>
  <p:clrMapOvr>
    <a:masterClrMapping/>
  </p:clrMapOvr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30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0"/>
            <a:r>
              <a:rPr lang="cs-CZ" dirty="0" smtClean="0"/>
              <a:t>Jedním z principů managementu kvality je měřitelnost výsledků práce, </a:t>
            </a:r>
            <a:r>
              <a:rPr lang="cs-CZ" dirty="0" smtClean="0"/>
              <a:t>ale…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Výsledky vzdělávání jsou velmi početné a rozmanité</a:t>
            </a:r>
          </a:p>
          <a:p>
            <a:pPr lvl="1"/>
            <a:r>
              <a:rPr lang="cs-CZ" dirty="0" err="1" smtClean="0"/>
              <a:t>Vedomosti</a:t>
            </a:r>
            <a:r>
              <a:rPr lang="cs-CZ" dirty="0" smtClean="0"/>
              <a:t>, intelektuální a praktické dovednosti, schopnosti, postoje, hodnotový systém žáka, …</a:t>
            </a:r>
          </a:p>
          <a:p>
            <a:r>
              <a:rPr lang="cs-CZ" dirty="0" smtClean="0"/>
              <a:t>Některé výsledky jsou krátkodobé jiné dlouhodobé a projeví se až za delší čas (úspěšnost v zaměstnání)</a:t>
            </a:r>
          </a:p>
          <a:p>
            <a:r>
              <a:rPr lang="cs-CZ" dirty="0" smtClean="0"/>
              <a:t>Některé výsledky jsou měřitelné (vědomosti, dovednosti) jiné jen obtížně (postoje, schopnosti, dlouhodobé výsledky)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3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31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>
          <a:xfrm>
            <a:off x="395416" y="296562"/>
            <a:ext cx="11796584" cy="1171576"/>
          </a:xfrm>
        </p:spPr>
        <p:txBody>
          <a:bodyPr/>
          <a:lstStyle/>
          <a:p>
            <a:pPr lvl="0"/>
            <a:r>
              <a:rPr lang="cs-CZ" dirty="0" smtClean="0"/>
              <a:t>Problém je i s dalším principem managementu kvality – s orientací na procesy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19999" y="1383957"/>
            <a:ext cx="11472001" cy="4448043"/>
          </a:xfrm>
        </p:spPr>
        <p:txBody>
          <a:bodyPr/>
          <a:lstStyle/>
          <a:p>
            <a:r>
              <a:rPr lang="cs-CZ" dirty="0" smtClean="0"/>
              <a:t>Ve vzdělávání neexistují dva stejní žáci – odlišují se kvalitou a kvantitou vstupních vědomostí, dovedností, postojů, hodnot, motivací, temperamentem, zdravotním stavem, …</a:t>
            </a:r>
          </a:p>
          <a:p>
            <a:r>
              <a:rPr lang="cs-CZ" dirty="0" smtClean="0"/>
              <a:t>Na každého platí něco jiného – vyučovací postupy (procesy) osvědčené v jedné třídě se nemusí osvědčit v jiné třídě/v dalším roce</a:t>
            </a:r>
          </a:p>
          <a:p>
            <a:r>
              <a:rPr lang="cs-CZ" dirty="0" smtClean="0"/>
              <a:t>Učitelská činnost je tvořivá</a:t>
            </a:r>
          </a:p>
          <a:p>
            <a:pPr lvl="1"/>
            <a:r>
              <a:rPr lang="cs-CZ" dirty="0" smtClean="0"/>
              <a:t>Neopakovatelní žáci, podmínky vyučovacího procesu, osobnost učitele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3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32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0"/>
            <a:r>
              <a:rPr lang="cs-CZ" dirty="0" smtClean="0"/>
              <a:t>Hnacím motorem pro neustálé zvyšování kvality je konkurence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2150076"/>
            <a:ext cx="10753200" cy="3681924"/>
          </a:xfrm>
        </p:spPr>
        <p:txBody>
          <a:bodyPr/>
          <a:lstStyle/>
          <a:p>
            <a:r>
              <a:rPr lang="cs-CZ" dirty="0" smtClean="0"/>
              <a:t>Konkurence způsobená převisem nabídky nad poptávkou platí ve školství pouze v omezené míře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3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33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Prvky kvality ve školství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Vzdělávací systém</a:t>
            </a:r>
          </a:p>
          <a:p>
            <a:r>
              <a:rPr lang="cs-CZ" dirty="0" smtClean="0"/>
              <a:t>Škola</a:t>
            </a:r>
          </a:p>
          <a:p>
            <a:pPr lvl="0"/>
            <a:r>
              <a:rPr lang="cs-CZ" dirty="0" smtClean="0"/>
              <a:t>Vyučovací proces</a:t>
            </a:r>
          </a:p>
          <a:p>
            <a:pPr lvl="0"/>
            <a:r>
              <a:rPr lang="cs-CZ" dirty="0" smtClean="0"/>
              <a:t>Učení se žáků/studentů</a:t>
            </a:r>
            <a:endParaRPr lang="cs-CZ" dirty="0"/>
          </a:p>
        </p:txBody>
      </p:sp>
    </p:spTree>
  </p:cSld>
  <p:clrMapOvr>
    <a:masterClrMapping/>
  </p:clrMapOvr>
</p:sld>
</file>

<file path=ppt/slides/slide3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34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0"/>
            <a:r>
              <a:rPr lang="cs-CZ" dirty="0" smtClean="0"/>
              <a:t>Vzdělávací systém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sz="3200" dirty="0" smtClean="0"/>
              <a:t>Kvalita vzdělávacího systému ve státě/regionu</a:t>
            </a:r>
          </a:p>
          <a:p>
            <a:pPr lvl="1"/>
            <a:r>
              <a:rPr lang="cs-CZ" sz="2400" dirty="0" smtClean="0"/>
              <a:t>Cíle, filozofie, obsah výchovy vzdělávání, struktura, principy řízení a financování, možnost získání kvalifikace, pružnost a otevřenost</a:t>
            </a:r>
          </a:p>
          <a:p>
            <a:pPr lvl="1"/>
            <a:r>
              <a:rPr lang="cs-CZ" sz="2400" dirty="0" smtClean="0"/>
              <a:t>Mezinárodní porovnání výkonnosti vzdělávacích systémů mezi státy – výzkumy PISA, TIMSS</a:t>
            </a:r>
          </a:p>
          <a:p>
            <a:endParaRPr lang="cs-CZ" sz="3200" dirty="0"/>
          </a:p>
        </p:txBody>
      </p:sp>
    </p:spTree>
  </p:cSld>
  <p:clrMapOvr>
    <a:masterClrMapping/>
  </p:clrMapOvr>
</p:sld>
</file>

<file path=ppt/slides/slide3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35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0"/>
            <a:r>
              <a:rPr lang="cs-CZ" dirty="0" smtClean="0"/>
              <a:t>Škola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Každá škola by si měla vypracovat svůj vlastní systém managementu kvality</a:t>
            </a:r>
          </a:p>
          <a:p>
            <a:pPr lvl="1"/>
            <a:r>
              <a:rPr lang="cs-CZ" dirty="0" smtClean="0"/>
              <a:t>Vztahující se na všechny procesy probíhající na škole</a:t>
            </a:r>
          </a:p>
          <a:p>
            <a:pPr lvl="1"/>
            <a:r>
              <a:rPr lang="cs-CZ" dirty="0" smtClean="0"/>
              <a:t>Zahrnující všechny zaměstnance</a:t>
            </a:r>
            <a:endParaRPr lang="cs-CZ" dirty="0"/>
          </a:p>
        </p:txBody>
      </p:sp>
    </p:spTree>
  </p:cSld>
  <p:clrMapOvr>
    <a:masterClrMapping/>
  </p:clrMapOvr>
</p:sld>
</file>

<file path=ppt/slides/slide3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36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0"/>
            <a:r>
              <a:rPr lang="cs-CZ" dirty="0" smtClean="0"/>
              <a:t>Vyučovací proces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Nejdůležitější ze všech procesů</a:t>
            </a:r>
          </a:p>
          <a:p>
            <a:r>
              <a:rPr lang="cs-CZ" dirty="0" smtClean="0"/>
              <a:t>Jeho kvalita je rozhodující pro kvalitu školy</a:t>
            </a:r>
          </a:p>
          <a:p>
            <a:r>
              <a:rPr lang="cs-CZ" dirty="0" smtClean="0"/>
              <a:t>Kvalitu vyuč. Procesu může zvyšovat sám učitel, aniž by škola vůbec realizovala management kvality</a:t>
            </a:r>
            <a:endParaRPr lang="cs-CZ" dirty="0"/>
          </a:p>
        </p:txBody>
      </p:sp>
    </p:spTree>
  </p:cSld>
  <p:clrMapOvr>
    <a:masterClrMapping/>
  </p:clrMapOvr>
</p:sld>
</file>

<file path=ppt/slides/slide3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37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0"/>
            <a:r>
              <a:rPr lang="cs-CZ" dirty="0" smtClean="0"/>
              <a:t>Učení se žáků/studentů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Cíl = osvojit si racionální způsoby učení se</a:t>
            </a:r>
          </a:p>
          <a:p>
            <a:pPr lvl="1"/>
            <a:r>
              <a:rPr lang="cs-CZ" dirty="0" smtClean="0"/>
              <a:t>Poznat vlastní preferovaný učební styl a uplatňovat ho při učení</a:t>
            </a:r>
          </a:p>
          <a:p>
            <a:r>
              <a:rPr lang="cs-CZ" dirty="0" smtClean="0"/>
              <a:t>Výsledek = žák/student, který chce převzít zodpovědnost za řízení svého učení</a:t>
            </a:r>
          </a:p>
          <a:p>
            <a:pPr lvl="1"/>
            <a:r>
              <a:rPr lang="cs-CZ" dirty="0" smtClean="0"/>
              <a:t>Naučil se a umí řídit vlastní učení</a:t>
            </a:r>
          </a:p>
          <a:p>
            <a:pPr lvl="1"/>
            <a:r>
              <a:rPr lang="cs-CZ" dirty="0" smtClean="0"/>
              <a:t>Optimalizuje svoje učení ve škole i mimo ni</a:t>
            </a:r>
          </a:p>
          <a:p>
            <a:r>
              <a:rPr lang="cs-CZ" dirty="0" smtClean="0"/>
              <a:t>Takový žáci/studenti mají největší šanci uplatnit se v dnešním stále a rychle se měnícím světě</a:t>
            </a:r>
          </a:p>
          <a:p>
            <a:pPr lvl="1"/>
            <a:r>
              <a:rPr lang="cs-CZ" dirty="0" smtClean="0"/>
              <a:t>Budou úspěšnější v celoživotním učení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3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38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Hodnocení kvality školy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>
              <a:buNone/>
            </a:pPr>
            <a:r>
              <a:rPr lang="cs-CZ" dirty="0" smtClean="0"/>
              <a:t>Každá škola, která chce být lepší, by si měla zodpovědět následující otázky</a:t>
            </a:r>
            <a:r>
              <a:rPr lang="cs-CZ" dirty="0" smtClean="0"/>
              <a:t>:</a:t>
            </a:r>
          </a:p>
          <a:p>
            <a:pPr marL="586350" lvl="0" indent="-514350">
              <a:buFont typeface="+mj-lt"/>
              <a:buAutoNum type="arabicPeriod"/>
            </a:pPr>
            <a:r>
              <a:rPr lang="cs-CZ" dirty="0" smtClean="0"/>
              <a:t>Kde se naše škola momentálně nachází?</a:t>
            </a:r>
          </a:p>
          <a:p>
            <a:pPr lvl="1"/>
            <a:r>
              <a:rPr lang="cs-CZ" dirty="0" smtClean="0"/>
              <a:t>Viz </a:t>
            </a:r>
            <a:r>
              <a:rPr lang="cs-CZ" dirty="0" err="1" smtClean="0"/>
              <a:t>samohodnocení</a:t>
            </a:r>
            <a:r>
              <a:rPr lang="cs-CZ" dirty="0" smtClean="0"/>
              <a:t> školy, audit</a:t>
            </a:r>
          </a:p>
          <a:p>
            <a:pPr marL="586350" lvl="0" indent="-514350">
              <a:buFont typeface="+mj-lt"/>
              <a:buAutoNum type="arabicPeriod"/>
            </a:pPr>
            <a:r>
              <a:rPr lang="cs-CZ" dirty="0" smtClean="0"/>
              <a:t>Kam se naše škola chce dostat?</a:t>
            </a:r>
          </a:p>
          <a:p>
            <a:pPr lvl="1"/>
            <a:r>
              <a:rPr lang="cs-CZ" dirty="0" smtClean="0"/>
              <a:t>Jak by měla vypadat škola po zavedení systému managementu kvality?</a:t>
            </a:r>
          </a:p>
          <a:p>
            <a:pPr lvl="1"/>
            <a:r>
              <a:rPr lang="cs-CZ" dirty="0" smtClean="0"/>
              <a:t>Vize školy, poslání, hodnoty, klíčové prvky strategie, všeobecné cíle výchovy vzdělávání na škole</a:t>
            </a:r>
          </a:p>
          <a:p>
            <a:pPr lvl="0">
              <a:buNone/>
            </a:pPr>
            <a:endParaRPr lang="cs-CZ" dirty="0"/>
          </a:p>
        </p:txBody>
      </p:sp>
    </p:spTree>
  </p:cSld>
  <p:clrMapOvr>
    <a:masterClrMapping/>
  </p:clrMapOvr>
</p:sld>
</file>

<file path=ppt/slides/slide3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39</a:t>
            </a:fld>
            <a:endParaRPr lang="cs-CZ" alt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988541"/>
            <a:ext cx="10753200" cy="4843459"/>
          </a:xfrm>
        </p:spPr>
        <p:txBody>
          <a:bodyPr/>
          <a:lstStyle/>
          <a:p>
            <a:pPr marL="586350" lvl="0" indent="-514350">
              <a:buFont typeface="+mj-lt"/>
              <a:buAutoNum type="arabicPeriod" startAt="3"/>
            </a:pPr>
            <a:r>
              <a:rPr lang="cs-CZ" dirty="0" smtClean="0"/>
              <a:t>Jak se tam dostaneme?</a:t>
            </a:r>
          </a:p>
          <a:p>
            <a:pPr lvl="1"/>
            <a:r>
              <a:rPr lang="cs-CZ" dirty="0" smtClean="0"/>
              <a:t>Vytvoření strategie školy – součást strategického plánu školy</a:t>
            </a:r>
          </a:p>
          <a:p>
            <a:pPr lvl="2"/>
            <a:r>
              <a:rPr lang="cs-CZ" sz="1600" dirty="0" smtClean="0"/>
              <a:t>Dlouhodobé, střednědobé a krátkodobé </a:t>
            </a:r>
            <a:r>
              <a:rPr lang="cs-CZ" sz="1600" dirty="0" smtClean="0"/>
              <a:t>cíle</a:t>
            </a:r>
          </a:p>
          <a:p>
            <a:pPr lvl="2"/>
            <a:endParaRPr lang="cs-CZ" sz="1600" dirty="0" smtClean="0"/>
          </a:p>
          <a:p>
            <a:pPr lvl="2"/>
            <a:endParaRPr lang="cs-CZ" sz="1600" dirty="0" smtClean="0"/>
          </a:p>
          <a:p>
            <a:pPr marL="586350" lvl="0" indent="-514350">
              <a:buFont typeface="+mj-lt"/>
              <a:buAutoNum type="arabicPeriod" startAt="3"/>
            </a:pPr>
            <a:r>
              <a:rPr lang="cs-CZ" dirty="0" smtClean="0"/>
              <a:t>Jak zjistíme, že jdeme správnou cestou?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4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0"/>
            <a:r>
              <a:rPr lang="cs-CZ" dirty="0" smtClean="0"/>
              <a:t>Charakteristické znaky </a:t>
            </a:r>
            <a:r>
              <a:rPr lang="cs-CZ" dirty="0" smtClean="0"/>
              <a:t>služeb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dirty="0" smtClean="0"/>
              <a:t>Přítomnost zákazníka v procesu poskytování služby</a:t>
            </a:r>
          </a:p>
          <a:p>
            <a:r>
              <a:rPr lang="cs-CZ" dirty="0" smtClean="0"/>
              <a:t>Omezené až nulové možnosti nápravy chyb a nedostatků</a:t>
            </a:r>
          </a:p>
          <a:p>
            <a:r>
              <a:rPr lang="cs-CZ" dirty="0" smtClean="0"/>
              <a:t>Pracovníci první linie = těžiště zabezpečování jakosti služeb</a:t>
            </a:r>
          </a:p>
          <a:p>
            <a:pPr lvl="1"/>
            <a:r>
              <a:rPr lang="cs-CZ" sz="2100" dirty="0" smtClean="0"/>
              <a:t>Role lidského faktoru = měkká jakost</a:t>
            </a:r>
          </a:p>
          <a:p>
            <a:pPr lvl="1"/>
            <a:r>
              <a:rPr lang="cs-CZ" sz="2100" dirty="0" err="1" smtClean="0"/>
              <a:t>Počit</a:t>
            </a:r>
            <a:r>
              <a:rPr lang="cs-CZ" sz="2100" dirty="0" smtClean="0"/>
              <a:t> péče, neformální zájem, slušnost, kompetence personálu</a:t>
            </a:r>
          </a:p>
          <a:p>
            <a:r>
              <a:rPr lang="cs-CZ" dirty="0" smtClean="0"/>
              <a:t>V popředí jsou individuální přání zákazníka</a:t>
            </a:r>
          </a:p>
          <a:p>
            <a:r>
              <a:rPr lang="cs-CZ" dirty="0" smtClean="0"/>
              <a:t>Cena často nehraje u služeb dominantní roli</a:t>
            </a:r>
          </a:p>
          <a:p>
            <a:pPr lvl="1"/>
            <a:r>
              <a:rPr lang="cs-CZ" sz="2100" dirty="0" smtClean="0"/>
              <a:t>Např. vyhledávání drahých restaurací, služby CR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4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40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Sebehodnocení </a:t>
            </a:r>
            <a:r>
              <a:rPr lang="cs-CZ" dirty="0" smtClean="0"/>
              <a:t>školy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Systematické sbírání, třídění a vyhodnocování validních a </a:t>
            </a:r>
            <a:r>
              <a:rPr lang="cs-CZ" dirty="0" err="1" smtClean="0"/>
              <a:t>reliabilních</a:t>
            </a:r>
            <a:r>
              <a:rPr lang="cs-CZ" dirty="0" smtClean="0"/>
              <a:t> údajů o škole, požadavků a potřeb jejích zákazníků za účelem dalšího rozhodování</a:t>
            </a:r>
          </a:p>
          <a:p>
            <a:pPr lvl="0"/>
            <a:r>
              <a:rPr lang="cs-CZ" dirty="0" smtClean="0"/>
              <a:t>Škola se může rozvíjej jen tehdy, zná-li svoje:</a:t>
            </a:r>
          </a:p>
          <a:p>
            <a:pPr lvl="1"/>
            <a:r>
              <a:rPr lang="cs-CZ" dirty="0" smtClean="0"/>
              <a:t>Slabé stránky – napravuje je, odstraňuje je</a:t>
            </a:r>
          </a:p>
          <a:p>
            <a:pPr lvl="1"/>
            <a:r>
              <a:rPr lang="cs-CZ" dirty="0" smtClean="0"/>
              <a:t>Silné stránky – využívá jich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4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41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Cíle </a:t>
            </a:r>
            <a:r>
              <a:rPr lang="cs-CZ" dirty="0" smtClean="0"/>
              <a:t>sebehodnocení</a:t>
            </a:r>
            <a:r>
              <a:rPr lang="cs-CZ" dirty="0" smtClean="0"/>
              <a:t/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1235676"/>
            <a:ext cx="10753200" cy="4596324"/>
          </a:xfrm>
        </p:spPr>
        <p:txBody>
          <a:bodyPr/>
          <a:lstStyle/>
          <a:p>
            <a:pPr lvl="0"/>
            <a:r>
              <a:rPr lang="cs-CZ" dirty="0" smtClean="0"/>
              <a:t>Zmapování existujícího stavu</a:t>
            </a:r>
          </a:p>
          <a:p>
            <a:pPr lvl="1"/>
            <a:r>
              <a:rPr lang="cs-CZ" dirty="0" smtClean="0"/>
              <a:t>Posouzení výkonnosti a odkrytí nedostatků v odborné činnosti</a:t>
            </a:r>
          </a:p>
          <a:p>
            <a:pPr lvl="0"/>
            <a:r>
              <a:rPr lang="cs-CZ" dirty="0" smtClean="0"/>
              <a:t>Pomoc škole zlepšit se, zvýšit kvalitu školy</a:t>
            </a:r>
          </a:p>
          <a:p>
            <a:pPr lvl="0"/>
            <a:r>
              <a:rPr lang="cs-CZ" dirty="0" smtClean="0"/>
              <a:t>Respektování potřeb, přání a požadavků zákazníků</a:t>
            </a:r>
          </a:p>
          <a:p>
            <a:pPr lvl="0"/>
            <a:r>
              <a:rPr lang="cs-CZ" dirty="0" smtClean="0"/>
              <a:t>Získání odpovědí na otázky:</a:t>
            </a:r>
          </a:p>
          <a:p>
            <a:pPr lvl="1"/>
            <a:r>
              <a:rPr lang="cs-CZ" dirty="0" smtClean="0"/>
              <a:t>Do jaké míry jsme dobří?</a:t>
            </a:r>
          </a:p>
          <a:p>
            <a:pPr lvl="1"/>
            <a:r>
              <a:rPr lang="cs-CZ" dirty="0" smtClean="0"/>
              <a:t>Mohli bychom být ještě lepší?</a:t>
            </a:r>
          </a:p>
          <a:p>
            <a:pPr lvl="0"/>
            <a:r>
              <a:rPr lang="cs-CZ" dirty="0" smtClean="0"/>
              <a:t>Identifikování silných a slabých stránek školy</a:t>
            </a:r>
          </a:p>
          <a:p>
            <a:pPr lvl="0"/>
            <a:r>
              <a:rPr lang="cs-CZ" dirty="0" smtClean="0"/>
              <a:t>Pravidelným hodnocením zjistit dynamiku vývoje školy </a:t>
            </a:r>
          </a:p>
          <a:p>
            <a:pPr lvl="1"/>
            <a:r>
              <a:rPr lang="cs-CZ" dirty="0" smtClean="0"/>
              <a:t>V čem jsme lepší/horší oproti loňskému roku?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4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42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Způsoby hodnocení kvality pro školy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Standardizované modely hodnocení kvality (ISO, EFQM, CAF) nejsou pro školy optimální (viz rozdíly mezi školou a podniky)</a:t>
            </a:r>
          </a:p>
          <a:p>
            <a:pPr lvl="0"/>
            <a:r>
              <a:rPr lang="cs-CZ" dirty="0" smtClean="0"/>
              <a:t>Otevřené </a:t>
            </a:r>
            <a:r>
              <a:rPr lang="cs-CZ" dirty="0" smtClean="0"/>
              <a:t>sebehodnocení </a:t>
            </a:r>
            <a:r>
              <a:rPr lang="cs-CZ" dirty="0" smtClean="0"/>
              <a:t>– možnost jak vykonat </a:t>
            </a:r>
            <a:r>
              <a:rPr lang="cs-CZ" dirty="0" smtClean="0"/>
              <a:t>sebehodnocení </a:t>
            </a:r>
            <a:r>
              <a:rPr lang="cs-CZ" dirty="0" smtClean="0"/>
              <a:t>škol</a:t>
            </a:r>
          </a:p>
          <a:p>
            <a:pPr lvl="1"/>
            <a:r>
              <a:rPr lang="cs-CZ" dirty="0" smtClean="0"/>
              <a:t>Otevřenost = škola si zvolí oblasti </a:t>
            </a:r>
            <a:r>
              <a:rPr lang="cs-CZ" dirty="0" smtClean="0"/>
              <a:t>sebehodnocení </a:t>
            </a:r>
            <a:r>
              <a:rPr lang="cs-CZ" dirty="0" smtClean="0"/>
              <a:t>včetně techniky získávání informací</a:t>
            </a:r>
          </a:p>
          <a:p>
            <a:pPr lvl="0"/>
            <a:r>
              <a:rPr lang="cs-CZ" dirty="0" smtClean="0"/>
              <a:t>Neexistuje jednotná terminologie</a:t>
            </a:r>
          </a:p>
          <a:p>
            <a:pPr lvl="1"/>
            <a:r>
              <a:rPr lang="cs-CZ" dirty="0" smtClean="0"/>
              <a:t>Oblasti hodnocení kvality škol, kritéria kvality, indikátory kvality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4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43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>
          <a:xfrm>
            <a:off x="720000" y="349298"/>
            <a:ext cx="10753200" cy="451576"/>
          </a:xfrm>
        </p:spPr>
        <p:txBody>
          <a:bodyPr/>
          <a:lstStyle/>
          <a:p>
            <a:pPr lvl="0"/>
            <a:r>
              <a:rPr lang="cs-CZ" dirty="0" smtClean="0"/>
              <a:t>V ČR je </a:t>
            </a:r>
            <a:r>
              <a:rPr lang="cs-CZ" dirty="0" smtClean="0"/>
              <a:t>sebehodnocení </a:t>
            </a:r>
            <a:r>
              <a:rPr lang="cs-CZ" dirty="0" smtClean="0"/>
              <a:t>povinností škol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914400"/>
            <a:ext cx="10753200" cy="4917600"/>
          </a:xfrm>
        </p:spPr>
        <p:txBody>
          <a:bodyPr/>
          <a:lstStyle/>
          <a:p>
            <a:r>
              <a:rPr lang="cs-CZ" dirty="0" smtClean="0"/>
              <a:t>Vyhláška MŠMT č. 15/2005 nařizuje všem mateřským, základním, středním, vyšším odborným školám, konzervatořím, jazykovým a uměleckým školám vykonat </a:t>
            </a:r>
            <a:r>
              <a:rPr lang="cs-CZ" dirty="0" err="1" smtClean="0"/>
              <a:t>samohodnocení</a:t>
            </a:r>
            <a:r>
              <a:rPr lang="cs-CZ" dirty="0" smtClean="0"/>
              <a:t> školy nejméně 1 x za 2 roky</a:t>
            </a:r>
          </a:p>
          <a:p>
            <a:r>
              <a:rPr lang="cs-CZ" dirty="0" smtClean="0"/>
              <a:t>Vyhláška nenařizuje obsah a rozsah</a:t>
            </a:r>
          </a:p>
          <a:p>
            <a:r>
              <a:rPr lang="cs-CZ" dirty="0" smtClean="0"/>
              <a:t>Vyhláška doporučuje zaměřit se na:</a:t>
            </a:r>
          </a:p>
          <a:p>
            <a:pPr lvl="1"/>
            <a:r>
              <a:rPr lang="cs-CZ" dirty="0" smtClean="0"/>
              <a:t>Jak škola dosahuje cílů určených v ŠVP, RVP</a:t>
            </a:r>
          </a:p>
          <a:p>
            <a:pPr lvl="1"/>
            <a:r>
              <a:rPr lang="cs-CZ" dirty="0" smtClean="0"/>
              <a:t>Ve kterých oblastech dosahuje škola dobrých výsledků</a:t>
            </a:r>
          </a:p>
          <a:p>
            <a:pPr lvl="1"/>
            <a:r>
              <a:rPr lang="cs-CZ" dirty="0" smtClean="0"/>
              <a:t>Ve kterých oblastech je potřeba úroveň vzdělávání a podmínek vzdělávání zlepšit včetně návrhů na zlepšení</a:t>
            </a:r>
          </a:p>
          <a:p>
            <a:pPr lvl="1"/>
            <a:r>
              <a:rPr lang="cs-CZ" dirty="0" smtClean="0"/>
              <a:t>Jakou účinnost měla předchozí opatření navrhnutá na zlepšení stavu</a:t>
            </a:r>
            <a:endParaRPr lang="cs-CZ" dirty="0"/>
          </a:p>
        </p:txBody>
      </p:sp>
    </p:spTree>
  </p:cSld>
  <p:clrMapOvr>
    <a:masterClrMapping/>
  </p:clrMapOvr>
</p:sld>
</file>

<file path=ppt/slides/slide4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44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Doporučené oblasti </a:t>
            </a:r>
            <a:r>
              <a:rPr lang="cs-CZ" dirty="0" smtClean="0"/>
              <a:t>sebehodnocení </a:t>
            </a:r>
            <a:r>
              <a:rPr lang="cs-CZ" dirty="0" smtClean="0"/>
              <a:t>školy (Turek, 2014)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1878226"/>
            <a:ext cx="10753200" cy="3953773"/>
          </a:xfrm>
        </p:spPr>
        <p:txBody>
          <a:bodyPr numCol="2"/>
          <a:lstStyle/>
          <a:p>
            <a:pPr lvl="0"/>
            <a:r>
              <a:rPr lang="cs-CZ" dirty="0" smtClean="0"/>
              <a:t>Podmínky pro výchovu a vzdělávání na škole</a:t>
            </a:r>
          </a:p>
          <a:p>
            <a:pPr lvl="0"/>
            <a:r>
              <a:rPr lang="cs-CZ" dirty="0" smtClean="0"/>
              <a:t>Řízení a organizace školy</a:t>
            </a:r>
          </a:p>
          <a:p>
            <a:pPr lvl="0"/>
            <a:r>
              <a:rPr lang="cs-CZ" dirty="0" smtClean="0"/>
              <a:t>Vzdělávací program školy</a:t>
            </a:r>
          </a:p>
          <a:p>
            <a:pPr lvl="0"/>
            <a:r>
              <a:rPr lang="cs-CZ" dirty="0" smtClean="0"/>
              <a:t>Učitelé</a:t>
            </a:r>
          </a:p>
          <a:p>
            <a:pPr lvl="0"/>
            <a:r>
              <a:rPr lang="cs-CZ" dirty="0" smtClean="0"/>
              <a:t>Žáci</a:t>
            </a:r>
          </a:p>
          <a:p>
            <a:pPr lvl="0"/>
            <a:r>
              <a:rPr lang="cs-CZ" dirty="0" smtClean="0"/>
              <a:t>Vyučovací proces</a:t>
            </a:r>
          </a:p>
          <a:p>
            <a:pPr lvl="0"/>
            <a:r>
              <a:rPr lang="cs-CZ" dirty="0" smtClean="0"/>
              <a:t>Externí zákazníci školy</a:t>
            </a:r>
          </a:p>
          <a:p>
            <a:pPr lvl="0"/>
            <a:r>
              <a:rPr lang="cs-CZ" dirty="0" smtClean="0"/>
              <a:t>Výsledky výchovy vzdělávání žáků</a:t>
            </a:r>
          </a:p>
          <a:p>
            <a:pPr lvl="0"/>
            <a:r>
              <a:rPr lang="cs-CZ" dirty="0" smtClean="0"/>
              <a:t>Výsledky práce školy</a:t>
            </a:r>
            <a:endParaRPr lang="cs-CZ" dirty="0"/>
          </a:p>
        </p:txBody>
      </p:sp>
    </p:spTree>
  </p:cSld>
  <p:clrMapOvr>
    <a:masterClrMapping/>
  </p:clrMapOvr>
</p:sld>
</file>

<file path=ppt/slides/slide4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45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>
          <a:xfrm>
            <a:off x="818854" y="299871"/>
            <a:ext cx="10753200" cy="451576"/>
          </a:xfrm>
        </p:spPr>
        <p:txBody>
          <a:bodyPr/>
          <a:lstStyle/>
          <a:p>
            <a:r>
              <a:rPr lang="cs-CZ" dirty="0" smtClean="0"/>
              <a:t>Metody získávání informací potřebných k </a:t>
            </a:r>
            <a:r>
              <a:rPr lang="cs-CZ" dirty="0" smtClean="0"/>
              <a:t>sebehodnocení</a:t>
            </a:r>
            <a:r>
              <a:rPr lang="cs-CZ" dirty="0" smtClean="0"/>
              <a:t/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1359243"/>
            <a:ext cx="10753200" cy="4472757"/>
          </a:xfrm>
        </p:spPr>
        <p:txBody>
          <a:bodyPr numCol="2"/>
          <a:lstStyle/>
          <a:p>
            <a:pPr lvl="0"/>
            <a:r>
              <a:rPr lang="cs-CZ" dirty="0" smtClean="0"/>
              <a:t>SWOT analýza</a:t>
            </a:r>
          </a:p>
          <a:p>
            <a:pPr lvl="0"/>
            <a:r>
              <a:rPr lang="cs-CZ" dirty="0" smtClean="0"/>
              <a:t>Dotazníková metoda</a:t>
            </a:r>
          </a:p>
          <a:p>
            <a:pPr lvl="1"/>
            <a:r>
              <a:rPr lang="cs-CZ" dirty="0" smtClean="0"/>
              <a:t>Pro učitele, žáky, rodiče, vedení školy, absolventy, zaměstnavatele absolventů, …)</a:t>
            </a:r>
          </a:p>
          <a:p>
            <a:pPr lvl="0"/>
            <a:r>
              <a:rPr lang="cs-CZ" dirty="0" smtClean="0"/>
              <a:t>Pozorování/hospitace</a:t>
            </a:r>
          </a:p>
          <a:p>
            <a:pPr lvl="0"/>
            <a:r>
              <a:rPr lang="cs-CZ" dirty="0" smtClean="0"/>
              <a:t>Rozhovor</a:t>
            </a:r>
          </a:p>
          <a:p>
            <a:pPr lvl="0"/>
            <a:r>
              <a:rPr lang="cs-CZ" dirty="0" smtClean="0"/>
              <a:t>Brainstorming</a:t>
            </a:r>
          </a:p>
          <a:p>
            <a:pPr lvl="0"/>
            <a:endParaRPr lang="cs-CZ" dirty="0" smtClean="0"/>
          </a:p>
          <a:p>
            <a:pPr lvl="0"/>
            <a:r>
              <a:rPr lang="cs-CZ" dirty="0" err="1" smtClean="0"/>
              <a:t>Portofólio</a:t>
            </a:r>
            <a:r>
              <a:rPr lang="cs-CZ" dirty="0" smtClean="0"/>
              <a:t> školy</a:t>
            </a:r>
          </a:p>
          <a:p>
            <a:pPr lvl="1"/>
            <a:r>
              <a:rPr lang="cs-CZ" dirty="0" smtClean="0"/>
              <a:t>Plán práce školy, správa o činnosti školy, rozpočet, zápisy inspekce, </a:t>
            </a:r>
            <a:r>
              <a:rPr lang="cs-CZ" dirty="0" err="1" smtClean="0"/>
              <a:t>švp</a:t>
            </a:r>
            <a:r>
              <a:rPr lang="cs-CZ" dirty="0" smtClean="0"/>
              <a:t>, školní řád, zápis z rady školy, třídní knihy, inventury, kalendář akcí, webové stránky, seznam sponzorů, články v novinách o škole, …</a:t>
            </a:r>
          </a:p>
          <a:p>
            <a:pPr lvl="0"/>
            <a:r>
              <a:rPr lang="cs-CZ" dirty="0" smtClean="0"/>
              <a:t>Vlastní zkušenosti osob vykonávající sebehodnocení </a:t>
            </a:r>
            <a:r>
              <a:rPr lang="cs-CZ" dirty="0" smtClean="0"/>
              <a:t>školy</a:t>
            </a:r>
            <a:endParaRPr lang="cs-CZ" dirty="0" smtClean="0"/>
          </a:p>
          <a:p>
            <a:endParaRPr lang="cs-CZ" dirty="0"/>
          </a:p>
        </p:txBody>
      </p:sp>
    </p:spTree>
  </p:cSld>
  <p:clrMapOvr>
    <a:masterClrMapping/>
  </p:clrMapOvr>
</p:sld>
</file>

<file path=ppt/slides/slide4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46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Doporučený postu sebehodnocení škol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>
              <a:buNone/>
            </a:pPr>
            <a:r>
              <a:rPr lang="cs-CZ" dirty="0" smtClean="0"/>
              <a:t>Škála 1 – 5 (výborné – nedostatečné) plus 0 – neumím posoudit</a:t>
            </a:r>
          </a:p>
          <a:p>
            <a:pPr marL="586350" lvl="0" indent="-514350">
              <a:buFont typeface="+mj-lt"/>
              <a:buAutoNum type="arabicPeriod"/>
            </a:pPr>
            <a:r>
              <a:rPr lang="cs-CZ" dirty="0" smtClean="0"/>
              <a:t>Motivace zákazníků školy pro realizaci sebehodnocení školy</a:t>
            </a:r>
          </a:p>
          <a:p>
            <a:pPr marL="586350" lvl="0" indent="-514350">
              <a:buFont typeface="+mj-lt"/>
              <a:buAutoNum type="arabicPeriod"/>
            </a:pPr>
            <a:r>
              <a:rPr lang="cs-CZ" dirty="0" smtClean="0"/>
              <a:t>Příprava</a:t>
            </a:r>
          </a:p>
          <a:p>
            <a:pPr marL="586350" lvl="0" indent="-514350">
              <a:buFont typeface="+mj-lt"/>
              <a:buAutoNum type="arabicPeriod"/>
            </a:pPr>
            <a:r>
              <a:rPr lang="cs-CZ" dirty="0" smtClean="0"/>
              <a:t>Realizace</a:t>
            </a:r>
          </a:p>
          <a:p>
            <a:pPr marL="586350" lvl="0" indent="-514350">
              <a:buFont typeface="+mj-lt"/>
              <a:buAutoNum type="arabicPeriod"/>
            </a:pPr>
            <a:r>
              <a:rPr lang="cs-CZ" dirty="0" smtClean="0"/>
              <a:t>Analýza získaných údajů</a:t>
            </a:r>
          </a:p>
          <a:p>
            <a:pPr marL="586350" lvl="0" indent="-514350">
              <a:buFont typeface="+mj-lt"/>
              <a:buAutoNum type="arabicPeriod"/>
            </a:pPr>
            <a:r>
              <a:rPr lang="cs-CZ" dirty="0" smtClean="0"/>
              <a:t>Diskuze</a:t>
            </a:r>
          </a:p>
          <a:p>
            <a:pPr marL="586350" lvl="0" indent="-514350">
              <a:buFont typeface="+mj-lt"/>
              <a:buAutoNum type="arabicPeriod"/>
            </a:pPr>
            <a:r>
              <a:rPr lang="cs-CZ" dirty="0" smtClean="0"/>
              <a:t>Realizace závěrů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4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47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>
          <a:xfrm>
            <a:off x="720000" y="374011"/>
            <a:ext cx="10753200" cy="451576"/>
          </a:xfrm>
        </p:spPr>
        <p:txBody>
          <a:bodyPr/>
          <a:lstStyle/>
          <a:p>
            <a:r>
              <a:rPr lang="cs-CZ" dirty="0" smtClean="0"/>
              <a:t>Otázky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1062681"/>
            <a:ext cx="10753200" cy="4769319"/>
          </a:xfrm>
        </p:spPr>
        <p:txBody>
          <a:bodyPr/>
          <a:lstStyle/>
          <a:p>
            <a:r>
              <a:rPr lang="cs-CZ" sz="2000" dirty="0" smtClean="0"/>
              <a:t>Proč bychom měli usilovat o kvalitní vzdělávání?</a:t>
            </a:r>
          </a:p>
          <a:p>
            <a:r>
              <a:rPr lang="cs-CZ" sz="2000" dirty="0" smtClean="0"/>
              <a:t>Vyjmenujte alespoň 5 rozdílů v pojetí kvality mezi školou a podnikatelskými subjekty.</a:t>
            </a:r>
          </a:p>
          <a:p>
            <a:r>
              <a:rPr lang="cs-CZ" sz="2000" dirty="0" smtClean="0"/>
              <a:t>Vyjmenujte 6 zákazníků vzdělávání.</a:t>
            </a:r>
          </a:p>
          <a:p>
            <a:r>
              <a:rPr lang="cs-CZ" sz="2000" dirty="0" smtClean="0"/>
              <a:t>Měřitelnost výsledků práce v managementu kvality vzdělávání.</a:t>
            </a:r>
          </a:p>
          <a:p>
            <a:r>
              <a:rPr lang="cs-CZ" sz="2000" dirty="0" smtClean="0"/>
              <a:t>Orientace na procesy v managementu kvality vzdělávání.</a:t>
            </a:r>
          </a:p>
          <a:p>
            <a:r>
              <a:rPr lang="cs-CZ" sz="2000" dirty="0" smtClean="0"/>
              <a:t>Vyjmenujte 4 prvky kvality ve školství a stručně je charakterizujte.</a:t>
            </a:r>
          </a:p>
          <a:p>
            <a:r>
              <a:rPr lang="cs-CZ" sz="2000" dirty="0" smtClean="0"/>
              <a:t>Na jaké otázky by si měla škola odpovědět při hodnocení kvality školy a proč?</a:t>
            </a:r>
          </a:p>
          <a:p>
            <a:r>
              <a:rPr lang="cs-CZ" sz="2000" dirty="0" smtClean="0"/>
              <a:t>Sebehodnocení školy a cíle sebehodnocení.</a:t>
            </a:r>
          </a:p>
          <a:p>
            <a:r>
              <a:rPr lang="cs-CZ" sz="2000" dirty="0" smtClean="0"/>
              <a:t>Sebehodnocení škol v ČR.</a:t>
            </a:r>
          </a:p>
          <a:p>
            <a:r>
              <a:rPr lang="cs-CZ" sz="2000" dirty="0" smtClean="0"/>
              <a:t>Doporučené oblasti sebehodnocení podle Turka (2014).</a:t>
            </a:r>
          </a:p>
          <a:p>
            <a:r>
              <a:rPr lang="cs-CZ" sz="2000" dirty="0" smtClean="0"/>
              <a:t>Metody získávání informací potřebných k sebehodnocení</a:t>
            </a:r>
            <a:br>
              <a:rPr lang="cs-CZ" sz="2000" dirty="0" smtClean="0"/>
            </a:br>
            <a:endParaRPr lang="cs-CZ" sz="2000" dirty="0"/>
          </a:p>
        </p:txBody>
      </p:sp>
    </p:spTree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5</a:t>
            </a:fld>
            <a:endParaRPr lang="cs-CZ" alt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>
          <a:xfrm>
            <a:off x="720000" y="494270"/>
            <a:ext cx="10753200" cy="5337730"/>
          </a:xfrm>
        </p:spPr>
        <p:txBody>
          <a:bodyPr/>
          <a:lstStyle/>
          <a:p>
            <a:r>
              <a:rPr lang="cs-CZ" dirty="0" smtClean="0"/>
              <a:t>Důležitou úlohy hrají pozitivní reference vyplývající z maximální spokojenosti zákazníků</a:t>
            </a:r>
          </a:p>
          <a:p>
            <a:pPr lvl="1"/>
            <a:r>
              <a:rPr lang="cs-CZ" sz="2100" dirty="0" smtClean="0"/>
              <a:t>Ztráta image může mít pro organizace služeb mnohem dramatičtější důsledky než u hmotných výrobků</a:t>
            </a:r>
          </a:p>
          <a:p>
            <a:r>
              <a:rPr lang="cs-CZ" dirty="0" smtClean="0"/>
              <a:t>Zákazníci vnímají riziko při nákupu služeb (např. v CK) mnohem intenzivněji než při nákupu hmotných výrobků (např. TV)</a:t>
            </a:r>
          </a:p>
          <a:p>
            <a:pPr lvl="1"/>
            <a:r>
              <a:rPr lang="cs-CZ" sz="2100" dirty="0" smtClean="0"/>
              <a:t>Důležitou roli hraje informovanost zákazníků o tom, co mohou od služby očekávat</a:t>
            </a:r>
          </a:p>
          <a:p>
            <a:r>
              <a:rPr lang="cs-CZ" dirty="0" smtClean="0"/>
              <a:t>Samotná aktivita zákazníka může být významná pro úspěch služby (např. vzdělávání</a:t>
            </a:r>
            <a:r>
              <a:rPr lang="cs-CZ" dirty="0" smtClean="0"/>
              <a:t>)</a:t>
            </a:r>
            <a:endParaRPr lang="cs-CZ" dirty="0" smtClean="0"/>
          </a:p>
        </p:txBody>
      </p:sp>
    </p:spTree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6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Znaky jakosti služeb 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cs-CZ" sz="4000" dirty="0" smtClean="0"/>
              <a:t>dělíme na</a:t>
            </a:r>
            <a:r>
              <a:rPr lang="cs-CZ" sz="4000" dirty="0" smtClean="0"/>
              <a:t>:</a:t>
            </a:r>
            <a:endParaRPr lang="cs-CZ" sz="4000" dirty="0" smtClean="0"/>
          </a:p>
          <a:p>
            <a:pPr lvl="1"/>
            <a:r>
              <a:rPr lang="cs-CZ" sz="3200" dirty="0" smtClean="0"/>
              <a:t>Zjistitelné </a:t>
            </a:r>
            <a:r>
              <a:rPr lang="cs-CZ" sz="3200" dirty="0" smtClean="0"/>
              <a:t>zákazníkem</a:t>
            </a:r>
          </a:p>
          <a:p>
            <a:pPr lvl="2"/>
            <a:r>
              <a:rPr lang="cs-CZ" sz="2400" dirty="0" smtClean="0"/>
              <a:t>rychlost </a:t>
            </a:r>
            <a:r>
              <a:rPr lang="cs-CZ" sz="2400" dirty="0" smtClean="0"/>
              <a:t>obsluhy, přesnost příletů letadel, …</a:t>
            </a:r>
          </a:p>
          <a:p>
            <a:pPr lvl="1"/>
            <a:r>
              <a:rPr lang="cs-CZ" sz="3200" dirty="0" smtClean="0"/>
              <a:t>Neuvědomované si zákazníkem </a:t>
            </a:r>
            <a:endParaRPr lang="cs-CZ" sz="3200" dirty="0" smtClean="0"/>
          </a:p>
          <a:p>
            <a:pPr lvl="2"/>
            <a:r>
              <a:rPr lang="cs-CZ" sz="2400" dirty="0" smtClean="0"/>
              <a:t>kvalifikace </a:t>
            </a:r>
            <a:r>
              <a:rPr lang="cs-CZ" sz="2400" dirty="0" smtClean="0"/>
              <a:t>letora, přepravní kapacita, práce s daty, …</a:t>
            </a:r>
          </a:p>
          <a:p>
            <a:endParaRPr lang="cs-CZ" sz="4000" dirty="0"/>
          </a:p>
        </p:txBody>
      </p:sp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7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lvl="0"/>
            <a:r>
              <a:rPr lang="cs-CZ" dirty="0" smtClean="0"/>
              <a:t>Požadavky na jakost </a:t>
            </a:r>
            <a:r>
              <a:rPr lang="cs-CZ" dirty="0" smtClean="0"/>
              <a:t>služeb</a:t>
            </a:r>
            <a:r>
              <a:rPr lang="cs-CZ" dirty="0" smtClean="0"/>
              <a:t/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marL="0"/>
            <a:r>
              <a:rPr lang="cs-CZ" dirty="0" smtClean="0"/>
              <a:t>spolehlivost, </a:t>
            </a:r>
          </a:p>
          <a:p>
            <a:pPr marL="0"/>
            <a:r>
              <a:rPr lang="cs-CZ" dirty="0" smtClean="0"/>
              <a:t>pružnost, </a:t>
            </a:r>
          </a:p>
          <a:p>
            <a:pPr marL="0"/>
            <a:r>
              <a:rPr lang="cs-CZ" dirty="0" smtClean="0"/>
              <a:t>vhodné prostředí, </a:t>
            </a:r>
          </a:p>
          <a:p>
            <a:pPr marL="0"/>
            <a:r>
              <a:rPr lang="cs-CZ" dirty="0" smtClean="0"/>
              <a:t>odborná způsobilost, </a:t>
            </a:r>
          </a:p>
          <a:p>
            <a:pPr marL="0"/>
            <a:r>
              <a:rPr lang="cs-CZ" dirty="0" smtClean="0"/>
              <a:t>vlídné zacházení, </a:t>
            </a:r>
          </a:p>
          <a:p>
            <a:pPr marL="0"/>
            <a:r>
              <a:rPr lang="cs-CZ" dirty="0" smtClean="0"/>
              <a:t>dostupnost</a:t>
            </a:r>
            <a:endParaRPr lang="cs-CZ" dirty="0"/>
          </a:p>
        </p:txBody>
      </p:sp>
    </p:spTree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8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Jakost procesu</a:t>
            </a:r>
            <a:br>
              <a:rPr lang="cs-CZ" dirty="0" smtClean="0"/>
            </a:b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proces = vzájemně se ovlivňující činnosti, které přeměňují vstupy na výstupy</a:t>
            </a:r>
          </a:p>
          <a:p>
            <a:pPr lvl="0"/>
            <a:r>
              <a:rPr lang="cs-CZ" dirty="0" smtClean="0"/>
              <a:t>v procesech se produkt realizuje, plánuje, vyvíjí, hodnotí a zlepšuje</a:t>
            </a:r>
          </a:p>
          <a:p>
            <a:pPr lvl="0"/>
            <a:r>
              <a:rPr lang="cs-CZ" dirty="0" smtClean="0"/>
              <a:t>dokonalý průběh procesů = dokonalý produkt</a:t>
            </a:r>
          </a:p>
          <a:p>
            <a:pPr lvl="0">
              <a:buFont typeface="Symbol"/>
              <a:buChar char="Þ"/>
            </a:pPr>
            <a:r>
              <a:rPr lang="cs-CZ" dirty="0" smtClean="0"/>
              <a:t>nečekat </a:t>
            </a:r>
            <a:r>
              <a:rPr lang="cs-CZ" dirty="0" smtClean="0"/>
              <a:t>na výsledek, ale průběžně kontrolovat a řídit procesy </a:t>
            </a:r>
            <a:endParaRPr lang="cs-CZ" dirty="0" smtClean="0"/>
          </a:p>
          <a:p>
            <a:pPr lvl="0">
              <a:buFont typeface="Symbol"/>
              <a:buChar char="Þ"/>
            </a:pPr>
            <a:r>
              <a:rPr lang="cs-CZ" dirty="0" smtClean="0"/>
              <a:t>prevence </a:t>
            </a:r>
            <a:r>
              <a:rPr lang="cs-CZ" dirty="0" smtClean="0"/>
              <a:t>při zabezpečování jakosti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ástupný symbol pro zápatí 1"/>
          <p:cNvSpPr>
            <a:spLocks noGrp="1"/>
          </p:cNvSpPr>
          <p:nvPr>
            <p:ph type="ftr" sz="quarter" idx="10"/>
          </p:nvPr>
        </p:nvSpPr>
        <p:spPr/>
        <p:txBody>
          <a:bodyPr/>
          <a:lstStyle/>
          <a:p>
            <a:r>
              <a:rPr lang="cs-CZ" smtClean="0"/>
              <a:t>Definujte zápatí - název prezentace / pracoviště</a:t>
            </a:r>
            <a:endParaRPr lang="cs-CZ" dirty="0"/>
          </a:p>
        </p:txBody>
      </p:sp>
      <p:sp>
        <p:nvSpPr>
          <p:cNvPr id="3" name="Zástupný symbol pro číslo snímku 2"/>
          <p:cNvSpPr>
            <a:spLocks noGrp="1"/>
          </p:cNvSpPr>
          <p:nvPr>
            <p:ph type="sldNum" sz="quarter" idx="11"/>
          </p:nvPr>
        </p:nvSpPr>
        <p:spPr/>
        <p:txBody>
          <a:bodyPr/>
          <a:lstStyle/>
          <a:p>
            <a:fld id="{0970407D-EE58-4A0B-824B-1D3AE42DD9CF}" type="slidenum">
              <a:rPr lang="cs-CZ" altLang="cs-CZ" smtClean="0"/>
              <a:pPr/>
              <a:t>9</a:t>
            </a:fld>
            <a:endParaRPr lang="cs-CZ" altLang="cs-CZ" dirty="0"/>
          </a:p>
        </p:txBody>
      </p:sp>
      <p:sp>
        <p:nvSpPr>
          <p:cNvPr id="4" name="Nadpis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cs-CZ" dirty="0" smtClean="0"/>
              <a:t>Požadavky na jakost procesu:</a:t>
            </a:r>
            <a:endParaRPr lang="cs-CZ" dirty="0"/>
          </a:p>
        </p:txBody>
      </p:sp>
      <p:sp>
        <p:nvSpPr>
          <p:cNvPr id="5" name="Zástupný symbol pro obsah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cs-CZ" dirty="0" smtClean="0"/>
              <a:t>Lidé</a:t>
            </a:r>
          </a:p>
          <a:p>
            <a:pPr lvl="0"/>
            <a:r>
              <a:rPr lang="cs-CZ" dirty="0" smtClean="0"/>
              <a:t>Stroje a nástroje</a:t>
            </a:r>
          </a:p>
          <a:p>
            <a:pPr lvl="0"/>
            <a:r>
              <a:rPr lang="cs-CZ" dirty="0" smtClean="0"/>
              <a:t>Materiál</a:t>
            </a:r>
          </a:p>
          <a:p>
            <a:pPr lvl="0"/>
            <a:r>
              <a:rPr lang="cs-CZ" dirty="0" smtClean="0"/>
              <a:t>Metody</a:t>
            </a:r>
          </a:p>
          <a:p>
            <a:pPr lvl="0"/>
            <a:r>
              <a:rPr lang="cs-CZ" dirty="0" smtClean="0"/>
              <a:t>Prostředí</a:t>
            </a:r>
          </a:p>
          <a:p>
            <a:pPr lvl="0"/>
            <a:r>
              <a:rPr lang="cs-CZ" dirty="0" smtClean="0"/>
              <a:t>Měření</a:t>
            </a:r>
          </a:p>
          <a:p>
            <a:endParaRPr lang="cs-CZ" dirty="0"/>
          </a:p>
        </p:txBody>
      </p:sp>
    </p:spTree>
  </p:cSld>
  <p:clrMapOvr>
    <a:masterClrMapping/>
  </p:clrMapOvr>
</p:sld>
</file>

<file path=ppt/theme/theme1.xml><?xml version="1.0" encoding="utf-8"?>
<a:theme xmlns:a="http://schemas.openxmlformats.org/drawingml/2006/main" name="prezentace-edu-cz">
  <a:themeElements>
    <a:clrScheme name="MUNI MED">
      <a:dk1>
        <a:srgbClr val="000000"/>
      </a:dk1>
      <a:lt1>
        <a:srgbClr val="FFFFFF"/>
      </a:lt1>
      <a:dk2>
        <a:srgbClr val="0000DC"/>
      </a:dk2>
      <a:lt2>
        <a:srgbClr val="FFC000"/>
      </a:lt2>
      <a:accent1>
        <a:srgbClr val="0000DC"/>
      </a:accent1>
      <a:accent2>
        <a:srgbClr val="F01928"/>
      </a:accent2>
      <a:accent3>
        <a:srgbClr val="00AF3F"/>
      </a:accent3>
      <a:accent4>
        <a:srgbClr val="4BC8FF"/>
      </a:accent4>
      <a:accent5>
        <a:srgbClr val="FF7300"/>
      </a:accent5>
      <a:accent6>
        <a:srgbClr val="B9006E"/>
      </a:accent6>
      <a:hlink>
        <a:srgbClr val="0000DC"/>
      </a:hlink>
      <a:folHlink>
        <a:srgbClr val="5AC8AF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miter lim="800000"/>
          <a:headEnd type="none" w="med" len="med"/>
          <a:tailEnd type="none" w="med" len="med"/>
        </a:ln>
        <a:effectLst/>
        <a:extLst>
          <a:ext uri="{AF507438-7753-43E0-B8FC-AC1667EBCBE1}">
            <a14:hiddenEffects xmlns=""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cs-CZ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ahoma" pitchFamily="3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miter lim="800000"/>
          <a:headEnd type="none" w="med" len="med"/>
          <a:tailEnd type="none" w="med" len="med"/>
        </a:ln>
        <a:effectLst/>
        <a:extLst>
          <a:ext uri="{AF507438-7753-43E0-B8FC-AC1667EBCBE1}">
            <a14:hiddenEffects xmlns=""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cs-CZ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ahoma" pitchFamily="34" charset="0"/>
          </a:defRPr>
        </a:defPPr>
      </a:lstStyle>
    </a:lnDef>
  </a:objectDefaults>
  <a:extraClrSchemeLst>
    <a:extraClrScheme>
      <a:clrScheme name="Směsi 1">
        <a:dk1>
          <a:srgbClr val="969696"/>
        </a:dk1>
        <a:lt1>
          <a:srgbClr val="FFFFFF"/>
        </a:lt1>
        <a:dk2>
          <a:srgbClr val="000000"/>
        </a:dk2>
        <a:lt2>
          <a:srgbClr val="DDDDDD"/>
        </a:lt2>
        <a:accent1>
          <a:srgbClr val="00E4A8"/>
        </a:accent1>
        <a:accent2>
          <a:srgbClr val="3333CC"/>
        </a:accent2>
        <a:accent3>
          <a:srgbClr val="AAAAAA"/>
        </a:accent3>
        <a:accent4>
          <a:srgbClr val="DADADA"/>
        </a:accent4>
        <a:accent5>
          <a:srgbClr val="AAEFD1"/>
        </a:accent5>
        <a:accent6>
          <a:srgbClr val="2D2DB9"/>
        </a:accent6>
        <a:hlink>
          <a:srgbClr val="FF5050"/>
        </a:hlink>
        <a:folHlink>
          <a:srgbClr val="FFCF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měsi 2">
        <a:dk1>
          <a:srgbClr val="000000"/>
        </a:dk1>
        <a:lt1>
          <a:srgbClr val="FFFFFF"/>
        </a:lt1>
        <a:dk2>
          <a:srgbClr val="333399"/>
        </a:dk2>
        <a:lt2>
          <a:srgbClr val="1C1C1C"/>
        </a:lt2>
        <a:accent1>
          <a:srgbClr val="00E4A8"/>
        </a:accent1>
        <a:accent2>
          <a:srgbClr val="FFCF01"/>
        </a:accent2>
        <a:accent3>
          <a:srgbClr val="FFFFFF"/>
        </a:accent3>
        <a:accent4>
          <a:srgbClr val="000000"/>
        </a:accent4>
        <a:accent5>
          <a:srgbClr val="AAEFD1"/>
        </a:accent5>
        <a:accent6>
          <a:srgbClr val="E7BB01"/>
        </a:accent6>
        <a:hlink>
          <a:srgbClr val="FF0000"/>
        </a:hlink>
        <a:folHlink>
          <a:srgbClr val="3333CC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měsi 3">
        <a:dk1>
          <a:srgbClr val="000000"/>
        </a:dk1>
        <a:lt1>
          <a:srgbClr val="FFFFFF"/>
        </a:lt1>
        <a:dk2>
          <a:srgbClr val="000000"/>
        </a:dk2>
        <a:lt2>
          <a:srgbClr val="5F5F5F"/>
        </a:lt2>
        <a:accent1>
          <a:srgbClr val="EAEAEA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F3F3F3"/>
        </a:accent5>
        <a:accent6>
          <a:srgbClr val="737373"/>
        </a:accent6>
        <a:hlink>
          <a:srgbClr val="4D4D4D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měsi 4">
        <a:dk1>
          <a:srgbClr val="000094"/>
        </a:dk1>
        <a:lt1>
          <a:srgbClr val="FFFFFF"/>
        </a:lt1>
        <a:dk2>
          <a:srgbClr val="0000CC"/>
        </a:dk2>
        <a:lt2>
          <a:srgbClr val="FFFFCC"/>
        </a:lt2>
        <a:accent1>
          <a:srgbClr val="3193FF"/>
        </a:accent1>
        <a:accent2>
          <a:srgbClr val="9900FF"/>
        </a:accent2>
        <a:accent3>
          <a:srgbClr val="AAAAE2"/>
        </a:accent3>
        <a:accent4>
          <a:srgbClr val="DADADA"/>
        </a:accent4>
        <a:accent5>
          <a:srgbClr val="ADC8FF"/>
        </a:accent5>
        <a:accent6>
          <a:srgbClr val="8A00E7"/>
        </a:accent6>
        <a:hlink>
          <a:srgbClr val="FF3399"/>
        </a:hlink>
        <a:folHlink>
          <a:srgbClr val="FFCC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měsi 5">
        <a:dk1>
          <a:srgbClr val="000000"/>
        </a:dk1>
        <a:lt1>
          <a:srgbClr val="FFFFFF"/>
        </a:lt1>
        <a:dk2>
          <a:srgbClr val="000066"/>
        </a:dk2>
        <a:lt2>
          <a:srgbClr val="333333"/>
        </a:lt2>
        <a:accent1>
          <a:srgbClr val="C4709A"/>
        </a:accent1>
        <a:accent2>
          <a:srgbClr val="4B4EB5"/>
        </a:accent2>
        <a:accent3>
          <a:srgbClr val="FFFFFF"/>
        </a:accent3>
        <a:accent4>
          <a:srgbClr val="000000"/>
        </a:accent4>
        <a:accent5>
          <a:srgbClr val="DEBBCA"/>
        </a:accent5>
        <a:accent6>
          <a:srgbClr val="4346A4"/>
        </a:accent6>
        <a:hlink>
          <a:srgbClr val="C481CF"/>
        </a:hlink>
        <a:folHlink>
          <a:srgbClr val="76B749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měsi 6">
        <a:dk1>
          <a:srgbClr val="000000"/>
        </a:dk1>
        <a:lt1>
          <a:srgbClr val="FFFFFF"/>
        </a:lt1>
        <a:dk2>
          <a:srgbClr val="6A4076"/>
        </a:dk2>
        <a:lt2>
          <a:srgbClr val="969696"/>
        </a:lt2>
        <a:accent1>
          <a:srgbClr val="DBA9C2"/>
        </a:accent1>
        <a:accent2>
          <a:srgbClr val="E1BF91"/>
        </a:accent2>
        <a:accent3>
          <a:srgbClr val="FFFFFF"/>
        </a:accent3>
        <a:accent4>
          <a:srgbClr val="000000"/>
        </a:accent4>
        <a:accent5>
          <a:srgbClr val="EAD1DD"/>
        </a:accent5>
        <a:accent6>
          <a:srgbClr val="CCAD83"/>
        </a:accent6>
        <a:hlink>
          <a:srgbClr val="B3CE82"/>
        </a:hlink>
        <a:folHlink>
          <a:srgbClr val="B8AD48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měsi 7">
        <a:dk1>
          <a:srgbClr val="000000"/>
        </a:dk1>
        <a:lt1>
          <a:srgbClr val="FFFFFF"/>
        </a:lt1>
        <a:dk2>
          <a:srgbClr val="515F7B"/>
        </a:dk2>
        <a:lt2>
          <a:srgbClr val="808080"/>
        </a:lt2>
        <a:accent1>
          <a:srgbClr val="9FCAD3"/>
        </a:accent1>
        <a:accent2>
          <a:srgbClr val="C0C0C0"/>
        </a:accent2>
        <a:accent3>
          <a:srgbClr val="FFFFFF"/>
        </a:accent3>
        <a:accent4>
          <a:srgbClr val="000000"/>
        </a:accent4>
        <a:accent5>
          <a:srgbClr val="CDE1E6"/>
        </a:accent5>
        <a:accent6>
          <a:srgbClr val="AEAEAE"/>
        </a:accent6>
        <a:hlink>
          <a:srgbClr val="91AFBF"/>
        </a:hlink>
        <a:folHlink>
          <a:srgbClr val="ECEAAC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="" xmlns:thm15="http://schemas.microsoft.com/office/thememl/2012/main" name="Prezentace-EDU-CZ.potx" id="{8FD1629D-3839-4F88-8028-8A89168F1D21}" vid="{6F6C369B-0563-478E-9F77-48BCECFDEE8C}"/>
    </a:ext>
  </a:extLst>
</a:theme>
</file>

<file path=ppt/theme/theme2.xml><?xml version="1.0" encoding="utf-8"?>
<a:theme xmlns:a="http://schemas.openxmlformats.org/drawingml/2006/main" name="Motiv systému Office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009999"/>
      </a:hlink>
      <a:folHlink>
        <a:srgbClr val="99CC00"/>
      </a:folHlink>
    </a:clrScheme>
    <a:fontScheme name="Kancelář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3.xml><?xml version="1.0" encoding="utf-8"?>
<a:theme xmlns:a="http://schemas.openxmlformats.org/drawingml/2006/main" name="Motiv systému Office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CC99"/>
      </a:accent1>
      <a:accent2>
        <a:srgbClr val="3333CC"/>
      </a:accent2>
      <a:accent3>
        <a:srgbClr val="FFFFFF"/>
      </a:accent3>
      <a:accent4>
        <a:srgbClr val="000000"/>
      </a:accent4>
      <a:accent5>
        <a:srgbClr val="AAE2CA"/>
      </a:accent5>
      <a:accent6>
        <a:srgbClr val="2D2DB9"/>
      </a:accent6>
      <a:hlink>
        <a:srgbClr val="CCCCFF"/>
      </a:hlink>
      <a:folHlink>
        <a:srgbClr val="B2B2B2"/>
      </a:folHlink>
    </a:clrScheme>
    <a:fontScheme name="Kancelář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prezentace-edu-cz</Template>
  <TotalTime>167</TotalTime>
  <Words>1608</Words>
  <Application>Microsoft Office PowerPoint</Application>
  <PresentationFormat>Vlastní</PresentationFormat>
  <Paragraphs>382</Paragraphs>
  <Slides>47</Slides>
  <Notes>0</Notes>
  <HiddenSlides>0</HiddenSlides>
  <MMClips>0</MMClips>
  <ScaleCrop>false</ScaleCrop>
  <HeadingPairs>
    <vt:vector size="4" baseType="variant">
      <vt:variant>
        <vt:lpstr>Motiv</vt:lpstr>
      </vt:variant>
      <vt:variant>
        <vt:i4>1</vt:i4>
      </vt:variant>
      <vt:variant>
        <vt:lpstr>Nadpisy snímků</vt:lpstr>
      </vt:variant>
      <vt:variant>
        <vt:i4>47</vt:i4>
      </vt:variant>
    </vt:vector>
  </HeadingPairs>
  <TitlesOfParts>
    <vt:vector size="48" baseType="lpstr">
      <vt:lpstr>prezentace-edu-cz</vt:lpstr>
      <vt:lpstr>Management jakosti ve službách</vt:lpstr>
      <vt:lpstr>Management jakosti ve službách</vt:lpstr>
      <vt:lpstr>Jakost služeb </vt:lpstr>
      <vt:lpstr>Charakteristické znaky služeb</vt:lpstr>
      <vt:lpstr>Snímek 5</vt:lpstr>
      <vt:lpstr>Znaky jakosti služeb  </vt:lpstr>
      <vt:lpstr>Požadavky na jakost služeb </vt:lpstr>
      <vt:lpstr>Jakost procesu </vt:lpstr>
      <vt:lpstr>Požadavky na jakost procesu:</vt:lpstr>
      <vt:lpstr>Lidé </vt:lpstr>
      <vt:lpstr>Požadavky na osobní kvality</vt:lpstr>
      <vt:lpstr>Stroje a nástroje</vt:lpstr>
      <vt:lpstr>Materiály a pomocné přípravky </vt:lpstr>
      <vt:lpstr>Prostředí </vt:lpstr>
      <vt:lpstr>Postupy</vt:lpstr>
      <vt:lpstr>Měření </vt:lpstr>
      <vt:lpstr>Podstata a postupy managementu jakosti ve službách </vt:lpstr>
      <vt:lpstr>Jakost služeb podle ČSN ISO 9004-2018 Smyčka jakosti služeb  </vt:lpstr>
      <vt:lpstr>Marketingový průzkum</vt:lpstr>
      <vt:lpstr>Stručný popis služby</vt:lpstr>
      <vt:lpstr>Návrh služby = podrobná specifikace</vt:lpstr>
      <vt:lpstr>Výsledky poskytování služby </vt:lpstr>
      <vt:lpstr>Př.: Monitoring míry spokojenosti se světovými leteckými společnostmi </vt:lpstr>
      <vt:lpstr>Př.: měřitelné znaky jakosti firmy udržující a opravující výtahy včetně kvantifikovatelných ukazatelů</vt:lpstr>
      <vt:lpstr>Otázky</vt:lpstr>
      <vt:lpstr>Kvalita vzdělávání</vt:lpstr>
      <vt:lpstr>Kvalita vzdělávání</vt:lpstr>
      <vt:lpstr>Rozdíly mezi školou a podnikatelskými subjekty</vt:lpstr>
      <vt:lpstr>Zákazníci vzdělávání</vt:lpstr>
      <vt:lpstr>Jedním z principů managementu kvality je měřitelnost výsledků práce, ale…</vt:lpstr>
      <vt:lpstr>Problém je i s dalším principem managementu kvality – s orientací na procesy</vt:lpstr>
      <vt:lpstr>Hnacím motorem pro neustálé zvyšování kvality je konkurence</vt:lpstr>
      <vt:lpstr>Prvky kvality ve školství </vt:lpstr>
      <vt:lpstr>Vzdělávací systém </vt:lpstr>
      <vt:lpstr>Škola</vt:lpstr>
      <vt:lpstr>Vyučovací proces </vt:lpstr>
      <vt:lpstr>Učení se žáků/studentů</vt:lpstr>
      <vt:lpstr>Hodnocení kvality školy</vt:lpstr>
      <vt:lpstr>Snímek 39</vt:lpstr>
      <vt:lpstr>Sebehodnocení školy </vt:lpstr>
      <vt:lpstr>Cíle sebehodnocení </vt:lpstr>
      <vt:lpstr>Způsoby hodnocení kvality pro školy </vt:lpstr>
      <vt:lpstr>V ČR je sebehodnocení povinností škol</vt:lpstr>
      <vt:lpstr>Doporučené oblasti sebehodnocení školy (Turek, 2014) </vt:lpstr>
      <vt:lpstr>Metody získávání informací potřebných k sebehodnocení </vt:lpstr>
      <vt:lpstr>Doporučený postu sebehodnocení škol</vt:lpstr>
      <vt:lpstr>Otázky</vt:lpstr>
    </vt:vector>
  </TitlesOfParts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Snímek 1</dc:title>
  <dc:creator>Lenovo</dc:creator>
  <cp:lastModifiedBy>Lenovo</cp:lastModifiedBy>
  <cp:revision>24</cp:revision>
  <cp:lastPrinted>1601-01-01T00:00:00Z</cp:lastPrinted>
  <dcterms:created xsi:type="dcterms:W3CDTF">2019-06-11T20:19:30Z</dcterms:created>
  <dcterms:modified xsi:type="dcterms:W3CDTF">2020-02-11T21:12:50Z</dcterms:modified>
</cp:coreProperties>
</file>