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74" w:rsidRPr="00C00174" w:rsidRDefault="00C00174" w:rsidP="00C00174">
      <w:pPr>
        <w:autoSpaceDE w:val="0"/>
        <w:autoSpaceDN w:val="0"/>
        <w:adjustRightInd w:val="0"/>
        <w:spacing w:after="0" w:line="240" w:lineRule="auto"/>
        <w:jc w:val="center"/>
        <w:rPr>
          <w:rFonts w:ascii="Times New Roman" w:hAnsi="Times New Roman" w:cs="Times New Roman"/>
          <w:color w:val="1C0E00"/>
          <w:sz w:val="24"/>
          <w:szCs w:val="24"/>
        </w:rPr>
      </w:pPr>
      <w:r w:rsidRPr="00C00174">
        <w:rPr>
          <w:rFonts w:ascii="Times New Roman" w:hAnsi="Times New Roman" w:cs="Times New Roman"/>
          <w:color w:val="1C0E00"/>
          <w:sz w:val="24"/>
          <w:szCs w:val="24"/>
        </w:rPr>
        <w:t>La surproduction a entraîné un recul de 30 % des ventes moyennes par titre en dix ans</w:t>
      </w:r>
    </w:p>
    <w:p w:rsidR="00C00174" w:rsidRPr="00672E0C" w:rsidRDefault="00C00174" w:rsidP="00C27A29">
      <w:pPr>
        <w:autoSpaceDE w:val="0"/>
        <w:autoSpaceDN w:val="0"/>
        <w:adjustRightInd w:val="0"/>
        <w:spacing w:after="0" w:line="240" w:lineRule="auto"/>
        <w:jc w:val="center"/>
        <w:rPr>
          <w:rFonts w:ascii="Times New Roman" w:hAnsi="Times New Roman" w:cs="Times New Roman"/>
          <w:b/>
          <w:color w:val="1C0E00"/>
          <w:sz w:val="48"/>
          <w:szCs w:val="48"/>
        </w:rPr>
      </w:pPr>
      <w:r w:rsidRPr="00672E0C">
        <w:rPr>
          <w:rFonts w:ascii="Times New Roman" w:hAnsi="Times New Roman" w:cs="Times New Roman"/>
          <w:b/>
          <w:color w:val="1C0E00"/>
          <w:sz w:val="48"/>
          <w:szCs w:val="48"/>
        </w:rPr>
        <w:t>Des livres par-dessus le marché</w:t>
      </w:r>
    </w:p>
    <w:p w:rsidR="00C00174" w:rsidRPr="00C27A29" w:rsidRDefault="00C27A29" w:rsidP="00C27A29">
      <w:pPr>
        <w:autoSpaceDE w:val="0"/>
        <w:autoSpaceDN w:val="0"/>
        <w:adjustRightInd w:val="0"/>
        <w:spacing w:line="240" w:lineRule="auto"/>
        <w:jc w:val="center"/>
        <w:rPr>
          <w:rFonts w:ascii="Times New Roman" w:hAnsi="Times New Roman" w:cs="Times New Roman"/>
          <w:b/>
          <w:bCs/>
          <w:color w:val="1C0E00"/>
          <w:sz w:val="16"/>
          <w:szCs w:val="16"/>
        </w:rPr>
      </w:pPr>
      <w:r w:rsidRPr="00C27A29">
        <w:rPr>
          <w:rFonts w:ascii="Times New Roman" w:hAnsi="Times New Roman" w:cs="Times New Roman"/>
          <w:b/>
          <w:bCs/>
          <w:color w:val="1C0E00"/>
          <w:sz w:val="16"/>
          <w:szCs w:val="16"/>
        </w:rPr>
        <w:t>Macha</w:t>
      </w:r>
      <w:r w:rsidR="00C00174" w:rsidRPr="00C27A29">
        <w:rPr>
          <w:rFonts w:ascii="Times New Roman" w:hAnsi="Times New Roman" w:cs="Times New Roman"/>
          <w:b/>
          <w:bCs/>
          <w:color w:val="1C0E00"/>
          <w:sz w:val="16"/>
          <w:szCs w:val="16"/>
        </w:rPr>
        <w:t xml:space="preserve"> </w:t>
      </w:r>
      <w:proofErr w:type="spellStart"/>
      <w:r w:rsidRPr="00C27A29">
        <w:rPr>
          <w:rFonts w:ascii="Times New Roman" w:hAnsi="Times New Roman" w:cs="Times New Roman"/>
          <w:b/>
          <w:bCs/>
          <w:color w:val="1C0E00"/>
          <w:sz w:val="16"/>
          <w:szCs w:val="16"/>
        </w:rPr>
        <w:t>S</w:t>
      </w:r>
      <w:r w:rsidR="00C00174" w:rsidRPr="00C27A29">
        <w:rPr>
          <w:rFonts w:ascii="Times New Roman" w:hAnsi="Times New Roman" w:cs="Times New Roman"/>
          <w:b/>
          <w:bCs/>
          <w:color w:val="1C0E00"/>
          <w:sz w:val="16"/>
          <w:szCs w:val="16"/>
        </w:rPr>
        <w:t>éry</w:t>
      </w:r>
      <w:proofErr w:type="spellEnd"/>
      <w:r w:rsidR="00C00174" w:rsidRPr="00C27A29">
        <w:rPr>
          <w:rFonts w:ascii="Times New Roman" w:hAnsi="Times New Roman" w:cs="Times New Roman"/>
        </w:rPr>
        <w:t xml:space="preserve"> </w:t>
      </w:r>
      <w:r w:rsidRPr="00C27A29">
        <w:rPr>
          <w:rFonts w:ascii="Times New Roman" w:hAnsi="Times New Roman" w:cs="Times New Roman"/>
        </w:rPr>
        <w:t xml:space="preserve">- </w:t>
      </w:r>
      <w:r w:rsidR="00C00174" w:rsidRPr="00C27A29">
        <w:rPr>
          <w:rFonts w:ascii="Times New Roman" w:hAnsi="Times New Roman" w:cs="Times New Roman"/>
          <w:b/>
          <w:bCs/>
          <w:i/>
          <w:color w:val="1C0E00"/>
          <w:sz w:val="16"/>
          <w:szCs w:val="16"/>
        </w:rPr>
        <w:t>Le Monde</w:t>
      </w:r>
      <w:r w:rsidR="00C00174" w:rsidRPr="00C27A29">
        <w:rPr>
          <w:rFonts w:ascii="Times New Roman" w:hAnsi="Times New Roman" w:cs="Times New Roman"/>
          <w:b/>
          <w:bCs/>
          <w:color w:val="1C0E00"/>
          <w:sz w:val="16"/>
          <w:szCs w:val="16"/>
        </w:rPr>
        <w:t xml:space="preserve"> </w:t>
      </w:r>
      <w:r w:rsidR="00C00174" w:rsidRPr="00C27A29">
        <w:rPr>
          <w:rFonts w:ascii="Times New Roman" w:hAnsi="Times New Roman" w:cs="Times New Roman"/>
          <w:bCs/>
          <w:color w:val="1C0E00"/>
          <w:sz w:val="16"/>
          <w:szCs w:val="16"/>
        </w:rPr>
        <w:t>du vendredi 2 novembre 2018</w:t>
      </w:r>
    </w:p>
    <w:p w:rsidR="00C00174" w:rsidRPr="00C27A29" w:rsidRDefault="00C00174" w:rsidP="00C27A29">
      <w:pPr>
        <w:autoSpaceDE w:val="0"/>
        <w:autoSpaceDN w:val="0"/>
        <w:adjustRightInd w:val="0"/>
        <w:spacing w:line="240" w:lineRule="auto"/>
        <w:jc w:val="both"/>
        <w:rPr>
          <w:rFonts w:ascii="Times New Roman" w:hAnsi="Times New Roman" w:cs="Times New Roman"/>
          <w:color w:val="1C0E00"/>
          <w:sz w:val="24"/>
          <w:szCs w:val="24"/>
        </w:rPr>
      </w:pPr>
      <w:r w:rsidRPr="00C27A29">
        <w:rPr>
          <w:rFonts w:ascii="Times New Roman" w:hAnsi="Times New Roman" w:cs="Times New Roman"/>
          <w:sz w:val="24"/>
          <w:szCs w:val="24"/>
        </w:rPr>
        <w:t>I</w:t>
      </w:r>
      <w:r w:rsidRPr="00C27A29">
        <w:rPr>
          <w:rFonts w:ascii="Times New Roman" w:hAnsi="Times New Roman" w:cs="Times New Roman"/>
          <w:color w:val="1C0E00"/>
          <w:sz w:val="24"/>
          <w:szCs w:val="24"/>
        </w:rPr>
        <w:t xml:space="preserve">nsuffisamment de place dans les rayonnages des librairies et les colonnes de journaux. En vingt ans, la surproduction éditoriale, qu’Emile Zola déplorait déjà en 1880, a pris d’inquiétantes proportions. Car l’abondance de l’offre – une chance en soi – ne profite finalement ni aux auteurs ni aux lecteurs. Pis, elle entraîne une mévente de la majorité de la production. Dans un essai qui a fait date, </w:t>
      </w:r>
      <w:r w:rsidRPr="00C27A29">
        <w:rPr>
          <w:rFonts w:ascii="Times New Roman" w:hAnsi="Times New Roman" w:cs="Times New Roman"/>
          <w:i/>
          <w:iCs/>
          <w:color w:val="1C0E00"/>
          <w:sz w:val="24"/>
          <w:szCs w:val="24"/>
        </w:rPr>
        <w:t>La Longue</w:t>
      </w:r>
      <w:r w:rsidRPr="00C27A29">
        <w:rPr>
          <w:rFonts w:ascii="Times New Roman" w:hAnsi="Times New Roman" w:cs="Times New Roman"/>
          <w:color w:val="1C0E00"/>
          <w:sz w:val="24"/>
          <w:szCs w:val="24"/>
        </w:rPr>
        <w:t xml:space="preserve"> </w:t>
      </w:r>
      <w:r w:rsidRPr="00C27A29">
        <w:rPr>
          <w:rFonts w:ascii="Times New Roman" w:hAnsi="Times New Roman" w:cs="Times New Roman"/>
          <w:i/>
          <w:iCs/>
          <w:color w:val="1C0E00"/>
          <w:sz w:val="24"/>
          <w:szCs w:val="24"/>
        </w:rPr>
        <w:t>Traîne. Comment Internet a bouleversé les</w:t>
      </w:r>
      <w:r w:rsidRPr="00C27A29">
        <w:rPr>
          <w:rFonts w:ascii="Times New Roman" w:hAnsi="Times New Roman" w:cs="Times New Roman"/>
          <w:color w:val="1C0E00"/>
          <w:sz w:val="24"/>
          <w:szCs w:val="24"/>
        </w:rPr>
        <w:t xml:space="preserve"> </w:t>
      </w:r>
      <w:r w:rsidRPr="00C27A29">
        <w:rPr>
          <w:rFonts w:ascii="Times New Roman" w:hAnsi="Times New Roman" w:cs="Times New Roman"/>
          <w:i/>
          <w:iCs/>
          <w:color w:val="1C0E00"/>
          <w:sz w:val="24"/>
          <w:szCs w:val="24"/>
        </w:rPr>
        <w:t xml:space="preserve">lois du commerce, </w:t>
      </w:r>
      <w:r w:rsidRPr="00C27A29">
        <w:rPr>
          <w:rFonts w:ascii="Times New Roman" w:hAnsi="Times New Roman" w:cs="Times New Roman"/>
          <w:color w:val="1C0E00"/>
          <w:sz w:val="24"/>
          <w:szCs w:val="24"/>
        </w:rPr>
        <w:t xml:space="preserve">réédité en poche en mai (Flammarion, « Champs », 400 p., 8 €), le journaliste et économiste américain </w:t>
      </w:r>
      <w:bookmarkStart w:id="0" w:name="_GoBack"/>
      <w:r w:rsidRPr="00C27A29">
        <w:rPr>
          <w:rFonts w:ascii="Times New Roman" w:hAnsi="Times New Roman" w:cs="Times New Roman"/>
          <w:color w:val="1C0E00"/>
          <w:sz w:val="24"/>
          <w:szCs w:val="24"/>
        </w:rPr>
        <w:t>Chris Anderson pronostiquait en 2006 que les marchés de niche étaient appelés à se développer et à réduire le niveau global de concentration des ventes</w:t>
      </w:r>
      <w:bookmarkEnd w:id="0"/>
      <w:r w:rsidRPr="00C27A29">
        <w:rPr>
          <w:rFonts w:ascii="Times New Roman" w:hAnsi="Times New Roman" w:cs="Times New Roman"/>
          <w:color w:val="1C0E00"/>
          <w:sz w:val="24"/>
          <w:szCs w:val="24"/>
        </w:rPr>
        <w:t xml:space="preserve">. Or il n’en est rien, comme en témoigne une synthèse portant sur l’« évolution de la diversité consommée sur le marché du livre, 2007-2016 », conduite par Olivier </w:t>
      </w:r>
      <w:proofErr w:type="spellStart"/>
      <w:r w:rsidRPr="00C27A29">
        <w:rPr>
          <w:rFonts w:ascii="Times New Roman" w:hAnsi="Times New Roman" w:cs="Times New Roman"/>
          <w:color w:val="1C0E00"/>
          <w:sz w:val="24"/>
          <w:szCs w:val="24"/>
        </w:rPr>
        <w:t>Donnat</w:t>
      </w:r>
      <w:proofErr w:type="spellEnd"/>
      <w:r w:rsidRPr="00C27A29">
        <w:rPr>
          <w:rFonts w:ascii="Times New Roman" w:hAnsi="Times New Roman" w:cs="Times New Roman"/>
          <w:color w:val="1C0E00"/>
          <w:sz w:val="24"/>
          <w:szCs w:val="24"/>
        </w:rPr>
        <w:t>, chargé d’études au ministère de la culture.</w:t>
      </w:r>
    </w:p>
    <w:p w:rsidR="00C00174" w:rsidRPr="00C27A29" w:rsidRDefault="00C00174" w:rsidP="00C27A29">
      <w:pPr>
        <w:autoSpaceDE w:val="0"/>
        <w:autoSpaceDN w:val="0"/>
        <w:adjustRightInd w:val="0"/>
        <w:spacing w:line="240" w:lineRule="auto"/>
        <w:jc w:val="both"/>
        <w:rPr>
          <w:rFonts w:ascii="Times New Roman" w:hAnsi="Times New Roman" w:cs="Times New Roman"/>
          <w:color w:val="1C0E00"/>
          <w:sz w:val="24"/>
          <w:szCs w:val="24"/>
        </w:rPr>
      </w:pPr>
      <w:r w:rsidRPr="00C27A29">
        <w:rPr>
          <w:rFonts w:ascii="Times New Roman" w:hAnsi="Times New Roman" w:cs="Times New Roman"/>
          <w:color w:val="1C0E00"/>
          <w:sz w:val="24"/>
          <w:szCs w:val="24"/>
        </w:rPr>
        <w:t xml:space="preserve">Certes, le nombre de titres ayant fait l’objet d’au moins une vente dans l’année a régulièrement progressé au cours de la décennie écoulée (+ 50 %, chiffre imputable notamment à l’autoédition, à la microédition et à la quantité croissante de réimpressions), de même que le nombre de nouveaux auteurs (+ 36 %), alors que l’ensemble du marché accusait un </w:t>
      </w:r>
      <w:r w:rsidR="00C27A29">
        <w:rPr>
          <w:rFonts w:ascii="Times New Roman" w:hAnsi="Times New Roman" w:cs="Times New Roman"/>
          <w:color w:val="1C0E00"/>
          <w:sz w:val="24"/>
          <w:szCs w:val="24"/>
        </w:rPr>
        <w:t xml:space="preserve">recul de 4 %. </w:t>
      </w:r>
      <w:r w:rsidRPr="00C27A29">
        <w:rPr>
          <w:rFonts w:ascii="Times New Roman" w:hAnsi="Times New Roman" w:cs="Times New Roman"/>
          <w:color w:val="1C0E00"/>
          <w:sz w:val="24"/>
          <w:szCs w:val="24"/>
        </w:rPr>
        <w:t>Mais l’émiettement s’est traduit par une diminution de l’ordre d’un tiers du nombre moyen d’exemplaires vendus par livre. Le nombre d’ouvrages qui s’écoulaient jusque-là entre 10 000 et 99 999 exemplaires et étaient donc susceptibles de faire vivre les écrivains de leur plume a diminué de 15 %. Dans le même temps, la concentration des ventes sur les 1 000 premiers titres est passée de 46 % à 50 %, et le cumul de celles enregistrées par les auteurs ayant le plus de succès a grimpé de 35 % à 38 %.</w:t>
      </w:r>
    </w:p>
    <w:p w:rsidR="00C00174" w:rsidRPr="00C27A29" w:rsidRDefault="00C00174" w:rsidP="00C27A29">
      <w:pPr>
        <w:autoSpaceDE w:val="0"/>
        <w:autoSpaceDN w:val="0"/>
        <w:adjustRightInd w:val="0"/>
        <w:spacing w:line="240" w:lineRule="auto"/>
        <w:jc w:val="both"/>
        <w:rPr>
          <w:rFonts w:ascii="Times New Roman" w:hAnsi="Times New Roman" w:cs="Times New Roman"/>
          <w:i/>
          <w:iCs/>
          <w:color w:val="1C0E00"/>
          <w:sz w:val="24"/>
          <w:szCs w:val="24"/>
        </w:rPr>
      </w:pPr>
      <w:r w:rsidRPr="00C27A29">
        <w:rPr>
          <w:rFonts w:ascii="Times New Roman" w:hAnsi="Times New Roman" w:cs="Times New Roman"/>
          <w:i/>
          <w:iCs/>
          <w:color w:val="1C0E00"/>
          <w:sz w:val="24"/>
          <w:szCs w:val="24"/>
        </w:rPr>
        <w:t xml:space="preserve">« Les ventes sur le marché de la littérature générale ont par conséquent évolué plutôt dans le sens d’une polarisation accrue, avec une accentuation de la </w:t>
      </w:r>
      <w:proofErr w:type="spellStart"/>
      <w:r w:rsidRPr="00C27A29">
        <w:rPr>
          <w:rFonts w:ascii="Times New Roman" w:hAnsi="Times New Roman" w:cs="Times New Roman"/>
          <w:i/>
          <w:iCs/>
          <w:color w:val="1C0E00"/>
          <w:sz w:val="24"/>
          <w:szCs w:val="24"/>
        </w:rPr>
        <w:t>bestsellerisation</w:t>
      </w:r>
      <w:proofErr w:type="spellEnd"/>
      <w:r w:rsidRPr="00C27A29">
        <w:rPr>
          <w:rFonts w:ascii="Times New Roman" w:hAnsi="Times New Roman" w:cs="Times New Roman"/>
          <w:i/>
          <w:iCs/>
          <w:color w:val="1C0E00"/>
          <w:sz w:val="24"/>
          <w:szCs w:val="24"/>
        </w:rPr>
        <w:t xml:space="preserve"> d’une part, au détriment exclusif des livres du milieu de la distribution »</w:t>
      </w:r>
      <w:r w:rsidRPr="00C27A29">
        <w:rPr>
          <w:rFonts w:ascii="Times New Roman" w:hAnsi="Times New Roman" w:cs="Times New Roman"/>
          <w:color w:val="1C0E00"/>
          <w:sz w:val="24"/>
          <w:szCs w:val="24"/>
        </w:rPr>
        <w:t xml:space="preserve">, résume Olivier </w:t>
      </w:r>
      <w:proofErr w:type="spellStart"/>
      <w:r w:rsidRPr="00C27A29">
        <w:rPr>
          <w:rFonts w:ascii="Times New Roman" w:hAnsi="Times New Roman" w:cs="Times New Roman"/>
          <w:color w:val="1C0E00"/>
          <w:sz w:val="24"/>
          <w:szCs w:val="24"/>
        </w:rPr>
        <w:t>Donnat</w:t>
      </w:r>
      <w:proofErr w:type="spellEnd"/>
      <w:r w:rsidRPr="00C27A29">
        <w:rPr>
          <w:rFonts w:ascii="Times New Roman" w:hAnsi="Times New Roman" w:cs="Times New Roman"/>
          <w:color w:val="1C0E00"/>
          <w:sz w:val="24"/>
          <w:szCs w:val="24"/>
        </w:rPr>
        <w:t xml:space="preserve"> dans</w:t>
      </w:r>
      <w:r w:rsidRPr="00C27A29">
        <w:rPr>
          <w:rFonts w:ascii="Times New Roman" w:hAnsi="Times New Roman" w:cs="Times New Roman"/>
          <w:i/>
          <w:iCs/>
          <w:color w:val="1C0E00"/>
          <w:sz w:val="24"/>
          <w:szCs w:val="24"/>
        </w:rPr>
        <w:t xml:space="preserve"> </w:t>
      </w:r>
      <w:r w:rsidRPr="00C27A29">
        <w:rPr>
          <w:rFonts w:ascii="Times New Roman" w:hAnsi="Times New Roman" w:cs="Times New Roman"/>
          <w:color w:val="1C0E00"/>
          <w:sz w:val="24"/>
          <w:szCs w:val="24"/>
        </w:rPr>
        <w:t xml:space="preserve">son rapport. Le </w:t>
      </w:r>
      <w:r w:rsidRPr="00C27A29">
        <w:rPr>
          <w:rFonts w:ascii="Times New Roman" w:hAnsi="Times New Roman" w:cs="Times New Roman"/>
          <w:i/>
          <w:iCs/>
          <w:color w:val="1C0E00"/>
          <w:sz w:val="24"/>
          <w:szCs w:val="24"/>
        </w:rPr>
        <w:t xml:space="preserve">« contraste entre la minorité d’ouvrages qui dépassent les 100 000 exemplaires vendus, dont le nombre varie tout au long de la décennie entre 120 et 130 titres, et la multitude de livres au lectorat très réduit » </w:t>
      </w:r>
      <w:r w:rsidRPr="00C27A29">
        <w:rPr>
          <w:rFonts w:ascii="Times New Roman" w:hAnsi="Times New Roman" w:cs="Times New Roman"/>
          <w:color w:val="1C0E00"/>
          <w:sz w:val="24"/>
          <w:szCs w:val="24"/>
        </w:rPr>
        <w:t>s’est donc</w:t>
      </w:r>
      <w:r w:rsidRPr="00C27A29">
        <w:rPr>
          <w:rFonts w:ascii="Times New Roman" w:hAnsi="Times New Roman" w:cs="Times New Roman"/>
          <w:i/>
          <w:iCs/>
          <w:color w:val="1C0E00"/>
          <w:sz w:val="24"/>
          <w:szCs w:val="24"/>
        </w:rPr>
        <w:t xml:space="preserve"> </w:t>
      </w:r>
      <w:r w:rsidRPr="00C27A29">
        <w:rPr>
          <w:rFonts w:ascii="Times New Roman" w:hAnsi="Times New Roman" w:cs="Times New Roman"/>
          <w:color w:val="1C0E00"/>
          <w:sz w:val="24"/>
          <w:szCs w:val="24"/>
        </w:rPr>
        <w:t>accentué.</w:t>
      </w:r>
      <w:r w:rsidR="00C27A29">
        <w:rPr>
          <w:rFonts w:ascii="Times New Roman" w:hAnsi="Times New Roman" w:cs="Times New Roman"/>
          <w:i/>
          <w:iCs/>
          <w:color w:val="1C0E00"/>
          <w:sz w:val="24"/>
          <w:szCs w:val="24"/>
        </w:rPr>
        <w:t xml:space="preserve">  </w:t>
      </w:r>
      <w:r w:rsidRPr="00C27A29">
        <w:rPr>
          <w:rFonts w:ascii="Times New Roman" w:hAnsi="Times New Roman" w:cs="Times New Roman"/>
          <w:i/>
          <w:iCs/>
          <w:color w:val="1C0E00"/>
          <w:sz w:val="24"/>
          <w:szCs w:val="24"/>
        </w:rPr>
        <w:t xml:space="preserve">« En mettant chaque année un nombre plus élevé d’ouvrages sur le marché, </w:t>
      </w:r>
      <w:r w:rsidRPr="00C27A29">
        <w:rPr>
          <w:rFonts w:ascii="Times New Roman" w:hAnsi="Times New Roman" w:cs="Times New Roman"/>
          <w:color w:val="1C0E00"/>
          <w:sz w:val="24"/>
          <w:szCs w:val="24"/>
        </w:rPr>
        <w:t>analyse</w:t>
      </w:r>
      <w:r w:rsidRPr="00C27A29">
        <w:rPr>
          <w:rFonts w:ascii="Times New Roman" w:hAnsi="Times New Roman" w:cs="Times New Roman"/>
          <w:i/>
          <w:iCs/>
          <w:color w:val="1C0E00"/>
          <w:sz w:val="24"/>
          <w:szCs w:val="24"/>
        </w:rPr>
        <w:t xml:space="preserve"> </w:t>
      </w:r>
      <w:r w:rsidRPr="00C27A29">
        <w:rPr>
          <w:rFonts w:ascii="Times New Roman" w:hAnsi="Times New Roman" w:cs="Times New Roman"/>
          <w:color w:val="1C0E00"/>
          <w:sz w:val="24"/>
          <w:szCs w:val="24"/>
        </w:rPr>
        <w:t xml:space="preserve">le rapport, </w:t>
      </w:r>
      <w:r w:rsidRPr="00C27A29">
        <w:rPr>
          <w:rFonts w:ascii="Times New Roman" w:hAnsi="Times New Roman" w:cs="Times New Roman"/>
          <w:i/>
          <w:iCs/>
          <w:color w:val="1C0E00"/>
          <w:sz w:val="24"/>
          <w:szCs w:val="24"/>
        </w:rPr>
        <w:t>les principales maisons d’édition ont rendu plus âpre la concurrence pour les rendre visibles, ce qui les a incitées à produire plus pour occuper les tables des librairies, tandis que du côté des libraires, la gestion de flux toujours plus importants de nouveautés a contribué à retourner les invendus dans des délais de plus en plus courts. »</w:t>
      </w:r>
    </w:p>
    <w:p w:rsidR="00C00174" w:rsidRPr="00C27A29" w:rsidRDefault="00C00174" w:rsidP="00C27A29">
      <w:pPr>
        <w:autoSpaceDE w:val="0"/>
        <w:autoSpaceDN w:val="0"/>
        <w:adjustRightInd w:val="0"/>
        <w:spacing w:line="240" w:lineRule="auto"/>
        <w:jc w:val="both"/>
        <w:rPr>
          <w:rFonts w:ascii="Times New Roman" w:hAnsi="Times New Roman" w:cs="Times New Roman"/>
          <w:color w:val="1C0E00"/>
          <w:sz w:val="24"/>
          <w:szCs w:val="24"/>
        </w:rPr>
      </w:pPr>
      <w:r w:rsidRPr="00C27A29">
        <w:rPr>
          <w:rFonts w:ascii="Times New Roman" w:hAnsi="Times New Roman" w:cs="Times New Roman"/>
          <w:color w:val="1C0E00"/>
          <w:sz w:val="24"/>
          <w:szCs w:val="24"/>
        </w:rPr>
        <w:t xml:space="preserve">Moyennant quoi, les riches (Amélie Nothomb, Marc Levy, Guillaume </w:t>
      </w:r>
      <w:proofErr w:type="spellStart"/>
      <w:r w:rsidRPr="00C27A29">
        <w:rPr>
          <w:rFonts w:ascii="Times New Roman" w:hAnsi="Times New Roman" w:cs="Times New Roman"/>
          <w:color w:val="1C0E00"/>
          <w:sz w:val="24"/>
          <w:szCs w:val="24"/>
        </w:rPr>
        <w:t>Musso</w:t>
      </w:r>
      <w:proofErr w:type="spellEnd"/>
      <w:r w:rsidRPr="00C27A29">
        <w:rPr>
          <w:rFonts w:ascii="Times New Roman" w:hAnsi="Times New Roman" w:cs="Times New Roman"/>
          <w:color w:val="1C0E00"/>
          <w:sz w:val="24"/>
          <w:szCs w:val="24"/>
        </w:rPr>
        <w:t xml:space="preserve">, etc.) s’enrichissent davantage, tandis que les auteurs à modeste tirage, qui ont pu obtenir d’honorables succès en des temps plus favorables, se paupérisent ou sont écartés de leur maison d’édition, faute de rendement suffisant. Au mieux, un petit tour et puis s’en va. Au pire, des </w:t>
      </w:r>
      <w:r w:rsidR="00C27A29">
        <w:rPr>
          <w:rFonts w:ascii="Times New Roman" w:hAnsi="Times New Roman" w:cs="Times New Roman"/>
          <w:color w:val="1C0E00"/>
          <w:sz w:val="24"/>
          <w:szCs w:val="24"/>
        </w:rPr>
        <w:t xml:space="preserve">romans peu visibles, mort-nés. </w:t>
      </w:r>
      <w:r w:rsidRPr="00C27A29">
        <w:rPr>
          <w:rFonts w:ascii="Times New Roman" w:hAnsi="Times New Roman" w:cs="Times New Roman"/>
          <w:i/>
          <w:iCs/>
          <w:color w:val="1C0E00"/>
          <w:sz w:val="24"/>
          <w:szCs w:val="24"/>
        </w:rPr>
        <w:t xml:space="preserve">« Les études se multiplient, montrant qu’entre </w:t>
      </w:r>
      <w:r w:rsidR="009C0A5F">
        <w:rPr>
          <w:rFonts w:ascii="Times New Roman" w:hAnsi="Times New Roman" w:cs="Times New Roman"/>
          <w:i/>
          <w:iCs/>
          <w:color w:val="1C0E00"/>
          <w:sz w:val="24"/>
          <w:szCs w:val="24"/>
        </w:rPr>
        <w:t xml:space="preserve"> </w:t>
      </w:r>
      <w:r w:rsidRPr="00C27A29">
        <w:rPr>
          <w:rFonts w:ascii="Times New Roman" w:hAnsi="Times New Roman" w:cs="Times New Roman"/>
          <w:i/>
          <w:iCs/>
          <w:color w:val="1C0E00"/>
          <w:sz w:val="24"/>
          <w:szCs w:val="24"/>
        </w:rPr>
        <w:t xml:space="preserve">41 % et 53 % des professionnels gagnent déjà moins que le smic et que leurs revenus continuent de </w:t>
      </w:r>
      <w:r w:rsidR="009C0A5F">
        <w:rPr>
          <w:rFonts w:ascii="Times New Roman" w:hAnsi="Times New Roman" w:cs="Times New Roman"/>
          <w:i/>
          <w:iCs/>
          <w:color w:val="1C0E00"/>
          <w:sz w:val="24"/>
          <w:szCs w:val="24"/>
        </w:rPr>
        <w:t xml:space="preserve">    </w:t>
      </w:r>
      <w:r w:rsidRPr="00C27A29">
        <w:rPr>
          <w:rFonts w:ascii="Times New Roman" w:hAnsi="Times New Roman" w:cs="Times New Roman"/>
          <w:i/>
          <w:iCs/>
          <w:color w:val="1C0E00"/>
          <w:sz w:val="24"/>
          <w:szCs w:val="24"/>
        </w:rPr>
        <w:t xml:space="preserve">baisser », </w:t>
      </w:r>
      <w:r w:rsidRPr="00C27A29">
        <w:rPr>
          <w:rFonts w:ascii="Times New Roman" w:hAnsi="Times New Roman" w:cs="Times New Roman"/>
          <w:color w:val="1C0E00"/>
          <w:sz w:val="24"/>
          <w:szCs w:val="24"/>
        </w:rPr>
        <w:t>dénonce la Ligue des auteurs professionnels,</w:t>
      </w:r>
      <w:r w:rsidRPr="00C27A29">
        <w:rPr>
          <w:rFonts w:ascii="Times New Roman" w:hAnsi="Times New Roman" w:cs="Times New Roman"/>
          <w:i/>
          <w:iCs/>
          <w:color w:val="1C0E00"/>
          <w:sz w:val="24"/>
          <w:szCs w:val="24"/>
        </w:rPr>
        <w:t xml:space="preserve"> </w:t>
      </w:r>
      <w:r w:rsidRPr="00C27A29">
        <w:rPr>
          <w:rFonts w:ascii="Times New Roman" w:hAnsi="Times New Roman" w:cs="Times New Roman"/>
          <w:color w:val="1C0E00"/>
          <w:sz w:val="24"/>
          <w:szCs w:val="24"/>
        </w:rPr>
        <w:t>créée le 6 septembre. Pourtant,</w:t>
      </w:r>
      <w:r w:rsidRPr="00C27A29">
        <w:rPr>
          <w:rFonts w:ascii="Times New Roman" w:hAnsi="Times New Roman" w:cs="Times New Roman"/>
          <w:i/>
          <w:iCs/>
          <w:color w:val="1C0E00"/>
          <w:sz w:val="24"/>
          <w:szCs w:val="24"/>
        </w:rPr>
        <w:t xml:space="preserve"> </w:t>
      </w:r>
      <w:r w:rsidRPr="00C27A29">
        <w:rPr>
          <w:rFonts w:ascii="Times New Roman" w:hAnsi="Times New Roman" w:cs="Times New Roman"/>
          <w:color w:val="1C0E00"/>
          <w:sz w:val="24"/>
          <w:szCs w:val="24"/>
        </w:rPr>
        <w:t>rappelle-t-elle, le secteur de l’édition</w:t>
      </w:r>
      <w:r w:rsidRPr="00C27A29">
        <w:rPr>
          <w:rFonts w:ascii="Times New Roman" w:hAnsi="Times New Roman" w:cs="Times New Roman"/>
          <w:i/>
          <w:iCs/>
          <w:color w:val="1C0E00"/>
          <w:sz w:val="24"/>
          <w:szCs w:val="24"/>
        </w:rPr>
        <w:t xml:space="preserve"> </w:t>
      </w:r>
      <w:r w:rsidRPr="00C27A29">
        <w:rPr>
          <w:rFonts w:ascii="Times New Roman" w:hAnsi="Times New Roman" w:cs="Times New Roman"/>
          <w:color w:val="1C0E00"/>
          <w:sz w:val="24"/>
          <w:szCs w:val="24"/>
        </w:rPr>
        <w:t>emploie plus de 80 000 personnes en</w:t>
      </w:r>
      <w:r w:rsidRPr="00C27A29">
        <w:rPr>
          <w:rFonts w:ascii="Times New Roman" w:hAnsi="Times New Roman" w:cs="Times New Roman"/>
          <w:i/>
          <w:iCs/>
          <w:color w:val="1C0E00"/>
          <w:sz w:val="24"/>
          <w:szCs w:val="24"/>
        </w:rPr>
        <w:t xml:space="preserve"> </w:t>
      </w:r>
      <w:r w:rsidRPr="00C27A29">
        <w:rPr>
          <w:rFonts w:ascii="Times New Roman" w:hAnsi="Times New Roman" w:cs="Times New Roman"/>
          <w:color w:val="1C0E00"/>
          <w:sz w:val="24"/>
          <w:szCs w:val="24"/>
        </w:rPr>
        <w:t>France, soit un emploi sur cinq dans le</w:t>
      </w:r>
      <w:r w:rsidRPr="00C27A29">
        <w:rPr>
          <w:rFonts w:ascii="Times New Roman" w:hAnsi="Times New Roman" w:cs="Times New Roman"/>
          <w:i/>
          <w:iCs/>
          <w:color w:val="1C0E00"/>
          <w:sz w:val="24"/>
          <w:szCs w:val="24"/>
        </w:rPr>
        <w:t xml:space="preserve"> </w:t>
      </w:r>
      <w:r w:rsidRPr="00C27A29">
        <w:rPr>
          <w:rFonts w:ascii="Times New Roman" w:hAnsi="Times New Roman" w:cs="Times New Roman"/>
          <w:color w:val="1C0E00"/>
          <w:sz w:val="24"/>
          <w:szCs w:val="24"/>
        </w:rPr>
        <w:t>milieu culturel, et représente 1 % du PIB.</w:t>
      </w:r>
      <w:r w:rsidR="00C27A29">
        <w:rPr>
          <w:rFonts w:ascii="Times New Roman" w:hAnsi="Times New Roman" w:cs="Times New Roman"/>
          <w:color w:val="1C0E00"/>
          <w:sz w:val="24"/>
          <w:szCs w:val="24"/>
        </w:rPr>
        <w:t xml:space="preserve"> </w:t>
      </w:r>
      <w:r w:rsidRPr="00C27A29">
        <w:rPr>
          <w:rFonts w:ascii="Times New Roman" w:hAnsi="Times New Roman" w:cs="Times New Roman"/>
          <w:color w:val="1C0E00"/>
          <w:sz w:val="24"/>
          <w:szCs w:val="24"/>
        </w:rPr>
        <w:t xml:space="preserve">La surproduction a été particulièrement préjudiciable au secteur de la bande dessinée, qui a multiplié par dix les ouvrages proposés en vingt ans, passant de 500 albums par an à </w:t>
      </w:r>
      <w:r w:rsidR="00117F59">
        <w:rPr>
          <w:rFonts w:ascii="Times New Roman" w:hAnsi="Times New Roman" w:cs="Times New Roman"/>
          <w:color w:val="1C0E00"/>
          <w:sz w:val="24"/>
          <w:szCs w:val="24"/>
        </w:rPr>
        <w:t xml:space="preserve">  </w:t>
      </w:r>
      <w:r w:rsidRPr="00C27A29">
        <w:rPr>
          <w:rFonts w:ascii="Times New Roman" w:hAnsi="Times New Roman" w:cs="Times New Roman"/>
          <w:color w:val="1C0E00"/>
          <w:sz w:val="24"/>
          <w:szCs w:val="24"/>
        </w:rPr>
        <w:t>5 500 aujourd’hui. La dispersion des ventes s’est aggravée en proportion, divisant drastiquement les revenus des auteurs.</w:t>
      </w:r>
    </w:p>
    <w:p w:rsidR="00C00174" w:rsidRPr="00C27A29" w:rsidRDefault="00C00174" w:rsidP="00C27A29">
      <w:pPr>
        <w:autoSpaceDE w:val="0"/>
        <w:autoSpaceDN w:val="0"/>
        <w:adjustRightInd w:val="0"/>
        <w:spacing w:line="240" w:lineRule="auto"/>
        <w:jc w:val="both"/>
        <w:rPr>
          <w:rFonts w:ascii="Times New Roman" w:hAnsi="Times New Roman" w:cs="Times New Roman"/>
          <w:color w:val="1C0E00"/>
          <w:sz w:val="24"/>
          <w:szCs w:val="24"/>
        </w:rPr>
      </w:pPr>
      <w:r w:rsidRPr="00C27A29">
        <w:rPr>
          <w:rFonts w:ascii="Times New Roman" w:hAnsi="Times New Roman" w:cs="Times New Roman"/>
          <w:color w:val="1C0E00"/>
          <w:sz w:val="24"/>
          <w:szCs w:val="24"/>
        </w:rPr>
        <w:t>Au demeurant, la situation française est loin d’être une exception. L’effacement des « auteurs du milieu » (</w:t>
      </w:r>
      <w:proofErr w:type="spellStart"/>
      <w:r w:rsidRPr="00C27A29">
        <w:rPr>
          <w:rFonts w:ascii="Times New Roman" w:hAnsi="Times New Roman" w:cs="Times New Roman"/>
          <w:i/>
          <w:iCs/>
          <w:color w:val="1C0E00"/>
          <w:sz w:val="24"/>
          <w:szCs w:val="24"/>
        </w:rPr>
        <w:t>mid-list</w:t>
      </w:r>
      <w:proofErr w:type="spellEnd"/>
      <w:r w:rsidRPr="00C27A29">
        <w:rPr>
          <w:rFonts w:ascii="Times New Roman" w:hAnsi="Times New Roman" w:cs="Times New Roman"/>
          <w:color w:val="1C0E00"/>
          <w:sz w:val="24"/>
          <w:szCs w:val="24"/>
        </w:rPr>
        <w:t>, selon le terme en vigueur dans le monde anglopho</w:t>
      </w:r>
      <w:r w:rsidR="005B379C">
        <w:rPr>
          <w:rFonts w:ascii="Times New Roman" w:hAnsi="Times New Roman" w:cs="Times New Roman"/>
          <w:color w:val="1C0E00"/>
          <w:sz w:val="24"/>
          <w:szCs w:val="24"/>
        </w:rPr>
        <w:t>ne) s’est généralisé aux Etats-</w:t>
      </w:r>
      <w:r w:rsidRPr="00C27A29">
        <w:rPr>
          <w:rFonts w:ascii="Times New Roman" w:hAnsi="Times New Roman" w:cs="Times New Roman"/>
          <w:color w:val="1C0E00"/>
          <w:sz w:val="24"/>
          <w:szCs w:val="24"/>
        </w:rPr>
        <w:t xml:space="preserve">Unis et au Royaume-Uni. Partout, face à un choix toujours plus vertigineux, les acheteurs de livres jouent la prudence et optent pour les romans qui se hissent au sommet des palmarès des ventes. Selon un calcul réalisé par les </w:t>
      </w:r>
      <w:r w:rsidR="009C0A5F">
        <w:rPr>
          <w:rFonts w:ascii="Times New Roman" w:hAnsi="Times New Roman" w:cs="Times New Roman"/>
          <w:color w:val="1C0E00"/>
          <w:sz w:val="24"/>
          <w:szCs w:val="24"/>
        </w:rPr>
        <w:t xml:space="preserve">  </w:t>
      </w:r>
      <w:r w:rsidRPr="00C27A29">
        <w:rPr>
          <w:rFonts w:ascii="Times New Roman" w:hAnsi="Times New Roman" w:cs="Times New Roman"/>
          <w:color w:val="1C0E00"/>
          <w:sz w:val="24"/>
          <w:szCs w:val="24"/>
        </w:rPr>
        <w:t xml:space="preserve">« Décodeurs » du </w:t>
      </w:r>
      <w:r w:rsidRPr="00C27A29">
        <w:rPr>
          <w:rFonts w:ascii="Times New Roman" w:hAnsi="Times New Roman" w:cs="Times New Roman"/>
          <w:i/>
          <w:iCs/>
          <w:color w:val="1C0E00"/>
          <w:sz w:val="24"/>
          <w:szCs w:val="24"/>
        </w:rPr>
        <w:t xml:space="preserve">Monde </w:t>
      </w:r>
      <w:r w:rsidRPr="00C27A29">
        <w:rPr>
          <w:rFonts w:ascii="Times New Roman" w:hAnsi="Times New Roman" w:cs="Times New Roman"/>
          <w:color w:val="1C0E00"/>
          <w:sz w:val="24"/>
          <w:szCs w:val="24"/>
        </w:rPr>
        <w:t>à l’automne 2014, au cours duquel étaient parus 607 romans, il faudrait 14 780 jours, soit environ quarante ans, à raison de 15 livres par an – la moyenne des Français −</w:t>
      </w:r>
      <w:r w:rsidRPr="00C27A29">
        <w:rPr>
          <w:rFonts w:ascii="Times New Roman" w:hAnsi="Times New Roman" w:cs="Times New Roman"/>
          <w:b/>
          <w:bCs/>
          <w:color w:val="1C0E00"/>
          <w:sz w:val="24"/>
          <w:szCs w:val="24"/>
        </w:rPr>
        <w:t xml:space="preserve">  </w:t>
      </w:r>
      <w:r w:rsidRPr="00C27A29">
        <w:rPr>
          <w:rFonts w:ascii="Times New Roman" w:hAnsi="Times New Roman" w:cs="Times New Roman"/>
          <w:color w:val="1C0E00"/>
          <w:sz w:val="24"/>
          <w:szCs w:val="24"/>
        </w:rPr>
        <w:t>pour dévorer toutes les nouveautés d’une rentrée littéraire.</w:t>
      </w:r>
    </w:p>
    <w:sectPr w:rsidR="00C00174" w:rsidRPr="00C27A29" w:rsidSect="00672E0C">
      <w:headerReference w:type="default" r:id="rId7"/>
      <w:pgSz w:w="11906" w:h="16838"/>
      <w:pgMar w:top="851" w:right="567" w:bottom="397" w:left="851" w:header="340" w:footer="709" w:gutter="0"/>
      <w:lnNumType w:countBy="5" w:distance="1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68" w:rsidRDefault="00B05868" w:rsidP="00672E0C">
      <w:pPr>
        <w:spacing w:after="0" w:line="240" w:lineRule="auto"/>
      </w:pPr>
      <w:r>
        <w:separator/>
      </w:r>
    </w:p>
  </w:endnote>
  <w:endnote w:type="continuationSeparator" w:id="0">
    <w:p w:rsidR="00B05868" w:rsidRDefault="00B05868" w:rsidP="0067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68" w:rsidRDefault="00B05868" w:rsidP="00672E0C">
      <w:pPr>
        <w:spacing w:after="0" w:line="240" w:lineRule="auto"/>
      </w:pPr>
      <w:r>
        <w:separator/>
      </w:r>
    </w:p>
  </w:footnote>
  <w:footnote w:type="continuationSeparator" w:id="0">
    <w:p w:rsidR="00B05868" w:rsidRDefault="00B05868" w:rsidP="00672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0C" w:rsidRDefault="00672E0C" w:rsidP="00672E0C">
    <w:pPr>
      <w:spacing w:after="0"/>
      <w:jc w:val="center"/>
      <w:rPr>
        <w:rFonts w:cs="Times New Roman"/>
        <w:sz w:val="24"/>
        <w:szCs w:val="24"/>
      </w:rPr>
    </w:pPr>
    <w:r>
      <w:rPr>
        <w:rFonts w:cs="Times New Roman"/>
        <w:b/>
        <w:sz w:val="24"/>
        <w:szCs w:val="24"/>
      </w:rPr>
      <w:t>NOM</w:t>
    </w:r>
    <w:r>
      <w:rPr>
        <w:rFonts w:cs="Times New Roman"/>
        <w:sz w:val="24"/>
        <w:szCs w:val="24"/>
      </w:rPr>
      <w:t xml:space="preserve"> Prénom :…………………………………………………………………………………………………………………..……</w:t>
    </w:r>
  </w:p>
  <w:p w:rsidR="00672E0C" w:rsidRDefault="00672E0C" w:rsidP="00672E0C">
    <w:pPr>
      <w:spacing w:after="0" w:line="240" w:lineRule="auto"/>
      <w:jc w:val="center"/>
      <w:rPr>
        <w:rFonts w:cs="Times New Roman"/>
        <w:sz w:val="24"/>
        <w:szCs w:val="24"/>
      </w:rPr>
    </w:pPr>
    <w:r>
      <w:rPr>
        <w:rFonts w:cs="Times New Roman"/>
        <w:b/>
        <w:sz w:val="24"/>
        <w:szCs w:val="24"/>
      </w:rPr>
      <w:t>Date</w:t>
    </w:r>
    <w:r>
      <w:rPr>
        <w:rFonts w:cs="Times New Roman"/>
        <w:sz w:val="24"/>
        <w:szCs w:val="24"/>
      </w:rPr>
      <w:t xml:space="preserve"> :………………………………………………………………………….  </w:t>
    </w:r>
    <w:r>
      <w:rPr>
        <w:rFonts w:cs="Times New Roman"/>
        <w:b/>
        <w:sz w:val="24"/>
        <w:szCs w:val="24"/>
      </w:rPr>
      <w:t>UČO :</w:t>
    </w:r>
    <w:r>
      <w:rPr>
        <w:rFonts w:cs="Times New Roman"/>
        <w:sz w:val="24"/>
        <w:szCs w:val="24"/>
      </w:rPr>
      <w:t>…………………………......……………….</w:t>
    </w:r>
  </w:p>
  <w:tbl>
    <w:tblPr>
      <w:tblStyle w:val="Grilledutableau"/>
      <w:tblW w:w="5000" w:type="pct"/>
      <w:jc w:val="center"/>
      <w:tblLook w:val="04A0" w:firstRow="1" w:lastRow="0" w:firstColumn="1" w:lastColumn="0" w:noHBand="0" w:noVBand="1"/>
    </w:tblPr>
    <w:tblGrid>
      <w:gridCol w:w="3473"/>
      <w:gridCol w:w="3474"/>
      <w:gridCol w:w="3474"/>
    </w:tblGrid>
    <w:tr w:rsidR="00672E0C" w:rsidTr="00343972">
      <w:trPr>
        <w:jc w:val="center"/>
      </w:trPr>
      <w:tc>
        <w:tcPr>
          <w:tcW w:w="1666" w:type="pct"/>
          <w:tcBorders>
            <w:top w:val="single" w:sz="4" w:space="0" w:color="auto"/>
            <w:left w:val="single" w:sz="4" w:space="0" w:color="auto"/>
            <w:bottom w:val="single" w:sz="4" w:space="0" w:color="auto"/>
            <w:right w:val="single" w:sz="4" w:space="0" w:color="auto"/>
          </w:tcBorders>
          <w:hideMark/>
        </w:tcPr>
        <w:p w:rsidR="00672E0C" w:rsidRDefault="00672E0C" w:rsidP="00343972">
          <w:pPr>
            <w:jc w:val="both"/>
            <w:rPr>
              <w:rFonts w:cs="Times New Roman"/>
              <w:sz w:val="26"/>
              <w:szCs w:val="26"/>
            </w:rPr>
          </w:pPr>
          <w:r>
            <w:rPr>
              <w:rFonts w:cs="Times New Roman"/>
              <w:sz w:val="26"/>
              <w:szCs w:val="26"/>
            </w:rPr>
            <w:t xml:space="preserve">Résultat : </w:t>
          </w:r>
        </w:p>
      </w:tc>
      <w:tc>
        <w:tcPr>
          <w:tcW w:w="1667" w:type="pct"/>
          <w:tcBorders>
            <w:top w:val="single" w:sz="4" w:space="0" w:color="auto"/>
            <w:left w:val="single" w:sz="4" w:space="0" w:color="auto"/>
            <w:bottom w:val="single" w:sz="4" w:space="0" w:color="auto"/>
            <w:right w:val="single" w:sz="4" w:space="0" w:color="auto"/>
          </w:tcBorders>
          <w:hideMark/>
        </w:tcPr>
        <w:p w:rsidR="00672E0C" w:rsidRDefault="00672E0C" w:rsidP="00343972">
          <w:pPr>
            <w:jc w:val="right"/>
            <w:rPr>
              <w:rFonts w:cs="Times New Roman"/>
              <w:sz w:val="26"/>
              <w:szCs w:val="26"/>
            </w:rPr>
          </w:pPr>
          <w:r>
            <w:rPr>
              <w:rFonts w:cs="Times New Roman"/>
              <w:sz w:val="26"/>
              <w:szCs w:val="26"/>
            </w:rPr>
            <w:t xml:space="preserve">/ 25 points </w:t>
          </w:r>
        </w:p>
      </w:tc>
      <w:tc>
        <w:tcPr>
          <w:tcW w:w="1667" w:type="pct"/>
          <w:tcBorders>
            <w:top w:val="single" w:sz="4" w:space="0" w:color="auto"/>
            <w:left w:val="single" w:sz="4" w:space="0" w:color="auto"/>
            <w:bottom w:val="single" w:sz="4" w:space="0" w:color="auto"/>
            <w:right w:val="single" w:sz="4" w:space="0" w:color="auto"/>
          </w:tcBorders>
          <w:hideMark/>
        </w:tcPr>
        <w:p w:rsidR="00672E0C" w:rsidRDefault="00672E0C" w:rsidP="00343972">
          <w:pPr>
            <w:jc w:val="right"/>
            <w:rPr>
              <w:rFonts w:cs="Times New Roman"/>
              <w:sz w:val="26"/>
              <w:szCs w:val="26"/>
            </w:rPr>
          </w:pPr>
          <w:r>
            <w:rPr>
              <w:rFonts w:cs="Times New Roman"/>
              <w:sz w:val="26"/>
              <w:szCs w:val="26"/>
            </w:rPr>
            <w:t>%</w:t>
          </w:r>
        </w:p>
      </w:tc>
    </w:tr>
  </w:tbl>
  <w:p w:rsidR="00672E0C" w:rsidRDefault="00672E0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07"/>
    <w:rsid w:val="00117F59"/>
    <w:rsid w:val="001D2347"/>
    <w:rsid w:val="005B379C"/>
    <w:rsid w:val="00672E0C"/>
    <w:rsid w:val="008E4ABB"/>
    <w:rsid w:val="009C0A5F"/>
    <w:rsid w:val="00B05868"/>
    <w:rsid w:val="00C00174"/>
    <w:rsid w:val="00C27A29"/>
    <w:rsid w:val="00E30707"/>
    <w:rsid w:val="00E728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C27A29"/>
  </w:style>
  <w:style w:type="paragraph" w:styleId="En-tte">
    <w:name w:val="header"/>
    <w:basedOn w:val="Normal"/>
    <w:link w:val="En-tteCar"/>
    <w:uiPriority w:val="99"/>
    <w:unhideWhenUsed/>
    <w:rsid w:val="00672E0C"/>
    <w:pPr>
      <w:tabs>
        <w:tab w:val="center" w:pos="4536"/>
        <w:tab w:val="right" w:pos="9072"/>
      </w:tabs>
      <w:spacing w:after="0" w:line="240" w:lineRule="auto"/>
    </w:pPr>
  </w:style>
  <w:style w:type="character" w:customStyle="1" w:styleId="En-tteCar">
    <w:name w:val="En-tête Car"/>
    <w:basedOn w:val="Policepardfaut"/>
    <w:link w:val="En-tte"/>
    <w:uiPriority w:val="99"/>
    <w:rsid w:val="00672E0C"/>
  </w:style>
  <w:style w:type="paragraph" w:styleId="Pieddepage">
    <w:name w:val="footer"/>
    <w:basedOn w:val="Normal"/>
    <w:link w:val="PieddepageCar"/>
    <w:uiPriority w:val="99"/>
    <w:unhideWhenUsed/>
    <w:rsid w:val="00672E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E0C"/>
  </w:style>
  <w:style w:type="table" w:styleId="Grilledutableau">
    <w:name w:val="Table Grid"/>
    <w:basedOn w:val="TableauNormal"/>
    <w:uiPriority w:val="59"/>
    <w:rsid w:val="00672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C27A29"/>
  </w:style>
  <w:style w:type="paragraph" w:styleId="En-tte">
    <w:name w:val="header"/>
    <w:basedOn w:val="Normal"/>
    <w:link w:val="En-tteCar"/>
    <w:uiPriority w:val="99"/>
    <w:unhideWhenUsed/>
    <w:rsid w:val="00672E0C"/>
    <w:pPr>
      <w:tabs>
        <w:tab w:val="center" w:pos="4536"/>
        <w:tab w:val="right" w:pos="9072"/>
      </w:tabs>
      <w:spacing w:after="0" w:line="240" w:lineRule="auto"/>
    </w:pPr>
  </w:style>
  <w:style w:type="character" w:customStyle="1" w:styleId="En-tteCar">
    <w:name w:val="En-tête Car"/>
    <w:basedOn w:val="Policepardfaut"/>
    <w:link w:val="En-tte"/>
    <w:uiPriority w:val="99"/>
    <w:rsid w:val="00672E0C"/>
  </w:style>
  <w:style w:type="paragraph" w:styleId="Pieddepage">
    <w:name w:val="footer"/>
    <w:basedOn w:val="Normal"/>
    <w:link w:val="PieddepageCar"/>
    <w:uiPriority w:val="99"/>
    <w:unhideWhenUsed/>
    <w:rsid w:val="00672E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E0C"/>
  </w:style>
  <w:style w:type="table" w:styleId="Grilledutableau">
    <w:name w:val="Table Grid"/>
    <w:basedOn w:val="TableauNormal"/>
    <w:uiPriority w:val="59"/>
    <w:rsid w:val="00672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724</Words>
  <Characters>3985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4</cp:revision>
  <dcterms:created xsi:type="dcterms:W3CDTF">2018-11-09T10:23:00Z</dcterms:created>
  <dcterms:modified xsi:type="dcterms:W3CDTF">2020-03-22T21:36:00Z</dcterms:modified>
</cp:coreProperties>
</file>