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3C" w:rsidRPr="0039414C" w:rsidRDefault="008C2E3C" w:rsidP="008C2E3C">
      <w:pPr>
        <w:spacing w:after="0" w:line="240" w:lineRule="auto"/>
        <w:rPr>
          <w:rFonts w:cstheme="minorHAnsi"/>
        </w:rPr>
      </w:pPr>
      <w:r w:rsidRPr="0039414C">
        <w:rPr>
          <w:rFonts w:eastAsia="Times New Roman" w:cstheme="minorHAnsi"/>
          <w:sz w:val="24"/>
          <w:szCs w:val="24"/>
          <w:lang w:eastAsia="cs-CZ"/>
        </w:rPr>
        <w:t xml:space="preserve">Zdroj: </w:t>
      </w:r>
      <w:hyperlink r:id="rId5" w:history="1">
        <w:r w:rsidRPr="0039414C">
          <w:rPr>
            <w:rStyle w:val="Hypertextovodkaz"/>
            <w:rFonts w:cstheme="minorHAnsi"/>
          </w:rPr>
          <w:t>https://www.prolekare.cz/tema/hpv-condylomata-ari/detail/virova-infekce-nepravem-prehlizena-etiologie-nedoslychavosti-6889</w:t>
        </w:r>
      </w:hyperlink>
    </w:p>
    <w:p w:rsidR="008C2E3C" w:rsidRPr="0039414C" w:rsidRDefault="008C2E3C" w:rsidP="008C2E3C">
      <w:pPr>
        <w:spacing w:after="0" w:line="240" w:lineRule="auto"/>
        <w:rPr>
          <w:rFonts w:eastAsia="Times New Roman" w:cstheme="minorHAnsi"/>
          <w:color w:val="777777"/>
          <w:sz w:val="24"/>
          <w:szCs w:val="24"/>
          <w:lang w:eastAsia="cs-CZ"/>
        </w:rPr>
      </w:pPr>
    </w:p>
    <w:p w:rsidR="008C2E3C" w:rsidRPr="0039414C" w:rsidRDefault="0039414C" w:rsidP="008C2E3C">
      <w:pPr>
        <w:spacing w:after="0" w:line="240" w:lineRule="auto"/>
        <w:rPr>
          <w:rFonts w:eastAsia="Times New Roman" w:cstheme="minorHAnsi"/>
          <w:sz w:val="24"/>
          <w:szCs w:val="24"/>
          <w:lang w:eastAsia="cs-CZ"/>
        </w:rPr>
      </w:pPr>
      <w:hyperlink r:id="rId6" w:history="1">
        <w:r w:rsidR="008C2E3C" w:rsidRPr="0039414C">
          <w:rPr>
            <w:rFonts w:eastAsia="Times New Roman" w:cstheme="minorHAnsi"/>
            <w:sz w:val="24"/>
            <w:szCs w:val="24"/>
            <w:u w:val="single"/>
            <w:lang w:eastAsia="cs-CZ"/>
          </w:rPr>
          <w:t>proLékaře.cz</w:t>
        </w:r>
      </w:hyperlink>
      <w:r w:rsidR="008C2E3C" w:rsidRPr="0039414C">
        <w:rPr>
          <w:rFonts w:eastAsia="Times New Roman" w:cstheme="minorHAnsi"/>
          <w:sz w:val="24"/>
          <w:szCs w:val="24"/>
          <w:lang w:eastAsia="cs-CZ"/>
        </w:rPr>
        <w:t> / </w:t>
      </w:r>
      <w:hyperlink r:id="rId7" w:history="1">
        <w:r w:rsidR="008C2E3C" w:rsidRPr="0039414C">
          <w:rPr>
            <w:rFonts w:eastAsia="Times New Roman" w:cstheme="minorHAnsi"/>
            <w:sz w:val="24"/>
            <w:szCs w:val="24"/>
            <w:u w:val="single"/>
            <w:lang w:eastAsia="cs-CZ"/>
          </w:rPr>
          <w:t>Téma</w:t>
        </w:r>
      </w:hyperlink>
      <w:r w:rsidR="008C2E3C" w:rsidRPr="0039414C">
        <w:rPr>
          <w:rFonts w:eastAsia="Times New Roman" w:cstheme="minorHAnsi"/>
          <w:sz w:val="24"/>
          <w:szCs w:val="24"/>
          <w:lang w:eastAsia="cs-CZ"/>
        </w:rPr>
        <w:t> / </w:t>
      </w:r>
      <w:hyperlink r:id="rId8" w:history="1">
        <w:r w:rsidR="008C2E3C" w:rsidRPr="0039414C">
          <w:rPr>
            <w:rFonts w:eastAsia="Times New Roman" w:cstheme="minorHAnsi"/>
            <w:sz w:val="24"/>
            <w:szCs w:val="24"/>
            <w:u w:val="single"/>
            <w:lang w:eastAsia="cs-CZ"/>
          </w:rPr>
          <w:t xml:space="preserve">HPV, </w:t>
        </w:r>
        <w:proofErr w:type="spellStart"/>
        <w:r w:rsidR="008C2E3C" w:rsidRPr="0039414C">
          <w:rPr>
            <w:rFonts w:eastAsia="Times New Roman" w:cstheme="minorHAnsi"/>
            <w:sz w:val="24"/>
            <w:szCs w:val="24"/>
            <w:u w:val="single"/>
            <w:lang w:eastAsia="cs-CZ"/>
          </w:rPr>
          <w:t>condylomata</w:t>
        </w:r>
        <w:proofErr w:type="spellEnd"/>
        <w:r w:rsidR="008C2E3C" w:rsidRPr="0039414C">
          <w:rPr>
            <w:rFonts w:eastAsia="Times New Roman" w:cstheme="minorHAnsi"/>
            <w:sz w:val="24"/>
            <w:szCs w:val="24"/>
            <w:u w:val="single"/>
            <w:lang w:eastAsia="cs-CZ"/>
          </w:rPr>
          <w:t xml:space="preserve"> a akutní respirační infekce</w:t>
        </w:r>
      </w:hyperlink>
    </w:p>
    <w:p w:rsidR="008C2E3C" w:rsidRPr="0039414C" w:rsidRDefault="008C2E3C" w:rsidP="008C2E3C">
      <w:pPr>
        <w:spacing w:before="100" w:beforeAutospacing="1" w:after="100" w:afterAutospacing="1" w:line="240" w:lineRule="auto"/>
        <w:outlineLvl w:val="0"/>
        <w:rPr>
          <w:rFonts w:eastAsia="Times New Roman" w:cstheme="minorHAnsi"/>
          <w:b/>
          <w:color w:val="333333"/>
          <w:kern w:val="36"/>
          <w:sz w:val="46"/>
          <w:szCs w:val="46"/>
          <w:lang w:eastAsia="cs-CZ"/>
        </w:rPr>
      </w:pPr>
      <w:bookmarkStart w:id="0" w:name="_GoBack"/>
      <w:r w:rsidRPr="0039414C">
        <w:rPr>
          <w:rFonts w:eastAsia="Times New Roman" w:cstheme="minorHAnsi"/>
          <w:b/>
          <w:color w:val="333333"/>
          <w:kern w:val="36"/>
          <w:sz w:val="46"/>
          <w:szCs w:val="46"/>
          <w:lang w:eastAsia="cs-CZ"/>
        </w:rPr>
        <w:t>Virová infekce − neprávem přehlížená etiologie nedoslýchavosti</w:t>
      </w:r>
    </w:p>
    <w:bookmarkEnd w:id="0"/>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777777"/>
          <w:sz w:val="23"/>
          <w:szCs w:val="23"/>
          <w:lang w:eastAsia="cs-CZ"/>
        </w:rPr>
        <w:t>10. 10. 2016</w:t>
      </w:r>
    </w:p>
    <w:p w:rsidR="008C2E3C" w:rsidRPr="0039414C" w:rsidRDefault="0039414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pict>
          <v:rect id="_x0000_i1025" style="width:502.5pt;height:1.5pt" o:hrpct="0" o:hralign="center" o:hrstd="t" o:hr="t" fillcolor="#a0a0a0" stroked="f"/>
        </w:pict>
      </w:r>
    </w:p>
    <w:p w:rsidR="008C2E3C" w:rsidRPr="0039414C" w:rsidRDefault="008C2E3C" w:rsidP="008C2E3C">
      <w:pPr>
        <w:spacing w:before="100" w:beforeAutospacing="1" w:after="100" w:afterAutospacing="1"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Mezi různými příčinami nedoslýchavosti zůstávají viry poněkud v pozadí. Jejich vliv však lze vystopovat překvapivě často, zřejmě i v řadě případů tzv. idiopatických nedoslýchavostí.</w:t>
      </w:r>
    </w:p>
    <w:p w:rsidR="0039414C" w:rsidRDefault="008C2E3C" w:rsidP="0039414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Viry bývají překvapivě často příčinou percepční nedoslýchavosti či hluchoty, zejména zahrneme-li i nedoslýchavost vrozenou. Konkrétně </w:t>
      </w:r>
      <w:proofErr w:type="spellStart"/>
      <w:r w:rsidRPr="0039414C">
        <w:rPr>
          <w:rFonts w:eastAsia="Times New Roman" w:cstheme="minorHAnsi"/>
          <w:color w:val="333333"/>
          <w:sz w:val="23"/>
          <w:szCs w:val="23"/>
          <w:lang w:eastAsia="cs-CZ"/>
        </w:rPr>
        <w:t>cytomegalovirová</w:t>
      </w:r>
      <w:proofErr w:type="spellEnd"/>
      <w:r w:rsidRPr="0039414C">
        <w:rPr>
          <w:rFonts w:eastAsia="Times New Roman" w:cstheme="minorHAnsi"/>
          <w:color w:val="333333"/>
          <w:sz w:val="23"/>
          <w:szCs w:val="23"/>
          <w:lang w:eastAsia="cs-CZ"/>
        </w:rPr>
        <w:t xml:space="preserve"> infekce je spolu s dalšími virózami zodpovědná za 40 % vrozených nedoslýchavostí!</w:t>
      </w:r>
    </w:p>
    <w:p w:rsidR="0039414C" w:rsidRDefault="0039414C" w:rsidP="0039414C">
      <w:pPr>
        <w:spacing w:after="0" w:line="240" w:lineRule="auto"/>
        <w:rPr>
          <w:rFonts w:eastAsia="Times New Roman" w:cstheme="minorHAnsi"/>
          <w:color w:val="333333"/>
          <w:sz w:val="23"/>
          <w:szCs w:val="23"/>
          <w:lang w:eastAsia="cs-CZ"/>
        </w:rPr>
      </w:pPr>
    </w:p>
    <w:p w:rsidR="008C2E3C" w:rsidRPr="0039414C" w:rsidRDefault="008C2E3C" w:rsidP="0039414C">
      <w:pPr>
        <w:spacing w:after="0" w:line="240" w:lineRule="auto"/>
        <w:rPr>
          <w:rFonts w:eastAsia="Times New Roman" w:cstheme="minorHAnsi"/>
          <w:b/>
          <w:color w:val="333333"/>
          <w:sz w:val="23"/>
          <w:szCs w:val="23"/>
          <w:lang w:eastAsia="cs-CZ"/>
        </w:rPr>
      </w:pPr>
      <w:r w:rsidRPr="0039414C">
        <w:rPr>
          <w:rFonts w:eastAsia="Times New Roman" w:cstheme="minorHAnsi"/>
          <w:b/>
          <w:color w:val="333333"/>
          <w:sz w:val="27"/>
          <w:szCs w:val="27"/>
          <w:lang w:eastAsia="cs-CZ"/>
        </w:rPr>
        <w:t>Přehled virů s možným negativním vlivem na sluch</w:t>
      </w:r>
    </w:p>
    <w:p w:rsidR="008C2E3C" w:rsidRPr="0039414C" w:rsidRDefault="008C2E3C" w:rsidP="008C2E3C">
      <w:pPr>
        <w:numPr>
          <w:ilvl w:val="0"/>
          <w:numId w:val="1"/>
        </w:numPr>
        <w:spacing w:before="100" w:beforeAutospacing="1" w:after="100" w:afterAutospacing="1" w:line="240" w:lineRule="auto"/>
        <w:rPr>
          <w:rFonts w:eastAsia="Times New Roman" w:cstheme="minorHAnsi"/>
          <w:color w:val="333333"/>
          <w:sz w:val="23"/>
          <w:szCs w:val="23"/>
          <w:lang w:eastAsia="cs-CZ"/>
        </w:rPr>
      </w:pPr>
      <w:proofErr w:type="spellStart"/>
      <w:r w:rsidRPr="0039414C">
        <w:rPr>
          <w:rFonts w:eastAsia="Times New Roman" w:cstheme="minorHAnsi"/>
          <w:color w:val="333333"/>
          <w:sz w:val="23"/>
          <w:szCs w:val="23"/>
          <w:lang w:eastAsia="cs-CZ"/>
        </w:rPr>
        <w:t>Cytomegalovirus</w:t>
      </w:r>
      <w:proofErr w:type="spellEnd"/>
      <w:r w:rsidRPr="0039414C">
        <w:rPr>
          <w:rFonts w:eastAsia="Times New Roman" w:cstheme="minorHAnsi"/>
          <w:color w:val="333333"/>
          <w:sz w:val="23"/>
          <w:szCs w:val="23"/>
          <w:lang w:eastAsia="cs-CZ"/>
        </w:rPr>
        <w:t xml:space="preserve"> (CMV),</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virus zarděnek,</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r w:rsidRPr="0039414C">
        <w:rPr>
          <w:rFonts w:eastAsia="Times New Roman" w:cstheme="minorHAnsi"/>
          <w:i/>
          <w:iCs/>
          <w:color w:val="333333"/>
          <w:sz w:val="23"/>
          <w:szCs w:val="23"/>
          <w:lang w:eastAsia="cs-CZ"/>
        </w:rPr>
        <w:t>herpes simplex virus</w:t>
      </w:r>
      <w:r w:rsidRPr="0039414C">
        <w:rPr>
          <w:rFonts w:eastAsia="Times New Roman" w:cstheme="minorHAnsi"/>
          <w:color w:val="333333"/>
          <w:sz w:val="23"/>
          <w:szCs w:val="23"/>
          <w:lang w:eastAsia="cs-CZ"/>
        </w:rPr>
        <w:t> (HSV),</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proofErr w:type="spellStart"/>
      <w:r w:rsidRPr="0039414C">
        <w:rPr>
          <w:rFonts w:eastAsia="Times New Roman" w:cstheme="minorHAnsi"/>
          <w:i/>
          <w:iCs/>
          <w:color w:val="333333"/>
          <w:sz w:val="23"/>
          <w:szCs w:val="23"/>
          <w:lang w:eastAsia="cs-CZ"/>
        </w:rPr>
        <w:t>varicella</w:t>
      </w:r>
      <w:proofErr w:type="spellEnd"/>
      <w:r w:rsidRPr="0039414C">
        <w:rPr>
          <w:rFonts w:eastAsia="Times New Roman" w:cstheme="minorHAnsi"/>
          <w:i/>
          <w:iCs/>
          <w:color w:val="333333"/>
          <w:sz w:val="23"/>
          <w:szCs w:val="23"/>
          <w:lang w:eastAsia="cs-CZ"/>
        </w:rPr>
        <w:t xml:space="preserve"> </w:t>
      </w:r>
      <w:proofErr w:type="spellStart"/>
      <w:r w:rsidRPr="0039414C">
        <w:rPr>
          <w:rFonts w:eastAsia="Times New Roman" w:cstheme="minorHAnsi"/>
          <w:i/>
          <w:iCs/>
          <w:color w:val="333333"/>
          <w:sz w:val="23"/>
          <w:szCs w:val="23"/>
          <w:lang w:eastAsia="cs-CZ"/>
        </w:rPr>
        <w:t>zoster</w:t>
      </w:r>
      <w:proofErr w:type="spellEnd"/>
      <w:r w:rsidRPr="0039414C">
        <w:rPr>
          <w:rFonts w:eastAsia="Times New Roman" w:cstheme="minorHAnsi"/>
          <w:i/>
          <w:iCs/>
          <w:color w:val="333333"/>
          <w:sz w:val="23"/>
          <w:szCs w:val="23"/>
          <w:lang w:eastAsia="cs-CZ"/>
        </w:rPr>
        <w:t xml:space="preserve"> virus</w:t>
      </w:r>
      <w:r w:rsidRPr="0039414C">
        <w:rPr>
          <w:rFonts w:eastAsia="Times New Roman" w:cstheme="minorHAnsi"/>
          <w:color w:val="333333"/>
          <w:sz w:val="23"/>
          <w:szCs w:val="23"/>
          <w:lang w:eastAsia="cs-CZ"/>
        </w:rPr>
        <w:t> (VZV),</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virus spalniček,</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virus příušnic,</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virus lidské imunodeficience (HIV),</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virus lymfocytární </w:t>
      </w:r>
      <w:proofErr w:type="spellStart"/>
      <w:r w:rsidRPr="0039414C">
        <w:rPr>
          <w:rFonts w:eastAsia="Times New Roman" w:cstheme="minorHAnsi"/>
          <w:color w:val="333333"/>
          <w:sz w:val="23"/>
          <w:szCs w:val="23"/>
          <w:lang w:eastAsia="cs-CZ"/>
        </w:rPr>
        <w:t>choriomeningitidy</w:t>
      </w:r>
      <w:proofErr w:type="spellEnd"/>
      <w:r w:rsidRPr="0039414C">
        <w:rPr>
          <w:rFonts w:eastAsia="Times New Roman" w:cstheme="minorHAnsi"/>
          <w:color w:val="333333"/>
          <w:sz w:val="23"/>
          <w:szCs w:val="23"/>
          <w:lang w:eastAsia="cs-CZ"/>
        </w:rPr>
        <w:t xml:space="preserve"> (LCMV),</w:t>
      </w:r>
    </w:p>
    <w:p w:rsidR="008C2E3C" w:rsidRPr="0039414C" w:rsidRDefault="008C2E3C" w:rsidP="008C2E3C">
      <w:pPr>
        <w:numPr>
          <w:ilvl w:val="0"/>
          <w:numId w:val="1"/>
        </w:numPr>
        <w:spacing w:before="132" w:after="100" w:afterAutospacing="1" w:line="240" w:lineRule="auto"/>
        <w:rPr>
          <w:rFonts w:eastAsia="Times New Roman" w:cstheme="minorHAnsi"/>
          <w:color w:val="333333"/>
          <w:sz w:val="23"/>
          <w:szCs w:val="23"/>
          <w:lang w:eastAsia="cs-CZ"/>
        </w:rPr>
      </w:pPr>
      <w:proofErr w:type="spellStart"/>
      <w:r w:rsidRPr="0039414C">
        <w:rPr>
          <w:rFonts w:eastAsia="Times New Roman" w:cstheme="minorHAnsi"/>
          <w:color w:val="333333"/>
          <w:sz w:val="23"/>
          <w:szCs w:val="23"/>
          <w:lang w:eastAsia="cs-CZ"/>
        </w:rPr>
        <w:t>západonilský</w:t>
      </w:r>
      <w:proofErr w:type="spellEnd"/>
      <w:r w:rsidRPr="0039414C">
        <w:rPr>
          <w:rFonts w:eastAsia="Times New Roman" w:cstheme="minorHAnsi"/>
          <w:color w:val="333333"/>
          <w:sz w:val="23"/>
          <w:szCs w:val="23"/>
          <w:lang w:eastAsia="cs-CZ"/>
        </w:rPr>
        <w:t xml:space="preserve"> virus aj.</w:t>
      </w:r>
    </w:p>
    <w:p w:rsidR="008C2E3C" w:rsidRPr="0039414C" w:rsidRDefault="008C2E3C" w:rsidP="008C2E3C">
      <w:pPr>
        <w:spacing w:before="312" w:after="100" w:afterAutospacing="1" w:line="240" w:lineRule="auto"/>
        <w:outlineLvl w:val="2"/>
        <w:rPr>
          <w:rFonts w:eastAsia="Times New Roman" w:cstheme="minorHAnsi"/>
          <w:color w:val="333333"/>
          <w:sz w:val="27"/>
          <w:szCs w:val="27"/>
          <w:lang w:eastAsia="cs-CZ"/>
        </w:rPr>
      </w:pPr>
      <w:r w:rsidRPr="0039414C">
        <w:rPr>
          <w:rFonts w:eastAsia="Times New Roman" w:cstheme="minorHAnsi"/>
          <w:color w:val="333333"/>
          <w:sz w:val="27"/>
          <w:szCs w:val="27"/>
          <w:lang w:eastAsia="cs-CZ"/>
        </w:rPr>
        <w:t>Mechanismus působení</w:t>
      </w:r>
    </w:p>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Pro viry je typický percepční typ nedoslýchavosti. Jde buď o přímé poškození struktur vnitřního ucha virem, nebo o následek autoimunitních pochodů spuštěných virovým antigenem.</w:t>
      </w:r>
    </w:p>
    <w:p w:rsidR="008C2E3C" w:rsidRPr="0039414C" w:rsidRDefault="008C2E3C" w:rsidP="008C2E3C">
      <w:pPr>
        <w:spacing w:before="720" w:after="100" w:afterAutospacing="1" w:line="240" w:lineRule="auto"/>
        <w:outlineLvl w:val="2"/>
        <w:rPr>
          <w:rFonts w:eastAsia="Times New Roman" w:cstheme="minorHAnsi"/>
          <w:i/>
          <w:color w:val="333333"/>
          <w:sz w:val="27"/>
          <w:szCs w:val="27"/>
          <w:lang w:eastAsia="cs-CZ"/>
        </w:rPr>
      </w:pPr>
      <w:r w:rsidRPr="0039414C">
        <w:rPr>
          <w:rFonts w:eastAsia="Times New Roman" w:cstheme="minorHAnsi"/>
          <w:i/>
          <w:color w:val="333333"/>
          <w:sz w:val="27"/>
          <w:szCs w:val="27"/>
          <w:lang w:eastAsia="cs-CZ"/>
        </w:rPr>
        <w:t>CMV</w:t>
      </w:r>
    </w:p>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Extrémně častá viróza s až 100% prevalencí v populaci, s průběhem od asymptomatického až po těžké onemocnění a s velmi různorodým klinickým obrazem. CMV patří do skupiny herpetických virů a jako ostatní zástupci této skupiny zůstává po </w:t>
      </w:r>
      <w:proofErr w:type="spellStart"/>
      <w:r w:rsidRPr="0039414C">
        <w:rPr>
          <w:rFonts w:eastAsia="Times New Roman" w:cstheme="minorHAnsi"/>
          <w:color w:val="333333"/>
          <w:sz w:val="23"/>
          <w:szCs w:val="23"/>
          <w:lang w:eastAsia="cs-CZ"/>
        </w:rPr>
        <w:t>primoinfekci</w:t>
      </w:r>
      <w:proofErr w:type="spellEnd"/>
      <w:r w:rsidRPr="0039414C">
        <w:rPr>
          <w:rFonts w:eastAsia="Times New Roman" w:cstheme="minorHAnsi"/>
          <w:color w:val="333333"/>
          <w:sz w:val="23"/>
          <w:szCs w:val="23"/>
          <w:lang w:eastAsia="cs-CZ"/>
        </w:rPr>
        <w:t xml:space="preserve"> velmi dlouho latentní, k </w:t>
      </w:r>
      <w:r w:rsidRPr="0039414C">
        <w:rPr>
          <w:rFonts w:eastAsia="Times New Roman" w:cstheme="minorHAnsi"/>
          <w:color w:val="333333"/>
          <w:sz w:val="23"/>
          <w:szCs w:val="23"/>
          <w:lang w:eastAsia="cs-CZ"/>
        </w:rPr>
        <w:lastRenderedPageBreak/>
        <w:t xml:space="preserve">reaktivaci dochází typicky při zhoršení imunitního stavu pacienta. </w:t>
      </w:r>
      <w:proofErr w:type="spellStart"/>
      <w:r w:rsidRPr="0039414C">
        <w:rPr>
          <w:rFonts w:eastAsia="Times New Roman" w:cstheme="minorHAnsi"/>
          <w:color w:val="333333"/>
          <w:sz w:val="23"/>
          <w:szCs w:val="23"/>
          <w:lang w:eastAsia="cs-CZ"/>
        </w:rPr>
        <w:t>Primoinfekce</w:t>
      </w:r>
      <w:proofErr w:type="spellEnd"/>
      <w:r w:rsidRPr="0039414C">
        <w:rPr>
          <w:rFonts w:eastAsia="Times New Roman" w:cstheme="minorHAnsi"/>
          <w:color w:val="333333"/>
          <w:sz w:val="23"/>
          <w:szCs w:val="23"/>
          <w:lang w:eastAsia="cs-CZ"/>
        </w:rPr>
        <w:t xml:space="preserve"> proběhne většinou v časném dětství a může nastat </w:t>
      </w:r>
      <w:r w:rsidRPr="0039414C">
        <w:rPr>
          <w:rFonts w:eastAsia="Times New Roman" w:cstheme="minorHAnsi"/>
          <w:i/>
          <w:iCs/>
          <w:color w:val="333333"/>
          <w:sz w:val="23"/>
          <w:szCs w:val="23"/>
          <w:lang w:eastAsia="cs-CZ"/>
        </w:rPr>
        <w:t xml:space="preserve">in </w:t>
      </w:r>
      <w:proofErr w:type="spellStart"/>
      <w:r w:rsidRPr="0039414C">
        <w:rPr>
          <w:rFonts w:eastAsia="Times New Roman" w:cstheme="minorHAnsi"/>
          <w:i/>
          <w:iCs/>
          <w:color w:val="333333"/>
          <w:sz w:val="23"/>
          <w:szCs w:val="23"/>
          <w:lang w:eastAsia="cs-CZ"/>
        </w:rPr>
        <w:t>utero</w:t>
      </w:r>
      <w:proofErr w:type="spellEnd"/>
      <w:r w:rsidRPr="0039414C">
        <w:rPr>
          <w:rFonts w:eastAsia="Times New Roman" w:cstheme="minorHAnsi"/>
          <w:color w:val="333333"/>
          <w:sz w:val="23"/>
          <w:szCs w:val="23"/>
          <w:lang w:eastAsia="cs-CZ"/>
        </w:rPr>
        <w:t>: v USA je infikováno 1 % novorozenců.</w:t>
      </w:r>
    </w:p>
    <w:p w:rsidR="008C2E3C" w:rsidRPr="0039414C" w:rsidRDefault="008C2E3C" w:rsidP="008C2E3C">
      <w:pPr>
        <w:spacing w:before="432"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CMV patří do skupiny několika nákaz s možným teratogenním vlivem na plod. Tyto infekce jsou známy pod akronymem TORCHS: toxoplazmóza, rubeola – zarděnky, CMV, herpes simplex, syfilis. Kromě široké škály nejrůznějších anomálií a orgánových postižení jsou infekce TORCHS zodpovědné za řadu poruch sluchu a samotný CMV je nejčastější negenetickou příčinou vrozené hluchoty.</w:t>
      </w:r>
    </w:p>
    <w:p w:rsidR="0039414C" w:rsidRDefault="008C2E3C" w:rsidP="008C2E3C">
      <w:pPr>
        <w:spacing w:before="432"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Pro poruchu sluchu v důsledku CMV infekce je charakteristická latence trvající průměrně 27−33 měsíců, přičemž postnatálně může být objektivní audiometrie normální. Poporodní </w:t>
      </w:r>
      <w:proofErr w:type="spellStart"/>
      <w:r w:rsidRPr="0039414C">
        <w:rPr>
          <w:rFonts w:eastAsia="Times New Roman" w:cstheme="minorHAnsi"/>
          <w:color w:val="333333"/>
          <w:sz w:val="23"/>
          <w:szCs w:val="23"/>
          <w:lang w:eastAsia="cs-CZ"/>
        </w:rPr>
        <w:t>screening</w:t>
      </w:r>
      <w:proofErr w:type="spellEnd"/>
      <w:r w:rsidRPr="0039414C">
        <w:rPr>
          <w:rFonts w:eastAsia="Times New Roman" w:cstheme="minorHAnsi"/>
          <w:color w:val="333333"/>
          <w:sz w:val="23"/>
          <w:szCs w:val="23"/>
          <w:lang w:eastAsia="cs-CZ"/>
        </w:rPr>
        <w:t xml:space="preserve"> sluchu je velice užitečný, nicméně velkou část těchto případů neodhalí!</w:t>
      </w:r>
    </w:p>
    <w:p w:rsidR="008C2E3C" w:rsidRPr="0039414C" w:rsidRDefault="008C2E3C" w:rsidP="008C2E3C">
      <w:pPr>
        <w:spacing w:before="432"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Lékem volby je </w:t>
      </w:r>
      <w:proofErr w:type="spellStart"/>
      <w:r w:rsidRPr="0039414C">
        <w:rPr>
          <w:rFonts w:eastAsia="Times New Roman" w:cstheme="minorHAnsi"/>
          <w:color w:val="333333"/>
          <w:sz w:val="23"/>
          <w:szCs w:val="23"/>
          <w:lang w:eastAsia="cs-CZ"/>
        </w:rPr>
        <w:t>ganciklovir</w:t>
      </w:r>
      <w:proofErr w:type="spellEnd"/>
      <w:r w:rsidRPr="0039414C">
        <w:rPr>
          <w:rFonts w:eastAsia="Times New Roman" w:cstheme="minorHAnsi"/>
          <w:color w:val="333333"/>
          <w:sz w:val="23"/>
          <w:szCs w:val="23"/>
          <w:lang w:eastAsia="cs-CZ"/>
        </w:rPr>
        <w:t xml:space="preserve">, eventuálně </w:t>
      </w:r>
      <w:proofErr w:type="spellStart"/>
      <w:r w:rsidRPr="0039414C">
        <w:rPr>
          <w:rFonts w:eastAsia="Times New Roman" w:cstheme="minorHAnsi"/>
          <w:color w:val="333333"/>
          <w:sz w:val="23"/>
          <w:szCs w:val="23"/>
          <w:lang w:eastAsia="cs-CZ"/>
        </w:rPr>
        <w:t>valganciklovir</w:t>
      </w:r>
      <w:proofErr w:type="spellEnd"/>
      <w:r w:rsidRPr="0039414C">
        <w:rPr>
          <w:rFonts w:eastAsia="Times New Roman" w:cstheme="minorHAnsi"/>
          <w:color w:val="333333"/>
          <w:sz w:val="23"/>
          <w:szCs w:val="23"/>
          <w:lang w:eastAsia="cs-CZ"/>
        </w:rPr>
        <w:t xml:space="preserve">, avšak pro možné teratogenní účinky na plod nelze tato léčiva podat těhotným ženám. V těchto případech je alternativou hyperimunní globulin, event. </w:t>
      </w:r>
      <w:proofErr w:type="spellStart"/>
      <w:r w:rsidRPr="0039414C">
        <w:rPr>
          <w:rFonts w:eastAsia="Times New Roman" w:cstheme="minorHAnsi"/>
          <w:color w:val="333333"/>
          <w:sz w:val="23"/>
          <w:szCs w:val="23"/>
          <w:lang w:eastAsia="cs-CZ"/>
        </w:rPr>
        <w:t>inosin</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pranobex</w:t>
      </w:r>
      <w:proofErr w:type="spellEnd"/>
      <w:r w:rsidRPr="0039414C">
        <w:rPr>
          <w:rFonts w:eastAsia="Times New Roman" w:cstheme="minorHAnsi"/>
          <w:color w:val="333333"/>
          <w:sz w:val="23"/>
          <w:szCs w:val="23"/>
          <w:lang w:eastAsia="cs-CZ"/>
        </w:rPr>
        <w:t>. Vakcína zatím není k dispozici.</w:t>
      </w:r>
    </w:p>
    <w:p w:rsidR="008C2E3C" w:rsidRPr="0039414C" w:rsidRDefault="008C2E3C" w:rsidP="008C2E3C">
      <w:pPr>
        <w:spacing w:before="720" w:after="100" w:afterAutospacing="1" w:line="240" w:lineRule="auto"/>
        <w:outlineLvl w:val="2"/>
        <w:rPr>
          <w:rFonts w:eastAsia="Times New Roman" w:cstheme="minorHAnsi"/>
          <w:i/>
          <w:color w:val="333333"/>
          <w:sz w:val="27"/>
          <w:szCs w:val="27"/>
          <w:lang w:eastAsia="cs-CZ"/>
        </w:rPr>
      </w:pPr>
      <w:r w:rsidRPr="0039414C">
        <w:rPr>
          <w:rFonts w:eastAsia="Times New Roman" w:cstheme="minorHAnsi"/>
          <w:i/>
          <w:color w:val="333333"/>
          <w:sz w:val="27"/>
          <w:szCs w:val="27"/>
          <w:lang w:eastAsia="cs-CZ"/>
        </w:rPr>
        <w:t>Zarděnky</w:t>
      </w:r>
    </w:p>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Zpravidla kapénková nákaza s nezávažným průběhem, ale nebezpečná v těhotenství – patří mezi infekce TORCHS. Dojde-li k symptomatické infekci plodu, pak je vedle dalších vad a postižení jejím nejčastějším projevem nedoslýchavost. Ta se vyvíjí s latencí 6−12 měsíců, méně často je vyjádřena již při narození. Incidence je však v našich podmínkách minimální, výrazně omezená plošným očkováním.</w:t>
      </w:r>
    </w:p>
    <w:p w:rsidR="008C2E3C" w:rsidRPr="0039414C" w:rsidRDefault="008C2E3C" w:rsidP="008C2E3C">
      <w:pPr>
        <w:spacing w:before="720" w:after="100" w:afterAutospacing="1" w:line="240" w:lineRule="auto"/>
        <w:outlineLvl w:val="2"/>
        <w:rPr>
          <w:rFonts w:eastAsia="Times New Roman" w:cstheme="minorHAnsi"/>
          <w:color w:val="333333"/>
          <w:sz w:val="27"/>
          <w:szCs w:val="27"/>
          <w:lang w:eastAsia="cs-CZ"/>
        </w:rPr>
      </w:pPr>
      <w:r w:rsidRPr="0039414C">
        <w:rPr>
          <w:rFonts w:eastAsia="Times New Roman" w:cstheme="minorHAnsi"/>
          <w:i/>
          <w:iCs/>
          <w:color w:val="333333"/>
          <w:sz w:val="27"/>
          <w:szCs w:val="27"/>
          <w:lang w:eastAsia="cs-CZ"/>
        </w:rPr>
        <w:t>Herpes simplex</w:t>
      </w:r>
      <w:r w:rsidRPr="0039414C">
        <w:rPr>
          <w:rFonts w:eastAsia="Times New Roman" w:cstheme="minorHAnsi"/>
          <w:color w:val="333333"/>
          <w:sz w:val="27"/>
          <w:szCs w:val="27"/>
          <w:lang w:eastAsia="cs-CZ"/>
        </w:rPr>
        <w:t> (HSV)</w:t>
      </w:r>
    </w:p>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Může být příčinou vrozené i získané nedoslýchavosti. Vrozený herpes jen nejčastěji důsledkem nákazy při porodu. Neonatální herpes pak má rozličný klinický obraz, od ojedinělého kožního či slizničního výsevu až po encefalitidu, se sekundárními neurologickými deficity včetně nedoslýchavostí. Také </w:t>
      </w:r>
      <w:proofErr w:type="spellStart"/>
      <w:r w:rsidRPr="0039414C">
        <w:rPr>
          <w:rFonts w:eastAsia="Times New Roman" w:cstheme="minorHAnsi"/>
          <w:color w:val="333333"/>
          <w:sz w:val="23"/>
          <w:szCs w:val="23"/>
          <w:lang w:eastAsia="cs-CZ"/>
        </w:rPr>
        <w:t>primoinfekce</w:t>
      </w:r>
      <w:proofErr w:type="spellEnd"/>
      <w:r w:rsidRPr="0039414C">
        <w:rPr>
          <w:rFonts w:eastAsia="Times New Roman" w:cstheme="minorHAnsi"/>
          <w:color w:val="333333"/>
          <w:sz w:val="23"/>
          <w:szCs w:val="23"/>
          <w:lang w:eastAsia="cs-CZ"/>
        </w:rPr>
        <w:t xml:space="preserve"> či reaktivace postnatálně může vyústit v poruchu sluchu. Výsledky některých studií naznačují, že mnohé případy náhle vzniklé idiopatické percepční nedoslýchavosti jsou ve skutečnosti důsledkem virózy HSV. Navíc se uvažuje o HSV jako o možném spouštěči </w:t>
      </w:r>
      <w:proofErr w:type="spellStart"/>
      <w:r w:rsidRPr="0039414C">
        <w:rPr>
          <w:rFonts w:eastAsia="Times New Roman" w:cstheme="minorHAnsi"/>
          <w:color w:val="333333"/>
          <w:sz w:val="23"/>
          <w:szCs w:val="23"/>
          <w:lang w:eastAsia="cs-CZ"/>
        </w:rPr>
        <w:t>Ménièrovy</w:t>
      </w:r>
      <w:proofErr w:type="spellEnd"/>
      <w:r w:rsidRPr="0039414C">
        <w:rPr>
          <w:rFonts w:eastAsia="Times New Roman" w:cstheme="minorHAnsi"/>
          <w:color w:val="333333"/>
          <w:sz w:val="23"/>
          <w:szCs w:val="23"/>
          <w:lang w:eastAsia="cs-CZ"/>
        </w:rPr>
        <w:t xml:space="preserve"> nemoci − např. ve studii z roku 2004 se </w:t>
      </w:r>
      <w:proofErr w:type="spellStart"/>
      <w:r w:rsidRPr="0039414C">
        <w:rPr>
          <w:rFonts w:eastAsia="Times New Roman" w:cstheme="minorHAnsi"/>
          <w:color w:val="333333"/>
          <w:sz w:val="23"/>
          <w:szCs w:val="23"/>
          <w:lang w:eastAsia="cs-CZ"/>
        </w:rPr>
        <w:t>antivirotikem</w:t>
      </w:r>
      <w:proofErr w:type="spellEnd"/>
      <w:r w:rsidRPr="0039414C">
        <w:rPr>
          <w:rFonts w:eastAsia="Times New Roman" w:cstheme="minorHAnsi"/>
          <w:color w:val="333333"/>
          <w:sz w:val="23"/>
          <w:szCs w:val="23"/>
          <w:lang w:eastAsia="cs-CZ"/>
        </w:rPr>
        <w:t xml:space="preserve"> podařilo zmírnit progresi nedoslýchavosti u nemocných s opakovanými atakami </w:t>
      </w:r>
      <w:r w:rsidRPr="0039414C">
        <w:rPr>
          <w:rFonts w:eastAsia="Times New Roman" w:cstheme="minorHAnsi"/>
          <w:i/>
          <w:iCs/>
          <w:color w:val="333333"/>
          <w:sz w:val="23"/>
          <w:szCs w:val="23"/>
          <w:lang w:eastAsia="cs-CZ"/>
        </w:rPr>
        <w:t xml:space="preserve">m. </w:t>
      </w:r>
      <w:proofErr w:type="spellStart"/>
      <w:r w:rsidRPr="0039414C">
        <w:rPr>
          <w:rFonts w:eastAsia="Times New Roman" w:cstheme="minorHAnsi"/>
          <w:i/>
          <w:iCs/>
          <w:color w:val="333333"/>
          <w:sz w:val="23"/>
          <w:szCs w:val="23"/>
          <w:lang w:eastAsia="cs-CZ"/>
        </w:rPr>
        <w:t>Ménière</w:t>
      </w:r>
      <w:proofErr w:type="spellEnd"/>
      <w:r w:rsidRPr="0039414C">
        <w:rPr>
          <w:rFonts w:eastAsia="Times New Roman" w:cstheme="minorHAnsi"/>
          <w:i/>
          <w:iCs/>
          <w:color w:val="333333"/>
          <w:sz w:val="23"/>
          <w:szCs w:val="23"/>
          <w:lang w:eastAsia="cs-CZ"/>
        </w:rPr>
        <w:t>. </w:t>
      </w:r>
    </w:p>
    <w:p w:rsidR="008C2E3C" w:rsidRPr="0039414C" w:rsidRDefault="008C2E3C" w:rsidP="008C2E3C">
      <w:pPr>
        <w:spacing w:before="720" w:after="100" w:afterAutospacing="1" w:line="240" w:lineRule="auto"/>
        <w:outlineLvl w:val="2"/>
        <w:rPr>
          <w:rFonts w:eastAsia="Times New Roman" w:cstheme="minorHAnsi"/>
          <w:color w:val="333333"/>
          <w:sz w:val="27"/>
          <w:szCs w:val="27"/>
          <w:lang w:eastAsia="cs-CZ"/>
        </w:rPr>
      </w:pPr>
      <w:proofErr w:type="spellStart"/>
      <w:r w:rsidRPr="0039414C">
        <w:rPr>
          <w:rFonts w:eastAsia="Times New Roman" w:cstheme="minorHAnsi"/>
          <w:i/>
          <w:iCs/>
          <w:color w:val="333333"/>
          <w:sz w:val="27"/>
          <w:szCs w:val="27"/>
          <w:lang w:eastAsia="cs-CZ"/>
        </w:rPr>
        <w:t>Varicella</w:t>
      </w:r>
      <w:proofErr w:type="spellEnd"/>
      <w:r w:rsidRPr="0039414C">
        <w:rPr>
          <w:rFonts w:eastAsia="Times New Roman" w:cstheme="minorHAnsi"/>
          <w:i/>
          <w:iCs/>
          <w:color w:val="333333"/>
          <w:sz w:val="27"/>
          <w:szCs w:val="27"/>
          <w:lang w:eastAsia="cs-CZ"/>
        </w:rPr>
        <w:t xml:space="preserve"> </w:t>
      </w:r>
      <w:proofErr w:type="spellStart"/>
      <w:r w:rsidRPr="0039414C">
        <w:rPr>
          <w:rFonts w:eastAsia="Times New Roman" w:cstheme="minorHAnsi"/>
          <w:i/>
          <w:iCs/>
          <w:color w:val="333333"/>
          <w:sz w:val="27"/>
          <w:szCs w:val="27"/>
          <w:lang w:eastAsia="cs-CZ"/>
        </w:rPr>
        <w:t>zoster</w:t>
      </w:r>
      <w:proofErr w:type="spellEnd"/>
      <w:r w:rsidRPr="0039414C">
        <w:rPr>
          <w:rFonts w:eastAsia="Times New Roman" w:cstheme="minorHAnsi"/>
          <w:color w:val="333333"/>
          <w:sz w:val="27"/>
          <w:szCs w:val="27"/>
          <w:lang w:eastAsia="cs-CZ"/>
        </w:rPr>
        <w:t> (VZV)</w:t>
      </w:r>
    </w:p>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Další z herpetických virů, které se vyznačují různě dlouhým latentním stadiem po </w:t>
      </w:r>
      <w:proofErr w:type="spellStart"/>
      <w:r w:rsidRPr="0039414C">
        <w:rPr>
          <w:rFonts w:eastAsia="Times New Roman" w:cstheme="minorHAnsi"/>
          <w:color w:val="333333"/>
          <w:sz w:val="23"/>
          <w:szCs w:val="23"/>
          <w:lang w:eastAsia="cs-CZ"/>
        </w:rPr>
        <w:t>primoinfekci</w:t>
      </w:r>
      <w:proofErr w:type="spellEnd"/>
      <w:r w:rsidRPr="0039414C">
        <w:rPr>
          <w:rFonts w:eastAsia="Times New Roman" w:cstheme="minorHAnsi"/>
          <w:color w:val="333333"/>
          <w:sz w:val="23"/>
          <w:szCs w:val="23"/>
          <w:lang w:eastAsia="cs-CZ"/>
        </w:rPr>
        <w:t xml:space="preserve">. U VZV proběhne latence </w:t>
      </w:r>
      <w:proofErr w:type="spellStart"/>
      <w:r w:rsidRPr="0039414C">
        <w:rPr>
          <w:rFonts w:eastAsia="Times New Roman" w:cstheme="minorHAnsi"/>
          <w:color w:val="333333"/>
          <w:sz w:val="23"/>
          <w:szCs w:val="23"/>
          <w:lang w:eastAsia="cs-CZ"/>
        </w:rPr>
        <w:t>inaparentně</w:t>
      </w:r>
      <w:proofErr w:type="spellEnd"/>
      <w:r w:rsidRPr="0039414C">
        <w:rPr>
          <w:rFonts w:eastAsia="Times New Roman" w:cstheme="minorHAnsi"/>
          <w:color w:val="333333"/>
          <w:sz w:val="23"/>
          <w:szCs w:val="23"/>
          <w:lang w:eastAsia="cs-CZ"/>
        </w:rPr>
        <w:t xml:space="preserve"> nebo pod obrazem planých neštovic. Reaktivace se vyznačuje celkovými příznaky a typickým vezikulárním kožním výsevem v inervační oblasti postiženého senzitivního nervu, resp. jeho ganglia. Při postižení </w:t>
      </w:r>
      <w:r w:rsidRPr="0039414C">
        <w:rPr>
          <w:rFonts w:eastAsia="Times New Roman" w:cstheme="minorHAnsi"/>
          <w:i/>
          <w:iCs/>
          <w:color w:val="333333"/>
          <w:sz w:val="23"/>
          <w:szCs w:val="23"/>
          <w:lang w:eastAsia="cs-CZ"/>
        </w:rPr>
        <w:t xml:space="preserve">ganglion </w:t>
      </w:r>
      <w:proofErr w:type="spellStart"/>
      <w:r w:rsidRPr="0039414C">
        <w:rPr>
          <w:rFonts w:eastAsia="Times New Roman" w:cstheme="minorHAnsi"/>
          <w:i/>
          <w:iCs/>
          <w:color w:val="333333"/>
          <w:sz w:val="23"/>
          <w:szCs w:val="23"/>
          <w:lang w:eastAsia="cs-CZ"/>
        </w:rPr>
        <w:t>geniculate</w:t>
      </w:r>
      <w:proofErr w:type="spellEnd"/>
      <w:r w:rsidRPr="0039414C">
        <w:rPr>
          <w:rFonts w:eastAsia="Times New Roman" w:cstheme="minorHAnsi"/>
          <w:color w:val="333333"/>
          <w:sz w:val="23"/>
          <w:szCs w:val="23"/>
          <w:lang w:eastAsia="cs-CZ"/>
        </w:rPr>
        <w:t xml:space="preserve"> probíhá reaktivace </w:t>
      </w:r>
      <w:r w:rsidRPr="0039414C">
        <w:rPr>
          <w:rFonts w:eastAsia="Times New Roman" w:cstheme="minorHAnsi"/>
          <w:color w:val="333333"/>
          <w:sz w:val="23"/>
          <w:szCs w:val="23"/>
          <w:lang w:eastAsia="cs-CZ"/>
        </w:rPr>
        <w:lastRenderedPageBreak/>
        <w:t>jako </w:t>
      </w:r>
      <w:r w:rsidRPr="0039414C">
        <w:rPr>
          <w:rFonts w:eastAsia="Times New Roman" w:cstheme="minorHAnsi"/>
          <w:i/>
          <w:iCs/>
          <w:color w:val="333333"/>
          <w:sz w:val="23"/>
          <w:szCs w:val="23"/>
          <w:lang w:eastAsia="cs-CZ"/>
        </w:rPr>
        <w:t xml:space="preserve">herpes </w:t>
      </w:r>
      <w:proofErr w:type="spellStart"/>
      <w:r w:rsidRPr="0039414C">
        <w:rPr>
          <w:rFonts w:eastAsia="Times New Roman" w:cstheme="minorHAnsi"/>
          <w:i/>
          <w:iCs/>
          <w:color w:val="333333"/>
          <w:sz w:val="23"/>
          <w:szCs w:val="23"/>
          <w:lang w:eastAsia="cs-CZ"/>
        </w:rPr>
        <w:t>zoster</w:t>
      </w:r>
      <w:proofErr w:type="spellEnd"/>
      <w:r w:rsidRPr="0039414C">
        <w:rPr>
          <w:rFonts w:eastAsia="Times New Roman" w:cstheme="minorHAnsi"/>
          <w:i/>
          <w:iCs/>
          <w:color w:val="333333"/>
          <w:sz w:val="23"/>
          <w:szCs w:val="23"/>
          <w:lang w:eastAsia="cs-CZ"/>
        </w:rPr>
        <w:t xml:space="preserve"> </w:t>
      </w:r>
      <w:proofErr w:type="spellStart"/>
      <w:r w:rsidRPr="0039414C">
        <w:rPr>
          <w:rFonts w:eastAsia="Times New Roman" w:cstheme="minorHAnsi"/>
          <w:i/>
          <w:iCs/>
          <w:color w:val="333333"/>
          <w:sz w:val="23"/>
          <w:szCs w:val="23"/>
          <w:lang w:eastAsia="cs-CZ"/>
        </w:rPr>
        <w:t>oticus</w:t>
      </w:r>
      <w:proofErr w:type="spellEnd"/>
      <w:r w:rsidRPr="0039414C">
        <w:rPr>
          <w:rFonts w:eastAsia="Times New Roman" w:cstheme="minorHAnsi"/>
          <w:color w:val="333333"/>
          <w:sz w:val="23"/>
          <w:szCs w:val="23"/>
          <w:lang w:eastAsia="cs-CZ"/>
        </w:rPr>
        <w:t xml:space="preserve"> neboli </w:t>
      </w:r>
      <w:proofErr w:type="spellStart"/>
      <w:r w:rsidRPr="0039414C">
        <w:rPr>
          <w:rFonts w:eastAsia="Times New Roman" w:cstheme="minorHAnsi"/>
          <w:color w:val="333333"/>
          <w:sz w:val="23"/>
          <w:szCs w:val="23"/>
          <w:lang w:eastAsia="cs-CZ"/>
        </w:rPr>
        <w:t>Ramsayův−Huntův</w:t>
      </w:r>
      <w:proofErr w:type="spellEnd"/>
      <w:r w:rsidRPr="0039414C">
        <w:rPr>
          <w:rFonts w:eastAsia="Times New Roman" w:cstheme="minorHAnsi"/>
          <w:color w:val="333333"/>
          <w:sz w:val="23"/>
          <w:szCs w:val="23"/>
          <w:lang w:eastAsia="cs-CZ"/>
        </w:rPr>
        <w:t xml:space="preserve"> syndrom: otalgie, paréza lícního nervu, výsev vezikul v konše a v zevním zvukovodu, </w:t>
      </w:r>
      <w:proofErr w:type="spellStart"/>
      <w:r w:rsidRPr="0039414C">
        <w:rPr>
          <w:rFonts w:eastAsia="Times New Roman" w:cstheme="minorHAnsi"/>
          <w:color w:val="333333"/>
          <w:sz w:val="23"/>
          <w:szCs w:val="23"/>
          <w:lang w:eastAsia="cs-CZ"/>
        </w:rPr>
        <w:t>vertigo</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tinnitus</w:t>
      </w:r>
      <w:proofErr w:type="spellEnd"/>
      <w:r w:rsidRPr="0039414C">
        <w:rPr>
          <w:rFonts w:eastAsia="Times New Roman" w:cstheme="minorHAnsi"/>
          <w:color w:val="333333"/>
          <w:sz w:val="23"/>
          <w:szCs w:val="23"/>
          <w:lang w:eastAsia="cs-CZ"/>
        </w:rPr>
        <w:t xml:space="preserve"> a u 24 % pacientů nedoslýchavost.</w:t>
      </w:r>
    </w:p>
    <w:p w:rsidR="008C2E3C" w:rsidRPr="0039414C" w:rsidRDefault="008C2E3C" w:rsidP="008C2E3C">
      <w:pPr>
        <w:spacing w:before="432"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Léčba kortikosteroidy a </w:t>
      </w:r>
      <w:proofErr w:type="spellStart"/>
      <w:r w:rsidRPr="0039414C">
        <w:rPr>
          <w:rFonts w:eastAsia="Times New Roman" w:cstheme="minorHAnsi"/>
          <w:color w:val="333333"/>
          <w:sz w:val="23"/>
          <w:szCs w:val="23"/>
          <w:lang w:eastAsia="cs-CZ"/>
        </w:rPr>
        <w:t>antivirotiky</w:t>
      </w:r>
      <w:proofErr w:type="spellEnd"/>
      <w:r w:rsidRPr="0039414C">
        <w:rPr>
          <w:rFonts w:eastAsia="Times New Roman" w:cstheme="minorHAnsi"/>
          <w:color w:val="333333"/>
          <w:sz w:val="23"/>
          <w:szCs w:val="23"/>
          <w:lang w:eastAsia="cs-CZ"/>
        </w:rPr>
        <w:t xml:space="preserve"> ve většině případů vede ke zlepšení až k normalizaci sluchu, méně často však k plné úpravě obrny lícního nervu. Nicméně na </w:t>
      </w:r>
      <w:proofErr w:type="spellStart"/>
      <w:r w:rsidRPr="0039414C">
        <w:rPr>
          <w:rFonts w:eastAsia="Times New Roman" w:cstheme="minorHAnsi"/>
          <w:color w:val="333333"/>
          <w:sz w:val="23"/>
          <w:szCs w:val="23"/>
          <w:lang w:eastAsia="cs-CZ"/>
        </w:rPr>
        <w:t>Ramsayův−Huntův</w:t>
      </w:r>
      <w:proofErr w:type="spellEnd"/>
      <w:r w:rsidRPr="0039414C">
        <w:rPr>
          <w:rFonts w:eastAsia="Times New Roman" w:cstheme="minorHAnsi"/>
          <w:color w:val="333333"/>
          <w:sz w:val="23"/>
          <w:szCs w:val="23"/>
          <w:lang w:eastAsia="cs-CZ"/>
        </w:rPr>
        <w:t xml:space="preserve"> syndrom je zapotřebí myslet (a ordinovat správnou terapii − kortikosteroid plus </w:t>
      </w:r>
      <w:proofErr w:type="spellStart"/>
      <w:r w:rsidRPr="0039414C">
        <w:rPr>
          <w:rFonts w:eastAsia="Times New Roman" w:cstheme="minorHAnsi"/>
          <w:color w:val="333333"/>
          <w:sz w:val="23"/>
          <w:szCs w:val="23"/>
          <w:lang w:eastAsia="cs-CZ"/>
        </w:rPr>
        <w:t>aciklovir</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valaciklovir</w:t>
      </w:r>
      <w:proofErr w:type="spellEnd"/>
      <w:r w:rsidRPr="0039414C">
        <w:rPr>
          <w:rFonts w:eastAsia="Times New Roman" w:cstheme="minorHAnsi"/>
          <w:color w:val="333333"/>
          <w:sz w:val="23"/>
          <w:szCs w:val="23"/>
          <w:lang w:eastAsia="cs-CZ"/>
        </w:rPr>
        <w:t xml:space="preserve"> či </w:t>
      </w:r>
      <w:proofErr w:type="spellStart"/>
      <w:r w:rsidRPr="0039414C">
        <w:rPr>
          <w:rFonts w:eastAsia="Times New Roman" w:cstheme="minorHAnsi"/>
          <w:color w:val="333333"/>
          <w:sz w:val="23"/>
          <w:szCs w:val="23"/>
          <w:lang w:eastAsia="cs-CZ"/>
        </w:rPr>
        <w:t>inosin</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pranobex</w:t>
      </w:r>
      <w:proofErr w:type="spellEnd"/>
      <w:r w:rsidRPr="0039414C">
        <w:rPr>
          <w:rFonts w:eastAsia="Times New Roman" w:cstheme="minorHAnsi"/>
          <w:color w:val="333333"/>
          <w:sz w:val="23"/>
          <w:szCs w:val="23"/>
          <w:lang w:eastAsia="cs-CZ"/>
        </w:rPr>
        <w:t xml:space="preserve">) zejména v netypických případech, např. bez typického kožního </w:t>
      </w:r>
      <w:proofErr w:type="spellStart"/>
      <w:r w:rsidRPr="0039414C">
        <w:rPr>
          <w:rFonts w:eastAsia="Times New Roman" w:cstheme="minorHAnsi"/>
          <w:color w:val="333333"/>
          <w:sz w:val="23"/>
          <w:szCs w:val="23"/>
          <w:lang w:eastAsia="cs-CZ"/>
        </w:rPr>
        <w:t>exantému</w:t>
      </w:r>
      <w:proofErr w:type="spellEnd"/>
      <w:r w:rsidRPr="0039414C">
        <w:rPr>
          <w:rFonts w:eastAsia="Times New Roman" w:cstheme="minorHAnsi"/>
          <w:color w:val="333333"/>
          <w:sz w:val="23"/>
          <w:szCs w:val="23"/>
          <w:lang w:eastAsia="cs-CZ"/>
        </w:rPr>
        <w:t xml:space="preserve"> (tzv. </w:t>
      </w:r>
      <w:r w:rsidRPr="0039414C">
        <w:rPr>
          <w:rFonts w:eastAsia="Times New Roman" w:cstheme="minorHAnsi"/>
          <w:i/>
          <w:iCs/>
          <w:color w:val="333333"/>
          <w:sz w:val="23"/>
          <w:szCs w:val="23"/>
          <w:lang w:eastAsia="cs-CZ"/>
        </w:rPr>
        <w:t xml:space="preserve">herpes </w:t>
      </w:r>
      <w:proofErr w:type="spellStart"/>
      <w:r w:rsidRPr="0039414C">
        <w:rPr>
          <w:rFonts w:eastAsia="Times New Roman" w:cstheme="minorHAnsi"/>
          <w:i/>
          <w:iCs/>
          <w:color w:val="333333"/>
          <w:sz w:val="23"/>
          <w:szCs w:val="23"/>
          <w:lang w:eastAsia="cs-CZ"/>
        </w:rPr>
        <w:t>zoster</w:t>
      </w:r>
      <w:proofErr w:type="spellEnd"/>
      <w:r w:rsidRPr="0039414C">
        <w:rPr>
          <w:rFonts w:eastAsia="Times New Roman" w:cstheme="minorHAnsi"/>
          <w:i/>
          <w:iCs/>
          <w:color w:val="333333"/>
          <w:sz w:val="23"/>
          <w:szCs w:val="23"/>
          <w:lang w:eastAsia="cs-CZ"/>
        </w:rPr>
        <w:t xml:space="preserve"> sine herpete</w:t>
      </w:r>
      <w:r w:rsidRPr="0039414C">
        <w:rPr>
          <w:rFonts w:eastAsia="Times New Roman" w:cstheme="minorHAnsi"/>
          <w:color w:val="333333"/>
          <w:sz w:val="23"/>
          <w:szCs w:val="23"/>
          <w:lang w:eastAsia="cs-CZ"/>
        </w:rPr>
        <w:t>). Je dostupná vakcinace.</w:t>
      </w:r>
    </w:p>
    <w:p w:rsidR="008C2E3C" w:rsidRPr="0039414C" w:rsidRDefault="008C2E3C" w:rsidP="008C2E3C">
      <w:pPr>
        <w:spacing w:before="720" w:after="100" w:afterAutospacing="1" w:line="240" w:lineRule="auto"/>
        <w:outlineLvl w:val="2"/>
        <w:rPr>
          <w:rFonts w:eastAsia="Times New Roman" w:cstheme="minorHAnsi"/>
          <w:i/>
          <w:color w:val="333333"/>
          <w:sz w:val="27"/>
          <w:szCs w:val="27"/>
          <w:lang w:eastAsia="cs-CZ"/>
        </w:rPr>
      </w:pPr>
      <w:r w:rsidRPr="0039414C">
        <w:rPr>
          <w:rFonts w:eastAsia="Times New Roman" w:cstheme="minorHAnsi"/>
          <w:i/>
          <w:color w:val="333333"/>
          <w:sz w:val="27"/>
          <w:szCs w:val="27"/>
          <w:lang w:eastAsia="cs-CZ"/>
        </w:rPr>
        <w:t>Spalničky</w:t>
      </w:r>
    </w:p>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RNA virus spalniček je častou příčinou získané poruchy sluchu. V době před očkováním byly spalničky zodpovědné za 4−9 % případů těžké nedoslýchavosti či hluchoty. Spalničky jsou navíc spojeny s vyšší incidencí zánětů středního ucha, pravděpodobně při přechodném zhoršení imunitní odpovědi. Epidemiologie spalniček a také výskyt komplikací včetně nedoslýchavosti byly dramaticky změněny plošným očkováním.</w:t>
      </w:r>
    </w:p>
    <w:p w:rsidR="008C2E3C" w:rsidRPr="0039414C" w:rsidRDefault="008C2E3C" w:rsidP="008C2E3C">
      <w:pPr>
        <w:spacing w:before="720" w:after="100" w:afterAutospacing="1" w:line="240" w:lineRule="auto"/>
        <w:outlineLvl w:val="2"/>
        <w:rPr>
          <w:rFonts w:eastAsia="Times New Roman" w:cstheme="minorHAnsi"/>
          <w:i/>
          <w:color w:val="333333"/>
          <w:sz w:val="27"/>
          <w:szCs w:val="27"/>
          <w:lang w:eastAsia="cs-CZ"/>
        </w:rPr>
      </w:pPr>
      <w:r w:rsidRPr="0039414C">
        <w:rPr>
          <w:rFonts w:eastAsia="Times New Roman" w:cstheme="minorHAnsi"/>
          <w:i/>
          <w:color w:val="333333"/>
          <w:sz w:val="27"/>
          <w:szCs w:val="27"/>
          <w:lang w:eastAsia="cs-CZ"/>
        </w:rPr>
        <w:t>Příušnice</w:t>
      </w:r>
    </w:p>
    <w:p w:rsidR="008C2E3C" w:rsidRPr="0039414C" w:rsidRDefault="008C2E3C" w:rsidP="008C2E3C">
      <w:pPr>
        <w:spacing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Infekce tímto RNA virem je uváděna jako jedna z nejčastějších příčin získané percepční nedoslýchavosti, i když se incidence výrazně různí v jednotlivých studiích: od 1 případu na 100 tisíc nakažených až po 3 případy nedoslýchavosti na 100 nemocných příušnicemi při epidemii v Izraeli v roce 1984. Nedoslýchavost kolísá od lehké až po hluchotu, zpravidla je reverzibilní a objevuje se typicky s odstupem 4−5 dnů po symptomech příušnic. Plošné očkování i zde výrazně snížilo incidenci, a pokud se u očkované osoby epidemická parotitida objeví, jak jsme tomu svědky v posledních letech, průběh nemoci je mírný a komplikace raritní.</w:t>
      </w:r>
    </w:p>
    <w:p w:rsidR="008C2E3C" w:rsidRPr="0039414C" w:rsidRDefault="008C2E3C" w:rsidP="008C2E3C">
      <w:pPr>
        <w:spacing w:before="720" w:after="100" w:afterAutospacing="1" w:line="240" w:lineRule="auto"/>
        <w:outlineLvl w:val="2"/>
        <w:rPr>
          <w:rFonts w:eastAsia="Times New Roman" w:cstheme="minorHAnsi"/>
          <w:color w:val="333333"/>
          <w:sz w:val="27"/>
          <w:szCs w:val="27"/>
          <w:lang w:eastAsia="cs-CZ"/>
        </w:rPr>
      </w:pPr>
      <w:r w:rsidRPr="0039414C">
        <w:rPr>
          <w:rFonts w:eastAsia="Times New Roman" w:cstheme="minorHAnsi"/>
          <w:color w:val="333333"/>
          <w:sz w:val="27"/>
          <w:szCs w:val="27"/>
          <w:lang w:eastAsia="cs-CZ"/>
        </w:rPr>
        <w:t>Shrnutí</w:t>
      </w:r>
    </w:p>
    <w:p w:rsidR="008C2E3C" w:rsidRPr="0039414C" w:rsidRDefault="008C2E3C" w:rsidP="0039414C">
      <w:pPr>
        <w:numPr>
          <w:ilvl w:val="0"/>
          <w:numId w:val="2"/>
        </w:numPr>
        <w:spacing w:before="100" w:beforeAutospacing="1"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Viry, jmenovitě CMV, jsou nejčastější negenetickou příčinou vrozené nedoslýchavosti či hluchoty.</w:t>
      </w:r>
    </w:p>
    <w:p w:rsidR="008C2E3C" w:rsidRPr="0039414C" w:rsidRDefault="008C2E3C" w:rsidP="0039414C">
      <w:pPr>
        <w:numPr>
          <w:ilvl w:val="0"/>
          <w:numId w:val="2"/>
        </w:numPr>
        <w:spacing w:before="288"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Vrozená nedoslýchavost v důsledku </w:t>
      </w:r>
      <w:proofErr w:type="spellStart"/>
      <w:r w:rsidRPr="0039414C">
        <w:rPr>
          <w:rFonts w:eastAsia="Times New Roman" w:cstheme="minorHAnsi"/>
          <w:color w:val="333333"/>
          <w:sz w:val="23"/>
          <w:szCs w:val="23"/>
          <w:lang w:eastAsia="cs-CZ"/>
        </w:rPr>
        <w:t>pre</w:t>
      </w:r>
      <w:proofErr w:type="spellEnd"/>
      <w:r w:rsidRPr="0039414C">
        <w:rPr>
          <w:rFonts w:eastAsia="Times New Roman" w:cstheme="minorHAnsi"/>
          <w:color w:val="333333"/>
          <w:sz w:val="23"/>
          <w:szCs w:val="23"/>
          <w:lang w:eastAsia="cs-CZ"/>
        </w:rPr>
        <w:t xml:space="preserve">- či perinatální virové infekce se může objevit s latencí měsíců až let, a uniká tak novorozeneckému </w:t>
      </w:r>
      <w:proofErr w:type="spellStart"/>
      <w:r w:rsidRPr="0039414C">
        <w:rPr>
          <w:rFonts w:eastAsia="Times New Roman" w:cstheme="minorHAnsi"/>
          <w:color w:val="333333"/>
          <w:sz w:val="23"/>
          <w:szCs w:val="23"/>
          <w:lang w:eastAsia="cs-CZ"/>
        </w:rPr>
        <w:t>screeningu</w:t>
      </w:r>
      <w:proofErr w:type="spellEnd"/>
      <w:r w:rsidRPr="0039414C">
        <w:rPr>
          <w:rFonts w:eastAsia="Times New Roman" w:cstheme="minorHAnsi"/>
          <w:color w:val="333333"/>
          <w:sz w:val="23"/>
          <w:szCs w:val="23"/>
          <w:lang w:eastAsia="cs-CZ"/>
        </w:rPr>
        <w:t xml:space="preserve"> sluchu.</w:t>
      </w:r>
    </w:p>
    <w:p w:rsidR="0039414C" w:rsidRDefault="008C2E3C" w:rsidP="0039414C">
      <w:pPr>
        <w:numPr>
          <w:ilvl w:val="0"/>
          <w:numId w:val="2"/>
        </w:numPr>
        <w:spacing w:before="288" w:after="0" w:line="240" w:lineRule="auto"/>
        <w:rPr>
          <w:rFonts w:eastAsia="Times New Roman" w:cstheme="minorHAnsi"/>
          <w:color w:val="333333"/>
          <w:sz w:val="23"/>
          <w:szCs w:val="23"/>
          <w:lang w:eastAsia="cs-CZ"/>
        </w:rPr>
      </w:pPr>
      <w:r w:rsidRPr="0039414C">
        <w:rPr>
          <w:rFonts w:eastAsia="Times New Roman" w:cstheme="minorHAnsi"/>
          <w:color w:val="333333"/>
          <w:sz w:val="23"/>
          <w:szCs w:val="23"/>
          <w:lang w:eastAsia="cs-CZ"/>
        </w:rPr>
        <w:t xml:space="preserve">Řada získaných tzv. idiopatických percepčních nedoslýchavostí má ve skutečnosti virovou etiologii. Přidání </w:t>
      </w:r>
      <w:proofErr w:type="spellStart"/>
      <w:r w:rsidRPr="0039414C">
        <w:rPr>
          <w:rFonts w:eastAsia="Times New Roman" w:cstheme="minorHAnsi"/>
          <w:color w:val="333333"/>
          <w:sz w:val="23"/>
          <w:szCs w:val="23"/>
          <w:lang w:eastAsia="cs-CZ"/>
        </w:rPr>
        <w:t>antivirotika</w:t>
      </w:r>
      <w:proofErr w:type="spellEnd"/>
      <w:r w:rsidRPr="0039414C">
        <w:rPr>
          <w:rFonts w:eastAsia="Times New Roman" w:cstheme="minorHAnsi"/>
          <w:color w:val="333333"/>
          <w:sz w:val="23"/>
          <w:szCs w:val="23"/>
          <w:lang w:eastAsia="cs-CZ"/>
        </w:rPr>
        <w:t xml:space="preserve"> do léčebného protokolu může v těchto případech zlepšit práh sluchu.</w:t>
      </w:r>
    </w:p>
    <w:p w:rsidR="0039414C" w:rsidRDefault="008C2E3C" w:rsidP="0039414C">
      <w:pPr>
        <w:spacing w:before="288" w:after="0" w:line="240" w:lineRule="auto"/>
        <w:ind w:left="360"/>
        <w:rPr>
          <w:rFonts w:eastAsia="Times New Roman" w:cstheme="minorHAnsi"/>
          <w:color w:val="333333"/>
          <w:sz w:val="23"/>
          <w:szCs w:val="23"/>
          <w:lang w:eastAsia="cs-CZ"/>
        </w:rPr>
      </w:pPr>
      <w:r w:rsidRPr="0039414C">
        <w:rPr>
          <w:rFonts w:eastAsia="Times New Roman" w:cstheme="minorHAnsi"/>
          <w:color w:val="333333"/>
          <w:sz w:val="23"/>
          <w:szCs w:val="23"/>
          <w:lang w:eastAsia="cs-CZ"/>
        </w:rPr>
        <w:t>(</w:t>
      </w:r>
      <w:proofErr w:type="spellStart"/>
      <w:r w:rsidRPr="0039414C">
        <w:rPr>
          <w:rFonts w:eastAsia="Times New Roman" w:cstheme="minorHAnsi"/>
          <w:color w:val="333333"/>
          <w:sz w:val="23"/>
          <w:szCs w:val="23"/>
          <w:lang w:eastAsia="cs-CZ"/>
        </w:rPr>
        <w:t>thr</w:t>
      </w:r>
      <w:proofErr w:type="spellEnd"/>
      <w:r w:rsidRPr="0039414C">
        <w:rPr>
          <w:rFonts w:eastAsia="Times New Roman" w:cstheme="minorHAnsi"/>
          <w:color w:val="333333"/>
          <w:sz w:val="23"/>
          <w:szCs w:val="23"/>
          <w:lang w:eastAsia="cs-CZ"/>
        </w:rPr>
        <w:t>)</w:t>
      </w:r>
    </w:p>
    <w:p w:rsidR="006966C6" w:rsidRPr="0039414C" w:rsidRDefault="008C2E3C" w:rsidP="0039414C">
      <w:pPr>
        <w:spacing w:before="288" w:after="0" w:line="240" w:lineRule="auto"/>
        <w:ind w:left="360"/>
        <w:rPr>
          <w:rFonts w:eastAsia="Times New Roman" w:cstheme="minorHAnsi"/>
          <w:color w:val="333333"/>
          <w:sz w:val="23"/>
          <w:szCs w:val="23"/>
          <w:lang w:eastAsia="cs-CZ"/>
        </w:rPr>
      </w:pPr>
      <w:r w:rsidRPr="0039414C">
        <w:rPr>
          <w:rFonts w:eastAsia="Times New Roman" w:cstheme="minorHAnsi"/>
          <w:b/>
          <w:color w:val="333333"/>
          <w:sz w:val="23"/>
          <w:szCs w:val="23"/>
          <w:lang w:eastAsia="cs-CZ"/>
        </w:rPr>
        <w:t>Zdroj:</w:t>
      </w:r>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Cohen</w:t>
      </w:r>
      <w:proofErr w:type="spellEnd"/>
      <w:r w:rsidRPr="0039414C">
        <w:rPr>
          <w:rFonts w:eastAsia="Times New Roman" w:cstheme="minorHAnsi"/>
          <w:color w:val="333333"/>
          <w:sz w:val="23"/>
          <w:szCs w:val="23"/>
          <w:lang w:eastAsia="cs-CZ"/>
        </w:rPr>
        <w:t xml:space="preserve"> B. E., </w:t>
      </w:r>
      <w:proofErr w:type="spellStart"/>
      <w:r w:rsidRPr="0039414C">
        <w:rPr>
          <w:rFonts w:eastAsia="Times New Roman" w:cstheme="minorHAnsi"/>
          <w:color w:val="333333"/>
          <w:sz w:val="23"/>
          <w:szCs w:val="23"/>
          <w:lang w:eastAsia="cs-CZ"/>
        </w:rPr>
        <w:t>Durstenfeld</w:t>
      </w:r>
      <w:proofErr w:type="spellEnd"/>
      <w:r w:rsidRPr="0039414C">
        <w:rPr>
          <w:rFonts w:eastAsia="Times New Roman" w:cstheme="minorHAnsi"/>
          <w:color w:val="333333"/>
          <w:sz w:val="23"/>
          <w:szCs w:val="23"/>
          <w:lang w:eastAsia="cs-CZ"/>
        </w:rPr>
        <w:t xml:space="preserve"> A., </w:t>
      </w:r>
      <w:proofErr w:type="spellStart"/>
      <w:r w:rsidRPr="0039414C">
        <w:rPr>
          <w:rFonts w:eastAsia="Times New Roman" w:cstheme="minorHAnsi"/>
          <w:color w:val="333333"/>
          <w:sz w:val="23"/>
          <w:szCs w:val="23"/>
          <w:lang w:eastAsia="cs-CZ"/>
        </w:rPr>
        <w:t>Roehm</w:t>
      </w:r>
      <w:proofErr w:type="spellEnd"/>
      <w:r w:rsidRPr="0039414C">
        <w:rPr>
          <w:rFonts w:eastAsia="Times New Roman" w:cstheme="minorHAnsi"/>
          <w:color w:val="333333"/>
          <w:sz w:val="23"/>
          <w:szCs w:val="23"/>
          <w:lang w:eastAsia="cs-CZ"/>
        </w:rPr>
        <w:t xml:space="preserve"> P. C. </w:t>
      </w:r>
      <w:proofErr w:type="spellStart"/>
      <w:r w:rsidRPr="0039414C">
        <w:rPr>
          <w:rFonts w:eastAsia="Times New Roman" w:cstheme="minorHAnsi"/>
          <w:color w:val="333333"/>
          <w:sz w:val="23"/>
          <w:szCs w:val="23"/>
          <w:lang w:eastAsia="cs-CZ"/>
        </w:rPr>
        <w:t>Viral</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causes</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of</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hearing</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loss</w:t>
      </w:r>
      <w:proofErr w:type="spellEnd"/>
      <w:r w:rsidRPr="0039414C">
        <w:rPr>
          <w:rFonts w:eastAsia="Times New Roman" w:cstheme="minorHAnsi"/>
          <w:color w:val="333333"/>
          <w:sz w:val="23"/>
          <w:szCs w:val="23"/>
          <w:lang w:eastAsia="cs-CZ"/>
        </w:rPr>
        <w:t xml:space="preserve">: a </w:t>
      </w:r>
      <w:proofErr w:type="spellStart"/>
      <w:r w:rsidRPr="0039414C">
        <w:rPr>
          <w:rFonts w:eastAsia="Times New Roman" w:cstheme="minorHAnsi"/>
          <w:color w:val="333333"/>
          <w:sz w:val="23"/>
          <w:szCs w:val="23"/>
          <w:lang w:eastAsia="cs-CZ"/>
        </w:rPr>
        <w:t>review</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for</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hearing</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health</w:t>
      </w:r>
      <w:proofErr w:type="spellEnd"/>
      <w:r w:rsidRPr="0039414C">
        <w:rPr>
          <w:rFonts w:eastAsia="Times New Roman" w:cstheme="minorHAnsi"/>
          <w:color w:val="333333"/>
          <w:sz w:val="23"/>
          <w:szCs w:val="23"/>
          <w:lang w:eastAsia="cs-CZ"/>
        </w:rPr>
        <w:t xml:space="preserve"> </w:t>
      </w:r>
      <w:proofErr w:type="spellStart"/>
      <w:r w:rsidRPr="0039414C">
        <w:rPr>
          <w:rFonts w:eastAsia="Times New Roman" w:cstheme="minorHAnsi"/>
          <w:color w:val="333333"/>
          <w:sz w:val="23"/>
          <w:szCs w:val="23"/>
          <w:lang w:eastAsia="cs-CZ"/>
        </w:rPr>
        <w:t>professionals</w:t>
      </w:r>
      <w:proofErr w:type="spellEnd"/>
      <w:r w:rsidRPr="0039414C">
        <w:rPr>
          <w:rFonts w:eastAsia="Times New Roman" w:cstheme="minorHAnsi"/>
          <w:color w:val="333333"/>
          <w:sz w:val="23"/>
          <w:szCs w:val="23"/>
          <w:lang w:eastAsia="cs-CZ"/>
        </w:rPr>
        <w:t>.</w:t>
      </w:r>
      <w:r w:rsidRPr="0039414C">
        <w:rPr>
          <w:rFonts w:eastAsia="Times New Roman" w:cstheme="minorHAnsi"/>
          <w:i/>
          <w:iCs/>
          <w:color w:val="333333"/>
          <w:sz w:val="23"/>
          <w:szCs w:val="23"/>
          <w:lang w:eastAsia="cs-CZ"/>
        </w:rPr>
        <w:t> </w:t>
      </w:r>
      <w:proofErr w:type="spellStart"/>
      <w:r w:rsidRPr="0039414C">
        <w:rPr>
          <w:rFonts w:eastAsia="Times New Roman" w:cstheme="minorHAnsi"/>
          <w:i/>
          <w:iCs/>
          <w:color w:val="333333"/>
          <w:sz w:val="23"/>
          <w:szCs w:val="23"/>
          <w:lang w:eastAsia="cs-CZ"/>
        </w:rPr>
        <w:t>Trends</w:t>
      </w:r>
      <w:proofErr w:type="spellEnd"/>
      <w:r w:rsidRPr="0039414C">
        <w:rPr>
          <w:rFonts w:eastAsia="Times New Roman" w:cstheme="minorHAnsi"/>
          <w:i/>
          <w:iCs/>
          <w:color w:val="333333"/>
          <w:sz w:val="23"/>
          <w:szCs w:val="23"/>
          <w:lang w:eastAsia="cs-CZ"/>
        </w:rPr>
        <w:t xml:space="preserve"> </w:t>
      </w:r>
      <w:proofErr w:type="spellStart"/>
      <w:r w:rsidRPr="0039414C">
        <w:rPr>
          <w:rFonts w:eastAsia="Times New Roman" w:cstheme="minorHAnsi"/>
          <w:i/>
          <w:iCs/>
          <w:color w:val="333333"/>
          <w:sz w:val="23"/>
          <w:szCs w:val="23"/>
          <w:lang w:eastAsia="cs-CZ"/>
        </w:rPr>
        <w:t>Hear</w:t>
      </w:r>
      <w:proofErr w:type="spellEnd"/>
      <w:r w:rsidRPr="0039414C">
        <w:rPr>
          <w:rFonts w:eastAsia="Times New Roman" w:cstheme="minorHAnsi"/>
          <w:color w:val="333333"/>
          <w:sz w:val="23"/>
          <w:szCs w:val="23"/>
          <w:lang w:eastAsia="cs-CZ"/>
        </w:rPr>
        <w:t xml:space="preserve"> 2014; 18, </w:t>
      </w:r>
      <w:proofErr w:type="spellStart"/>
      <w:r w:rsidRPr="0039414C">
        <w:rPr>
          <w:rFonts w:eastAsia="Times New Roman" w:cstheme="minorHAnsi"/>
          <w:color w:val="333333"/>
          <w:sz w:val="23"/>
          <w:szCs w:val="23"/>
          <w:lang w:eastAsia="cs-CZ"/>
        </w:rPr>
        <w:t>pii</w:t>
      </w:r>
      <w:proofErr w:type="spellEnd"/>
      <w:r w:rsidRPr="0039414C">
        <w:rPr>
          <w:rFonts w:eastAsia="Times New Roman" w:cstheme="minorHAnsi"/>
          <w:color w:val="333333"/>
          <w:sz w:val="23"/>
          <w:szCs w:val="23"/>
          <w:lang w:eastAsia="cs-CZ"/>
        </w:rPr>
        <w:t xml:space="preserve">: 2331216514541361, </w:t>
      </w:r>
      <w:proofErr w:type="spellStart"/>
      <w:r w:rsidRPr="0039414C">
        <w:rPr>
          <w:rFonts w:eastAsia="Times New Roman" w:cstheme="minorHAnsi"/>
          <w:color w:val="333333"/>
          <w:sz w:val="23"/>
          <w:szCs w:val="23"/>
          <w:lang w:eastAsia="cs-CZ"/>
        </w:rPr>
        <w:t>doi</w:t>
      </w:r>
      <w:proofErr w:type="spellEnd"/>
      <w:r w:rsidRPr="0039414C">
        <w:rPr>
          <w:rFonts w:eastAsia="Times New Roman" w:cstheme="minorHAnsi"/>
          <w:color w:val="333333"/>
          <w:sz w:val="23"/>
          <w:szCs w:val="23"/>
          <w:lang w:eastAsia="cs-CZ"/>
        </w:rPr>
        <w:t>: 10.1177/2331216514541361.</w:t>
      </w:r>
    </w:p>
    <w:sectPr w:rsidR="006966C6" w:rsidRPr="00394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586"/>
    <w:multiLevelType w:val="multilevel"/>
    <w:tmpl w:val="28E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20CC9"/>
    <w:multiLevelType w:val="multilevel"/>
    <w:tmpl w:val="7AF0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3D"/>
    <w:rsid w:val="0039414C"/>
    <w:rsid w:val="003D2126"/>
    <w:rsid w:val="008C2E3C"/>
    <w:rsid w:val="00B2175F"/>
    <w:rsid w:val="00C62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41CA"/>
  <w15:chartTrackingRefBased/>
  <w15:docId w15:val="{5B648B67-F0C5-4FD4-A996-2501FA21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C2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8C2E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2E3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8C2E3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8C2E3C"/>
    <w:rPr>
      <w:color w:val="0000FF"/>
      <w:u w:val="single"/>
    </w:rPr>
  </w:style>
  <w:style w:type="character" w:customStyle="1" w:styleId="m-breadcrumbsep">
    <w:name w:val="m-breadcrumb__sep"/>
    <w:basedOn w:val="Standardnpsmoodstavce"/>
    <w:rsid w:val="008C2E3C"/>
  </w:style>
  <w:style w:type="character" w:customStyle="1" w:styleId="font-xxx-small">
    <w:name w:val="font-xxx-small"/>
    <w:basedOn w:val="Standardnpsmoodstavce"/>
    <w:rsid w:val="008C2E3C"/>
  </w:style>
  <w:style w:type="paragraph" w:customStyle="1" w:styleId="font-second-regular">
    <w:name w:val="font-second-regular"/>
    <w:basedOn w:val="Normln"/>
    <w:rsid w:val="008C2E3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C2E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C2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2132">
      <w:bodyDiv w:val="1"/>
      <w:marLeft w:val="0"/>
      <w:marRight w:val="0"/>
      <w:marTop w:val="0"/>
      <w:marBottom w:val="0"/>
      <w:divBdr>
        <w:top w:val="none" w:sz="0" w:space="0" w:color="auto"/>
        <w:left w:val="none" w:sz="0" w:space="0" w:color="auto"/>
        <w:bottom w:val="none" w:sz="0" w:space="0" w:color="auto"/>
        <w:right w:val="none" w:sz="0" w:space="0" w:color="auto"/>
      </w:divBdr>
      <w:divsChild>
        <w:div w:id="354617184">
          <w:marLeft w:val="0"/>
          <w:marRight w:val="0"/>
          <w:marTop w:val="0"/>
          <w:marBottom w:val="0"/>
          <w:divBdr>
            <w:top w:val="none" w:sz="0" w:space="0" w:color="auto"/>
            <w:left w:val="none" w:sz="0" w:space="0" w:color="auto"/>
            <w:bottom w:val="none" w:sz="0" w:space="0" w:color="auto"/>
            <w:right w:val="none" w:sz="0" w:space="0" w:color="auto"/>
          </w:divBdr>
        </w:div>
        <w:div w:id="1503155520">
          <w:marLeft w:val="0"/>
          <w:marRight w:val="0"/>
          <w:marTop w:val="0"/>
          <w:marBottom w:val="0"/>
          <w:divBdr>
            <w:top w:val="none" w:sz="0" w:space="0" w:color="auto"/>
            <w:left w:val="none" w:sz="0" w:space="0" w:color="auto"/>
            <w:bottom w:val="none" w:sz="0" w:space="0" w:color="auto"/>
            <w:right w:val="none" w:sz="0" w:space="0" w:color="auto"/>
          </w:divBdr>
          <w:divsChild>
            <w:div w:id="1936552681">
              <w:marLeft w:val="0"/>
              <w:marRight w:val="0"/>
              <w:marTop w:val="0"/>
              <w:marBottom w:val="0"/>
              <w:divBdr>
                <w:top w:val="none" w:sz="0" w:space="0" w:color="auto"/>
                <w:left w:val="none" w:sz="0" w:space="0" w:color="auto"/>
                <w:bottom w:val="none" w:sz="0" w:space="0" w:color="auto"/>
                <w:right w:val="none" w:sz="0" w:space="0" w:color="auto"/>
              </w:divBdr>
              <w:divsChild>
                <w:div w:id="2062973320">
                  <w:marLeft w:val="0"/>
                  <w:marRight w:val="0"/>
                  <w:marTop w:val="0"/>
                  <w:marBottom w:val="0"/>
                  <w:divBdr>
                    <w:top w:val="none" w:sz="0" w:space="0" w:color="auto"/>
                    <w:left w:val="none" w:sz="0" w:space="0" w:color="auto"/>
                    <w:bottom w:val="none" w:sz="0" w:space="0" w:color="auto"/>
                    <w:right w:val="none" w:sz="0" w:space="0" w:color="auto"/>
                  </w:divBdr>
                </w:div>
              </w:divsChild>
            </w:div>
            <w:div w:id="4324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lekare.cz/tema/hpv-condylomata-ari" TargetMode="External"/><Relationship Id="rId3" Type="http://schemas.openxmlformats.org/officeDocument/2006/relationships/settings" Target="settings.xml"/><Relationship Id="rId7" Type="http://schemas.openxmlformats.org/officeDocument/2006/relationships/hyperlink" Target="https://www.prolekare.cz/t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lekare.cz/" TargetMode="External"/><Relationship Id="rId5" Type="http://schemas.openxmlformats.org/officeDocument/2006/relationships/hyperlink" Target="https://www.prolekare.cz/tema/hpv-condylomata-ari/detail/virova-infekce-nepravem-prehlizena-etiologie-nedoslychavosti-68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963</Words>
  <Characters>5685</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5</cp:revision>
  <dcterms:created xsi:type="dcterms:W3CDTF">2020-04-01T22:31:00Z</dcterms:created>
  <dcterms:modified xsi:type="dcterms:W3CDTF">2020-04-01T23:54:00Z</dcterms:modified>
</cp:coreProperties>
</file>