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EB" w:rsidRPr="00A53B3C" w:rsidRDefault="00E66BEB" w:rsidP="00A53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Dotační příležitosti  - slovníček základních pojmů</w:t>
      </w:r>
    </w:p>
    <w:p w:rsidR="00E66BEB" w:rsidRPr="00A53B3C" w:rsidRDefault="00E66BEB" w:rsidP="00A53B3C">
      <w:pPr>
        <w:rPr>
          <w:rFonts w:ascii="Times New Roman" w:hAnsi="Times New Roman" w:cs="Times New Roman"/>
          <w:b/>
          <w:sz w:val="24"/>
          <w:szCs w:val="24"/>
        </w:rPr>
      </w:pPr>
    </w:p>
    <w:p w:rsidR="00A53B3C" w:rsidRPr="00A53B3C" w:rsidRDefault="00AD6FBB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 xml:space="preserve">3E - </w:t>
      </w:r>
      <w:proofErr w:type="spellStart"/>
      <w:r w:rsidRPr="00A53B3C">
        <w:rPr>
          <w:rFonts w:ascii="Times New Roman" w:hAnsi="Times New Roman" w:cs="Times New Roman"/>
          <w:b/>
          <w:sz w:val="24"/>
          <w:szCs w:val="24"/>
        </w:rPr>
        <w:t>Effectiveness</w:t>
      </w:r>
      <w:proofErr w:type="spellEnd"/>
      <w:r w:rsidRPr="00A53B3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53B3C">
        <w:rPr>
          <w:rFonts w:ascii="Times New Roman" w:hAnsi="Times New Roman" w:cs="Times New Roman"/>
          <w:b/>
          <w:sz w:val="24"/>
          <w:szCs w:val="24"/>
        </w:rPr>
        <w:t>Efficiency</w:t>
      </w:r>
      <w:proofErr w:type="spellEnd"/>
      <w:r w:rsidRPr="00A53B3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53B3C">
        <w:rPr>
          <w:rFonts w:ascii="Times New Roman" w:hAnsi="Times New Roman" w:cs="Times New Roman"/>
          <w:b/>
          <w:sz w:val="24"/>
          <w:szCs w:val="24"/>
        </w:rPr>
        <w:t>Economy</w:t>
      </w:r>
      <w:proofErr w:type="spellEnd"/>
      <w:r w:rsidRPr="00A53B3C">
        <w:rPr>
          <w:rFonts w:ascii="Times New Roman" w:hAnsi="Times New Roman" w:cs="Times New Roman"/>
          <w:sz w:val="24"/>
          <w:szCs w:val="24"/>
        </w:rPr>
        <w:t xml:space="preserve">  -  zásada řádného finančního řízení - hospodárnost, efektivnost (ne</w:t>
      </w:r>
      <w:r w:rsidR="0043424D" w:rsidRPr="00A53B3C">
        <w:rPr>
          <w:rFonts w:ascii="Times New Roman" w:hAnsi="Times New Roman" w:cs="Times New Roman"/>
          <w:sz w:val="24"/>
          <w:szCs w:val="24"/>
        </w:rPr>
        <w:t>bo také účinnosti) a účelnosti (d</w:t>
      </w:r>
      <w:r w:rsidRPr="00A53B3C">
        <w:rPr>
          <w:rFonts w:ascii="Times New Roman" w:hAnsi="Times New Roman" w:cs="Times New Roman"/>
          <w:sz w:val="24"/>
          <w:szCs w:val="24"/>
        </w:rPr>
        <w:t>efinuje zákon č. 320/2001 Sb., o finanční kontrole</w:t>
      </w:r>
      <w:r w:rsidR="0043424D" w:rsidRPr="00A53B3C">
        <w:rPr>
          <w:rFonts w:ascii="Times New Roman" w:hAnsi="Times New Roman" w:cs="Times New Roman"/>
          <w:sz w:val="24"/>
          <w:szCs w:val="24"/>
        </w:rPr>
        <w:t>)</w:t>
      </w:r>
      <w:r w:rsidRPr="00A53B3C">
        <w:rPr>
          <w:rFonts w:ascii="Times New Roman" w:hAnsi="Times New Roman" w:cs="Times New Roman"/>
          <w:sz w:val="24"/>
          <w:szCs w:val="24"/>
        </w:rPr>
        <w:t xml:space="preserve">. </w:t>
      </w:r>
      <w:r w:rsidR="0043424D" w:rsidRPr="00A53B3C">
        <w:rPr>
          <w:rFonts w:ascii="Times New Roman" w:hAnsi="Times New Roman" w:cs="Times New Roman"/>
          <w:sz w:val="24"/>
          <w:szCs w:val="24"/>
        </w:rPr>
        <w:t>Často doplňováno o pojmy: užitečnost</w:t>
      </w:r>
      <w:r w:rsidRPr="00A53B3C">
        <w:rPr>
          <w:rFonts w:ascii="Times New Roman" w:hAnsi="Times New Roman" w:cs="Times New Roman"/>
          <w:sz w:val="24"/>
          <w:szCs w:val="24"/>
        </w:rPr>
        <w:t xml:space="preserve"> a udržitelnost. Pravidlo 3E tedy znamená v kontextu: co nejhospodárnější nakládání s finančními prostředky při dosažení co nejlepších výsledků.</w:t>
      </w:r>
    </w:p>
    <w:p w:rsidR="00AD6FBB" w:rsidRPr="00A53B3C" w:rsidRDefault="00AD6FBB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A</w:t>
      </w:r>
    </w:p>
    <w:p w:rsidR="00AD6FBB" w:rsidRPr="00A53B3C" w:rsidRDefault="00AD6FBB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Administrace platby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proc</w:t>
      </w:r>
      <w:r w:rsidR="0043424D" w:rsidRPr="00A53B3C">
        <w:rPr>
          <w:rFonts w:ascii="Times New Roman" w:hAnsi="Times New Roman" w:cs="Times New Roman"/>
          <w:sz w:val="24"/>
          <w:szCs w:val="24"/>
        </w:rPr>
        <w:t>es schvalování žádosti o platbu. Zahrnuje</w:t>
      </w:r>
      <w:r w:rsidRPr="00A53B3C">
        <w:rPr>
          <w:rFonts w:ascii="Times New Roman" w:hAnsi="Times New Roman" w:cs="Times New Roman"/>
          <w:sz w:val="24"/>
          <w:szCs w:val="24"/>
        </w:rPr>
        <w:t xml:space="preserve"> prvotní podání zjednodušené žádosti o platbu žadatelem, její kontrolu ze strany řídicího orgánu, včetně případného vrácení žádosti o platbu příjemci k dopracování, vystavení plné žádosti o platbu v podobě formuláře nejčastěji finančním manažerem, včetně generování souvisejících detailů platby, její schválení a proplacení příjemci. V případě administrace žádostí o platbu organizační složky státu k platbě nedochází.</w:t>
      </w:r>
    </w:p>
    <w:p w:rsidR="00AD6FBB" w:rsidRPr="00A53B3C" w:rsidRDefault="00AD6FBB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Alokace</w:t>
      </w:r>
      <w:r w:rsidRPr="00A53B3C">
        <w:rPr>
          <w:rFonts w:ascii="Times New Roman" w:hAnsi="Times New Roman" w:cs="Times New Roman"/>
          <w:sz w:val="24"/>
          <w:szCs w:val="24"/>
        </w:rPr>
        <w:t xml:space="preserve">  - objem finančních prostředků</w:t>
      </w:r>
      <w:r w:rsidR="00655040" w:rsidRPr="00A53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040" w:rsidRPr="00A53B3C">
        <w:rPr>
          <w:rFonts w:ascii="Times New Roman" w:hAnsi="Times New Roman" w:cs="Times New Roman"/>
          <w:sz w:val="24"/>
          <w:szCs w:val="24"/>
        </w:rPr>
        <w:t xml:space="preserve">poskytovaných </w:t>
      </w:r>
      <w:r w:rsidRPr="00A53B3C">
        <w:rPr>
          <w:rFonts w:ascii="Times New Roman" w:hAnsi="Times New Roman" w:cs="Times New Roman"/>
          <w:sz w:val="24"/>
          <w:szCs w:val="24"/>
        </w:rPr>
        <w:t xml:space="preserve"> ze</w:t>
      </w:r>
      <w:proofErr w:type="gramEnd"/>
      <w:r w:rsidRPr="00A53B3C">
        <w:rPr>
          <w:rFonts w:ascii="Times New Roman" w:hAnsi="Times New Roman" w:cs="Times New Roman"/>
          <w:sz w:val="24"/>
          <w:szCs w:val="24"/>
        </w:rPr>
        <w:t xml:space="preserve"> zdrojů</w:t>
      </w:r>
    </w:p>
    <w:p w:rsidR="001606EF" w:rsidRPr="00A53B3C" w:rsidRDefault="00AD6FBB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Analýza nákladů a přínosů</w:t>
      </w:r>
      <w:r w:rsidRPr="00A53B3C">
        <w:rPr>
          <w:rFonts w:ascii="Times New Roman" w:hAnsi="Times New Roman" w:cs="Times New Roman"/>
          <w:sz w:val="24"/>
          <w:szCs w:val="24"/>
        </w:rPr>
        <w:t xml:space="preserve"> (</w:t>
      </w:r>
      <w:r w:rsidR="0043424D" w:rsidRPr="00A53B3C">
        <w:rPr>
          <w:rFonts w:ascii="Times New Roman" w:hAnsi="Times New Roman" w:cs="Times New Roman"/>
          <w:sz w:val="24"/>
          <w:szCs w:val="24"/>
        </w:rPr>
        <w:t>u některých projektů „</w:t>
      </w:r>
      <w:proofErr w:type="spellStart"/>
      <w:r w:rsidRPr="00A53B3C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A53B3C">
        <w:rPr>
          <w:rFonts w:ascii="Times New Roman" w:hAnsi="Times New Roman" w:cs="Times New Roman"/>
          <w:sz w:val="24"/>
          <w:szCs w:val="24"/>
        </w:rPr>
        <w:t>-benefit analýza</w:t>
      </w:r>
      <w:r w:rsidR="0043424D" w:rsidRPr="00A53B3C">
        <w:rPr>
          <w:rFonts w:ascii="Times New Roman" w:hAnsi="Times New Roman" w:cs="Times New Roman"/>
          <w:sz w:val="24"/>
          <w:szCs w:val="24"/>
        </w:rPr>
        <w:t>“</w:t>
      </w:r>
      <w:r w:rsidRPr="00A53B3C">
        <w:rPr>
          <w:rFonts w:ascii="Times New Roman" w:hAnsi="Times New Roman" w:cs="Times New Roman"/>
          <w:sz w:val="24"/>
          <w:szCs w:val="24"/>
        </w:rPr>
        <w:t>)  - socioekonomické efekty plánovaného projektu. Tedy co komu projekt přináší a co je na jeho realizaci nutno vynaložit. Vymezuje skupinu všech účastníků, kterých se projekt dotkne ať přímo či nepřímo. V rámci analýzy jsou vyčísleny nejen veškeré finanční náklady a výnosy, ale také významné a dopředu odhadnutelné nepřímé pozitivní a negativní důsledky. Umožňuje tak zohlednit intervence, které nejsou ziskové a finančně výnosné, ale mají nefinanční, např. společenský užitek.</w:t>
      </w:r>
    </w:p>
    <w:p w:rsidR="00AD6FBB" w:rsidRPr="00A53B3C" w:rsidRDefault="00AD6FBB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C</w:t>
      </w:r>
    </w:p>
    <w:p w:rsidR="00D5546D" w:rsidRPr="00A53B3C" w:rsidRDefault="00D5546D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CBA</w:t>
      </w:r>
      <w:r w:rsidRPr="00A53B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3B3C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A53B3C">
        <w:rPr>
          <w:rFonts w:ascii="Times New Roman" w:hAnsi="Times New Roman" w:cs="Times New Roman"/>
          <w:sz w:val="24"/>
          <w:szCs w:val="24"/>
        </w:rPr>
        <w:t xml:space="preserve"> – benefit </w:t>
      </w:r>
      <w:proofErr w:type="spellStart"/>
      <w:r w:rsidRPr="00A53B3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53B3C">
        <w:rPr>
          <w:rFonts w:ascii="Times New Roman" w:hAnsi="Times New Roman" w:cs="Times New Roman"/>
          <w:sz w:val="24"/>
          <w:szCs w:val="24"/>
        </w:rPr>
        <w:t xml:space="preserve">) – metoda pro zjišťování nákladů a výnosů projektu. </w:t>
      </w:r>
    </w:p>
    <w:p w:rsidR="001606EF" w:rsidRPr="00A53B3C" w:rsidRDefault="00AD6FBB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 xml:space="preserve">Cílová skupina </w:t>
      </w:r>
      <w:r w:rsidR="00655040" w:rsidRPr="00A53B3C">
        <w:rPr>
          <w:rFonts w:ascii="Times New Roman" w:hAnsi="Times New Roman" w:cs="Times New Roman"/>
          <w:sz w:val="24"/>
          <w:szCs w:val="24"/>
        </w:rPr>
        <w:t>–</w:t>
      </w:r>
      <w:r w:rsidRPr="00A53B3C">
        <w:rPr>
          <w:rFonts w:ascii="Times New Roman" w:hAnsi="Times New Roman" w:cs="Times New Roman"/>
          <w:sz w:val="24"/>
          <w:szCs w:val="24"/>
        </w:rPr>
        <w:t xml:space="preserve"> </w:t>
      </w:r>
      <w:r w:rsidR="00655040" w:rsidRPr="00A53B3C">
        <w:rPr>
          <w:rFonts w:ascii="Times New Roman" w:hAnsi="Times New Roman" w:cs="Times New Roman"/>
          <w:sz w:val="24"/>
          <w:szCs w:val="24"/>
        </w:rPr>
        <w:t xml:space="preserve">subjekt (subjekty), na </w:t>
      </w:r>
      <w:proofErr w:type="gramStart"/>
      <w:r w:rsidR="00655040" w:rsidRPr="00A53B3C">
        <w:rPr>
          <w:rFonts w:ascii="Times New Roman" w:hAnsi="Times New Roman" w:cs="Times New Roman"/>
          <w:sz w:val="24"/>
          <w:szCs w:val="24"/>
        </w:rPr>
        <w:t xml:space="preserve">který  </w:t>
      </w:r>
      <w:r w:rsidRPr="00A53B3C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A53B3C">
        <w:rPr>
          <w:rFonts w:ascii="Times New Roman" w:hAnsi="Times New Roman" w:cs="Times New Roman"/>
          <w:sz w:val="24"/>
          <w:szCs w:val="24"/>
        </w:rPr>
        <w:t xml:space="preserve"> program/projekt zaměřen a má z něj užitek po dobu jeho realizace včetně doby udržitelnosti (např. účastníci rekvalifikačních kurzů, turisté, etnické menšiny, podnikatelé, zdravotně postižení, neúplné rodiny, obce apod.)</w:t>
      </w:r>
    </w:p>
    <w:p w:rsidR="00AD6FBB" w:rsidRPr="00A53B3C" w:rsidRDefault="00AD6FBB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D</w:t>
      </w:r>
    </w:p>
    <w:p w:rsidR="00AD6FBB" w:rsidRPr="00A53B3C" w:rsidRDefault="00AD6FBB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Datum vyhlášení výzvy</w:t>
      </w:r>
      <w:r w:rsidR="0043424D" w:rsidRPr="00A53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termín, ve kterém je výzva zveřejněna. </w:t>
      </w:r>
    </w:p>
    <w:p w:rsidR="00AD6FBB" w:rsidRPr="00A53B3C" w:rsidRDefault="00AD6FBB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Datum zahájení příjmu žádostí o podporu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termín, ve kterém je zahájen příjem žádostí o podporu. </w:t>
      </w:r>
    </w:p>
    <w:p w:rsidR="00AD6FBB" w:rsidRPr="00A53B3C" w:rsidRDefault="00AD6FBB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Datum zpřístupnění žádosti o podporu v</w:t>
      </w:r>
      <w:r w:rsidR="0043424D" w:rsidRPr="00A53B3C">
        <w:rPr>
          <w:rFonts w:ascii="Times New Roman" w:hAnsi="Times New Roman" w:cs="Times New Roman"/>
          <w:b/>
          <w:sz w:val="24"/>
          <w:szCs w:val="24"/>
        </w:rPr>
        <w:t> </w:t>
      </w:r>
      <w:r w:rsidRPr="00A53B3C">
        <w:rPr>
          <w:rFonts w:ascii="Times New Roman" w:hAnsi="Times New Roman" w:cs="Times New Roman"/>
          <w:b/>
          <w:sz w:val="24"/>
          <w:szCs w:val="24"/>
        </w:rPr>
        <w:t>monitorovacím</w:t>
      </w:r>
      <w:r w:rsidR="0043424D" w:rsidRPr="00A53B3C">
        <w:rPr>
          <w:rFonts w:ascii="Times New Roman" w:hAnsi="Times New Roman" w:cs="Times New Roman"/>
          <w:b/>
          <w:sz w:val="24"/>
          <w:szCs w:val="24"/>
        </w:rPr>
        <w:t xml:space="preserve"> systému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termín, ve kterém je nejpozději nastaven monitorovací systém tak, aby umožňoval řádné vyplnění a podání žádosti o podporu.</w:t>
      </w:r>
    </w:p>
    <w:p w:rsidR="00166461" w:rsidRPr="00A53B3C" w:rsidRDefault="00166461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 </w:t>
      </w:r>
      <w:proofErr w:type="spellStart"/>
      <w:r w:rsidRPr="00A53B3C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Pr="00A53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podpora, která nesmí spolu s ostatními podporami de </w:t>
      </w:r>
      <w:proofErr w:type="spellStart"/>
      <w:r w:rsidRPr="00A53B3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53B3C">
        <w:rPr>
          <w:rFonts w:ascii="Times New Roman" w:hAnsi="Times New Roman" w:cs="Times New Roman"/>
          <w:sz w:val="24"/>
          <w:szCs w:val="24"/>
        </w:rPr>
        <w:t xml:space="preserve"> poskytnutými jednomu příjemci za dobu předchozích 3 let přesáhnout výši korunového ekvivalentu částky 200tis. EUR</w:t>
      </w:r>
    </w:p>
    <w:p w:rsidR="00AD6FBB" w:rsidRPr="00A53B3C" w:rsidRDefault="00AD6FBB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 xml:space="preserve">Dohoda o partnerství </w:t>
      </w:r>
      <w:r w:rsidRPr="00A53B3C">
        <w:rPr>
          <w:rFonts w:ascii="Times New Roman" w:hAnsi="Times New Roman" w:cs="Times New Roman"/>
          <w:sz w:val="24"/>
          <w:szCs w:val="24"/>
        </w:rPr>
        <w:t xml:space="preserve">- dokument </w:t>
      </w:r>
    </w:p>
    <w:p w:rsidR="001606EF" w:rsidRPr="00A53B3C" w:rsidRDefault="00166461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 xml:space="preserve">Dotace </w:t>
      </w:r>
      <w:r w:rsidR="00D5546D" w:rsidRPr="00A53B3C">
        <w:rPr>
          <w:rFonts w:ascii="Times New Roman" w:hAnsi="Times New Roman" w:cs="Times New Roman"/>
          <w:sz w:val="24"/>
          <w:szCs w:val="24"/>
        </w:rPr>
        <w:t>–</w:t>
      </w:r>
      <w:r w:rsidRPr="00A53B3C">
        <w:rPr>
          <w:rFonts w:ascii="Times New Roman" w:hAnsi="Times New Roman" w:cs="Times New Roman"/>
          <w:sz w:val="24"/>
          <w:szCs w:val="24"/>
        </w:rPr>
        <w:t xml:space="preserve"> </w:t>
      </w:r>
      <w:r w:rsidR="00D5546D" w:rsidRPr="00A53B3C">
        <w:rPr>
          <w:rFonts w:ascii="Times New Roman" w:hAnsi="Times New Roman" w:cs="Times New Roman"/>
          <w:sz w:val="24"/>
          <w:szCs w:val="24"/>
        </w:rPr>
        <w:t>finanční podpora ze strany státu (státního rozpočtu, územního rozpočtu) nebo z</w:t>
      </w:r>
      <w:r w:rsidRPr="00A53B3C">
        <w:rPr>
          <w:rFonts w:ascii="Times New Roman" w:hAnsi="Times New Roman" w:cs="Times New Roman"/>
          <w:sz w:val="24"/>
          <w:szCs w:val="24"/>
        </w:rPr>
        <w:t xml:space="preserve"> evropských fondů. </w:t>
      </w:r>
    </w:p>
    <w:p w:rsidR="00AD6FBB" w:rsidRPr="00A53B3C" w:rsidRDefault="00AD6FBB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E</w:t>
      </w:r>
    </w:p>
    <w:p w:rsidR="00AD6FBB" w:rsidRPr="00A53B3C" w:rsidRDefault="00AD6FBB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Entita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každý objekt (jev, událost), který je ve vymezeném systému z nějakého důvodu významný a který je označen vhodným jménem</w:t>
      </w:r>
    </w:p>
    <w:p w:rsidR="00D5546D" w:rsidRPr="00A53B3C" w:rsidRDefault="00D5546D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Evaluace</w:t>
      </w:r>
      <w:r w:rsidRPr="00A53B3C">
        <w:rPr>
          <w:rFonts w:ascii="Times New Roman" w:hAnsi="Times New Roman" w:cs="Times New Roman"/>
          <w:sz w:val="24"/>
          <w:szCs w:val="24"/>
        </w:rPr>
        <w:t xml:space="preserve"> – </w:t>
      </w:r>
      <w:r w:rsidRPr="00A53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hodnocení. Jsou zkoumány vynaložené prostředky z veřejných rozpočtů, především to, zda byly využity hospodárně. Tento proces probíhá před zahájením programového období (tzv. evaluace ex ante), v jeho průběhu (tzv. evaluace ad hoc, </w:t>
      </w:r>
      <w:proofErr w:type="spellStart"/>
      <w:r w:rsidRPr="00A53B3C">
        <w:rPr>
          <w:rFonts w:ascii="Times New Roman" w:hAnsi="Times New Roman" w:cs="Times New Roman"/>
          <w:sz w:val="24"/>
          <w:szCs w:val="24"/>
          <w:shd w:val="clear" w:color="auto" w:fill="FFFFFF"/>
        </w:rPr>
        <w:t>ongoing</w:t>
      </w:r>
      <w:proofErr w:type="spellEnd"/>
      <w:r w:rsidRPr="00A53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nebo souhrnné) a po jeho skončení (tzv. evaluace ex post).</w:t>
      </w:r>
    </w:p>
    <w:p w:rsidR="00E66BEB" w:rsidRPr="00A53B3C" w:rsidRDefault="00AD6FBB" w:rsidP="00A53B3C">
      <w:pPr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Evropské strukturální a investiční fondy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Fondy EU určené k realizaci Společného strategického rámce: </w:t>
      </w:r>
      <w:r w:rsidR="0027110A"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Evropský fond pro regionální rozvoj (EFRR), Evropský sociální fond (ESF), Fond soudržnosti (FS), Evropský zemědělský fond pro rozvoj venkova (EZFRV), Evropský námořní a rybářský fond (ENRF) </w:t>
      </w:r>
    </w:p>
    <w:p w:rsidR="00AD6FBB" w:rsidRPr="00A53B3C" w:rsidRDefault="00AD6FBB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F</w:t>
      </w:r>
    </w:p>
    <w:p w:rsidR="00E66BEB" w:rsidRPr="00A53B3C" w:rsidRDefault="00AD6FBB" w:rsidP="00A53B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3B3C">
        <w:rPr>
          <w:rFonts w:ascii="Times New Roman" w:hAnsi="Times New Roman" w:cs="Times New Roman"/>
          <w:b/>
          <w:sz w:val="24"/>
          <w:szCs w:val="24"/>
        </w:rPr>
        <w:t>Fiche</w:t>
      </w:r>
      <w:proofErr w:type="spellEnd"/>
      <w:r w:rsidRPr="00A53B3C">
        <w:rPr>
          <w:rFonts w:ascii="Times New Roman" w:hAnsi="Times New Roman" w:cs="Times New Roman"/>
          <w:sz w:val="24"/>
          <w:szCs w:val="24"/>
        </w:rPr>
        <w:t xml:space="preserve"> </w:t>
      </w:r>
      <w:r w:rsidR="00E66BEB" w:rsidRPr="00A53B3C">
        <w:rPr>
          <w:rFonts w:ascii="Times New Roman" w:hAnsi="Times New Roman" w:cs="Times New Roman"/>
          <w:sz w:val="24"/>
          <w:szCs w:val="24"/>
        </w:rPr>
        <w:t>–</w:t>
      </w:r>
      <w:r w:rsidRPr="00A53B3C">
        <w:rPr>
          <w:rFonts w:ascii="Times New Roman" w:hAnsi="Times New Roman" w:cs="Times New Roman"/>
          <w:sz w:val="24"/>
          <w:szCs w:val="24"/>
        </w:rPr>
        <w:t xml:space="preserve"> </w:t>
      </w:r>
      <w:r w:rsidR="00E66BEB" w:rsidRPr="00A53B3C">
        <w:rPr>
          <w:rFonts w:ascii="Times New Roman" w:hAnsi="Times New Roman" w:cs="Times New Roman"/>
          <w:sz w:val="24"/>
          <w:szCs w:val="24"/>
        </w:rPr>
        <w:t xml:space="preserve">v materiálech MAS (Místní akční skupiny) </w:t>
      </w:r>
      <w:r w:rsidRPr="00A53B3C">
        <w:rPr>
          <w:rFonts w:ascii="Times New Roman" w:hAnsi="Times New Roman" w:cs="Times New Roman"/>
          <w:sz w:val="24"/>
          <w:szCs w:val="24"/>
        </w:rPr>
        <w:t xml:space="preserve">stručný popis navržených </w:t>
      </w:r>
      <w:r w:rsidR="00E66BEB" w:rsidRPr="00A53B3C">
        <w:rPr>
          <w:rFonts w:ascii="Times New Roman" w:hAnsi="Times New Roman" w:cs="Times New Roman"/>
          <w:sz w:val="24"/>
          <w:szCs w:val="24"/>
        </w:rPr>
        <w:t xml:space="preserve">a stanovených </w:t>
      </w:r>
      <w:r w:rsidRPr="00A53B3C">
        <w:rPr>
          <w:rFonts w:ascii="Times New Roman" w:hAnsi="Times New Roman" w:cs="Times New Roman"/>
          <w:sz w:val="24"/>
          <w:szCs w:val="24"/>
        </w:rPr>
        <w:t xml:space="preserve">opatření ve struktuře definované obsahem Programového rámce. </w:t>
      </w:r>
      <w:proofErr w:type="spellStart"/>
      <w:r w:rsidRPr="00A53B3C">
        <w:rPr>
          <w:rFonts w:ascii="Times New Roman" w:hAnsi="Times New Roman" w:cs="Times New Roman"/>
          <w:sz w:val="24"/>
          <w:szCs w:val="24"/>
        </w:rPr>
        <w:t>Fiche</w:t>
      </w:r>
      <w:proofErr w:type="spellEnd"/>
      <w:r w:rsidRPr="00A53B3C">
        <w:rPr>
          <w:rFonts w:ascii="Times New Roman" w:hAnsi="Times New Roman" w:cs="Times New Roman"/>
          <w:sz w:val="24"/>
          <w:szCs w:val="24"/>
        </w:rPr>
        <w:t xml:space="preserve"> vymezuje typy integrovaných projektů. Povinnost zpracovat </w:t>
      </w:r>
      <w:proofErr w:type="spellStart"/>
      <w:r w:rsidRPr="00A53B3C">
        <w:rPr>
          <w:rFonts w:ascii="Times New Roman" w:hAnsi="Times New Roman" w:cs="Times New Roman"/>
          <w:sz w:val="24"/>
          <w:szCs w:val="24"/>
        </w:rPr>
        <w:t>fiche</w:t>
      </w:r>
      <w:proofErr w:type="spellEnd"/>
      <w:r w:rsidRPr="00A53B3C">
        <w:rPr>
          <w:rFonts w:ascii="Times New Roman" w:hAnsi="Times New Roman" w:cs="Times New Roman"/>
          <w:sz w:val="24"/>
          <w:szCs w:val="24"/>
        </w:rPr>
        <w:t xml:space="preserve"> se vztahuje pouze na Program rozvoje venkova.</w:t>
      </w:r>
    </w:p>
    <w:p w:rsidR="00166461" w:rsidRPr="00A53B3C" w:rsidRDefault="00166461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G</w:t>
      </w:r>
    </w:p>
    <w:p w:rsidR="001606EF" w:rsidRPr="00A53B3C" w:rsidRDefault="00166461" w:rsidP="00A53B3C">
      <w:pPr>
        <w:rPr>
          <w:rFonts w:ascii="Times New Roman" w:hAnsi="Times New Roman" w:cs="Times New Roman"/>
          <w:sz w:val="24"/>
          <w:szCs w:val="24"/>
        </w:rPr>
      </w:pPr>
      <w:r w:rsidRPr="00A87696">
        <w:rPr>
          <w:rFonts w:ascii="Times New Roman" w:hAnsi="Times New Roman" w:cs="Times New Roman"/>
          <w:b/>
          <w:sz w:val="24"/>
          <w:szCs w:val="24"/>
        </w:rPr>
        <w:t>Grant</w:t>
      </w:r>
      <w:r w:rsidR="00A8769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7696">
        <w:rPr>
          <w:rFonts w:ascii="Times New Roman" w:hAnsi="Times New Roman" w:cs="Times New Roman"/>
          <w:sz w:val="24"/>
          <w:szCs w:val="24"/>
        </w:rPr>
        <w:t xml:space="preserve"> účelově vázaná finanční podpora. Na rozdíl od dotace, o kterou žádá potenciální příjemce s konkrétním záměrem, je u grantu účel stanoven poskytovatelem dotace. Uchazeči mohou o grant např. i soutěžit. </w:t>
      </w:r>
    </w:p>
    <w:p w:rsidR="00AD6FBB" w:rsidRPr="00A53B3C" w:rsidRDefault="00655040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H</w:t>
      </w:r>
    </w:p>
    <w:p w:rsidR="001606EF" w:rsidRPr="00A53B3C" w:rsidRDefault="00655040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Hodnocení projektu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část procesu schvalování projektů, která zahrnuje fáze: kontrola formálních náležitostí, hodnocení přijatelnosti, věcné hodnocení a analýza rizik.</w:t>
      </w:r>
    </w:p>
    <w:p w:rsidR="001606EF" w:rsidRPr="00A53B3C" w:rsidRDefault="001606EF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I</w:t>
      </w:r>
    </w:p>
    <w:p w:rsidR="001606EF" w:rsidRPr="00A53B3C" w:rsidRDefault="001606EF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color w:val="1A1F2A"/>
          <w:sz w:val="24"/>
          <w:szCs w:val="24"/>
          <w:shd w:val="clear" w:color="auto" w:fill="FFFFFF"/>
        </w:rPr>
        <w:t>Indikátor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-  slouží pro monitorování průběhu a výsledku realizace projektů. Kvantifikační ukazatelé mohou mít klíčový význam při hodnocení realizace projektu. Plnění monitorovacích indikátorů se vykazuje v monitorovacích zprávách. Nedodržení monitorovacích ukazatelů může vést k částečnému nebo dokonce i úplnému odebrání poskytnuté dotace.</w:t>
      </w:r>
    </w:p>
    <w:p w:rsidR="00CD68A1" w:rsidRPr="00A53B3C" w:rsidRDefault="00166461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</w:p>
    <w:p w:rsidR="00166461" w:rsidRPr="00A53B3C" w:rsidRDefault="00166461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Kolový systém příjmu žádostí</w:t>
      </w:r>
      <w:r w:rsidRPr="00A53B3C">
        <w:rPr>
          <w:rFonts w:ascii="Times New Roman" w:hAnsi="Times New Roman" w:cs="Times New Roman"/>
          <w:sz w:val="24"/>
          <w:szCs w:val="24"/>
        </w:rPr>
        <w:t xml:space="preserve"> – všechny přijaté žádosti o podporu vyhodnoceny k jednomu okamžiku. Dotace poskytnuty na základě stanového pořadí, projekty jsou porovnány mezi sebou.  Pořadí od nejlepšího výsledku až do vyčerpání alokace. </w:t>
      </w:r>
    </w:p>
    <w:p w:rsidR="00B14283" w:rsidRPr="00A53B3C" w:rsidRDefault="00166461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 xml:space="preserve">Kontinuální systém příjmu žádostí </w:t>
      </w:r>
      <w:r w:rsidRPr="00A53B3C">
        <w:rPr>
          <w:rFonts w:ascii="Times New Roman" w:hAnsi="Times New Roman" w:cs="Times New Roman"/>
          <w:sz w:val="24"/>
          <w:szCs w:val="24"/>
        </w:rPr>
        <w:t xml:space="preserve">– hodnocení projektů probíhá průběžně. Podpora poskytovaná podle pořadí, v jakém žádosti o podporu přijdou. Poskytování dotací je průběžné. </w:t>
      </w:r>
    </w:p>
    <w:p w:rsidR="001606EF" w:rsidRPr="00A53B3C" w:rsidRDefault="001606EF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M</w:t>
      </w:r>
    </w:p>
    <w:p w:rsidR="00E66BEB" w:rsidRPr="00A53B3C" w:rsidRDefault="001606EF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MAS, Místní akční skupina</w:t>
      </w:r>
      <w:r w:rsidR="00A8769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55FFE" w:rsidRPr="00A53B3C">
        <w:rPr>
          <w:rFonts w:ascii="Times New Roman" w:hAnsi="Times New Roman" w:cs="Times New Roman"/>
          <w:sz w:val="24"/>
          <w:szCs w:val="24"/>
        </w:rPr>
        <w:t xml:space="preserve"> společenství lidí, obcí, firem a neziskových organizací, které mají společný cíl, a to rozvoj vymezeného regionu. Místní akční sku</w:t>
      </w:r>
      <w:r w:rsidR="00A87696">
        <w:rPr>
          <w:rFonts w:ascii="Times New Roman" w:hAnsi="Times New Roman" w:cs="Times New Roman"/>
          <w:sz w:val="24"/>
          <w:szCs w:val="24"/>
        </w:rPr>
        <w:t xml:space="preserve">pina je právním subjektem, tudíž je možným žadatelem </w:t>
      </w:r>
      <w:r w:rsidR="00E55FFE" w:rsidRPr="00A53B3C">
        <w:rPr>
          <w:rFonts w:ascii="Times New Roman" w:hAnsi="Times New Roman" w:cs="Times New Roman"/>
          <w:sz w:val="24"/>
          <w:szCs w:val="24"/>
        </w:rPr>
        <w:t>a poté příjemce finanční podpory např. z programu LEADER, který je určen k financování projektů místních subjektů ve venkovských oblastech. MAS pracuje především na principu partnerstvím mezi veřejným a neveřejným sektorem. Přínosem je i pestrost slo</w:t>
      </w:r>
      <w:r w:rsidR="00A87696">
        <w:rPr>
          <w:rFonts w:ascii="Times New Roman" w:hAnsi="Times New Roman" w:cs="Times New Roman"/>
          <w:sz w:val="24"/>
          <w:szCs w:val="24"/>
        </w:rPr>
        <w:t>ž</w:t>
      </w:r>
      <w:r w:rsidR="00E55FFE" w:rsidRPr="00A53B3C">
        <w:rPr>
          <w:rFonts w:ascii="Times New Roman" w:hAnsi="Times New Roman" w:cs="Times New Roman"/>
          <w:sz w:val="24"/>
          <w:szCs w:val="24"/>
        </w:rPr>
        <w:t>ení MAS z pohledu různých zájmů a profesí.</w:t>
      </w:r>
    </w:p>
    <w:p w:rsidR="00B14283" w:rsidRPr="00A53B3C" w:rsidRDefault="00B14283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N</w:t>
      </w:r>
    </w:p>
    <w:p w:rsidR="000922FF" w:rsidRPr="00A53B3C" w:rsidRDefault="000922FF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 xml:space="preserve">Nadace </w:t>
      </w:r>
      <w:r w:rsidRPr="00A53B3C">
        <w:rPr>
          <w:rFonts w:ascii="Times New Roman" w:hAnsi="Times New Roman" w:cs="Times New Roman"/>
          <w:sz w:val="24"/>
          <w:szCs w:val="24"/>
        </w:rPr>
        <w:t xml:space="preserve">- forma nestátní neziskové organizace. Legislativa vymezuje nadace jako účelové sdružení majetku, jehož hlavním posláním je poskytování nadačních příspěvků /grantů/ třetím osobám. Svou podstatou představují zdroje finančních prostředků pro veřejně prospěšné aktivity. Jedná se zejména o výnosy z vlastního majetku, ze sbírek a darů od občanů a podniků. Jejich činnost vymezuje Zákon o nadacích a nadačních fondech. </w:t>
      </w:r>
    </w:p>
    <w:p w:rsidR="00B14283" w:rsidRPr="00A53B3C" w:rsidRDefault="00B14283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Neinvestiční projekt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zaměřen na tzv. měkké aktivity, tj. například vzdělávání, rekvalifikace, poskytování sociálních služeb, organizace volnočasových </w:t>
      </w:r>
      <w:proofErr w:type="gramStart"/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aktivit,  projekty</w:t>
      </w:r>
      <w:proofErr w:type="gramEnd"/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zaměřené na podporu služeb v oblasti cestovního ruchu a technické pomoci aj. </w:t>
      </w:r>
    </w:p>
    <w:p w:rsidR="0027110A" w:rsidRPr="00A53B3C" w:rsidRDefault="003B469F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Nepřímé náklady</w:t>
      </w:r>
      <w:r w:rsidRPr="00A53B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 nemohou být spojené s konkrétní aktivitou daného projektu, např. většinou náklady na administraci projektu.</w:t>
      </w:r>
    </w:p>
    <w:p w:rsidR="00BB1024" w:rsidRPr="00A53B3C" w:rsidRDefault="003B469F" w:rsidP="00A53B3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Nezpůsobilé (neuznatelné) náklady projektu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</w:t>
      </w:r>
      <w:r w:rsidRPr="00A53B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nelze zahrnout do nákladů k proplacení, financovány přímo žadatelem</w:t>
      </w:r>
    </w:p>
    <w:p w:rsidR="0027110A" w:rsidRPr="00A53B3C" w:rsidRDefault="0027110A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O</w:t>
      </w:r>
    </w:p>
    <w:p w:rsidR="0027110A" w:rsidRPr="00A53B3C" w:rsidRDefault="0027110A" w:rsidP="00A53B3C">
      <w:pPr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Operační program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základní strategický dokument finanční a technické povahy pro konkrétní </w:t>
      </w:r>
      <w:proofErr w:type="spellStart"/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tématickou</w:t>
      </w:r>
      <w:proofErr w:type="spellEnd"/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oblast (např. zaměstnanost, životní prostředí apod.), který zpracovávají členské země EU. </w:t>
      </w:r>
      <w:r w:rsidR="001606EF"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Obsahuje podrobně popsané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cíle a priority, které chce členská země v dané oblasti dosáhnout v </w:t>
      </w:r>
      <w:r w:rsidR="001606EF"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aktuálním programovacím období, popisy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typových aktivit, na které je možné čerpat prostředky se ESI fondů. Nechybí také uvedení výčtu těch, kteří mohou o finanční prostředky žádat.</w:t>
      </w:r>
    </w:p>
    <w:p w:rsidR="00CD68A1" w:rsidRPr="00A53B3C" w:rsidRDefault="00B14283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P</w:t>
      </w:r>
    </w:p>
    <w:p w:rsidR="00BB1024" w:rsidRPr="00A53B3C" w:rsidRDefault="00BB1024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lastRenderedPageBreak/>
        <w:t>Publicita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p</w:t>
      </w:r>
      <w:r w:rsidRPr="00A53B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říjemce dotace je povinen informovat veřejnost o skutečnosti, že je jeho projekt financován např. ze strukturálních fondů EU, státního rozpočtu aj. </w:t>
      </w:r>
      <w:r w:rsidRPr="00A53B3C">
        <w:rPr>
          <w:rFonts w:ascii="Times New Roman" w:hAnsi="Times New Roman" w:cs="Times New Roman"/>
          <w:sz w:val="24"/>
          <w:szCs w:val="24"/>
        </w:rPr>
        <w:t xml:space="preserve">informační panel, tabuli, plakát, leták či pamětní </w:t>
      </w:r>
      <w:proofErr w:type="gramStart"/>
      <w:r w:rsidRPr="00A53B3C">
        <w:rPr>
          <w:rFonts w:ascii="Times New Roman" w:hAnsi="Times New Roman" w:cs="Times New Roman"/>
          <w:sz w:val="24"/>
          <w:szCs w:val="24"/>
        </w:rPr>
        <w:t>desku</w:t>
      </w:r>
      <w:proofErr w:type="gramEnd"/>
      <w:r w:rsidRPr="00A53B3C">
        <w:rPr>
          <w:rFonts w:ascii="Times New Roman" w:hAnsi="Times New Roman" w:cs="Times New Roman"/>
          <w:sz w:val="24"/>
          <w:szCs w:val="24"/>
        </w:rPr>
        <w:t xml:space="preserve"> s příslušným textem a vizuálním symbolem. Konkrétní pravidla pro označení zařízení, budov a dalších výstupů projektů jsou popsána v Příručce pro příjemce.</w:t>
      </w:r>
    </w:p>
    <w:p w:rsidR="00B14283" w:rsidRPr="00A53B3C" w:rsidRDefault="00B14283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Projekt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konkrétní ucelený podrobně rozpracovaný projektový záměr, který je součástí projektové žádosti. Obsahuje soubor aktivit směřujících k dosažení předem stanoveného a jasně definovaného cíle a je limitován určitým časem a rozpočtem. Příklad obecné osnovy projektu: Název projektu; Cíle projektu; Žadatel a partneři projektu; Místo a doba realizace projektu; Dopad realizace projektu na okolí; SWOT analýza; Technické řešení projektu (konkrétní aktivity); Ekonomická charakteristika projektu; Charakteristika žadatele; Lidské zdroje (vlastníci, zaměstnanci a management); Realizační plán - časový harmonogram; Výstupy projektu a jejich udržitelnost;</w:t>
      </w:r>
    </w:p>
    <w:p w:rsidR="00B14283" w:rsidRPr="00A53B3C" w:rsidRDefault="00B14283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R</w:t>
      </w:r>
    </w:p>
    <w:p w:rsidR="00B14283" w:rsidRPr="00A53B3C" w:rsidRDefault="00B14283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Refundace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proplacení prostředků, které byly použity v rámci předfinancování operací</w:t>
      </w:r>
    </w:p>
    <w:p w:rsidR="00166461" w:rsidRPr="00A53B3C" w:rsidRDefault="00B72A68" w:rsidP="00A53B3C">
      <w:pPr>
        <w:pStyle w:val="Default"/>
        <w:spacing w:line="276" w:lineRule="auto"/>
        <w:rPr>
          <w:rFonts w:ascii="Times New Roman" w:hAnsi="Times New Roman" w:cs="Times New Roman"/>
        </w:rPr>
      </w:pPr>
      <w:r w:rsidRPr="00A53B3C">
        <w:rPr>
          <w:rFonts w:ascii="Times New Roman" w:hAnsi="Times New Roman" w:cs="Times New Roman"/>
          <w:b/>
          <w:bCs/>
        </w:rPr>
        <w:t xml:space="preserve">Rovné příležitosti </w:t>
      </w:r>
      <w:r w:rsidR="00E66BEB" w:rsidRPr="00A53B3C">
        <w:rPr>
          <w:rFonts w:ascii="Times New Roman" w:hAnsi="Times New Roman" w:cs="Times New Roman"/>
          <w:b/>
          <w:bCs/>
        </w:rPr>
        <w:t xml:space="preserve">- </w:t>
      </w:r>
      <w:r w:rsidRPr="00A53B3C">
        <w:rPr>
          <w:rFonts w:ascii="Times New Roman" w:hAnsi="Times New Roman" w:cs="Times New Roman"/>
        </w:rPr>
        <w:t xml:space="preserve">Princip rovných příležitostí patří mezi základní horizontální priority (témata) EU. </w:t>
      </w:r>
      <w:r w:rsidR="00E66BEB" w:rsidRPr="00A53B3C">
        <w:rPr>
          <w:rFonts w:ascii="Times New Roman" w:hAnsi="Times New Roman" w:cs="Times New Roman"/>
        </w:rPr>
        <w:t>Z</w:t>
      </w:r>
      <w:r w:rsidRPr="00A53B3C">
        <w:rPr>
          <w:rFonts w:ascii="Times New Roman" w:hAnsi="Times New Roman" w:cs="Times New Roman"/>
        </w:rPr>
        <w:t>namená potírání diskriminace na základě pohlaví, rasy, etnického původu, náboženského vyznání, víry, zdravotního postižení, věku či sexuální orientace. Téma rovných příležitostí se vztahuje i na další znevýhodněné skupiny, jako jsou migranti, dlouhodobě nezaměstnaní, osoby s nízkou kvalifikací, osoby z obtížně dopravně dostupných oblastí, drogově závislí, propuštění vězni, absolventi škol aj., souhrnně skupiny ohrožené sociálním vyloučením. Zvláštní důraz je kladen na naplňování principu rovných příležitostí žen a mužů.</w:t>
      </w:r>
    </w:p>
    <w:p w:rsidR="00E66BEB" w:rsidRPr="00A53B3C" w:rsidRDefault="00E66BEB" w:rsidP="00A53B3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72A68" w:rsidRPr="00A53B3C" w:rsidRDefault="00B72A68" w:rsidP="00A53B3C">
      <w:pPr>
        <w:pStyle w:val="Default"/>
        <w:spacing w:line="276" w:lineRule="auto"/>
        <w:rPr>
          <w:rFonts w:ascii="Times New Roman" w:hAnsi="Times New Roman" w:cs="Times New Roman"/>
        </w:rPr>
      </w:pPr>
      <w:r w:rsidRPr="00A53B3C">
        <w:rPr>
          <w:rFonts w:ascii="Times New Roman" w:hAnsi="Times New Roman" w:cs="Times New Roman"/>
          <w:b/>
          <w:bCs/>
        </w:rPr>
        <w:t xml:space="preserve">Rozpočtová skladba </w:t>
      </w:r>
      <w:r w:rsidR="00E66BEB" w:rsidRPr="00A53B3C">
        <w:rPr>
          <w:rFonts w:ascii="Times New Roman" w:hAnsi="Times New Roman" w:cs="Times New Roman"/>
          <w:b/>
          <w:bCs/>
        </w:rPr>
        <w:t xml:space="preserve">- </w:t>
      </w:r>
      <w:r w:rsidRPr="00A53B3C">
        <w:rPr>
          <w:rFonts w:ascii="Times New Roman" w:hAnsi="Times New Roman" w:cs="Times New Roman"/>
        </w:rPr>
        <w:t>jednotné třídění příjmů a výdajů veřejných rozpočtů, které se uplatňuje v rozpočtech organizačních složek státu, při sledování plnění státního rozpočtu, při sledování čerpání rezervního fondu organizačních složek státu, v rozpočtech státních fondů, při pohybech na účtech státních finančních aktiv, při pohybech na účtech pro řízení státního dluhu a při plánovaných a skutečných pohybech na účtech rozpočtů a ostatních peněžních fondů obcí, krajů a dobrovolných svazků obcí s výjimkou fondu cizích prostředků, fondu sdružených prostředků a fondu podnikatelské činnosti</w:t>
      </w:r>
    </w:p>
    <w:p w:rsidR="00E66BEB" w:rsidRPr="00A53B3C" w:rsidRDefault="00E66BEB" w:rsidP="00A53B3C">
      <w:pPr>
        <w:rPr>
          <w:rFonts w:ascii="Times New Roman" w:hAnsi="Times New Roman" w:cs="Times New Roman"/>
          <w:b/>
          <w:sz w:val="24"/>
          <w:szCs w:val="24"/>
        </w:rPr>
      </w:pPr>
    </w:p>
    <w:p w:rsidR="00C41B36" w:rsidRPr="00A53B3C" w:rsidRDefault="00634253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S</w:t>
      </w:r>
    </w:p>
    <w:p w:rsidR="000922FF" w:rsidRPr="00A53B3C" w:rsidRDefault="000922FF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 xml:space="preserve">Sponzorský příspěvek </w:t>
      </w:r>
      <w:r w:rsidRPr="00A53B3C">
        <w:rPr>
          <w:rFonts w:ascii="Times New Roman" w:hAnsi="Times New Roman" w:cs="Times New Roman"/>
          <w:sz w:val="24"/>
          <w:szCs w:val="24"/>
        </w:rPr>
        <w:t xml:space="preserve">- termíny dar a sponzorský příspěvek bývají často chápány jako synonyma. Sponzoring je něco jako dar s protiplněním a sponzorský příspěvek jako platba za toto protiplnění. </w:t>
      </w:r>
    </w:p>
    <w:p w:rsidR="00B14283" w:rsidRPr="00A53B3C" w:rsidRDefault="00375F51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 xml:space="preserve">Studie proveditelnosti </w:t>
      </w:r>
      <w:r w:rsidRPr="00A53B3C">
        <w:rPr>
          <w:rFonts w:ascii="Times New Roman" w:hAnsi="Times New Roman" w:cs="Times New Roman"/>
          <w:sz w:val="24"/>
          <w:szCs w:val="24"/>
        </w:rPr>
        <w:t xml:space="preserve">– analýza, která slouží k posouzení všech alternativ realizace projektu a zhodnocení efektivnosti využití potenciálně vložených prostředků. Hodnoceno je spektrum aspektů: vymezení cílů projektu, analýzy trhu, řešení projektu a řízení lidských zdrojů pro finanční plán a analýzu rizik. Osnova studie proveditelnosti je stanoveni konkrétní výzvou daného programu. </w:t>
      </w:r>
    </w:p>
    <w:p w:rsidR="001606EF" w:rsidRPr="0086609E" w:rsidRDefault="001606EF" w:rsidP="00A53B3C">
      <w:pPr>
        <w:rPr>
          <w:rFonts w:ascii="Times New Roman" w:hAnsi="Times New Roman" w:cs="Times New Roman"/>
          <w:sz w:val="24"/>
          <w:szCs w:val="24"/>
        </w:rPr>
      </w:pPr>
      <w:r w:rsidRPr="0086609E">
        <w:rPr>
          <w:rFonts w:ascii="Times New Roman" w:hAnsi="Times New Roman" w:cs="Times New Roman"/>
          <w:b/>
          <w:sz w:val="24"/>
          <w:szCs w:val="24"/>
        </w:rPr>
        <w:lastRenderedPageBreak/>
        <w:t>Subvence</w:t>
      </w:r>
      <w:r w:rsidR="00866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09E">
        <w:rPr>
          <w:rFonts w:ascii="Times New Roman" w:hAnsi="Times New Roman" w:cs="Times New Roman"/>
          <w:sz w:val="24"/>
          <w:szCs w:val="24"/>
        </w:rPr>
        <w:t xml:space="preserve">– účelově vázaná podpora. </w:t>
      </w:r>
      <w:r w:rsidR="00D14580" w:rsidRPr="0086609E">
        <w:rPr>
          <w:rFonts w:ascii="Times New Roman" w:hAnsi="Times New Roman" w:cs="Times New Roman"/>
          <w:sz w:val="24"/>
          <w:szCs w:val="24"/>
        </w:rPr>
        <w:t>Nepoužívá se pro veřejné výdaje na školství, zdravotnictví, obranu, sociální pomoc apod., kde se z veřejných prostředků hradí většina nákladů</w:t>
      </w:r>
      <w:r w:rsidR="00D14580" w:rsidRPr="0086609E">
        <w:rPr>
          <w:rFonts w:ascii="Times New Roman" w:hAnsi="Times New Roman" w:cs="Times New Roman"/>
          <w:sz w:val="24"/>
          <w:szCs w:val="24"/>
        </w:rPr>
        <w:t>.</w:t>
      </w:r>
    </w:p>
    <w:p w:rsidR="00B14283" w:rsidRPr="00A53B3C" w:rsidRDefault="00B14283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 xml:space="preserve">U </w:t>
      </w:r>
    </w:p>
    <w:p w:rsidR="0027110A" w:rsidRPr="00A53B3C" w:rsidRDefault="00B14283" w:rsidP="00A53B3C">
      <w:pPr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Udržitelnost projektu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doba, po kterou musí příjemce udržet výstupy projektu. Dodržení závazku udržitelnosti může být předmětem kontroly ze strany příslušných institucí. Při nesplnění povinnosti udržitelnosti může být příjemci v krajním případě uloženo vrácení podpory nebo její části.</w:t>
      </w:r>
    </w:p>
    <w:p w:rsidR="00375F51" w:rsidRPr="00A53B3C" w:rsidRDefault="00B14283" w:rsidP="00A53B3C">
      <w:pPr>
        <w:rPr>
          <w:rFonts w:ascii="Times New Roman" w:hAnsi="Times New Roman" w:cs="Times New Roman"/>
          <w:b/>
          <w:sz w:val="24"/>
          <w:szCs w:val="24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V</w:t>
      </w:r>
    </w:p>
    <w:p w:rsidR="0027110A" w:rsidRPr="00A53B3C" w:rsidRDefault="00B14283" w:rsidP="00A53B3C">
      <w:pPr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</w:pPr>
      <w:r w:rsidRPr="00A53B3C">
        <w:rPr>
          <w:rFonts w:ascii="Times New Roman" w:hAnsi="Times New Roman" w:cs="Times New Roman"/>
          <w:b/>
          <w:sz w:val="24"/>
          <w:szCs w:val="24"/>
        </w:rPr>
        <w:t>Veřejná podpora</w:t>
      </w:r>
      <w:r w:rsidRPr="00A53B3C">
        <w:rPr>
          <w:rFonts w:ascii="Times New Roman" w:hAnsi="Times New Roman" w:cs="Times New Roman"/>
          <w:sz w:val="24"/>
          <w:szCs w:val="24"/>
        </w:rPr>
        <w:t xml:space="preserve"> - 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každá podpora poskytnutá v jakékoli formě státem nebo ze státních prostředků, která narušuje nebo může narušit hospodářskou soutěž tím, že zvýhodňuje určité podniky nebo určitá odvětví výroby a pokud ovlivňuje obchod mezi členskými státy. Podpora, která splňuje uvedená kritéria, je neslučitelná se společným trhem a tedy zakázaná. Výjimka z obecného zákazu poskytování veřejné podpory může být povolena na základě blokových výjimek či na základě rozhodnutí Evropské komise.</w:t>
      </w:r>
    </w:p>
    <w:p w:rsidR="0027110A" w:rsidRPr="00A53B3C" w:rsidRDefault="0027110A" w:rsidP="00A53B3C">
      <w:pPr>
        <w:rPr>
          <w:rFonts w:ascii="Times New Roman" w:hAnsi="Times New Roman" w:cs="Times New Roman"/>
          <w:b/>
          <w:color w:val="1A1F2A"/>
          <w:sz w:val="24"/>
          <w:szCs w:val="24"/>
          <w:shd w:val="clear" w:color="auto" w:fill="FFFFFF"/>
        </w:rPr>
      </w:pPr>
      <w:r w:rsidRPr="00A53B3C">
        <w:rPr>
          <w:rFonts w:ascii="Times New Roman" w:hAnsi="Times New Roman" w:cs="Times New Roman"/>
          <w:b/>
          <w:color w:val="1A1F2A"/>
          <w:sz w:val="24"/>
          <w:szCs w:val="24"/>
          <w:shd w:val="clear" w:color="auto" w:fill="FFFFFF"/>
        </w:rPr>
        <w:t>Z</w:t>
      </w:r>
    </w:p>
    <w:p w:rsidR="0027110A" w:rsidRPr="00A53B3C" w:rsidRDefault="0027110A" w:rsidP="00A53B3C">
      <w:pPr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</w:pPr>
      <w:r w:rsidRPr="00A53B3C">
        <w:rPr>
          <w:rFonts w:ascii="Times New Roman" w:hAnsi="Times New Roman" w:cs="Times New Roman"/>
          <w:b/>
          <w:color w:val="1A1F2A"/>
          <w:sz w:val="24"/>
          <w:szCs w:val="24"/>
          <w:shd w:val="clear" w:color="auto" w:fill="FFFFFF"/>
        </w:rPr>
        <w:t>Závěrečná zpráva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- informace o implementaci programu, </w:t>
      </w:r>
      <w:proofErr w:type="gramStart"/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příp.  </w:t>
      </w:r>
      <w:r w:rsidR="00D14580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p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řínosu</w:t>
      </w:r>
      <w:proofErr w:type="gramEnd"/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k naplňování strategie. </w:t>
      </w:r>
    </w:p>
    <w:p w:rsidR="0027110A" w:rsidRPr="00A53B3C" w:rsidRDefault="0027110A" w:rsidP="00A53B3C">
      <w:pPr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</w:pPr>
      <w:r w:rsidRPr="00A53B3C">
        <w:rPr>
          <w:rFonts w:ascii="Times New Roman" w:hAnsi="Times New Roman" w:cs="Times New Roman"/>
          <w:b/>
          <w:color w:val="1A1F2A"/>
          <w:sz w:val="24"/>
          <w:szCs w:val="24"/>
          <w:shd w:val="clear" w:color="auto" w:fill="FFFFFF"/>
        </w:rPr>
        <w:t>Způsobilé výdaje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-  výdaje vynaložené na stanovený účel a v rámci období stanoveného v právním aktu o poskytnutí / převodu podpory, které jsou v souladu s příslušnými předpisy.</w:t>
      </w:r>
    </w:p>
    <w:p w:rsidR="0027110A" w:rsidRPr="00A53B3C" w:rsidRDefault="0027110A" w:rsidP="00A53B3C">
      <w:pPr>
        <w:rPr>
          <w:rFonts w:ascii="Times New Roman" w:hAnsi="Times New Roman" w:cs="Times New Roman"/>
          <w:b/>
          <w:color w:val="1A1F2A"/>
          <w:sz w:val="24"/>
          <w:szCs w:val="24"/>
          <w:shd w:val="clear" w:color="auto" w:fill="FFFFFF"/>
        </w:rPr>
      </w:pPr>
      <w:r w:rsidRPr="00A53B3C">
        <w:rPr>
          <w:rFonts w:ascii="Times New Roman" w:hAnsi="Times New Roman" w:cs="Times New Roman"/>
          <w:b/>
          <w:color w:val="1A1F2A"/>
          <w:sz w:val="24"/>
          <w:szCs w:val="24"/>
          <w:shd w:val="clear" w:color="auto" w:fill="FFFFFF"/>
        </w:rPr>
        <w:t>Ž</w:t>
      </w:r>
    </w:p>
    <w:p w:rsidR="0027110A" w:rsidRPr="00A53B3C" w:rsidRDefault="0027110A" w:rsidP="00A53B3C">
      <w:pPr>
        <w:rPr>
          <w:rFonts w:ascii="Times New Roman" w:hAnsi="Times New Roman" w:cs="Times New Roman"/>
          <w:sz w:val="24"/>
          <w:szCs w:val="24"/>
        </w:rPr>
      </w:pPr>
      <w:r w:rsidRPr="00A53B3C">
        <w:rPr>
          <w:rFonts w:ascii="Times New Roman" w:hAnsi="Times New Roman" w:cs="Times New Roman"/>
          <w:b/>
          <w:color w:val="1A1F2A"/>
          <w:sz w:val="24"/>
          <w:szCs w:val="24"/>
          <w:shd w:val="clear" w:color="auto" w:fill="FFFFFF"/>
        </w:rPr>
        <w:t>Žadatel</w:t>
      </w:r>
      <w:r w:rsidRPr="00A53B3C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- subjekt ze skupiny oprávněných žadatelů, který podal žádost o podporu. Žadatel přestává být žadatelem v okamžiku, kdy se stane příjemcem, nebo když je jeho žádost o podporu vyloučena z procesu schvalování operací.</w:t>
      </w:r>
    </w:p>
    <w:p w:rsidR="00A53B3C" w:rsidRPr="00A53B3C" w:rsidRDefault="00A53B3C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A53B3C" w:rsidRPr="00A5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05BD"/>
    <w:multiLevelType w:val="hybridMultilevel"/>
    <w:tmpl w:val="81E6F24C"/>
    <w:lvl w:ilvl="0" w:tplc="0324C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E56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4A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07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65F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A82C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45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2402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EA84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DE17565"/>
    <w:multiLevelType w:val="hybridMultilevel"/>
    <w:tmpl w:val="F572C658"/>
    <w:lvl w:ilvl="0" w:tplc="A79E0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E1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CC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E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E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EA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8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E4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922FF"/>
    <w:rsid w:val="001606EF"/>
    <w:rsid w:val="00166461"/>
    <w:rsid w:val="0027110A"/>
    <w:rsid w:val="00375F51"/>
    <w:rsid w:val="003B469F"/>
    <w:rsid w:val="0043424D"/>
    <w:rsid w:val="00634253"/>
    <w:rsid w:val="00655040"/>
    <w:rsid w:val="006D24EB"/>
    <w:rsid w:val="0086609E"/>
    <w:rsid w:val="00A53B3C"/>
    <w:rsid w:val="00A87696"/>
    <w:rsid w:val="00AD6FBB"/>
    <w:rsid w:val="00B14283"/>
    <w:rsid w:val="00B72A68"/>
    <w:rsid w:val="00BA031A"/>
    <w:rsid w:val="00BB1024"/>
    <w:rsid w:val="00C41B36"/>
    <w:rsid w:val="00CD68A1"/>
    <w:rsid w:val="00D14580"/>
    <w:rsid w:val="00D5546D"/>
    <w:rsid w:val="00E55FFE"/>
    <w:rsid w:val="00E66BEB"/>
    <w:rsid w:val="00F8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FBB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54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6342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08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6342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54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D5546D"/>
    <w:rPr>
      <w:color w:val="0000FF"/>
      <w:u w:val="single"/>
    </w:rPr>
  </w:style>
  <w:style w:type="paragraph" w:customStyle="1" w:styleId="box-open">
    <w:name w:val="box-open"/>
    <w:basedOn w:val="Normln"/>
    <w:rsid w:val="00D5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72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922FF"/>
    <w:rPr>
      <w:b/>
      <w:bCs/>
    </w:rPr>
  </w:style>
  <w:style w:type="paragraph" w:styleId="Odstavecseseznamem">
    <w:name w:val="List Paragraph"/>
    <w:basedOn w:val="Normln"/>
    <w:uiPriority w:val="34"/>
    <w:qFormat/>
    <w:rsid w:val="00A53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FBB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54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6342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08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6342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54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D5546D"/>
    <w:rPr>
      <w:color w:val="0000FF"/>
      <w:u w:val="single"/>
    </w:rPr>
  </w:style>
  <w:style w:type="paragraph" w:customStyle="1" w:styleId="box-open">
    <w:name w:val="box-open"/>
    <w:basedOn w:val="Normln"/>
    <w:rsid w:val="00D5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72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922FF"/>
    <w:rPr>
      <w:b/>
      <w:bCs/>
    </w:rPr>
  </w:style>
  <w:style w:type="paragraph" w:styleId="Odstavecseseznamem">
    <w:name w:val="List Paragraph"/>
    <w:basedOn w:val="Normln"/>
    <w:uiPriority w:val="34"/>
    <w:qFormat/>
    <w:rsid w:val="00A5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7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04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044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688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CCA9-1F74-46FF-9418-5AED40E5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</Pages>
  <Words>1591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17</cp:revision>
  <dcterms:created xsi:type="dcterms:W3CDTF">2021-02-03T22:32:00Z</dcterms:created>
  <dcterms:modified xsi:type="dcterms:W3CDTF">2021-03-09T15:52:00Z</dcterms:modified>
</cp:coreProperties>
</file>