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C" w:rsidRPr="004F3DAC" w:rsidRDefault="004F3DAC" w:rsidP="004F3DAC">
      <w:pPr>
        <w:pStyle w:val="Zhlav"/>
        <w:jc w:val="center"/>
        <w:rPr>
          <w:rFonts w:cs="Arial"/>
          <w:b/>
          <w:sz w:val="28"/>
          <w:szCs w:val="28"/>
        </w:rPr>
      </w:pPr>
      <w:r w:rsidRPr="004F3DAC">
        <w:rPr>
          <w:rFonts w:cs="Arial"/>
          <w:b/>
          <w:sz w:val="28"/>
          <w:szCs w:val="28"/>
        </w:rPr>
        <w:t>Informace k výuce předmětu</w:t>
      </w:r>
      <w:r w:rsidR="00DD7197">
        <w:rPr>
          <w:rFonts w:cs="Arial"/>
          <w:b/>
          <w:sz w:val="28"/>
          <w:szCs w:val="28"/>
        </w:rPr>
        <w:t xml:space="preserve"> SP7MP_S4a1</w:t>
      </w:r>
      <w:r w:rsidRPr="00757531">
        <w:rPr>
          <w:rFonts w:cs="Arial"/>
          <w:b/>
          <w:sz w:val="28"/>
          <w:szCs w:val="28"/>
        </w:rPr>
        <w:t xml:space="preserve">, </w:t>
      </w:r>
      <w:r w:rsidR="00757531" w:rsidRPr="00757531">
        <w:rPr>
          <w:rFonts w:cs="Arial"/>
          <w:b/>
          <w:sz w:val="28"/>
          <w:szCs w:val="28"/>
        </w:rPr>
        <w:t>1</w:t>
      </w:r>
      <w:r w:rsidRPr="00757531">
        <w:rPr>
          <w:rFonts w:cs="Arial"/>
          <w:b/>
          <w:sz w:val="28"/>
          <w:szCs w:val="28"/>
        </w:rPr>
        <w:t xml:space="preserve">. roč. </w:t>
      </w:r>
      <w:r w:rsidR="00757531" w:rsidRPr="00757531">
        <w:rPr>
          <w:rFonts w:cs="Arial"/>
          <w:b/>
          <w:sz w:val="28"/>
          <w:szCs w:val="28"/>
        </w:rPr>
        <w:t>Mgr.</w:t>
      </w:r>
      <w:r w:rsidRPr="00757531">
        <w:rPr>
          <w:rFonts w:cs="Arial"/>
          <w:b/>
          <w:sz w:val="28"/>
          <w:szCs w:val="28"/>
        </w:rPr>
        <w:t>, prezenční forma</w:t>
      </w:r>
    </w:p>
    <w:p w:rsidR="00562263" w:rsidRDefault="00562263" w:rsidP="0005696B">
      <w:pPr>
        <w:jc w:val="both"/>
      </w:pPr>
    </w:p>
    <w:p w:rsidR="00D0322E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 xml:space="preserve">Témata a plán výuky pro </w:t>
      </w:r>
      <w:r w:rsidR="00D0322E">
        <w:rPr>
          <w:b/>
          <w:sz w:val="24"/>
          <w:szCs w:val="24"/>
        </w:rPr>
        <w:t>podzimní</w:t>
      </w:r>
      <w:r w:rsidRPr="004F3DAC">
        <w:rPr>
          <w:b/>
          <w:sz w:val="24"/>
          <w:szCs w:val="24"/>
        </w:rPr>
        <w:t xml:space="preserve"> semestr 2013:</w:t>
      </w:r>
    </w:p>
    <w:tbl>
      <w:tblPr>
        <w:tblStyle w:val="Mkatabulky"/>
        <w:tblW w:w="6873" w:type="dxa"/>
        <w:tblLook w:val="04A0" w:firstRow="1" w:lastRow="0" w:firstColumn="1" w:lastColumn="0" w:noHBand="0" w:noVBand="1"/>
      </w:tblPr>
      <w:tblGrid>
        <w:gridCol w:w="1161"/>
        <w:gridCol w:w="5712"/>
      </w:tblGrid>
      <w:tr w:rsidR="00E70D0F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>18. 9.</w:t>
            </w:r>
          </w:p>
        </w:tc>
        <w:tc>
          <w:tcPr>
            <w:tcW w:w="5712" w:type="dxa"/>
          </w:tcPr>
          <w:p w:rsidR="00E70D0F" w:rsidRPr="006E2716" w:rsidRDefault="00D0322E" w:rsidP="00C44418">
            <w:pPr>
              <w:jc w:val="both"/>
            </w:pPr>
            <w:r w:rsidRPr="006E2716">
              <w:t xml:space="preserve">Úvodní </w:t>
            </w:r>
            <w:r w:rsidR="00E70D0F" w:rsidRPr="006E2716">
              <w:t xml:space="preserve">informace k výuce. </w:t>
            </w:r>
            <w:r w:rsidR="00DD7197" w:rsidRPr="006E2716">
              <w:t>Okruhy č. 1, 3</w:t>
            </w:r>
          </w:p>
        </w:tc>
      </w:tr>
      <w:tr w:rsidR="00E70D0F" w:rsidTr="00C44418">
        <w:trPr>
          <w:trHeight w:val="34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>25. 9.</w:t>
            </w:r>
          </w:p>
        </w:tc>
        <w:tc>
          <w:tcPr>
            <w:tcW w:w="5712" w:type="dxa"/>
          </w:tcPr>
          <w:p w:rsidR="00E70D0F" w:rsidRPr="006E2716" w:rsidRDefault="00D0322E" w:rsidP="00C44418">
            <w:pPr>
              <w:jc w:val="both"/>
            </w:pPr>
            <w:r w:rsidRPr="006E2716">
              <w:t>Okruh</w:t>
            </w:r>
            <w:r w:rsidR="00757531" w:rsidRPr="006E2716">
              <w:t>y</w:t>
            </w:r>
            <w:r w:rsidRPr="006E2716">
              <w:t xml:space="preserve"> č. </w:t>
            </w:r>
            <w:r w:rsidR="00DD7197" w:rsidRPr="006E2716">
              <w:t>4, 15</w:t>
            </w:r>
          </w:p>
        </w:tc>
      </w:tr>
      <w:tr w:rsidR="00E70D0F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 xml:space="preserve"> 2. 10.</w:t>
            </w:r>
          </w:p>
        </w:tc>
        <w:tc>
          <w:tcPr>
            <w:tcW w:w="5712" w:type="dxa"/>
          </w:tcPr>
          <w:p w:rsidR="00E70D0F" w:rsidRPr="006E2716" w:rsidRDefault="00757531" w:rsidP="00C44418">
            <w:pPr>
              <w:jc w:val="both"/>
            </w:pPr>
            <w:r w:rsidRPr="006E2716">
              <w:t xml:space="preserve">Okruhy č. </w:t>
            </w:r>
            <w:r w:rsidR="00DD7197" w:rsidRPr="006E2716">
              <w:t>10, 11</w:t>
            </w:r>
          </w:p>
        </w:tc>
      </w:tr>
      <w:tr w:rsidR="00E70D0F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 xml:space="preserve"> 9. 10.</w:t>
            </w:r>
          </w:p>
        </w:tc>
        <w:tc>
          <w:tcPr>
            <w:tcW w:w="5712" w:type="dxa"/>
          </w:tcPr>
          <w:p w:rsidR="00E70D0F" w:rsidRPr="006E2716" w:rsidRDefault="00C44418" w:rsidP="00C44418">
            <w:pPr>
              <w:jc w:val="both"/>
            </w:pPr>
            <w:r w:rsidRPr="006E2716">
              <w:t>Okruhy č.</w:t>
            </w:r>
            <w:r w:rsidR="00DD7197" w:rsidRPr="006E2716">
              <w:t xml:space="preserve"> 5, 6</w:t>
            </w:r>
          </w:p>
        </w:tc>
      </w:tr>
      <w:tr w:rsidR="00E70D0F" w:rsidTr="00C44418">
        <w:trPr>
          <w:trHeight w:val="34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>16. 10.</w:t>
            </w:r>
          </w:p>
        </w:tc>
        <w:tc>
          <w:tcPr>
            <w:tcW w:w="5712" w:type="dxa"/>
          </w:tcPr>
          <w:p w:rsidR="00E70D0F" w:rsidRPr="006E2716" w:rsidRDefault="00D0322E" w:rsidP="00DD7197">
            <w:pPr>
              <w:jc w:val="both"/>
            </w:pPr>
            <w:r w:rsidRPr="006E2716">
              <w:t>Okruh</w:t>
            </w:r>
            <w:r w:rsidR="00E86E54" w:rsidRPr="006E2716">
              <w:t xml:space="preserve"> č. </w:t>
            </w:r>
            <w:r w:rsidR="00DD7197" w:rsidRPr="006E2716">
              <w:t xml:space="preserve">8 </w:t>
            </w:r>
            <w:r w:rsidR="00C44418" w:rsidRPr="006E2716">
              <w:t xml:space="preserve">+ </w:t>
            </w:r>
            <w:r w:rsidR="00C44418" w:rsidRPr="006E2716">
              <w:rPr>
                <w:i/>
              </w:rPr>
              <w:t>průběžný test č. 1</w:t>
            </w:r>
          </w:p>
        </w:tc>
      </w:tr>
      <w:tr w:rsidR="00E70D0F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>23. 10.</w:t>
            </w:r>
          </w:p>
        </w:tc>
        <w:tc>
          <w:tcPr>
            <w:tcW w:w="5712" w:type="dxa"/>
          </w:tcPr>
          <w:p w:rsidR="00E70D0F" w:rsidRPr="006E2716" w:rsidRDefault="004F3DAC" w:rsidP="00E86E54">
            <w:pPr>
              <w:jc w:val="both"/>
            </w:pPr>
            <w:r w:rsidRPr="006E2716">
              <w:t>Okruh</w:t>
            </w:r>
            <w:r w:rsidR="00757531" w:rsidRPr="006E2716">
              <w:t>y</w:t>
            </w:r>
            <w:r w:rsidRPr="006E2716">
              <w:t xml:space="preserve"> č.</w:t>
            </w:r>
            <w:r w:rsidR="00757531" w:rsidRPr="006E2716">
              <w:t xml:space="preserve"> </w:t>
            </w:r>
            <w:r w:rsidR="00DD7197" w:rsidRPr="006E2716">
              <w:t>12, 16</w:t>
            </w:r>
          </w:p>
        </w:tc>
      </w:tr>
      <w:tr w:rsidR="00E70D0F" w:rsidTr="00C44418">
        <w:trPr>
          <w:trHeight w:val="34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>30. 10.</w:t>
            </w:r>
          </w:p>
        </w:tc>
        <w:tc>
          <w:tcPr>
            <w:tcW w:w="5712" w:type="dxa"/>
          </w:tcPr>
          <w:p w:rsidR="00E70D0F" w:rsidRPr="006E2716" w:rsidRDefault="00D0322E" w:rsidP="00E86E54">
            <w:pPr>
              <w:jc w:val="both"/>
            </w:pPr>
            <w:r w:rsidRPr="006E2716">
              <w:t>Okruh</w:t>
            </w:r>
            <w:r w:rsidR="00757531" w:rsidRPr="006E2716">
              <w:t>y</w:t>
            </w:r>
            <w:r w:rsidRPr="006E2716">
              <w:t xml:space="preserve"> č. </w:t>
            </w:r>
            <w:r w:rsidR="00E86E54" w:rsidRPr="006E2716">
              <w:t>14</w:t>
            </w:r>
          </w:p>
        </w:tc>
      </w:tr>
      <w:tr w:rsidR="00E70D0F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E70D0F" w:rsidRPr="006E2716" w:rsidRDefault="00C44418" w:rsidP="00C44418">
            <w:pPr>
              <w:jc w:val="both"/>
            </w:pPr>
            <w:r w:rsidRPr="006E2716">
              <w:t xml:space="preserve"> 6. 11.</w:t>
            </w:r>
          </w:p>
        </w:tc>
        <w:tc>
          <w:tcPr>
            <w:tcW w:w="5712" w:type="dxa"/>
          </w:tcPr>
          <w:p w:rsidR="00E70D0F" w:rsidRPr="006E2716" w:rsidRDefault="00C44418" w:rsidP="00C44418">
            <w:pPr>
              <w:jc w:val="both"/>
            </w:pPr>
            <w:r w:rsidRPr="006E2716">
              <w:t>Samostudium (výuka se nekoná z důvodu služební cesty vyučující).</w:t>
            </w:r>
          </w:p>
        </w:tc>
      </w:tr>
      <w:tr w:rsidR="00C44418" w:rsidRPr="00C44418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13. 11.</w:t>
            </w:r>
          </w:p>
        </w:tc>
        <w:tc>
          <w:tcPr>
            <w:tcW w:w="5712" w:type="dxa"/>
          </w:tcPr>
          <w:p w:rsidR="00C44418" w:rsidRPr="006E2716" w:rsidRDefault="00C44418" w:rsidP="00E86E54">
            <w:pPr>
              <w:spacing w:line="276" w:lineRule="auto"/>
              <w:jc w:val="both"/>
            </w:pPr>
            <w:r w:rsidRPr="006E2716">
              <w:t>Okruhy č.</w:t>
            </w:r>
            <w:r w:rsidR="00DD7197" w:rsidRPr="006E2716">
              <w:t xml:space="preserve"> </w:t>
            </w:r>
            <w:r w:rsidR="00E86E54" w:rsidRPr="006E2716">
              <w:t>13, 7</w:t>
            </w:r>
          </w:p>
        </w:tc>
      </w:tr>
      <w:tr w:rsidR="00C44418" w:rsidRPr="00C44418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20. 11.</w:t>
            </w:r>
          </w:p>
        </w:tc>
        <w:tc>
          <w:tcPr>
            <w:tcW w:w="5712" w:type="dxa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Okruhy č.</w:t>
            </w:r>
            <w:r w:rsidR="00E86E54" w:rsidRPr="006E2716">
              <w:t xml:space="preserve"> 9, 17</w:t>
            </w:r>
            <w:r w:rsidRPr="006E2716">
              <w:t xml:space="preserve"> + </w:t>
            </w:r>
            <w:r w:rsidRPr="006E2716">
              <w:rPr>
                <w:i/>
              </w:rPr>
              <w:t>průběžný test č. 2</w:t>
            </w:r>
          </w:p>
        </w:tc>
      </w:tr>
      <w:tr w:rsidR="00C44418" w:rsidRPr="00C44418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27. 11.</w:t>
            </w:r>
          </w:p>
        </w:tc>
        <w:tc>
          <w:tcPr>
            <w:tcW w:w="5712" w:type="dxa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Okruhy č.</w:t>
            </w:r>
            <w:r w:rsidR="00DD7197" w:rsidRPr="006E2716">
              <w:t xml:space="preserve"> 18, 19</w:t>
            </w:r>
          </w:p>
        </w:tc>
      </w:tr>
      <w:tr w:rsidR="00C44418" w:rsidRPr="00C44418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C44418" w:rsidRPr="006E2716" w:rsidRDefault="006E2716" w:rsidP="00C44418">
            <w:pPr>
              <w:spacing w:line="276" w:lineRule="auto"/>
              <w:jc w:val="both"/>
            </w:pPr>
            <w:r w:rsidRPr="006E2716">
              <w:t xml:space="preserve"> </w:t>
            </w:r>
            <w:r w:rsidR="00C44418" w:rsidRPr="006E2716">
              <w:t>4. 12.</w:t>
            </w:r>
          </w:p>
        </w:tc>
        <w:tc>
          <w:tcPr>
            <w:tcW w:w="5712" w:type="dxa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Okruhy č.</w:t>
            </w:r>
            <w:r w:rsidR="00DD7197" w:rsidRPr="006E2716">
              <w:t xml:space="preserve"> 20</w:t>
            </w:r>
          </w:p>
        </w:tc>
      </w:tr>
      <w:tr w:rsidR="00C44418" w:rsidRPr="00C44418" w:rsidTr="00C44418">
        <w:trPr>
          <w:trHeight w:val="360"/>
        </w:trPr>
        <w:tc>
          <w:tcPr>
            <w:tcW w:w="1161" w:type="dxa"/>
            <w:shd w:val="clear" w:color="auto" w:fill="92CDDC" w:themeFill="accent5" w:themeFillTint="99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11. 12.</w:t>
            </w:r>
          </w:p>
        </w:tc>
        <w:tc>
          <w:tcPr>
            <w:tcW w:w="5712" w:type="dxa"/>
          </w:tcPr>
          <w:p w:rsidR="00C44418" w:rsidRPr="006E2716" w:rsidRDefault="00C44418" w:rsidP="00C44418">
            <w:pPr>
              <w:spacing w:line="276" w:lineRule="auto"/>
              <w:jc w:val="both"/>
            </w:pPr>
            <w:r w:rsidRPr="006E2716">
              <w:t>Prezentace projektů.</w:t>
            </w:r>
          </w:p>
        </w:tc>
      </w:tr>
    </w:tbl>
    <w:p w:rsidR="00C44418" w:rsidRPr="00C44418" w:rsidRDefault="00C44418" w:rsidP="00C44418">
      <w:pPr>
        <w:jc w:val="both"/>
        <w:rPr>
          <w:b/>
          <w:sz w:val="24"/>
          <w:szCs w:val="24"/>
        </w:rPr>
      </w:pPr>
    </w:p>
    <w:p w:rsidR="004F3DAC" w:rsidRPr="004F3DAC" w:rsidRDefault="004F3DAC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Požadavky k výuce:</w:t>
      </w:r>
    </w:p>
    <w:p w:rsidR="004F3DAC" w:rsidRPr="00D0322E" w:rsidRDefault="004F3DAC" w:rsidP="0005696B">
      <w:pPr>
        <w:jc w:val="both"/>
      </w:pPr>
      <w:r w:rsidRPr="005A0B49">
        <w:rPr>
          <w:b/>
        </w:rPr>
        <w:t>1.</w:t>
      </w:r>
      <w:r w:rsidR="005A0B49">
        <w:t xml:space="preserve"> </w:t>
      </w:r>
      <w:r w:rsidRPr="00D0322E">
        <w:t>Aktivní účast</w:t>
      </w:r>
      <w:r w:rsidR="00D0322E" w:rsidRPr="00D0322E">
        <w:t xml:space="preserve"> a </w:t>
      </w:r>
      <w:r w:rsidRPr="00D0322E">
        <w:t xml:space="preserve">diskuze ve výuce. </w:t>
      </w:r>
    </w:p>
    <w:p w:rsidR="005A0B49" w:rsidRDefault="00D56A53" w:rsidP="005A0B49">
      <w:pPr>
        <w:jc w:val="both"/>
      </w:pPr>
      <w:r w:rsidRPr="005A0B49">
        <w:rPr>
          <w:b/>
        </w:rPr>
        <w:t>2.</w:t>
      </w:r>
      <w:r w:rsidR="005A0B49">
        <w:t xml:space="preserve"> </w:t>
      </w:r>
      <w:r w:rsidR="0005696B">
        <w:t xml:space="preserve">V průběhu semestru budou zařazeny </w:t>
      </w:r>
      <w:r w:rsidR="00641370">
        <w:rPr>
          <w:b/>
        </w:rPr>
        <w:t>2</w:t>
      </w:r>
      <w:r w:rsidR="0005696B" w:rsidRPr="0005696B">
        <w:rPr>
          <w:b/>
        </w:rPr>
        <w:t xml:space="preserve"> krátké testy</w:t>
      </w:r>
      <w:r w:rsidR="00C44418">
        <w:rPr>
          <w:b/>
        </w:rPr>
        <w:t xml:space="preserve"> - </w:t>
      </w:r>
      <w:r w:rsidR="00C44418" w:rsidRPr="00C44418">
        <w:t>v termínech</w:t>
      </w:r>
      <w:r w:rsidR="00C44418">
        <w:rPr>
          <w:b/>
        </w:rPr>
        <w:t xml:space="preserve"> </w:t>
      </w:r>
      <w:r w:rsidR="00C44418" w:rsidRPr="00C44418">
        <w:t>16. 10. a 20. 11.</w:t>
      </w:r>
      <w:r w:rsidR="00C44418">
        <w:t xml:space="preserve"> </w:t>
      </w:r>
      <w:r w:rsidR="00E70D0F">
        <w:t>V případě neúčasti je nutné si domluvit</w:t>
      </w:r>
      <w:bookmarkStart w:id="0" w:name="_GoBack"/>
      <w:bookmarkEnd w:id="0"/>
      <w:r w:rsidR="00E70D0F">
        <w:t xml:space="preserve"> náhradní termín. </w:t>
      </w:r>
      <w:r w:rsidR="00E70D0F">
        <w:rPr>
          <w:b/>
        </w:rPr>
        <w:t xml:space="preserve">Závěrečný </w:t>
      </w:r>
      <w:r w:rsidR="00D72F22" w:rsidRPr="00641370">
        <w:rPr>
          <w:b/>
        </w:rPr>
        <w:t>test</w:t>
      </w:r>
      <w:r w:rsidR="00E70D0F">
        <w:t xml:space="preserve"> </w:t>
      </w:r>
      <w:r w:rsidR="00641370" w:rsidRPr="00641370">
        <w:t xml:space="preserve">bude </w:t>
      </w:r>
      <w:r w:rsidR="00D72F22" w:rsidRPr="00641370">
        <w:t xml:space="preserve">koncipován jako </w:t>
      </w:r>
      <w:r w:rsidR="00D72F22" w:rsidRPr="00641370">
        <w:rPr>
          <w:b/>
        </w:rPr>
        <w:t>zkouška</w:t>
      </w:r>
      <w:r w:rsidR="00E70D0F">
        <w:t xml:space="preserve">. Jeho termín </w:t>
      </w:r>
      <w:r w:rsidR="00641370" w:rsidRPr="00641370">
        <w:t>bude v</w:t>
      </w:r>
      <w:r w:rsidR="005A0B49">
        <w:t>ypsán v zápočtovém týdnu a ve zkouškovém období</w:t>
      </w:r>
      <w:r w:rsidR="00A1135B" w:rsidRPr="00641370">
        <w:t>.</w:t>
      </w:r>
    </w:p>
    <w:p w:rsidR="009B013C" w:rsidRPr="005720BC" w:rsidRDefault="009B013C" w:rsidP="005A0B49">
      <w:pPr>
        <w:jc w:val="both"/>
        <w:rPr>
          <w:b/>
        </w:rPr>
      </w:pPr>
      <w:r>
        <w:rPr>
          <w:b/>
        </w:rPr>
        <w:t>3</w:t>
      </w:r>
      <w:r w:rsidRPr="002724B7">
        <w:rPr>
          <w:b/>
        </w:rPr>
        <w:t>.</w:t>
      </w:r>
      <w:r>
        <w:t xml:space="preserve"> Zpracování </w:t>
      </w:r>
      <w:r w:rsidRPr="002724B7">
        <w:rPr>
          <w:b/>
        </w:rPr>
        <w:t>recenze</w:t>
      </w:r>
      <w:r>
        <w:t xml:space="preserve"> zvolené zahraniční publikace, která se týká problematiky sluchového postižení, nebo zpracování </w:t>
      </w:r>
      <w:r w:rsidRPr="002724B7">
        <w:rPr>
          <w:b/>
        </w:rPr>
        <w:t>reflexe</w:t>
      </w:r>
      <w:r>
        <w:t xml:space="preserve"> na zahraniční článek zaměřený na sluchové postižení. Rozs</w:t>
      </w:r>
      <w:r w:rsidR="005720BC">
        <w:t>ah max. 1 strana. (Podrobnosti o</w:t>
      </w:r>
      <w:r>
        <w:t xml:space="preserve"> možnosti výběru publikací či článků budou konzultovány ve výuce.) </w:t>
      </w:r>
      <w:r w:rsidRPr="009B013C">
        <w:rPr>
          <w:b/>
        </w:rPr>
        <w:t xml:space="preserve">Termín odevzdání </w:t>
      </w:r>
      <w:r w:rsidR="00C44418">
        <w:rPr>
          <w:b/>
        </w:rPr>
        <w:t xml:space="preserve">je </w:t>
      </w:r>
      <w:r w:rsidRPr="009B013C">
        <w:rPr>
          <w:b/>
        </w:rPr>
        <w:t>1</w:t>
      </w:r>
      <w:r w:rsidR="00C44418">
        <w:rPr>
          <w:b/>
        </w:rPr>
        <w:t>1</w:t>
      </w:r>
      <w:r w:rsidRPr="009B013C">
        <w:rPr>
          <w:b/>
        </w:rPr>
        <w:t>. 12.</w:t>
      </w:r>
      <w:r>
        <w:rPr>
          <w:b/>
        </w:rPr>
        <w:t>, pouze</w:t>
      </w:r>
      <w:r w:rsidRPr="009B013C">
        <w:rPr>
          <w:b/>
        </w:rPr>
        <w:t xml:space="preserve"> </w:t>
      </w:r>
      <w:r>
        <w:rPr>
          <w:b/>
        </w:rPr>
        <w:t>v</w:t>
      </w:r>
      <w:r w:rsidRPr="009B013C">
        <w:rPr>
          <w:b/>
        </w:rPr>
        <w:t> tištěné podobě!</w:t>
      </w:r>
    </w:p>
    <w:p w:rsidR="002724B7" w:rsidRPr="000D7537" w:rsidRDefault="009B013C" w:rsidP="005A0B49">
      <w:pPr>
        <w:jc w:val="both"/>
        <w:rPr>
          <w:b/>
        </w:rPr>
      </w:pPr>
      <w:r>
        <w:rPr>
          <w:b/>
        </w:rPr>
        <w:t>4</w:t>
      </w:r>
      <w:r w:rsidR="002724B7" w:rsidRPr="002724B7">
        <w:rPr>
          <w:b/>
        </w:rPr>
        <w:t xml:space="preserve">. </w:t>
      </w:r>
      <w:r w:rsidR="002724B7" w:rsidRPr="000D7537">
        <w:rPr>
          <w:b/>
        </w:rPr>
        <w:t>Zpracování</w:t>
      </w:r>
      <w:r w:rsidR="002724B7" w:rsidRPr="002724B7">
        <w:t xml:space="preserve"> </w:t>
      </w:r>
      <w:r w:rsidR="000D7537">
        <w:t xml:space="preserve">a prezentování výsledků </w:t>
      </w:r>
      <w:r w:rsidR="002724B7" w:rsidRPr="000D7537">
        <w:rPr>
          <w:b/>
        </w:rPr>
        <w:t>projektu</w:t>
      </w:r>
      <w:r w:rsidR="002724B7" w:rsidRPr="002724B7">
        <w:t xml:space="preserve"> </w:t>
      </w:r>
      <w:r w:rsidR="000D7537">
        <w:t xml:space="preserve">v podobě posteru, vytvořené pomůcky, krátké videonahrávky či PowerPoint. </w:t>
      </w:r>
      <w:proofErr w:type="gramStart"/>
      <w:r w:rsidR="000D7537">
        <w:t>prezentace</w:t>
      </w:r>
      <w:proofErr w:type="gramEnd"/>
      <w:r w:rsidR="000D7537">
        <w:t xml:space="preserve"> </w:t>
      </w:r>
      <w:r w:rsidR="002724B7" w:rsidRPr="002724B7">
        <w:t>na zvolené téma</w:t>
      </w:r>
      <w:r w:rsidR="002724B7">
        <w:t xml:space="preserve"> </w:t>
      </w:r>
      <w:r w:rsidR="002724B7" w:rsidRPr="002724B7">
        <w:t xml:space="preserve">- </w:t>
      </w:r>
      <w:r w:rsidR="002724B7" w:rsidRPr="000D7537">
        <w:rPr>
          <w:b/>
        </w:rPr>
        <w:t>práce ve skupinách</w:t>
      </w:r>
      <w:r w:rsidR="000D7537">
        <w:rPr>
          <w:b/>
        </w:rPr>
        <w:t>.</w:t>
      </w:r>
      <w:r w:rsidR="000D7537">
        <w:t xml:space="preserve"> (Max. počet - 4 studenti v jedné skupině.)</w:t>
      </w:r>
      <w:r>
        <w:t xml:space="preserve"> Všechny skupiny budou prezentovat výsledky svých projektů</w:t>
      </w:r>
      <w:r w:rsidR="000D7537">
        <w:t xml:space="preserve"> </w:t>
      </w:r>
      <w:r w:rsidR="00DD7197">
        <w:t>v posledním týdnu výuky, tzn. 11. 12.</w:t>
      </w:r>
      <w:r w:rsidR="005720BC">
        <w:t xml:space="preserve"> (Pozn. Rozdělení stud</w:t>
      </w:r>
      <w:r w:rsidR="007460EF">
        <w:t>entů do pracovních skupin nebude</w:t>
      </w:r>
      <w:r w:rsidR="005720BC">
        <w:t xml:space="preserve"> určovat</w:t>
      </w:r>
      <w:r w:rsidR="007460EF">
        <w:t xml:space="preserve"> vyučující</w:t>
      </w:r>
      <w:r w:rsidR="005720BC">
        <w:t>, záleží pouze na Vaší domluvě mezi sebou. Podrobnosti o způsobu zpracování projektu a organizaci práce budou konzultovány ve výuce.)</w:t>
      </w:r>
    </w:p>
    <w:p w:rsidR="000D7537" w:rsidRPr="000D7537" w:rsidRDefault="000D7537" w:rsidP="005A0B49">
      <w:pPr>
        <w:jc w:val="both"/>
        <w:rPr>
          <w:b/>
        </w:rPr>
      </w:pPr>
      <w:r w:rsidRPr="000D7537">
        <w:rPr>
          <w:b/>
        </w:rPr>
        <w:t>Navržená témata:</w:t>
      </w:r>
    </w:p>
    <w:p w:rsidR="000D7537" w:rsidRPr="000D7537" w:rsidRDefault="000D7537" w:rsidP="005A0B49">
      <w:pPr>
        <w:jc w:val="both"/>
        <w:rPr>
          <w:i/>
        </w:rPr>
      </w:pPr>
      <w:r w:rsidRPr="000D7537">
        <w:rPr>
          <w:i/>
        </w:rPr>
        <w:t>Sluchová protetika - bezdrátová technologie (FM systémy, …)</w:t>
      </w:r>
    </w:p>
    <w:p w:rsidR="000D7537" w:rsidRPr="000D7537" w:rsidRDefault="00F120DB" w:rsidP="005A0B49">
      <w:pPr>
        <w:jc w:val="both"/>
        <w:rPr>
          <w:i/>
        </w:rPr>
      </w:pPr>
      <w:r>
        <w:rPr>
          <w:i/>
        </w:rPr>
        <w:t>Jazyková a kulturní menšina Neslyšících</w:t>
      </w:r>
    </w:p>
    <w:p w:rsidR="000D7537" w:rsidRDefault="000D7537" w:rsidP="005A0B49">
      <w:pPr>
        <w:jc w:val="both"/>
        <w:rPr>
          <w:i/>
        </w:rPr>
      </w:pPr>
      <w:r w:rsidRPr="000D7537">
        <w:rPr>
          <w:i/>
        </w:rPr>
        <w:lastRenderedPageBreak/>
        <w:t>Neslyšící čtenáři</w:t>
      </w:r>
      <w:r w:rsidR="009B013C">
        <w:rPr>
          <w:i/>
        </w:rPr>
        <w:t xml:space="preserve"> a jejich čtenářská gramotnost</w:t>
      </w:r>
    </w:p>
    <w:p w:rsidR="00F120DB" w:rsidRDefault="00F120DB" w:rsidP="005A0B49">
      <w:pPr>
        <w:jc w:val="both"/>
        <w:rPr>
          <w:i/>
        </w:rPr>
      </w:pPr>
      <w:r>
        <w:rPr>
          <w:i/>
        </w:rPr>
        <w:t>Hluk - negativní vliv na sluch člověka</w:t>
      </w:r>
    </w:p>
    <w:p w:rsidR="009B013C" w:rsidRPr="000D7537" w:rsidRDefault="009B013C" w:rsidP="009B013C">
      <w:pPr>
        <w:jc w:val="both"/>
        <w:rPr>
          <w:i/>
        </w:rPr>
      </w:pPr>
      <w:r w:rsidRPr="000D7537">
        <w:rPr>
          <w:i/>
        </w:rPr>
        <w:t xml:space="preserve">Ušní šelest </w:t>
      </w:r>
    </w:p>
    <w:p w:rsidR="000D7537" w:rsidRPr="009B013C" w:rsidRDefault="00F120DB" w:rsidP="005A0B49">
      <w:pPr>
        <w:jc w:val="both"/>
        <w:rPr>
          <w:i/>
        </w:rPr>
      </w:pPr>
      <w:r>
        <w:rPr>
          <w:i/>
        </w:rPr>
        <w:t>Genetická zátěž v rodině - příčina vzniku sluchového postižení</w:t>
      </w:r>
    </w:p>
    <w:p w:rsidR="00E70D0F" w:rsidRDefault="00E70D0F" w:rsidP="0005696B">
      <w:pPr>
        <w:jc w:val="both"/>
      </w:pPr>
    </w:p>
    <w:p w:rsidR="000237CD" w:rsidRPr="009B013C" w:rsidRDefault="0005696B" w:rsidP="0005696B">
      <w:pPr>
        <w:jc w:val="both"/>
        <w:rPr>
          <w:b/>
        </w:rPr>
      </w:pPr>
      <w:r w:rsidRPr="009B013C">
        <w:rPr>
          <w:b/>
        </w:rPr>
        <w:t>Kontakt na vyučující</w:t>
      </w:r>
      <w:r w:rsidR="000237CD" w:rsidRPr="009B013C">
        <w:rPr>
          <w:b/>
        </w:rPr>
        <w:t>:</w:t>
      </w:r>
    </w:p>
    <w:p w:rsidR="008751A6" w:rsidRPr="009B013C" w:rsidRDefault="00A439A0" w:rsidP="0005696B">
      <w:pPr>
        <w:jc w:val="both"/>
        <w:rPr>
          <w:b/>
        </w:rPr>
      </w:pPr>
      <w:hyperlink r:id="rId8" w:history="1">
        <w:r w:rsidR="004F3DAC" w:rsidRPr="009B013C">
          <w:rPr>
            <w:rStyle w:val="Hypertextovodkaz"/>
            <w:b/>
          </w:rPr>
          <w:t>horakova@ped.muni.cz</w:t>
        </w:r>
      </w:hyperlink>
    </w:p>
    <w:p w:rsidR="004F3DAC" w:rsidRPr="009B013C" w:rsidRDefault="004F3DAC" w:rsidP="0005696B">
      <w:pPr>
        <w:jc w:val="both"/>
      </w:pPr>
      <w:r w:rsidRPr="009B013C">
        <w:t>tel. 549</w:t>
      </w:r>
      <w:r w:rsidR="009B013C" w:rsidRPr="009B013C">
        <w:t> </w:t>
      </w:r>
      <w:r w:rsidRPr="009B013C">
        <w:t>49</w:t>
      </w:r>
      <w:r w:rsidR="009B013C" w:rsidRPr="009B013C">
        <w:t>4 274</w:t>
      </w:r>
    </w:p>
    <w:p w:rsidR="009B013C" w:rsidRPr="00E70D0F" w:rsidRDefault="009B013C" w:rsidP="0005696B">
      <w:pPr>
        <w:jc w:val="both"/>
        <w:rPr>
          <w:b/>
        </w:rPr>
      </w:pPr>
    </w:p>
    <w:sectPr w:rsidR="009B013C" w:rsidRPr="00E70D0F" w:rsidSect="008F4B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A0" w:rsidRDefault="00A439A0" w:rsidP="0030680D">
      <w:pPr>
        <w:spacing w:after="0" w:line="240" w:lineRule="auto"/>
      </w:pPr>
      <w:r>
        <w:separator/>
      </w:r>
    </w:p>
  </w:endnote>
  <w:endnote w:type="continuationSeparator" w:id="0">
    <w:p w:rsidR="00A439A0" w:rsidRDefault="00A439A0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A0" w:rsidRDefault="00A439A0" w:rsidP="0030680D">
      <w:pPr>
        <w:spacing w:after="0" w:line="240" w:lineRule="auto"/>
      </w:pPr>
      <w:r>
        <w:separator/>
      </w:r>
    </w:p>
  </w:footnote>
  <w:footnote w:type="continuationSeparator" w:id="0">
    <w:p w:rsidR="00A439A0" w:rsidRDefault="00A439A0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>atedra speciální pedagogiky PdF MU</w:t>
    </w:r>
    <w:r>
      <w:rPr>
        <w:rFonts w:cs="Arial"/>
        <w:sz w:val="20"/>
        <w:szCs w:val="20"/>
      </w:rPr>
      <w:t xml:space="preserve">, </w:t>
    </w:r>
    <w:r w:rsidR="00D0322E">
      <w:rPr>
        <w:rFonts w:cs="Arial"/>
        <w:sz w:val="20"/>
        <w:szCs w:val="20"/>
      </w:rPr>
      <w:t>podzimní</w:t>
    </w:r>
    <w:r w:rsidR="00641370">
      <w:rPr>
        <w:rFonts w:cs="Arial"/>
        <w:sz w:val="20"/>
        <w:szCs w:val="20"/>
      </w:rPr>
      <w:t xml:space="preserve"> semestr 2013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F0F99"/>
    <w:multiLevelType w:val="hybridMultilevel"/>
    <w:tmpl w:val="9C46AD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0632E0"/>
    <w:rsid w:val="000D7537"/>
    <w:rsid w:val="00151C24"/>
    <w:rsid w:val="002504FC"/>
    <w:rsid w:val="002724B7"/>
    <w:rsid w:val="002A39C2"/>
    <w:rsid w:val="002C141A"/>
    <w:rsid w:val="0030680D"/>
    <w:rsid w:val="003D1CE0"/>
    <w:rsid w:val="004C28E3"/>
    <w:rsid w:val="004E2AFD"/>
    <w:rsid w:val="004F3DAC"/>
    <w:rsid w:val="00521536"/>
    <w:rsid w:val="00562263"/>
    <w:rsid w:val="005720BC"/>
    <w:rsid w:val="0058405A"/>
    <w:rsid w:val="005A0B49"/>
    <w:rsid w:val="00641370"/>
    <w:rsid w:val="006E2716"/>
    <w:rsid w:val="006F4426"/>
    <w:rsid w:val="007460EF"/>
    <w:rsid w:val="00757531"/>
    <w:rsid w:val="007E4084"/>
    <w:rsid w:val="008751A6"/>
    <w:rsid w:val="008F4BC9"/>
    <w:rsid w:val="0095147F"/>
    <w:rsid w:val="009B013C"/>
    <w:rsid w:val="00A1135B"/>
    <w:rsid w:val="00A439A0"/>
    <w:rsid w:val="00B65D6D"/>
    <w:rsid w:val="00BE7350"/>
    <w:rsid w:val="00C44418"/>
    <w:rsid w:val="00D0322E"/>
    <w:rsid w:val="00D56A53"/>
    <w:rsid w:val="00D72F22"/>
    <w:rsid w:val="00DD7197"/>
    <w:rsid w:val="00E65B58"/>
    <w:rsid w:val="00E70D0F"/>
    <w:rsid w:val="00E86E54"/>
    <w:rsid w:val="00F120DB"/>
    <w:rsid w:val="00F27D8C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kova@ped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25</cp:revision>
  <dcterms:created xsi:type="dcterms:W3CDTF">2012-09-18T08:09:00Z</dcterms:created>
  <dcterms:modified xsi:type="dcterms:W3CDTF">2013-09-13T21:22:00Z</dcterms:modified>
</cp:coreProperties>
</file>