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C5" w:rsidRPr="00CC4EC5" w:rsidRDefault="00CC4EC5" w:rsidP="00CC4EC5">
      <w:pPr>
        <w:rPr>
          <w:b/>
          <w:sz w:val="28"/>
        </w:rPr>
      </w:pPr>
      <w:r w:rsidRPr="00CC4EC5">
        <w:rPr>
          <w:b/>
          <w:sz w:val="28"/>
        </w:rPr>
        <w:t xml:space="preserve">Okruhy </w:t>
      </w:r>
      <w:proofErr w:type="spellStart"/>
      <w:r w:rsidRPr="00CC4EC5">
        <w:rPr>
          <w:b/>
          <w:sz w:val="28"/>
        </w:rPr>
        <w:t>Integra</w:t>
      </w:r>
      <w:proofErr w:type="spellEnd"/>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Integrace/inkluze (integrace, inkluze, modely integrace, speciálně pedagogické vývojové fáze, definice školní integrace, integrativní formy vzdělávání)</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Rámcové podmínky pro integrativní/inkluzivní výchovu a vzdělání (legislativní podmínky integrace, školský zákon, vyhlášky MŠMT ČR, č. 73/2005 Sb., č. 48/2005 Sb. v platném znění)</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Pedagogicko-psychologické poradenské služby (školní poradenská pracoviště, specializovaná poradenská zařízení, vyhláška 72/2005 MŠMT ČR v platném znění)</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Systém kurikulárních dokumentů (Bílá kniha, RVP, RVP ZV, dvě úrovně RVP, vzdělávací oblasti RVP ZV) 5. Rámcový vzdělávací program pro základní vzdělávání (charakteristika RVP ZV, cíle RVP ZV, klíčové kompetence, vzdělávací obsah – očekávané výstupy a učivo, průřezová témata, příklad vybraného tématu)</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RVP ZV (žák se speciálními vzdělávacími potřebami – klasifikace, charakteristika jednotlivých druhů)</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RVP ZV (podmínky pro vzdělávání žáků se zdravotním postižením v základní škole, individuální vzdělávací plán)</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RVP ZV (žák s lehkým mentálním postižením, příloha)</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Multikulturní výchova a vzdělání (evropská dimenze ve vzdělání, současný přístup k řešení otázek multikulturní výchovy a vzdělávání u nás, strategie ve vzdělávání minorit se zaměřením na romské etnikum)</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Ucelená rehabilitace (charakteristika jednotlivých složek)</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Raná intervence (pojetí, cíl, úkoly, organizace služeb, týmová práce, spolupráce s rodinou)</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Rodina se zdravotně postiženým dítětem</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Kariérové poradenství (předprofesní a profesní příprava, specifika u jedinců se zdravotním postižením)</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Speciálně pedagogická diagnostika (pojetí, diagnostika v raném a předškolním věku, diagnostika školní zralosti, přehled základních diagnostických metod ve speciálně pedagogické diagnostice, hlavní oblasti speciálně pedagogické diagnostiky)</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Logopedie (komunikace, narušená komunikační schopnost, etiologie a klasifikace vad a poruch komunikačních schopností)</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Symptomatické poruchy řeči (pojetí, řeč u dětí s mozkovou obrnou, charakteristika dysartrie, řeč u dětí mentálně retardovaných, zvláštnosti ve vývoji řeči nevidomých dětí)</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Alternativní a augmentativní komunikace (charakteristika AAK, výhody a nevýhody užití, dynamické a statické komunikační systémy, příklady)</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lastRenderedPageBreak/>
        <w:t>Surdopedie (etiologie, klasifikace sluchových vad, komunikační systémy, sluchová protetika, vzdělávací programy pro sluchově postižené)</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 xml:space="preserve">Komunikace sluchově postižených (mluvená hlásková řeč, odezírání, pomocné artikulační znaky, </w:t>
      </w:r>
      <w:proofErr w:type="spellStart"/>
      <w:r w:rsidRPr="00CC4EC5">
        <w:rPr>
          <w:sz w:val="24"/>
          <w:szCs w:val="24"/>
        </w:rPr>
        <w:t>daktylní</w:t>
      </w:r>
      <w:proofErr w:type="spellEnd"/>
      <w:r w:rsidRPr="00CC4EC5">
        <w:rPr>
          <w:sz w:val="24"/>
          <w:szCs w:val="24"/>
        </w:rPr>
        <w:t xml:space="preserve"> řeč, znakový jazyk – vlastní znakový jazyk neslyšících, znakovaný jazyk)</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Specifické poruchy učení (pojetí, etiologie, klasifikace SPU, diagnostika SPU, charakteristika dyslexie, dysgrafie, dysortografie, dyskalkulie, legislativa)</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Postavení dítěte s SPU v rodině a ve škole (organizace péče a vzdělávání žáků s SPU, hodnocení a klasifikace žáků s SPU, postoje učitelů, spolužáků, rodičů k dítěti s SPU)</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Somatopedie (pojetí, klasifikace, charakteristika vybraných druhů tělesného postižení, výuka žáků s tělesným postižením na základní škole, předmět dorozumívací dovednosti, podmínky integrace žáka s tělesným postižením, kompenzační pomůcky, předprofesní a profesní příprava)</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Mozková obrna (charakteristika, formy, MO jako těžké postižení, speciálně pedagogická diagnostika dítěte, úkoly SPC, MŠ, školní zralost)</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Chronické nemoci a jejich vliv na edukaci a profesní přípravu jedinců (epilepsie, alergie a astmatická onemocnění)</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Význam, úkoly a organizace školy při zdravotnických zařízeních (MŠ, ZŠ, herní terapie – charakteristika, význam)</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 xml:space="preserve">Terapie ve speciálně pedagogické péči (léčebná rehabilitace – příklad Vojtova reflexní lokomoce, metodika manželů </w:t>
      </w:r>
      <w:proofErr w:type="spellStart"/>
      <w:r w:rsidRPr="00CC4EC5">
        <w:rPr>
          <w:sz w:val="24"/>
          <w:szCs w:val="24"/>
        </w:rPr>
        <w:t>Bobathových</w:t>
      </w:r>
      <w:proofErr w:type="spellEnd"/>
      <w:r w:rsidRPr="00CC4EC5">
        <w:rPr>
          <w:sz w:val="24"/>
          <w:szCs w:val="24"/>
        </w:rPr>
        <w:t xml:space="preserve">, </w:t>
      </w:r>
      <w:proofErr w:type="spellStart"/>
      <w:r w:rsidRPr="00CC4EC5">
        <w:rPr>
          <w:sz w:val="24"/>
          <w:szCs w:val="24"/>
        </w:rPr>
        <w:t>hipoterapie</w:t>
      </w:r>
      <w:proofErr w:type="spellEnd"/>
      <w:r w:rsidRPr="00CC4EC5">
        <w:rPr>
          <w:sz w:val="24"/>
          <w:szCs w:val="24"/>
        </w:rPr>
        <w:t xml:space="preserve">, </w:t>
      </w:r>
      <w:proofErr w:type="spellStart"/>
      <w:r w:rsidRPr="00CC4EC5">
        <w:rPr>
          <w:sz w:val="24"/>
          <w:szCs w:val="24"/>
        </w:rPr>
        <w:t>kanisterapie</w:t>
      </w:r>
      <w:proofErr w:type="spellEnd"/>
      <w:r w:rsidRPr="00CC4EC5">
        <w:rPr>
          <w:sz w:val="24"/>
          <w:szCs w:val="24"/>
        </w:rPr>
        <w:t xml:space="preserve">, </w:t>
      </w:r>
      <w:proofErr w:type="spellStart"/>
      <w:r w:rsidRPr="00CC4EC5">
        <w:rPr>
          <w:sz w:val="24"/>
          <w:szCs w:val="24"/>
        </w:rPr>
        <w:t>arteterapie</w:t>
      </w:r>
      <w:proofErr w:type="spellEnd"/>
      <w:r w:rsidRPr="00CC4EC5">
        <w:rPr>
          <w:sz w:val="24"/>
          <w:szCs w:val="24"/>
        </w:rPr>
        <w:t xml:space="preserve">, muzikoterapie, </w:t>
      </w:r>
      <w:proofErr w:type="spellStart"/>
      <w:r w:rsidRPr="00CC4EC5">
        <w:rPr>
          <w:sz w:val="24"/>
          <w:szCs w:val="24"/>
        </w:rPr>
        <w:t>dramatoterapie</w:t>
      </w:r>
      <w:proofErr w:type="spellEnd"/>
      <w:r w:rsidRPr="00CC4EC5">
        <w:rPr>
          <w:sz w:val="24"/>
          <w:szCs w:val="24"/>
        </w:rPr>
        <w:t xml:space="preserve"> ad.)</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Oftalmopedie (pojetí, etiologie, klasifikace zrakových vad, edukace dětí/žáků s těžším zrakovým postižením, poradenství dle věkových skupin)</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Reedukace a kompenzace zraku (slabozrakost - zraková stimulace, etapy zrakové stimulace, slepota (amauróza) - kompenzace zraku, šilhání (strabismus) a tupozrakost (amblyopie) - reedukace zraku u dětí s narušeným binokulárním viděním)</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Psychopedie (pojetí, etiologie, klasifikace, charakteristika jednotlivých stupňů, edukace dětí/žáků s mentálním postižením, předprofesní a profesní příprava)</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Systém škol pro MR (charakteristika jednotlivých škol)</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Vzdělávací program základní školy praktické</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Vzdělávací program základní školy speciální, přípravného stupně základní školy speciální</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Autismus (pojetí, etiologie, znaky autistického chování, diagnostická kriteria, cíle výchovy a vzdělávání dětí/žáků s autismem, TEACCH program, poradenství, možnosti vzdělávání)</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Souběžné postižení více vadami (pojetí, okruh osob a základní charakteristika těžkého zdravotního postižení, definice, klasifikace, charakteristika vybraných vad, možnosti edukace)</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Rehabilitační vzdělávací program základní školy speciální</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lastRenderedPageBreak/>
        <w:t>Koncept bazální stimulace</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Etopedie (charakteristika poruch chování, klasifikace poruch chování, ústavní a ochranná výchova, přehled a charakteristika školských zařízení, legislativa)</w:t>
      </w:r>
    </w:p>
    <w:p w:rsidR="00CC4EC5"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Střediska výchovné péče</w:t>
      </w:r>
    </w:p>
    <w:p w:rsidR="006E712F" w:rsidRPr="00CC4EC5" w:rsidRDefault="00CC4EC5" w:rsidP="00CC4EC5">
      <w:pPr>
        <w:pStyle w:val="Odstavecseseznamem"/>
        <w:numPr>
          <w:ilvl w:val="0"/>
          <w:numId w:val="2"/>
        </w:numPr>
        <w:spacing w:line="276" w:lineRule="auto"/>
        <w:ind w:left="425" w:hanging="357"/>
        <w:rPr>
          <w:sz w:val="24"/>
          <w:szCs w:val="24"/>
        </w:rPr>
      </w:pPr>
      <w:r w:rsidRPr="00CC4EC5">
        <w:rPr>
          <w:sz w:val="24"/>
          <w:szCs w:val="24"/>
        </w:rPr>
        <w:t xml:space="preserve">Patologické závislosti (pojetí, drogová závislost, závislost na alkoholu, </w:t>
      </w:r>
      <w:proofErr w:type="spellStart"/>
      <w:r w:rsidRPr="00CC4EC5">
        <w:rPr>
          <w:sz w:val="24"/>
          <w:szCs w:val="24"/>
        </w:rPr>
        <w:t>tabakismus</w:t>
      </w:r>
      <w:proofErr w:type="spellEnd"/>
      <w:r w:rsidRPr="00CC4EC5">
        <w:rPr>
          <w:sz w:val="24"/>
          <w:szCs w:val="24"/>
        </w:rPr>
        <w:t>, závislost na hracích automatech – klasifikace diagnostická kritéria)</w:t>
      </w:r>
    </w:p>
    <w:sectPr w:rsidR="006E712F" w:rsidRPr="00CC4EC5" w:rsidSect="009A3E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C21E4"/>
    <w:multiLevelType w:val="hybridMultilevel"/>
    <w:tmpl w:val="AD74B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23D4DB4"/>
    <w:multiLevelType w:val="hybridMultilevel"/>
    <w:tmpl w:val="8DE86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revisionView w:inkAnnotations="0"/>
  <w:defaultTabStop w:val="708"/>
  <w:hyphenationZone w:val="425"/>
  <w:characterSpacingControl w:val="doNotCompress"/>
  <w:compat/>
  <w:rsids>
    <w:rsidRoot w:val="00CC4EC5"/>
    <w:rsid w:val="001C3198"/>
    <w:rsid w:val="001F1F66"/>
    <w:rsid w:val="002B3BA8"/>
    <w:rsid w:val="003134DC"/>
    <w:rsid w:val="0034247D"/>
    <w:rsid w:val="0048559A"/>
    <w:rsid w:val="00653E22"/>
    <w:rsid w:val="006E340E"/>
    <w:rsid w:val="00726A8B"/>
    <w:rsid w:val="00753458"/>
    <w:rsid w:val="007A732E"/>
    <w:rsid w:val="00825BDD"/>
    <w:rsid w:val="0084089C"/>
    <w:rsid w:val="00865942"/>
    <w:rsid w:val="009053F1"/>
    <w:rsid w:val="00936FE4"/>
    <w:rsid w:val="009A3E25"/>
    <w:rsid w:val="00A44476"/>
    <w:rsid w:val="00BD2ACB"/>
    <w:rsid w:val="00CC4EC5"/>
    <w:rsid w:val="00CE11D7"/>
    <w:rsid w:val="00D0331B"/>
    <w:rsid w:val="00D56FE7"/>
    <w:rsid w:val="00DD66B7"/>
    <w:rsid w:val="00DF4D03"/>
    <w:rsid w:val="00E578EE"/>
    <w:rsid w:val="00E80722"/>
    <w:rsid w:val="00F150F7"/>
    <w:rsid w:val="00F169EE"/>
    <w:rsid w:val="00F23BEA"/>
    <w:rsid w:val="00FD0F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78EE"/>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4E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755</Words>
  <Characters>4455</Characters>
  <Application>Microsoft Office Word</Application>
  <DocSecurity>0</DocSecurity>
  <Lines>37</Lines>
  <Paragraphs>10</Paragraphs>
  <ScaleCrop>false</ScaleCrop>
  <Company>Pedagogicka fakulta MU</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Gajzlerová</dc:creator>
  <cp:lastModifiedBy>Lenka Gajzlerová</cp:lastModifiedBy>
  <cp:revision>1</cp:revision>
  <dcterms:created xsi:type="dcterms:W3CDTF">2014-09-16T13:53:00Z</dcterms:created>
  <dcterms:modified xsi:type="dcterms:W3CDTF">2014-09-16T13:56:00Z</dcterms:modified>
</cp:coreProperties>
</file>