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C5" w:rsidRPr="00CC4EC5" w:rsidRDefault="00CC4EC5" w:rsidP="00CC4EC5">
      <w:pPr>
        <w:rPr>
          <w:b/>
          <w:sz w:val="28"/>
        </w:rPr>
      </w:pPr>
      <w:r w:rsidRPr="00CC4EC5">
        <w:rPr>
          <w:b/>
          <w:sz w:val="28"/>
        </w:rPr>
        <w:t xml:space="preserve">Okruhy </w:t>
      </w:r>
      <w:proofErr w:type="spellStart"/>
      <w:r w:rsidRPr="00CC4EC5">
        <w:rPr>
          <w:b/>
          <w:sz w:val="28"/>
        </w:rPr>
        <w:t>Integra</w:t>
      </w:r>
      <w:proofErr w:type="spellEnd"/>
    </w:p>
    <w:p w:rsidR="00CC4EC5" w:rsidRPr="00CC4EC5" w:rsidRDefault="00CC4EC5" w:rsidP="00CC4EC5">
      <w:pPr>
        <w:pStyle w:val="Odstavecseseznamem"/>
        <w:numPr>
          <w:ilvl w:val="0"/>
          <w:numId w:val="2"/>
        </w:numPr>
        <w:spacing w:line="276" w:lineRule="auto"/>
        <w:ind w:left="425" w:hanging="357"/>
        <w:rPr>
          <w:sz w:val="24"/>
          <w:szCs w:val="24"/>
        </w:rPr>
      </w:pPr>
      <w:r w:rsidRPr="00CC4EC5">
        <w:rPr>
          <w:sz w:val="24"/>
          <w:szCs w:val="24"/>
        </w:rPr>
        <w:t>Integrace/inkluze (integrace, inkluze, modely integrace, speciálně pedagogické vývojové fáze, definice školní integrace, integrativní formy vzdělávání)</w:t>
      </w:r>
    </w:p>
    <w:p w:rsidR="00CC4EC5" w:rsidRPr="00CC4EC5" w:rsidRDefault="00CC4EC5" w:rsidP="00CC4EC5">
      <w:pPr>
        <w:pStyle w:val="Odstavecseseznamem"/>
        <w:numPr>
          <w:ilvl w:val="0"/>
          <w:numId w:val="2"/>
        </w:numPr>
        <w:spacing w:line="276" w:lineRule="auto"/>
        <w:ind w:left="425" w:hanging="357"/>
        <w:rPr>
          <w:sz w:val="24"/>
          <w:szCs w:val="24"/>
        </w:rPr>
      </w:pPr>
      <w:r w:rsidRPr="00CC4EC5">
        <w:rPr>
          <w:sz w:val="24"/>
          <w:szCs w:val="24"/>
        </w:rPr>
        <w:t>Rámcové podmínky pro integrativní/inkluzivní výchovu a vzdělání (legislativní podmínky integrace, školský zákon, vyhlášky MŠMT ČR, č. 73/2005 Sb., č. 48/2005 Sb. v platném znění)</w:t>
      </w:r>
    </w:p>
    <w:p w:rsidR="00CC4EC5" w:rsidRPr="00CC4EC5" w:rsidRDefault="00CC4EC5" w:rsidP="00CC4EC5">
      <w:pPr>
        <w:pStyle w:val="Odstavecseseznamem"/>
        <w:numPr>
          <w:ilvl w:val="0"/>
          <w:numId w:val="2"/>
        </w:numPr>
        <w:spacing w:line="276" w:lineRule="auto"/>
        <w:ind w:left="425" w:hanging="357"/>
        <w:rPr>
          <w:sz w:val="24"/>
          <w:szCs w:val="24"/>
        </w:rPr>
      </w:pPr>
      <w:r w:rsidRPr="00CC4EC5">
        <w:rPr>
          <w:sz w:val="24"/>
          <w:szCs w:val="24"/>
        </w:rPr>
        <w:t>Pedagogicko-psychologické poradenské služby (školní poradenská pracoviště, specializovaná poradenská zařízení, vyhláška 72/2005 MŠMT ČR v platném znění)</w:t>
      </w:r>
    </w:p>
    <w:p w:rsidR="00CC4EC5" w:rsidRPr="00CC4EC5" w:rsidRDefault="00CC4EC5" w:rsidP="00CC4EC5">
      <w:pPr>
        <w:pStyle w:val="Odstavecseseznamem"/>
        <w:numPr>
          <w:ilvl w:val="0"/>
          <w:numId w:val="2"/>
        </w:numPr>
        <w:spacing w:line="276" w:lineRule="auto"/>
        <w:ind w:left="425" w:hanging="357"/>
        <w:rPr>
          <w:sz w:val="24"/>
          <w:szCs w:val="24"/>
        </w:rPr>
      </w:pPr>
      <w:r w:rsidRPr="00CC4EC5">
        <w:rPr>
          <w:sz w:val="24"/>
          <w:szCs w:val="24"/>
        </w:rPr>
        <w:t>Systém kurikulárních dokumentů (Bílá kniha, RVP, RVP ZV, dvě úrovně RVP, vzdělávací oblasti RVP ZV) 5. Rámcový vzdělávací program pro základní vzdělávání (charakteristika RVP ZV, cíle RVP ZV, klíčové kompetence, vzdělávací obsah – očekávané výstupy a učivo, průřezová témata, příklad vybraného tématu)</w:t>
      </w:r>
    </w:p>
    <w:p w:rsidR="00CC4EC5" w:rsidRPr="00CC4EC5" w:rsidRDefault="00CC4EC5" w:rsidP="00CC4EC5">
      <w:pPr>
        <w:pStyle w:val="Odstavecseseznamem"/>
        <w:numPr>
          <w:ilvl w:val="0"/>
          <w:numId w:val="2"/>
        </w:numPr>
        <w:spacing w:line="276" w:lineRule="auto"/>
        <w:ind w:left="425" w:hanging="357"/>
        <w:rPr>
          <w:sz w:val="24"/>
          <w:szCs w:val="24"/>
        </w:rPr>
      </w:pPr>
      <w:r w:rsidRPr="00CC4EC5">
        <w:rPr>
          <w:sz w:val="24"/>
          <w:szCs w:val="24"/>
        </w:rPr>
        <w:t>RVP ZV (žák se speciálními vzdělávacími potřebami – klasifikace, charakteristika jednotlivých druhů)</w:t>
      </w:r>
    </w:p>
    <w:p w:rsidR="00CC4EC5" w:rsidRPr="00CC4EC5" w:rsidRDefault="00CC4EC5" w:rsidP="00CC4EC5">
      <w:pPr>
        <w:pStyle w:val="Odstavecseseznamem"/>
        <w:numPr>
          <w:ilvl w:val="0"/>
          <w:numId w:val="2"/>
        </w:numPr>
        <w:spacing w:line="276" w:lineRule="auto"/>
        <w:ind w:left="425" w:hanging="357"/>
        <w:rPr>
          <w:sz w:val="24"/>
          <w:szCs w:val="24"/>
        </w:rPr>
      </w:pPr>
      <w:r w:rsidRPr="00CC4EC5">
        <w:rPr>
          <w:sz w:val="24"/>
          <w:szCs w:val="24"/>
        </w:rPr>
        <w:t>RVP ZV (podmínky pro vzdělávání žáků se zdravotním postižením v základní škole, individuální vzdělávací plán)</w:t>
      </w:r>
    </w:p>
    <w:p w:rsidR="00CC4EC5" w:rsidRPr="00CC4EC5" w:rsidRDefault="00CC4EC5" w:rsidP="00CC4EC5">
      <w:pPr>
        <w:pStyle w:val="Odstavecseseznamem"/>
        <w:numPr>
          <w:ilvl w:val="0"/>
          <w:numId w:val="2"/>
        </w:numPr>
        <w:spacing w:line="276" w:lineRule="auto"/>
        <w:ind w:left="425" w:hanging="357"/>
        <w:rPr>
          <w:sz w:val="24"/>
          <w:szCs w:val="24"/>
        </w:rPr>
      </w:pPr>
      <w:r w:rsidRPr="00CC4EC5">
        <w:rPr>
          <w:sz w:val="24"/>
          <w:szCs w:val="24"/>
        </w:rPr>
        <w:t>RVP ZV (žák s lehkým mentálním postižením, příloha)</w:t>
      </w:r>
    </w:p>
    <w:p w:rsidR="00CC4EC5" w:rsidRPr="00CC4EC5" w:rsidRDefault="00CC4EC5" w:rsidP="00CC4EC5">
      <w:pPr>
        <w:pStyle w:val="Odstavecseseznamem"/>
        <w:numPr>
          <w:ilvl w:val="0"/>
          <w:numId w:val="2"/>
        </w:numPr>
        <w:spacing w:line="276" w:lineRule="auto"/>
        <w:ind w:left="425" w:hanging="357"/>
        <w:rPr>
          <w:sz w:val="24"/>
          <w:szCs w:val="24"/>
        </w:rPr>
      </w:pPr>
      <w:r w:rsidRPr="00CC4EC5">
        <w:rPr>
          <w:sz w:val="24"/>
          <w:szCs w:val="24"/>
        </w:rPr>
        <w:t>Multikulturní výchova a vzdělání (evropská dimenze ve vzdělání, současný přístup k řešení otázek multikulturní výchovy a vzdělávání u nás, strategie ve vzdělávání minorit se zaměřením na romské etnikum)</w:t>
      </w:r>
    </w:p>
    <w:p w:rsidR="00CC4EC5" w:rsidRPr="00CC4EC5" w:rsidRDefault="00CC4EC5" w:rsidP="00CC4EC5">
      <w:pPr>
        <w:pStyle w:val="Odstavecseseznamem"/>
        <w:numPr>
          <w:ilvl w:val="0"/>
          <w:numId w:val="2"/>
        </w:numPr>
        <w:spacing w:line="276" w:lineRule="auto"/>
        <w:ind w:left="425" w:hanging="357"/>
        <w:rPr>
          <w:sz w:val="24"/>
          <w:szCs w:val="24"/>
        </w:rPr>
      </w:pPr>
      <w:r w:rsidRPr="00CC4EC5">
        <w:rPr>
          <w:sz w:val="24"/>
          <w:szCs w:val="24"/>
        </w:rPr>
        <w:t>Ucelená rehabilitace (charakteristika jednotlivých složek)</w:t>
      </w:r>
    </w:p>
    <w:p w:rsidR="00CC4EC5" w:rsidRPr="00CC4EC5" w:rsidRDefault="00CC4EC5" w:rsidP="00CC4EC5">
      <w:pPr>
        <w:pStyle w:val="Odstavecseseznamem"/>
        <w:numPr>
          <w:ilvl w:val="0"/>
          <w:numId w:val="2"/>
        </w:numPr>
        <w:spacing w:line="276" w:lineRule="auto"/>
        <w:ind w:left="425" w:hanging="357"/>
        <w:rPr>
          <w:sz w:val="24"/>
          <w:szCs w:val="24"/>
        </w:rPr>
      </w:pPr>
      <w:r w:rsidRPr="00CC4EC5">
        <w:rPr>
          <w:sz w:val="24"/>
          <w:szCs w:val="24"/>
        </w:rPr>
        <w:t>Raná intervence (pojetí, cíl, úkoly, organizace služeb, týmová práce, spolupráce s rodinou)</w:t>
      </w:r>
    </w:p>
    <w:p w:rsidR="00CC4EC5" w:rsidRPr="00CC4EC5" w:rsidRDefault="00CC4EC5" w:rsidP="00CC4EC5">
      <w:pPr>
        <w:pStyle w:val="Odstavecseseznamem"/>
        <w:numPr>
          <w:ilvl w:val="0"/>
          <w:numId w:val="2"/>
        </w:numPr>
        <w:spacing w:line="276" w:lineRule="auto"/>
        <w:ind w:left="425" w:hanging="357"/>
        <w:rPr>
          <w:sz w:val="24"/>
          <w:szCs w:val="24"/>
        </w:rPr>
      </w:pPr>
      <w:r w:rsidRPr="00CC4EC5">
        <w:rPr>
          <w:sz w:val="24"/>
          <w:szCs w:val="24"/>
        </w:rPr>
        <w:t>Rodina se zdravotně postiženým dítětem</w:t>
      </w:r>
    </w:p>
    <w:p w:rsidR="00CC4EC5" w:rsidRPr="00CC4EC5" w:rsidRDefault="00CC4EC5" w:rsidP="00CC4EC5">
      <w:pPr>
        <w:pStyle w:val="Odstavecseseznamem"/>
        <w:numPr>
          <w:ilvl w:val="0"/>
          <w:numId w:val="2"/>
        </w:numPr>
        <w:spacing w:line="276" w:lineRule="auto"/>
        <w:ind w:left="425" w:hanging="357"/>
        <w:rPr>
          <w:sz w:val="24"/>
          <w:szCs w:val="24"/>
        </w:rPr>
      </w:pPr>
      <w:r w:rsidRPr="00CC4EC5">
        <w:rPr>
          <w:sz w:val="24"/>
          <w:szCs w:val="24"/>
        </w:rPr>
        <w:t>Kariérové poradenství (předprofesní a profesní příprava, specifika u jedinců se zdravotním postižením)</w:t>
      </w:r>
    </w:p>
    <w:p w:rsidR="00CC4EC5" w:rsidRPr="00CC4EC5" w:rsidRDefault="00CC4EC5" w:rsidP="00CC4EC5">
      <w:pPr>
        <w:pStyle w:val="Odstavecseseznamem"/>
        <w:numPr>
          <w:ilvl w:val="0"/>
          <w:numId w:val="2"/>
        </w:numPr>
        <w:spacing w:line="276" w:lineRule="auto"/>
        <w:ind w:left="425" w:hanging="357"/>
        <w:rPr>
          <w:sz w:val="24"/>
          <w:szCs w:val="24"/>
        </w:rPr>
      </w:pPr>
      <w:r w:rsidRPr="00CC4EC5">
        <w:rPr>
          <w:sz w:val="24"/>
          <w:szCs w:val="24"/>
        </w:rPr>
        <w:t>Speciálně pedagogická diagnostika (pojetí, diagnostika v raném a předškolním věku, diagnostika školní zralosti, přehled základních diagnostických metod ve speciálně pedagogické diagnostice, hlavní oblasti speciálně pedagogické diagnostiky)</w:t>
      </w:r>
    </w:p>
    <w:p w:rsidR="00CC4EC5" w:rsidRPr="00CC4EC5" w:rsidRDefault="00CC4EC5" w:rsidP="00CC4EC5">
      <w:pPr>
        <w:pStyle w:val="Odstavecseseznamem"/>
        <w:numPr>
          <w:ilvl w:val="0"/>
          <w:numId w:val="2"/>
        </w:numPr>
        <w:spacing w:line="276" w:lineRule="auto"/>
        <w:ind w:left="425" w:hanging="357"/>
        <w:rPr>
          <w:sz w:val="24"/>
          <w:szCs w:val="24"/>
        </w:rPr>
      </w:pPr>
      <w:r w:rsidRPr="00CC4EC5">
        <w:rPr>
          <w:sz w:val="24"/>
          <w:szCs w:val="24"/>
        </w:rPr>
        <w:t>Logopedie (komunikace, narušená komunikační schopnost, etiologie a klasifikace vad a poruch komunikačních schopností)</w:t>
      </w:r>
    </w:p>
    <w:p w:rsidR="00CC4EC5" w:rsidRPr="00CC4EC5" w:rsidRDefault="00CC4EC5" w:rsidP="00CC4EC5">
      <w:pPr>
        <w:pStyle w:val="Odstavecseseznamem"/>
        <w:numPr>
          <w:ilvl w:val="0"/>
          <w:numId w:val="2"/>
        </w:numPr>
        <w:spacing w:line="276" w:lineRule="auto"/>
        <w:ind w:left="425" w:hanging="357"/>
        <w:rPr>
          <w:sz w:val="24"/>
          <w:szCs w:val="24"/>
        </w:rPr>
      </w:pPr>
      <w:r w:rsidRPr="00CC4EC5">
        <w:rPr>
          <w:sz w:val="24"/>
          <w:szCs w:val="24"/>
        </w:rPr>
        <w:t>Symptomatické poruchy řeči (pojetí, řeč u dětí s mozkovou obrnou, charakteristika dysartrie, řeč u dětí mentálně retardovaných, zvláštnosti ve vývoji řeči nevidomých dětí)</w:t>
      </w:r>
    </w:p>
    <w:p w:rsidR="00CC4EC5" w:rsidRPr="00CC4EC5" w:rsidRDefault="00CC4EC5" w:rsidP="00CC4EC5">
      <w:pPr>
        <w:pStyle w:val="Odstavecseseznamem"/>
        <w:numPr>
          <w:ilvl w:val="0"/>
          <w:numId w:val="2"/>
        </w:numPr>
        <w:spacing w:line="276" w:lineRule="auto"/>
        <w:ind w:left="425" w:hanging="357"/>
        <w:rPr>
          <w:sz w:val="24"/>
          <w:szCs w:val="24"/>
        </w:rPr>
      </w:pPr>
      <w:r w:rsidRPr="00CC4EC5">
        <w:rPr>
          <w:sz w:val="24"/>
          <w:szCs w:val="24"/>
        </w:rPr>
        <w:t>Alternativní a augmentativní komunikace (charakteristika AAK, výhody a nevýhody užití, dynamické a statické komunikační systémy, příklady)</w:t>
      </w:r>
    </w:p>
    <w:p w:rsidR="00CC4EC5" w:rsidRPr="00CC4EC5" w:rsidRDefault="00CC4EC5" w:rsidP="00CC4EC5">
      <w:pPr>
        <w:pStyle w:val="Odstavecseseznamem"/>
        <w:numPr>
          <w:ilvl w:val="0"/>
          <w:numId w:val="2"/>
        </w:numPr>
        <w:spacing w:line="276" w:lineRule="auto"/>
        <w:ind w:left="425" w:hanging="357"/>
        <w:rPr>
          <w:sz w:val="24"/>
          <w:szCs w:val="24"/>
        </w:rPr>
      </w:pPr>
      <w:r w:rsidRPr="00CC4EC5">
        <w:rPr>
          <w:sz w:val="24"/>
          <w:szCs w:val="24"/>
        </w:rPr>
        <w:lastRenderedPageBreak/>
        <w:t>Surdopedie (etiologie, klasifikace sluchových vad, komunikační systémy, sluchová protetika, vzdělávací programy pro sluchově postižené)</w:t>
      </w:r>
    </w:p>
    <w:p w:rsidR="00CC4EC5" w:rsidRPr="00CC4EC5" w:rsidRDefault="00CC4EC5" w:rsidP="00CC4EC5">
      <w:pPr>
        <w:pStyle w:val="Odstavecseseznamem"/>
        <w:numPr>
          <w:ilvl w:val="0"/>
          <w:numId w:val="2"/>
        </w:numPr>
        <w:spacing w:line="276" w:lineRule="auto"/>
        <w:ind w:left="425" w:hanging="357"/>
        <w:rPr>
          <w:sz w:val="24"/>
          <w:szCs w:val="24"/>
        </w:rPr>
      </w:pPr>
      <w:r w:rsidRPr="00CC4EC5">
        <w:rPr>
          <w:sz w:val="24"/>
          <w:szCs w:val="24"/>
        </w:rPr>
        <w:t xml:space="preserve">Komunikace sluchově postižených (mluvená hlásková řeč, odezírání, pomocné artikulační znaky, </w:t>
      </w:r>
      <w:proofErr w:type="spellStart"/>
      <w:r w:rsidRPr="00CC4EC5">
        <w:rPr>
          <w:sz w:val="24"/>
          <w:szCs w:val="24"/>
        </w:rPr>
        <w:t>daktylní</w:t>
      </w:r>
      <w:proofErr w:type="spellEnd"/>
      <w:r w:rsidRPr="00CC4EC5">
        <w:rPr>
          <w:sz w:val="24"/>
          <w:szCs w:val="24"/>
        </w:rPr>
        <w:t xml:space="preserve"> řeč, znakový jazyk – vlastní znakový jazyk neslyšících, znakovaný jazyk)</w:t>
      </w:r>
    </w:p>
    <w:p w:rsidR="00CC4EC5" w:rsidRPr="00CC4EC5" w:rsidRDefault="00CC4EC5" w:rsidP="00CC4EC5">
      <w:pPr>
        <w:pStyle w:val="Odstavecseseznamem"/>
        <w:numPr>
          <w:ilvl w:val="0"/>
          <w:numId w:val="2"/>
        </w:numPr>
        <w:spacing w:line="276" w:lineRule="auto"/>
        <w:ind w:left="425" w:hanging="357"/>
        <w:rPr>
          <w:sz w:val="24"/>
          <w:szCs w:val="24"/>
        </w:rPr>
      </w:pPr>
      <w:r w:rsidRPr="00CC4EC5">
        <w:rPr>
          <w:sz w:val="24"/>
          <w:szCs w:val="24"/>
        </w:rPr>
        <w:t>Specifické poruchy učení (pojetí, etiologie, klasifikace SPU, diagnostika SPU, charakteristika dyslexie, dysgrafie, dysortografie, dyskalkulie, legislativa)</w:t>
      </w:r>
    </w:p>
    <w:p w:rsidR="00CC4EC5" w:rsidRPr="00CC4EC5" w:rsidRDefault="00CC4EC5" w:rsidP="00CC4EC5">
      <w:pPr>
        <w:pStyle w:val="Odstavecseseznamem"/>
        <w:numPr>
          <w:ilvl w:val="0"/>
          <w:numId w:val="2"/>
        </w:numPr>
        <w:spacing w:line="276" w:lineRule="auto"/>
        <w:ind w:left="425" w:hanging="357"/>
        <w:rPr>
          <w:sz w:val="24"/>
          <w:szCs w:val="24"/>
        </w:rPr>
      </w:pPr>
      <w:r w:rsidRPr="00CC4EC5">
        <w:rPr>
          <w:sz w:val="24"/>
          <w:szCs w:val="24"/>
        </w:rPr>
        <w:t>Postavení dítěte s SPU v rodině a ve škole (organizace péče a vzdělávání žáků s SPU, hodnocení a klasifikace žáků s SPU, postoje učitelů, spolužáků, rodičů k dítěti s SPU)</w:t>
      </w:r>
    </w:p>
    <w:p w:rsidR="00CC4EC5" w:rsidRPr="00CC4EC5" w:rsidRDefault="00CC4EC5" w:rsidP="00CC4EC5">
      <w:pPr>
        <w:pStyle w:val="Odstavecseseznamem"/>
        <w:numPr>
          <w:ilvl w:val="0"/>
          <w:numId w:val="2"/>
        </w:numPr>
        <w:spacing w:line="276" w:lineRule="auto"/>
        <w:ind w:left="425" w:hanging="357"/>
        <w:rPr>
          <w:sz w:val="24"/>
          <w:szCs w:val="24"/>
        </w:rPr>
      </w:pPr>
      <w:r w:rsidRPr="00CC4EC5">
        <w:rPr>
          <w:sz w:val="24"/>
          <w:szCs w:val="24"/>
        </w:rPr>
        <w:t>Somatopedie (pojetí, klasifikace, charakteristika vybraných druhů tělesného postižení, výuka žáků s tělesným postižením na základní škole, předmět dorozumívací dovednosti, podmínky integrace žáka s tělesným postižením, kompenzační pomůcky, předprofesní a profesní příprava)</w:t>
      </w:r>
    </w:p>
    <w:p w:rsidR="00CC4EC5" w:rsidRPr="00CC4EC5" w:rsidRDefault="00CC4EC5" w:rsidP="00CC4EC5">
      <w:pPr>
        <w:pStyle w:val="Odstavecseseznamem"/>
        <w:numPr>
          <w:ilvl w:val="0"/>
          <w:numId w:val="2"/>
        </w:numPr>
        <w:spacing w:line="276" w:lineRule="auto"/>
        <w:ind w:left="425" w:hanging="357"/>
        <w:rPr>
          <w:sz w:val="24"/>
          <w:szCs w:val="24"/>
        </w:rPr>
      </w:pPr>
      <w:r w:rsidRPr="00CC4EC5">
        <w:rPr>
          <w:sz w:val="24"/>
          <w:szCs w:val="24"/>
        </w:rPr>
        <w:t>Mozková obrna (charakteristika, formy, MO jako těžké postižení, speciálně pedagogická diagnostika dítěte, úkoly SPC, MŠ, školní zralost)</w:t>
      </w:r>
    </w:p>
    <w:p w:rsidR="00CC4EC5" w:rsidRPr="00CC4EC5" w:rsidRDefault="00CC4EC5" w:rsidP="00CC4EC5">
      <w:pPr>
        <w:pStyle w:val="Odstavecseseznamem"/>
        <w:numPr>
          <w:ilvl w:val="0"/>
          <w:numId w:val="2"/>
        </w:numPr>
        <w:spacing w:line="276" w:lineRule="auto"/>
        <w:ind w:left="425" w:hanging="357"/>
        <w:rPr>
          <w:sz w:val="24"/>
          <w:szCs w:val="24"/>
        </w:rPr>
      </w:pPr>
      <w:r w:rsidRPr="00CC4EC5">
        <w:rPr>
          <w:sz w:val="24"/>
          <w:szCs w:val="24"/>
        </w:rPr>
        <w:t>Chronické nemoci a jejich vliv na edukaci a profesní přípravu jedinců (epilepsie, alergie a astmatická onemocnění)</w:t>
      </w:r>
    </w:p>
    <w:p w:rsidR="00CC4EC5" w:rsidRPr="00CC4EC5" w:rsidRDefault="00CC4EC5" w:rsidP="00CC4EC5">
      <w:pPr>
        <w:pStyle w:val="Odstavecseseznamem"/>
        <w:numPr>
          <w:ilvl w:val="0"/>
          <w:numId w:val="2"/>
        </w:numPr>
        <w:spacing w:line="276" w:lineRule="auto"/>
        <w:ind w:left="425" w:hanging="357"/>
        <w:rPr>
          <w:sz w:val="24"/>
          <w:szCs w:val="24"/>
        </w:rPr>
      </w:pPr>
      <w:r w:rsidRPr="00CC4EC5">
        <w:rPr>
          <w:sz w:val="24"/>
          <w:szCs w:val="24"/>
        </w:rPr>
        <w:t>Význam, úkoly a organizace školy při zdravotnických zařízeních (MŠ, ZŠ, herní terapie – charakteristika, význam)</w:t>
      </w:r>
    </w:p>
    <w:p w:rsidR="00CC4EC5" w:rsidRPr="00CC4EC5" w:rsidRDefault="00CC4EC5" w:rsidP="00CC4EC5">
      <w:pPr>
        <w:pStyle w:val="Odstavecseseznamem"/>
        <w:numPr>
          <w:ilvl w:val="0"/>
          <w:numId w:val="2"/>
        </w:numPr>
        <w:spacing w:line="276" w:lineRule="auto"/>
        <w:ind w:left="425" w:hanging="357"/>
        <w:rPr>
          <w:sz w:val="24"/>
          <w:szCs w:val="24"/>
        </w:rPr>
      </w:pPr>
      <w:r w:rsidRPr="00CC4EC5">
        <w:rPr>
          <w:sz w:val="24"/>
          <w:szCs w:val="24"/>
        </w:rPr>
        <w:t xml:space="preserve">Terapie ve speciálně pedagogické péči (léčebná rehabilitace – příklad Vojtova reflexní lokomoce, metodika manželů </w:t>
      </w:r>
      <w:proofErr w:type="spellStart"/>
      <w:r w:rsidRPr="00CC4EC5">
        <w:rPr>
          <w:sz w:val="24"/>
          <w:szCs w:val="24"/>
        </w:rPr>
        <w:t>Bobathových</w:t>
      </w:r>
      <w:proofErr w:type="spellEnd"/>
      <w:r w:rsidRPr="00CC4EC5">
        <w:rPr>
          <w:sz w:val="24"/>
          <w:szCs w:val="24"/>
        </w:rPr>
        <w:t xml:space="preserve">, </w:t>
      </w:r>
      <w:proofErr w:type="spellStart"/>
      <w:r w:rsidRPr="00CC4EC5">
        <w:rPr>
          <w:sz w:val="24"/>
          <w:szCs w:val="24"/>
        </w:rPr>
        <w:t>hipoterapie</w:t>
      </w:r>
      <w:proofErr w:type="spellEnd"/>
      <w:r w:rsidRPr="00CC4EC5">
        <w:rPr>
          <w:sz w:val="24"/>
          <w:szCs w:val="24"/>
        </w:rPr>
        <w:t xml:space="preserve">, </w:t>
      </w:r>
      <w:proofErr w:type="spellStart"/>
      <w:r w:rsidRPr="00CC4EC5">
        <w:rPr>
          <w:sz w:val="24"/>
          <w:szCs w:val="24"/>
        </w:rPr>
        <w:t>kanisterapie</w:t>
      </w:r>
      <w:proofErr w:type="spellEnd"/>
      <w:r w:rsidRPr="00CC4EC5">
        <w:rPr>
          <w:sz w:val="24"/>
          <w:szCs w:val="24"/>
        </w:rPr>
        <w:t xml:space="preserve">, </w:t>
      </w:r>
      <w:proofErr w:type="spellStart"/>
      <w:r w:rsidRPr="00CC4EC5">
        <w:rPr>
          <w:sz w:val="24"/>
          <w:szCs w:val="24"/>
        </w:rPr>
        <w:t>arteterapie</w:t>
      </w:r>
      <w:proofErr w:type="spellEnd"/>
      <w:r w:rsidRPr="00CC4EC5">
        <w:rPr>
          <w:sz w:val="24"/>
          <w:szCs w:val="24"/>
        </w:rPr>
        <w:t xml:space="preserve">, muzikoterapie, </w:t>
      </w:r>
      <w:proofErr w:type="spellStart"/>
      <w:r w:rsidRPr="00CC4EC5">
        <w:rPr>
          <w:sz w:val="24"/>
          <w:szCs w:val="24"/>
        </w:rPr>
        <w:t>dramatoterapie</w:t>
      </w:r>
      <w:proofErr w:type="spellEnd"/>
      <w:r w:rsidRPr="00CC4EC5">
        <w:rPr>
          <w:sz w:val="24"/>
          <w:szCs w:val="24"/>
        </w:rPr>
        <w:t xml:space="preserve"> ad.)</w:t>
      </w:r>
    </w:p>
    <w:p w:rsidR="00CC4EC5" w:rsidRPr="00CC4EC5" w:rsidRDefault="00CC4EC5" w:rsidP="00CC4EC5">
      <w:pPr>
        <w:pStyle w:val="Odstavecseseznamem"/>
        <w:numPr>
          <w:ilvl w:val="0"/>
          <w:numId w:val="2"/>
        </w:numPr>
        <w:spacing w:line="276" w:lineRule="auto"/>
        <w:ind w:left="425" w:hanging="357"/>
        <w:rPr>
          <w:sz w:val="24"/>
          <w:szCs w:val="24"/>
        </w:rPr>
      </w:pPr>
      <w:r w:rsidRPr="00CC4EC5">
        <w:rPr>
          <w:sz w:val="24"/>
          <w:szCs w:val="24"/>
        </w:rPr>
        <w:t>Oftalmopedie (pojetí, etiologie, klasifikace zrakových vad, edukace dětí/žáků s těžším zrakovým postižením, poradenství dle věkových skupin)</w:t>
      </w:r>
    </w:p>
    <w:p w:rsidR="00CC4EC5" w:rsidRPr="00CC4EC5" w:rsidRDefault="00CC4EC5" w:rsidP="00CC4EC5">
      <w:pPr>
        <w:pStyle w:val="Odstavecseseznamem"/>
        <w:numPr>
          <w:ilvl w:val="0"/>
          <w:numId w:val="2"/>
        </w:numPr>
        <w:spacing w:line="276" w:lineRule="auto"/>
        <w:ind w:left="425" w:hanging="357"/>
        <w:rPr>
          <w:sz w:val="24"/>
          <w:szCs w:val="24"/>
        </w:rPr>
      </w:pPr>
      <w:r w:rsidRPr="00CC4EC5">
        <w:rPr>
          <w:sz w:val="24"/>
          <w:szCs w:val="24"/>
        </w:rPr>
        <w:t>Reedukace a kompenzace zraku (slabozrakost - zraková stimulace, etapy zrakové stimulace, slepota (amauróza) - kompenzace zraku, šilhání (strabismus) a tupozrakost (amblyopie) - reedukace zraku u dětí s narušeným binokulárním viděním)</w:t>
      </w:r>
    </w:p>
    <w:p w:rsidR="00CC4EC5" w:rsidRPr="00CC4EC5" w:rsidRDefault="00CC4EC5" w:rsidP="00CC4EC5">
      <w:pPr>
        <w:pStyle w:val="Odstavecseseznamem"/>
        <w:numPr>
          <w:ilvl w:val="0"/>
          <w:numId w:val="2"/>
        </w:numPr>
        <w:spacing w:line="276" w:lineRule="auto"/>
        <w:ind w:left="425" w:hanging="357"/>
        <w:rPr>
          <w:sz w:val="24"/>
          <w:szCs w:val="24"/>
        </w:rPr>
      </w:pPr>
      <w:r w:rsidRPr="00CC4EC5">
        <w:rPr>
          <w:sz w:val="24"/>
          <w:szCs w:val="24"/>
        </w:rPr>
        <w:t>Psychopedie (pojetí, etiologie, klasifikace, charakteristika jednotlivých stupňů, edukace dětí/žáků s mentálním postižením, předprofesní a profesní příprava)</w:t>
      </w:r>
    </w:p>
    <w:p w:rsidR="00CC4EC5" w:rsidRPr="00CC4EC5" w:rsidRDefault="00CC4EC5" w:rsidP="00CC4EC5">
      <w:pPr>
        <w:pStyle w:val="Odstavecseseznamem"/>
        <w:numPr>
          <w:ilvl w:val="0"/>
          <w:numId w:val="2"/>
        </w:numPr>
        <w:spacing w:line="276" w:lineRule="auto"/>
        <w:ind w:left="425" w:hanging="357"/>
        <w:rPr>
          <w:sz w:val="24"/>
          <w:szCs w:val="24"/>
        </w:rPr>
      </w:pPr>
      <w:r w:rsidRPr="00CC4EC5">
        <w:rPr>
          <w:sz w:val="24"/>
          <w:szCs w:val="24"/>
        </w:rPr>
        <w:t>Systém škol pro MR (charakteristika jednotlivých škol)</w:t>
      </w:r>
    </w:p>
    <w:p w:rsidR="00CC4EC5" w:rsidRPr="00CC4EC5" w:rsidRDefault="00CC4EC5" w:rsidP="00CC4EC5">
      <w:pPr>
        <w:pStyle w:val="Odstavecseseznamem"/>
        <w:numPr>
          <w:ilvl w:val="0"/>
          <w:numId w:val="2"/>
        </w:numPr>
        <w:spacing w:line="276" w:lineRule="auto"/>
        <w:ind w:left="425" w:hanging="357"/>
        <w:rPr>
          <w:sz w:val="24"/>
          <w:szCs w:val="24"/>
        </w:rPr>
      </w:pPr>
      <w:r w:rsidRPr="00CC4EC5">
        <w:rPr>
          <w:sz w:val="24"/>
          <w:szCs w:val="24"/>
        </w:rPr>
        <w:t>Vzdělávací program základní školy praktické</w:t>
      </w:r>
    </w:p>
    <w:p w:rsidR="00CC4EC5" w:rsidRPr="00CC4EC5" w:rsidRDefault="00CC4EC5" w:rsidP="00CC4EC5">
      <w:pPr>
        <w:pStyle w:val="Odstavecseseznamem"/>
        <w:numPr>
          <w:ilvl w:val="0"/>
          <w:numId w:val="2"/>
        </w:numPr>
        <w:spacing w:line="276" w:lineRule="auto"/>
        <w:ind w:left="425" w:hanging="357"/>
        <w:rPr>
          <w:sz w:val="24"/>
          <w:szCs w:val="24"/>
        </w:rPr>
      </w:pPr>
      <w:r w:rsidRPr="00CC4EC5">
        <w:rPr>
          <w:sz w:val="24"/>
          <w:szCs w:val="24"/>
        </w:rPr>
        <w:t>Vzdělávací program základní školy speciální, přípravného stupně základní školy speciální</w:t>
      </w:r>
    </w:p>
    <w:p w:rsidR="00CC4EC5" w:rsidRPr="00CC4EC5" w:rsidRDefault="00CC4EC5" w:rsidP="00CC4EC5">
      <w:pPr>
        <w:pStyle w:val="Odstavecseseznamem"/>
        <w:numPr>
          <w:ilvl w:val="0"/>
          <w:numId w:val="2"/>
        </w:numPr>
        <w:spacing w:line="276" w:lineRule="auto"/>
        <w:ind w:left="425" w:hanging="357"/>
        <w:rPr>
          <w:sz w:val="24"/>
          <w:szCs w:val="24"/>
        </w:rPr>
      </w:pPr>
      <w:r w:rsidRPr="00CC4EC5">
        <w:rPr>
          <w:sz w:val="24"/>
          <w:szCs w:val="24"/>
        </w:rPr>
        <w:t>Autismus (pojetí, etiologie, znaky autistického chování, diagnostická kriteria, cíle výchovy a vzdělávání dětí/žáků s autismem, TEACCH program, poradenství, možnosti vzdělávání)</w:t>
      </w:r>
    </w:p>
    <w:p w:rsidR="00CC4EC5" w:rsidRPr="00CC4EC5" w:rsidRDefault="00CC4EC5" w:rsidP="00CC4EC5">
      <w:pPr>
        <w:pStyle w:val="Odstavecseseznamem"/>
        <w:numPr>
          <w:ilvl w:val="0"/>
          <w:numId w:val="2"/>
        </w:numPr>
        <w:spacing w:line="276" w:lineRule="auto"/>
        <w:ind w:left="425" w:hanging="357"/>
        <w:rPr>
          <w:sz w:val="24"/>
          <w:szCs w:val="24"/>
        </w:rPr>
      </w:pPr>
      <w:r w:rsidRPr="00CC4EC5">
        <w:rPr>
          <w:sz w:val="24"/>
          <w:szCs w:val="24"/>
        </w:rPr>
        <w:t>Souběžné postižení více vadami (pojetí, okruh osob a základní charakteristika těžkého zdravotního postižení, definice, klasifikace, charakteristika vybraných vad, možnosti edukace)</w:t>
      </w:r>
    </w:p>
    <w:p w:rsidR="00CC4EC5" w:rsidRPr="00CC4EC5" w:rsidRDefault="00CC4EC5" w:rsidP="00CC4EC5">
      <w:pPr>
        <w:pStyle w:val="Odstavecseseznamem"/>
        <w:numPr>
          <w:ilvl w:val="0"/>
          <w:numId w:val="2"/>
        </w:numPr>
        <w:spacing w:line="276" w:lineRule="auto"/>
        <w:ind w:left="425" w:hanging="357"/>
        <w:rPr>
          <w:sz w:val="24"/>
          <w:szCs w:val="24"/>
        </w:rPr>
      </w:pPr>
      <w:r w:rsidRPr="00CC4EC5">
        <w:rPr>
          <w:sz w:val="24"/>
          <w:szCs w:val="24"/>
        </w:rPr>
        <w:t>Rehabilitační vzdělávací program základní školy speciální</w:t>
      </w:r>
    </w:p>
    <w:p w:rsidR="00CC4EC5" w:rsidRPr="00CC4EC5" w:rsidRDefault="00CC4EC5" w:rsidP="00CC4EC5">
      <w:pPr>
        <w:pStyle w:val="Odstavecseseznamem"/>
        <w:numPr>
          <w:ilvl w:val="0"/>
          <w:numId w:val="2"/>
        </w:numPr>
        <w:spacing w:line="276" w:lineRule="auto"/>
        <w:ind w:left="425" w:hanging="357"/>
        <w:rPr>
          <w:sz w:val="24"/>
          <w:szCs w:val="24"/>
        </w:rPr>
      </w:pPr>
      <w:r w:rsidRPr="00CC4EC5">
        <w:rPr>
          <w:sz w:val="24"/>
          <w:szCs w:val="24"/>
        </w:rPr>
        <w:lastRenderedPageBreak/>
        <w:t>Koncept bazální stimulace</w:t>
      </w:r>
    </w:p>
    <w:p w:rsidR="00CC4EC5" w:rsidRPr="00CC4EC5" w:rsidRDefault="00CC4EC5" w:rsidP="00CC4EC5">
      <w:pPr>
        <w:pStyle w:val="Odstavecseseznamem"/>
        <w:numPr>
          <w:ilvl w:val="0"/>
          <w:numId w:val="2"/>
        </w:numPr>
        <w:spacing w:line="276" w:lineRule="auto"/>
        <w:ind w:left="425" w:hanging="357"/>
        <w:rPr>
          <w:sz w:val="24"/>
          <w:szCs w:val="24"/>
        </w:rPr>
      </w:pPr>
      <w:r w:rsidRPr="00CC4EC5">
        <w:rPr>
          <w:sz w:val="24"/>
          <w:szCs w:val="24"/>
        </w:rPr>
        <w:t>Etopedie (charakteristika poruch chování, klasifikace poruch chování, ústavní a ochranná výchova, přehled a charakteristika školských zařízení, legislativa)</w:t>
      </w:r>
    </w:p>
    <w:p w:rsidR="00CC4EC5" w:rsidRPr="00CC4EC5" w:rsidRDefault="00CC4EC5" w:rsidP="00CC4EC5">
      <w:pPr>
        <w:pStyle w:val="Odstavecseseznamem"/>
        <w:numPr>
          <w:ilvl w:val="0"/>
          <w:numId w:val="2"/>
        </w:numPr>
        <w:spacing w:line="276" w:lineRule="auto"/>
        <w:ind w:left="425" w:hanging="357"/>
        <w:rPr>
          <w:sz w:val="24"/>
          <w:szCs w:val="24"/>
        </w:rPr>
      </w:pPr>
      <w:r w:rsidRPr="00CC4EC5">
        <w:rPr>
          <w:sz w:val="24"/>
          <w:szCs w:val="24"/>
        </w:rPr>
        <w:t>Střediska výchovné péče</w:t>
      </w:r>
    </w:p>
    <w:p w:rsidR="006E712F" w:rsidRPr="00CC4EC5" w:rsidRDefault="00CC4EC5" w:rsidP="00CC4EC5">
      <w:pPr>
        <w:pStyle w:val="Odstavecseseznamem"/>
        <w:numPr>
          <w:ilvl w:val="0"/>
          <w:numId w:val="2"/>
        </w:numPr>
        <w:spacing w:line="276" w:lineRule="auto"/>
        <w:ind w:left="425" w:hanging="357"/>
        <w:rPr>
          <w:sz w:val="24"/>
          <w:szCs w:val="24"/>
        </w:rPr>
      </w:pPr>
      <w:r w:rsidRPr="00CC4EC5">
        <w:rPr>
          <w:sz w:val="24"/>
          <w:szCs w:val="24"/>
        </w:rPr>
        <w:t xml:space="preserve">Patologické závislosti (pojetí, drogová závislost, závislost na alkoholu, </w:t>
      </w:r>
      <w:proofErr w:type="spellStart"/>
      <w:r w:rsidRPr="00CC4EC5">
        <w:rPr>
          <w:sz w:val="24"/>
          <w:szCs w:val="24"/>
        </w:rPr>
        <w:t>tabakismus</w:t>
      </w:r>
      <w:proofErr w:type="spellEnd"/>
      <w:r w:rsidRPr="00CC4EC5">
        <w:rPr>
          <w:sz w:val="24"/>
          <w:szCs w:val="24"/>
        </w:rPr>
        <w:t>, závislost na hracích automatech – klasifikace diagnostická kritéria)</w:t>
      </w:r>
    </w:p>
    <w:sectPr w:rsidR="006E712F" w:rsidRPr="00CC4EC5" w:rsidSect="009A3E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C21E4"/>
    <w:multiLevelType w:val="hybridMultilevel"/>
    <w:tmpl w:val="AD74B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23D4DB4"/>
    <w:multiLevelType w:val="hybridMultilevel"/>
    <w:tmpl w:val="8DE86F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revisionView w:inkAnnotations="0"/>
  <w:defaultTabStop w:val="708"/>
  <w:hyphenationZone w:val="425"/>
  <w:characterSpacingControl w:val="doNotCompress"/>
  <w:compat/>
  <w:rsids>
    <w:rsidRoot w:val="00CC4EC5"/>
    <w:rsid w:val="001C3198"/>
    <w:rsid w:val="001F1F66"/>
    <w:rsid w:val="002B3BA8"/>
    <w:rsid w:val="003134DC"/>
    <w:rsid w:val="0034247D"/>
    <w:rsid w:val="0048559A"/>
    <w:rsid w:val="00653E22"/>
    <w:rsid w:val="006E340E"/>
    <w:rsid w:val="00726A8B"/>
    <w:rsid w:val="00753458"/>
    <w:rsid w:val="007A732E"/>
    <w:rsid w:val="00825BDD"/>
    <w:rsid w:val="0084089C"/>
    <w:rsid w:val="00865942"/>
    <w:rsid w:val="009053F1"/>
    <w:rsid w:val="00936FE4"/>
    <w:rsid w:val="009A3E25"/>
    <w:rsid w:val="00A44476"/>
    <w:rsid w:val="00BD2ACB"/>
    <w:rsid w:val="00CC4EC5"/>
    <w:rsid w:val="00CE11D7"/>
    <w:rsid w:val="00D0331B"/>
    <w:rsid w:val="00D56FE7"/>
    <w:rsid w:val="00DD66B7"/>
    <w:rsid w:val="00DF4D03"/>
    <w:rsid w:val="00E578EE"/>
    <w:rsid w:val="00E80722"/>
    <w:rsid w:val="00F150F7"/>
    <w:rsid w:val="00F169EE"/>
    <w:rsid w:val="00F23BEA"/>
    <w:rsid w:val="00FD0F2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78EE"/>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C4E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755</Words>
  <Characters>4455</Characters>
  <Application>Microsoft Office Word</Application>
  <DocSecurity>0</DocSecurity>
  <Lines>37</Lines>
  <Paragraphs>10</Paragraphs>
  <ScaleCrop>false</ScaleCrop>
  <Company>Pedagogicka fakulta MU</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Gajzlerová</dc:creator>
  <cp:lastModifiedBy>Lenka Gajzlerová</cp:lastModifiedBy>
  <cp:revision>1</cp:revision>
  <dcterms:created xsi:type="dcterms:W3CDTF">2014-09-16T13:53:00Z</dcterms:created>
  <dcterms:modified xsi:type="dcterms:W3CDTF">2014-09-16T13:56:00Z</dcterms:modified>
</cp:coreProperties>
</file>