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772E" w14:textId="04E3946A" w:rsidR="00E55D62" w:rsidRDefault="00E55D62" w:rsidP="00C7195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LucidaGrande"/>
          <w:b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b/>
          <w:sz w:val="20"/>
          <w:szCs w:val="20"/>
          <w:lang w:val="en-US" w:eastAsia="ja-JP"/>
        </w:rPr>
        <w:t xml:space="preserve">Grounded theory: </w:t>
      </w:r>
      <w:r w:rsidR="00C7195B">
        <w:rPr>
          <w:rFonts w:ascii="Arial Narrow" w:hAnsi="Arial Narrow" w:cs="LucidaGrande"/>
          <w:b/>
          <w:sz w:val="20"/>
          <w:szCs w:val="20"/>
          <w:lang w:val="en-US" w:eastAsia="ja-JP"/>
        </w:rPr>
        <w:t>A</w:t>
      </w:r>
      <w:r w:rsidRPr="00E55D62">
        <w:rPr>
          <w:rFonts w:ascii="Arial Narrow" w:hAnsi="Arial Narrow" w:cs="LucidaGrande"/>
          <w:b/>
          <w:sz w:val="20"/>
          <w:szCs w:val="20"/>
          <w:lang w:val="en-US" w:eastAsia="ja-JP"/>
        </w:rPr>
        <w:t xml:space="preserve"> thumbnail sketch</w:t>
      </w:r>
    </w:p>
    <w:p w14:paraId="68172A92" w14:textId="6B14B65A" w:rsidR="00C7195B" w:rsidRPr="00E55D62" w:rsidRDefault="00C7195B" w:rsidP="00C7195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Copyright © 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bookmarkStart w:id="0" w:name="_GoBack"/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Dick, Bob</w:t>
      </w:r>
      <w:bookmarkEnd w:id="0"/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(2005) Grounded theory: a thumbnail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sketch. [On line] Available at http://www.aral.com.au/resources/grounded.html</w:t>
      </w:r>
    </w:p>
    <w:p w14:paraId="79C96B34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sz w:val="20"/>
          <w:szCs w:val="20"/>
          <w:lang w:val="en-US" w:eastAsia="ja-JP"/>
        </w:rPr>
      </w:pPr>
    </w:p>
    <w:p w14:paraId="3F2292F1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is intended as a brief overview. I’ve tried to provide just enough detail to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serve as an overall framework. My intention is to support people using grounded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theory, particularly for thesis purposes.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I’ve written it particularly with psychology postgraduates in mind. There is much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about it that suits psychological research. But in those psychology schools where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 narrow empiricism reigns (I think that’s most of them) it may appear countercultural.</w:t>
      </w:r>
    </w:p>
    <w:p w14:paraId="2C6BF481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hope it may also be useful to others.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tackling a grounded theory thesis, if you can find a supervisor or mentor who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has used grounded theory, so much the better. I also strongly recommend that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read some of the key works on grounded theory -- there’s a select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bibliography later. In other words, use this paper to get started. Then read the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key literature. You will then almost certainly need to be familiar with the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methodological literature to justify your choice of grounded theory to readers,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especially examiners.</w:t>
      </w:r>
    </w:p>
    <w:p w14:paraId="448FC13E" w14:textId="77777777" w:rsid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59F55332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 I’m suggesting you work your way through this paper (preferably with your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notes from a couple of interviews in front of you). Then I’d suggest Glaser and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Strauss (1967). That was the start of it all. You might then follow this up with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(1992). This was written in response to Strauss and Corbin (1990). It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clearly delineates the differences between the approaches of Strauss and Glaser.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It also explains clearly that grounded theory, Glaser style, is an emergent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methodology. It provides some arguments to support that approach. Glaser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(1998) is also relevant for beginners in grounded theory and is intended as a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textbook for beginners.</w:t>
      </w:r>
    </w:p>
    <w:p w14:paraId="33857FAE" w14:textId="77777777" w:rsid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37FF9E0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I’m not sure that either Glaser or Strauss would endorse this thumbnail sketch.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However, I’m persuaded that it serves a useful purpose. I had to read a lot of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before I understood (or thought I understood) the process. I think I’ve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provided a description which is brief and clear enough to be easily readable. I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think there is just enough detail to get you started.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description follows Glaser more closely than it does Strauss and Corbin. As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someone who has been using other emergent research methodologies for many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years, I find Glaser’s approach more clearly emergent and more clearly justified as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emergent. It is also more congenial to my style and applications than is Strauss’s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approach.</w:t>
      </w:r>
    </w:p>
    <w:p w14:paraId="7FA1BAAC" w14:textId="77777777" w:rsid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A835071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First, a summary. You’ll find this immediately below. This is followed by a slightly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more detailed description, taking each of the elements in turn. I later suggest a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variation, borrowing processes which I use in action research. Finally, I provide a</w:t>
      </w:r>
      <w:r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bibliography.</w:t>
      </w:r>
    </w:p>
    <w:p w14:paraId="1AB1F7EA" w14:textId="77777777" w:rsid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38807F09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Overview</w:t>
      </w:r>
    </w:p>
    <w:p w14:paraId="34964A7F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Grounded theory begins with a research situation. Within that situation, your task as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researcher is to understand what is happening there, and how the players manage their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roles. You will mostly do this through observation, conversation and interview. After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each bout of data collection you note down the key issues: this I have labelled "notetaking".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Constant comparison is the heart of the process. At first you compare interview (or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other data) to interview (or other data). Theory emerges quickly. When it has begun to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emerge you compare data to theory.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results of this comparison are written in the margin of the note-taking as coding.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Your task is to identify categories (roughly equivalent to themes or variables) and their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properties (in effect their sub-categories).</w:t>
      </w:r>
    </w:p>
    <w:p w14:paraId="04B4B5E5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3B2B7CF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If this is all a bit abstract, some examples later will help.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you code, certain theoretical propositions will occur to you. These may be about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links between categories, or about a core category: a category which appears central to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stu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dy.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the categories and properties emerge, they and their links to the core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category provide the theory. You write yourself notes about it -- memoing.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the data collection and coding proceeds the codes and the memos accumulate.</w:t>
      </w:r>
    </w:p>
    <w:p w14:paraId="1A423AB9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add to your sample through theoretical sampling. This is purposive sampling which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increases the diversity of your sample, searching for different properties. If your core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category and its linked categories saturate; you no longer add to them or their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properties. This is a sign that it is time to move to sorting. You group your memos, like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with like, and sequence them in whatever order will make your theory clearest.</w:t>
      </w:r>
    </w:p>
    <w:p w14:paraId="79D3795C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0E3BA6E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literature is accessed as it becomes relevant. It is not given special treatment.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makes the point that most research including qualitative research is hypothesis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testing.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order of your sorted memos provides you with the skeleton, and many of the words,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of your thesis. You begin writing.</w:t>
      </w:r>
    </w:p>
    <w:p w14:paraId="7B73D91C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65D0E7F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To summarise graphically ...</w:t>
      </w:r>
    </w:p>
    <w:p w14:paraId="5B01D369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Over time, a grounded theory study works through the following mostly-overlapping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phases.</w:t>
      </w:r>
    </w:p>
    <w:p w14:paraId="7018429A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6DBFF784" w14:textId="34D75CE7" w:rsidR="00E55D62" w:rsidRPr="00E55D62" w:rsidRDefault="00B31B6F" w:rsidP="0090225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  <w:r>
        <w:rPr>
          <w:rFonts w:ascii="Arial Narrow" w:hAnsi="Arial Narrow" w:cs="LucidaGrande"/>
          <w:noProof/>
          <w:color w:val="000000"/>
          <w:sz w:val="20"/>
          <w:szCs w:val="20"/>
          <w:lang w:val="en-US"/>
        </w:rPr>
        <w:drawing>
          <wp:inline distT="0" distB="0" distL="0" distR="0" wp14:anchorId="074B1877" wp14:editId="66F63923">
            <wp:extent cx="3148560" cy="142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6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809B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15DABAE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short, data collection, note-taking, coding and memoing occur simultaneously from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beginning. Sorting occurs when all categories are saturated -- this is explained in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more detail later, as are the elements of this diagram. Writing occurs after sorting.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For ease of explanation, what follows may seem a bit prescriptive. Feel free to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experiment with it until you find something that works for you. The theory is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emergent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-- discovered in the data, Glaser will say. The methods can be emergent too.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is an important issue, worth more attention.</w:t>
      </w:r>
    </w:p>
    <w:p w14:paraId="018FDEF3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768AE41" w14:textId="77777777" w:rsidR="00E55D62" w:rsidRPr="00B31B6F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31B6F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Hypothesis testing versus emergence</w:t>
      </w:r>
    </w:p>
    <w:p w14:paraId="55F1A566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What most differentiates grounded theory from much other research is that it is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explicitly emergent. It does not test a hypothesis. It sets out to find what theory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accounts for the research situation as it is. In this respect it is like action research: the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aim is to understand the research situation. The aim, as Glaser in particular states it, is</w:t>
      </w:r>
    </w:p>
    <w:p w14:paraId="32632AF2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to discover the theory implicit in the data.</w:t>
      </w:r>
    </w:p>
    <w:p w14:paraId="21734E12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5F86DF4E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distinction between "emergence and forcing", as Glaser frames it, is fundamental to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understanding the methodology. Most of you, whatever your discipline, will have been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exposed more to hypothesis-testing research than to emergent research. The research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processes you have learned and the thesis structures you have internalised are those of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hypothesis testing, not of emergence. Doing grounded theory well is partly a matter of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unlearning some of what you have been taught or have acquired through your reading.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If you judge grounded theory by the criteria you have learned to use for hypothesis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testing research you will likely misjudge it, perhaps badly. In particular, the place of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literature is quite different. So is the way in which both methodology and theory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develop gradually as data and interpretations accumulate.</w:t>
      </w:r>
    </w:p>
    <w:p w14:paraId="54319A36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DF5F285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particular, judgments about the rigour of research are often based on narrow criteria: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criteria which make sense only for the methodology for which they were developed.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Grounded theory has its own sources of rigour. It is responsive to the situation in which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research is done. There is a continuing search for evidence which disconfirms the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emerging theory. It is driven by the data in such a way that the final shape of the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theory is likely to provide a good fit to the situation.</w:t>
      </w:r>
    </w:p>
    <w:p w14:paraId="2F65972F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6765A8C2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fact, Glaser suggests two main criteria for judging the adequacy of the emerging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theory: that it fits the situation; and that it works -- that it helps the people in the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situation to make sense of their experience and to manage the situation better.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Elsewhere, I’ve offered similar arguments in favour of action research. In particular, I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draw your attention to my 1999 paper to the AQR conference, and the recent paper on</w:t>
      </w:r>
      <w:r w:rsidR="00B31B6F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data driven research.</w:t>
      </w:r>
    </w:p>
    <w:p w14:paraId="42080DA4" w14:textId="77777777" w:rsidR="00B31B6F" w:rsidRDefault="00B31B6F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A002D63" w14:textId="77777777" w:rsidR="00E55D62" w:rsidRPr="00B31B6F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31B6F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Data collection</w:t>
      </w:r>
    </w:p>
    <w:p w14:paraId="15002B09" w14:textId="3FDA7E25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will of course keep your eyes open. There is a lot to be learned just by observing,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some of it evident within minutes of entering a situation.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Interviews are frequently the main source of the information you will develop your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theory from. But any data collection methods can be used. Focus groups are not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uncommon in other qualitative research, and are suited to grounded theory. So is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informal conversation, group feedback analysis, or any other individual or group activity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which yields data.</w:t>
      </w:r>
    </w:p>
    <w:p w14:paraId="3C261B9F" w14:textId="77777777" w:rsidR="0087194B" w:rsidRDefault="0087194B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A0341F4" w14:textId="1BDB7ED5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I’ve included some references in the bibliography. For interviewing I like Minichiello,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Aroni, Timewell and Alexander (1990) or Kvale (1996), and of course my own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Convergent interviewing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For focus groups you might try some of the recent work: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Bader and Rossi (1998) I like, and also Barbour and Kitzinger (1999). For both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interviews and focus groups I’ve also listed some others. For group feedback analysis,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try Heller and Brown (1995).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 won’t go into further detail here. I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will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say two further things. First, I assume that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will touch base with the literature on your chosen method. Second, I presume you’ll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continue to fine tune it as you develop more experience in its use. I encourage you to</w:t>
      </w:r>
      <w:r w:rsidR="008719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experiment.</w:t>
      </w:r>
    </w:p>
    <w:p w14:paraId="4E9D6BE6" w14:textId="77777777" w:rsidR="0087194B" w:rsidRDefault="0087194B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AF3FF64" w14:textId="77777777" w:rsidR="00E55D62" w:rsidRPr="0087194B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87194B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Note-taking</w:t>
      </w:r>
    </w:p>
    <w:p w14:paraId="148BBA3C" w14:textId="1E367B26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recommends against recording or taking notes during an interview of other data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collection session. Speaking for myself, I agree with his avoidance of tape recordings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and word-by-word transcripts. I think you’ll get more understanding from the extra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interviews you could do in the time it would take you to listen to and transcribe a tape</w:t>
      </w:r>
    </w:p>
    <w:p w14:paraId="1E0A5973" w14:textId="68C6C582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recording.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However, I think he is vulnerable on that point, and especially for thesis purposes. My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suggestion is that you take key-word notes during the interviews and convert them to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themes afterwards. I also suggest that you tape-record the interviews and check your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notes against the tape recording. This won’t be as time consuming (or alternatively as</w:t>
      </w:r>
    </w:p>
    <w:p w14:paraId="449FA14D" w14:textId="77777777" w:rsidR="00902256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costly) as full transcripts and in my experience it will do the job well.</w:t>
      </w:r>
    </w:p>
    <w:p w14:paraId="69E414A4" w14:textId="77777777" w:rsidR="00902256" w:rsidRDefault="00902256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5FEBE3E6" w14:textId="73F9B960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If it’s not for thesis purposes I think you can make your own choices. I neither take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notes during interviews nor use a tape recorder. I find rapport develops more rapidly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and effectively if I don’t. However, I do have a memory system which allows me to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memorise up to 20 distinct themes (more if it’s necessary) and recall them in order.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coding (which follows) will be much easier if you do it adjacent to the interview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notes. You can leave wide margins (as much as a third of the page, perhaps) for that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purpose.</w:t>
      </w:r>
    </w:p>
    <w:p w14:paraId="4E4989EA" w14:textId="77777777" w:rsidR="00902256" w:rsidRDefault="00902256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75412898" w14:textId="77777777" w:rsidR="00E55D62" w:rsidRPr="00902256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902256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Coding</w:t>
      </w:r>
    </w:p>
    <w:p w14:paraId="2B5C9C43" w14:textId="480A6B39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 -- in reality or in imagination -- you have in front of you a set of interview notes.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They are written in the left hand two-thirds of the page, let’s say. You’ve identified any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important bio-data about the person interviewed at the head of the notes (this may later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help to identify properties).</w:t>
      </w:r>
    </w:p>
    <w:p w14:paraId="52C057A0" w14:textId="77777777" w:rsidR="00902256" w:rsidRDefault="00902256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37EE80DF" w14:textId="73E06718" w:rsidR="00902256" w:rsidRDefault="00902256" w:rsidP="0090225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>
        <w:rPr>
          <w:rFonts w:ascii="Arial Narrow" w:hAnsi="Arial Narrow" w:cs="LucidaGrande"/>
          <w:noProof/>
          <w:color w:val="002200"/>
          <w:sz w:val="20"/>
          <w:szCs w:val="20"/>
          <w:lang w:val="en-US"/>
        </w:rPr>
        <w:drawing>
          <wp:inline distT="0" distB="0" distL="0" distR="0" wp14:anchorId="78F08A4F" wp14:editId="67A15F71">
            <wp:extent cx="948554" cy="174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54" cy="17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CC7E" w14:textId="77777777" w:rsidR="00902256" w:rsidRDefault="00902256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1AE3732F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Have some other pieces of paper, or preferably cards, for memoing. The benefits of</w:t>
      </w:r>
    </w:p>
    <w:p w14:paraId="37D2A34E" w14:textId="24E4D45E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that will become evident soon.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begin to code. You take a sentence at a time and examine it.</w:t>
      </w:r>
    </w:p>
    <w:p w14:paraId="79B3F183" w14:textId="77777777" w:rsidR="00902256" w:rsidRDefault="00902256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AB9F274" w14:textId="77777777" w:rsidR="00E55D62" w:rsidRPr="00902256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902256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Constant comparison</w:t>
      </w:r>
    </w:p>
    <w:p w14:paraId="20858A54" w14:textId="7AC63F04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For the first interview you are merely asking yourself: What is going on here? What is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situation? How is the person managing that situation? Therefore, what categories</w:t>
      </w:r>
      <w:r w:rsidR="00902256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(plural) are suggested by that sentence?</w:t>
      </w:r>
      <w:r w:rsidR="00C765A0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Code the second interview with the first interview in mind. Code subsequent interviews</w:t>
      </w:r>
      <w:r w:rsidR="00DB52B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(or data from other sources) with the emerging theory in mind. That’s constant</w:t>
      </w:r>
      <w:r w:rsidR="00DB52B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comparison: initially comparing data set to data set; later comparing data set to theory.</w:t>
      </w:r>
    </w:p>
    <w:p w14:paraId="0F1D9635" w14:textId="77777777" w:rsidR="00DB52BC" w:rsidRDefault="00DB52B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045E1E5E" w14:textId="2B446A35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For instance, suppose you were to ask the postgraduates in the coursework higher</w:t>
      </w:r>
      <w:r w:rsidR="00DB52B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degrees at Griffith University about the course, as I did recently. The first two</w:t>
      </w:r>
      <w:r w:rsidR="00DB52B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people might mention (as they did) having to organise time or organise work.</w:t>
      </w:r>
      <w:r w:rsidR="00DB52B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You may tentatively code these sentences as "organising" (perhaps among other</w:t>
      </w:r>
      <w:r w:rsidR="00DB52B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codes).</w:t>
      </w:r>
    </w:p>
    <w:p w14:paraId="7AAB3783" w14:textId="77777777" w:rsidR="00DB52BC" w:rsidRDefault="00DB52B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016DB25" w14:textId="189291D9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you do this, be aware of any theoretical ideas that come to mind. If any do, note</w:t>
      </w:r>
      <w:r w:rsidR="00DB52B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them down immediately. For easier sorting later, I use 125 mm x 75 mm systems</w:t>
      </w:r>
      <w:r w:rsidR="00DB52B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cards. They fit in my pocket and are very convenient. I carry a pocketful around with</w:t>
      </w:r>
      <w:r w:rsidR="00DB52B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 most of the time.</w:t>
      </w:r>
    </w:p>
    <w:p w14:paraId="49F1E455" w14:textId="77777777" w:rsidR="00DB52BC" w:rsidRDefault="00DB52B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6B49AFFE" w14:textId="77777777" w:rsidR="00E55D62" w:rsidRPr="00DB52B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DB52B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Categories and properties</w:t>
      </w:r>
    </w:p>
    <w:p w14:paraId="2964623F" w14:textId="09EA25FD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effect, a category is a theme or variable which makes sense of what your informant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has said. It is interpreted in the light of the situation you’re studying, and other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interviews, and the emerging theory.</w:t>
      </w:r>
    </w:p>
    <w:p w14:paraId="76C01859" w14:textId="77777777" w:rsidR="00483547" w:rsidRDefault="00483547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078C0C32" w14:textId="7EA0307C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 the two sentences considered above, I’ve already mentioned "organising" as a</w:t>
      </w:r>
      <w:r w:rsidR="00483547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tentative category. What is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different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between the two sentences is this: one is</w:t>
      </w:r>
      <w:r w:rsidR="00483547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about organising time, one about organising work. Perhaps this will be a</w:t>
      </w:r>
    </w:p>
    <w:p w14:paraId="22BC9D3A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property, a sub-category, of organising.</w:t>
      </w:r>
    </w:p>
    <w:p w14:paraId="62710D6A" w14:textId="77777777" w:rsidR="00483547" w:rsidRDefault="00483547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B03DFE6" w14:textId="77777777" w:rsidR="00E55D62" w:rsidRPr="00483547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483547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Core category</w:t>
      </w:r>
    </w:p>
    <w:p w14:paraId="0DEAA34A" w14:textId="3018171D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After a time one category (occasionally more) will be found to emerge with high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frequency of mention, and to be connected to many of the other categories which are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emerging. This is your core category. It is hazardous to choose a core category too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early in the data collection. However, when it is clear that one category is mentioned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with high frequency and is well connected to other categories, it is safe to adopt this as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core category.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(If more than one core category emerges, Glaser recommends focussing at one time on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one only. You can recode for the second of them later, if you wish.)</w:t>
      </w:r>
    </w:p>
    <w:p w14:paraId="273B8788" w14:textId="77777777" w:rsidR="00483547" w:rsidRDefault="00483547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34EE5935" w14:textId="74D2BB4A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All five of the postgraduates I talked to in my miniature example mentioned the</w:t>
      </w:r>
      <w:r w:rsidR="00483547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use they were making or would make of what they were learning. If became</w:t>
      </w:r>
      <w:r w:rsidR="00483547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evident before long that this one category (titled "application") fitted the two</w:t>
      </w:r>
    </w:p>
    <w:p w14:paraId="36E11A53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criteria of frequency of mention and high connectedness.</w:t>
      </w:r>
    </w:p>
    <w:p w14:paraId="5367F42D" w14:textId="77777777" w:rsidR="00483547" w:rsidRDefault="00483547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398344C" w14:textId="3CF01334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When a core category has been identified, you cease coding any sentences which do not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relate to it. You will find that in most instances your coding rapidly becomes more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efficient as the study progresses. You now code for the core category, other connected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categories, and properties of both.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record any identified connections between categories in memos. You continue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doing this, adding to your sample as necessary (see sampling, below), until you achieve</w:t>
      </w:r>
      <w:r w:rsidR="00483547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saturation.</w:t>
      </w:r>
    </w:p>
    <w:p w14:paraId="611D916C" w14:textId="77777777" w:rsidR="00483547" w:rsidRDefault="00483547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704BFCA" w14:textId="77777777" w:rsidR="00E55D62" w:rsidRPr="00483547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483547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Saturation</w:t>
      </w:r>
    </w:p>
    <w:p w14:paraId="354E20C7" w14:textId="07F6D836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collecting and interpreting data about a particular category, in time you reach a point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of diminishing returns. Eventually your interviews add nothing to what you already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know about a category, its properties, and its relationship to the core category.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When this occurs you cease coding for that category.</w:t>
      </w:r>
    </w:p>
    <w:p w14:paraId="23D131DD" w14:textId="77777777" w:rsidR="00B3214B" w:rsidRDefault="00B3214B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37340479" w14:textId="77777777" w:rsidR="00E55D62" w:rsidRPr="00B3214B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3214B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Sampling</w:t>
      </w:r>
    </w:p>
    <w:p w14:paraId="16F4F4FB" w14:textId="51C9ED48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Your initial sample is likely to be defined by your choice of research situation. If there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are many people associated with the situation, you might begin by putting together as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diverse a sample as you are able. (I don’t recall anywhere that Glaser offers a clear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description of the beginning sample, though I may be mistaken there.)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categories emerge from your data, you then seek to add to your sample in such a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way that you further increase diversity in useful ways. Your purpose is to strengthen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emerging theory by defining the properties of the categories, and how those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mediate the relationship of category to category.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and Strauss refer to this as theoretical sampling. The sample is emergent, as is</w:t>
      </w:r>
      <w:r w:rsidR="00B3214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theory and the method generally.</w:t>
      </w:r>
    </w:p>
    <w:p w14:paraId="4AA0B880" w14:textId="77777777" w:rsidR="00B3214B" w:rsidRDefault="00B3214B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5C20EA97" w14:textId="3346B9BE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small group of postgraduates I talked to were either studying part-time and</w:t>
      </w:r>
      <w:r w:rsidR="00B3214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working, or had worked at some stage. One might expect a category such as</w:t>
      </w:r>
      <w:r w:rsidR="00B3214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"application" to be influenced by work experience. I could therefore have added</w:t>
      </w:r>
    </w:p>
    <w:p w14:paraId="77558114" w14:textId="1AB2A3E2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usefully to the sample by identifying and talking to people from the program who</w:t>
      </w:r>
      <w:r w:rsidR="00B3214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had never worked.</w:t>
      </w:r>
    </w:p>
    <w:p w14:paraId="5245D7F0" w14:textId="77777777" w:rsidR="00B3214B" w:rsidRDefault="00B3214B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5F8F8BB4" w14:textId="77777777" w:rsidR="00E55D62" w:rsidRPr="00B3214B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3214B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Memoing</w:t>
      </w:r>
    </w:p>
    <w:p w14:paraId="18BBB590" w14:textId="1B95150A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have mentioned already that memoing continues in parallel with data collection, notetaking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and coding. In effect, a memo is a note to yourself about some hypothesis you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have about a category or property, and particularly about relationships between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categories.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makes the point, and I agree, that memoing is given high priority. As an idea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occurs to you, pause in what you are doing and write a memo to yourself. I carry a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pocket full of 125 mm x 75 mm system cards in my pocket most of the time, for jotting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down memos.</w:t>
      </w:r>
    </w:p>
    <w:p w14:paraId="4154EEB5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4687872" w14:textId="7A77659F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time your core category and the categories related to it will have saturated. By the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time this happens you will have accumulated a large number of memos. Between them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they will capture the different aspects of the theory which has emerged from your data.</w:t>
      </w:r>
    </w:p>
    <w:p w14:paraId="51828A95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127D24AF" w14:textId="76CCF58E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 the example, early memos might record hypotheses that "organisation" and</w:t>
      </w:r>
      <w:r w:rsidR="00556A4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"application" were categories. Another memo might question if "present</w:t>
      </w:r>
      <w:r w:rsidR="00556A4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application to work" and "future application to work" might be properties of</w:t>
      </w:r>
      <w:r w:rsidR="00556A4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application. A further memo might hypothesise that application is a core</w:t>
      </w:r>
      <w:r w:rsidR="00556A4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category. Another memo might query if organisation is important at least in part</w:t>
      </w:r>
      <w:r w:rsidR="00556A4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because it may lead to better application.</w:t>
      </w:r>
    </w:p>
    <w:p w14:paraId="2FF534DC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6F89E1C4" w14:textId="4B7AE22A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short, in using grounded theory methodology you assume that the theory is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concealed in your data for you to discover. Coding makes visible some of its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components. Memoing adds the relationships which link the categories to each other.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next task is to decide how you will structure the report to communicate your theory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to others. That is the purpose of sorting.</w:t>
      </w:r>
    </w:p>
    <w:p w14:paraId="44433EA6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F0B29C5" w14:textId="77777777" w:rsidR="00E55D62" w:rsidRPr="00556A4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556A4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Sorting</w:t>
      </w:r>
    </w:p>
    <w:p w14:paraId="6B6BF1AF" w14:textId="363626B2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My reason for using cards for memoing is twofold. They are easier to carry, so I can jot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down ideas whenever they occur to me. They are easier to sort.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For the actual sorting I work on a large table or on the floor. First I group them on the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basis of the similar categories or properties they address. I then arrange the groups to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reflect on the sorting surface their relationship. The intention is that their layout in two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dimensional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space will capture the structure of the eventual report or thesis.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then gather the cards in the sequence which will allow the structure to be described.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provides the basis for the writing up, which follows.</w:t>
      </w:r>
    </w:p>
    <w:p w14:paraId="56775075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1EEA3BF2" w14:textId="77777777" w:rsidR="00E55D62" w:rsidRPr="00556A4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556A4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Writing up</w:t>
      </w:r>
    </w:p>
    <w:p w14:paraId="66EB48EA" w14:textId="4EC79081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Having done all this -- coding, memoing, sorting -- the writing is less a chore than it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might otherwise be. The sort structure is the report structure. It is often just a matter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of preparing a first draft by typing up the cards in sequence and integrating them into a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coherent argument.</w:t>
      </w:r>
    </w:p>
    <w:p w14:paraId="58FF7137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57F7A9AB" w14:textId="77777777" w:rsidR="00E55D62" w:rsidRPr="00556A4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556A4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The place of literature</w:t>
      </w:r>
    </w:p>
    <w:p w14:paraId="35529D6B" w14:textId="46BA384C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There are two important points to be made about the literature. The first is that, in an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emergent study, you probably won’t know at the beginning which literature will later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turn out to be relevant. This has implications both for the place of reading in your own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research process and for your report. The second is that the literature is not given a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position of privilege when compared to the data. It is treated as data, with the same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status as other data.</w:t>
      </w:r>
    </w:p>
    <w:p w14:paraId="710E9811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3AC3A034" w14:textId="77777777" w:rsidR="00E55D62" w:rsidRPr="00556A4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556A4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Literature as emergent</w:t>
      </w:r>
    </w:p>
    <w:p w14:paraId="03594CF1" w14:textId="7758CC24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Most people embarking on a research project will first examine the relevant literature.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Thesis candidates often do not begin data collection until well into their candidature. In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 emergent study you can begin collecting data as soon as you have a research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situation. You can then access literature as it becomes relevant.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 (especially 1978) makes much of the prior background reading which provides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models to help make sense of the data. He recommends reading widely while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avoiding the literature most closely related to what you are researching. His fear, which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I share, is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that your reading may otherwise constrain your coding and memoing.</w:t>
      </w:r>
    </w:p>
    <w:p w14:paraId="249C663C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9F7F7C2" w14:textId="66B0B91C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At the same time, I think this approach may leave you vulnerable to criticism from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examiners or referees or colleagues. The defence is to take special pains to be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responsive to the data, to seek disconfirming evidence assiduously, and to defend by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careful argument your decision to do so.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Reading later is less an issue for Glaser. My own view is that it makes sense to access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relevant literature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as it becomes relevant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Most examiners and colleagues will expect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to locate your study within the relevant fields of literature. You can also reach a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wider sample, in effect, by refining your findings in the light of the literature in slightly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different but related fields.</w:t>
      </w:r>
    </w:p>
    <w:p w14:paraId="429DF58F" w14:textId="77777777" w:rsidR="00556A4C" w:rsidRDefault="00556A4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2F79103D" w14:textId="417CFCAC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short, a progressive accessing and reading of relevant literature can become a part of</w:t>
      </w:r>
      <w:r w:rsidR="00556A4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your data collection procedures.</w:t>
      </w:r>
    </w:p>
    <w:p w14:paraId="29864322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AFADA6C" w14:textId="77777777" w:rsidR="00E55D62" w:rsidRPr="00B71E3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71E3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Literature as data</w:t>
      </w:r>
    </w:p>
    <w:p w14:paraId="54DCCAA8" w14:textId="3267055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Constant comparison remains your core process. Your aim as you read is to compare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literature to the emerging theory in the same way that you compare data to the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emerging theory. For instance you might follow the same procedure of data-collection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(in this instance reading) overlapping with note-taking, coding and memoing.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Whether or not you do precisely this, the key issue is how you treat apparent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disagreement between your emerging theory and the literature. You don’t assume that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your theory must be wrong. After all, you have been concerned throughout with its fit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to the data and its ability to make sense of actual experience. You seek to extend the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theory so that it makes sense of both the data from your study and the data from the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literature.</w:t>
      </w:r>
    </w:p>
    <w:p w14:paraId="35449D11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16769041" w14:textId="48151730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issue -- of treating disagreement appropriately -- has been a focus of some of my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own work on rigour in action research. It is in fact possible to substitute some action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research procedures for some of all of data-collection, note-taking, coding, memoing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and sorting.</w:t>
      </w:r>
    </w:p>
    <w:p w14:paraId="6C2768D2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651921DC" w14:textId="77777777" w:rsidR="00E55D62" w:rsidRPr="00B71E3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71E3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A variation based on action research</w:t>
      </w:r>
    </w:p>
    <w:p w14:paraId="0AB5A35B" w14:textId="34FF9BDE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research my own practice as educator, facilitator and consultant. The methods I use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were developed until recently entirely independently of grounded theory. I wasn’t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familiar with its literature. When I did eventually start to read that literature I was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pleased at the obvious parallels between the two approaches.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Let me illustrate this by describing how I approach ... let’s say, 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organizational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diagnosis, using interviewing. I’ll do this in such a way that the parallels are evident. I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think you will find that the parallels are such that you can substitute parts of one forparts of the other.</w:t>
      </w:r>
    </w:p>
    <w:p w14:paraId="4D0B5E0D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A621E56" w14:textId="77777777" w:rsidR="00E55D62" w:rsidRPr="00B71E3C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71E3C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Convergent interviewing</w:t>
      </w:r>
    </w:p>
    <w:p w14:paraId="30E58D67" w14:textId="3F3FF56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 diagnostic interviewing (see my 1990 monograph) I begin in a very open-ended way.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For instance I may often say "Tell me about this organisation" or whatever it is. I then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keep the person talking for somewhere about 45 minutes without asking specific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questions. This increases the likelihood that the data come from the informant's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experience, not from the questions I ask. I memorise the themes they mention (some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of my colleagues instead take key-word notes, which serve the same purpose).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prefer to work with a colleague who at the same time interviews a different informant.</w:t>
      </w:r>
    </w:p>
    <w:p w14:paraId="336BDEFC" w14:textId="5348CEC8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After each pair of interviews we compare notes. We identify those themes which both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informants mention.</w:t>
      </w:r>
    </w:p>
    <w:p w14:paraId="2B31A31A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2064ACAE" w14:textId="172AD3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Sometimes those themes are mentioned in the same way by both informants.</w:t>
      </w:r>
      <w:r w:rsidR="00B71E3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Sometimes they mention the same theme, but with disagreement.</w:t>
      </w:r>
    </w:p>
    <w:p w14:paraId="60FF2F7B" w14:textId="77777777" w:rsidR="00B71E3C" w:rsidRDefault="00B71E3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525C2141" w14:textId="0E006CF4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 was evaluating an action learning program with Karyn Healy, a colleague. Many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informants mentioned that they weren’t provided resources which allowed them to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pay someone to do their work, to free them up for their action learning.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An example of agreement might be two informants saying words to the effect that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their action learning was done in their own time, which they both resented. A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disagreement would be when both mentioned doing it in their own time, but one</w:t>
      </w:r>
      <w:r w:rsidR="00B71E3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of them mentioned this with satisfaction, not dissatisfaction.</w:t>
      </w:r>
    </w:p>
    <w:p w14:paraId="40BF2403" w14:textId="77777777" w:rsidR="00602EFC" w:rsidRDefault="00602EF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1CDFBBC0" w14:textId="34C9C09B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When we identify an agreement we devise probe questions to seek exceptions to the</w:t>
      </w:r>
      <w:r w:rsidR="00602EF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agreement.</w:t>
      </w:r>
    </w:p>
    <w:p w14:paraId="3AEEB893" w14:textId="77777777" w:rsidR="00602EFC" w:rsidRDefault="00602EF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5112BC79" w14:textId="753813E0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For example, we might ask if there were people who didn’t resent the intrusions</w:t>
      </w:r>
      <w:r w:rsidR="00602EF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on their own time. We might ask if there were advantages to being able to devote</w:t>
      </w:r>
      <w:r w:rsidR="00602EF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their own time to the action learning projects.</w:t>
      </w:r>
    </w:p>
    <w:p w14:paraId="035F6074" w14:textId="77777777" w:rsidR="00602EFC" w:rsidRDefault="00602EF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4FAEC018" w14:textId="1DAD2C28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When we identify a disagreement we devise probe questions which seek explanations for</w:t>
      </w:r>
      <w:r w:rsidR="00602EF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difference.</w:t>
      </w:r>
    </w:p>
    <w:p w14:paraId="1783BF18" w14:textId="77777777" w:rsidR="00602EFC" w:rsidRDefault="00602EF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</w:p>
    <w:p w14:paraId="6C0032CD" w14:textId="2657FC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For instance we might say something like this ... "Many people have mentioned</w:t>
      </w:r>
      <w:r w:rsidR="00602EF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taking part in the action learning in their own time. To what extent was this your</w:t>
      </w:r>
      <w:r w:rsidR="00602EF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experience? How did you feel about that? Some have mentioned this with</w:t>
      </w:r>
    </w:p>
    <w:p w14:paraId="36727848" w14:textId="1295C9A9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substantial resentment. Others seem not to mind. Can you help us understand</w:t>
      </w:r>
      <w:r w:rsidR="00602EF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how this difference might arise?"</w:t>
      </w:r>
    </w:p>
    <w:p w14:paraId="1766140A" w14:textId="77777777" w:rsidR="00602EFC" w:rsidRDefault="00602EFC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1482816B" w14:textId="07CA2171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 with grounded theory the explanations emerge gradually from the data as the study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proceeds. All interviews begin open-ended. In the later interviews there are more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probe questions. And more of those probes are specific. The theory emerges from the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data, from the informants. In the early stages it consists primarily of themes. Thesebecome more elaborated as the study develops.</w:t>
      </w:r>
    </w:p>
    <w:p w14:paraId="7071ACA4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1851ED6" w14:textId="2536795A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is depicted diagrammatically below.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suggest that, in deciding your own methods, you choose those which will be easiest for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you to defend to examiners, readers or colleagues. What you do is probably less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important than how well you justify it.</w:t>
      </w:r>
    </w:p>
    <w:p w14:paraId="0CF638FA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</w:p>
    <w:p w14:paraId="5CF498FF" w14:textId="2B8138DF" w:rsidR="00BC6F45" w:rsidRDefault="00BC6F45" w:rsidP="00BC6F4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LucidaGrande"/>
          <w:color w:val="000000"/>
          <w:sz w:val="20"/>
          <w:szCs w:val="20"/>
          <w:lang w:val="en-US" w:eastAsia="ja-JP"/>
        </w:rPr>
      </w:pPr>
      <w:r>
        <w:rPr>
          <w:rFonts w:ascii="Arial Narrow" w:hAnsi="Arial Narrow" w:cs="LucidaGrande"/>
          <w:noProof/>
          <w:color w:val="000000"/>
          <w:sz w:val="20"/>
          <w:szCs w:val="20"/>
          <w:lang w:val="en-US"/>
        </w:rPr>
        <w:drawing>
          <wp:inline distT="0" distB="0" distL="0" distR="0" wp14:anchorId="4C3E2B8D" wp14:editId="7C19AF67">
            <wp:extent cx="1653670" cy="1977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ECD2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7E432F17" w14:textId="77777777" w:rsidR="00E55D62" w:rsidRPr="00BC6F45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C6F45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Qualitative psychology</w:t>
      </w:r>
    </w:p>
    <w:p w14:paraId="4E24B45F" w14:textId="6583BD21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This is for those attempting to use grounded theory in psychology. Many of you will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barely have heard of qualitative methodology, let alone learned how to use them.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However, there is a growing, if small, band of people exploring the application of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qualitative methods in psychology. I’ve included some of them in the bibliography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below. It may help you with your supervisors, committee or examiners if you can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demonstrate that there is an alternative tradition to which your studies are a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contribution.</w:t>
      </w:r>
    </w:p>
    <w:p w14:paraId="09FB8EE8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3A4390D9" w14:textId="77777777" w:rsidR="00E55D62" w:rsidRPr="00BC6F45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C6F45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Contribution to knowledge</w:t>
      </w:r>
    </w:p>
    <w:p w14:paraId="0031B147" w14:textId="6E078303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I have no doubt, by the way, that you will have a contribution to knowledge at the end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of it all. The theory will arise more quickly than you imagine. You’ll enjoy doing it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(Glaser calls it the "drugless trip"). There is a good chance it will be an addition to the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literature because most psychological research builds on what has gone before. You, on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other hand, are going to be responsive to the research situation as it is. You are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going to find out what is really happening there.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By some chance you may discover a theory only to find someone else has come up with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the same theory using more traditional methods. You still have a contribution to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knowledge, and a valuable one. You have cross-validated, using a very different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methodology, the theory previously offered.</w:t>
      </w:r>
    </w:p>
    <w:p w14:paraId="3139FE4E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</w:p>
    <w:p w14:paraId="0D6A97E9" w14:textId="77777777" w:rsidR="00E55D62" w:rsidRPr="00E55D62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Have fun.</w:t>
      </w:r>
    </w:p>
    <w:p w14:paraId="18DDC5B0" w14:textId="77777777" w:rsidR="00BC6F45" w:rsidRDefault="00BC6F45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</w:p>
    <w:p w14:paraId="6EEF4675" w14:textId="77777777" w:rsidR="00E55D62" w:rsidRPr="00BC6F45" w:rsidRDefault="00E55D62" w:rsidP="00E55D62">
      <w:pPr>
        <w:widowControl w:val="0"/>
        <w:autoSpaceDE w:val="0"/>
        <w:autoSpaceDN w:val="0"/>
        <w:adjustRightInd w:val="0"/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</w:pPr>
      <w:r w:rsidRPr="00BC6F45">
        <w:rPr>
          <w:rFonts w:ascii="Arial Narrow" w:hAnsi="Arial Narrow" w:cs="LucidaGrande"/>
          <w:b/>
          <w:color w:val="002200"/>
          <w:sz w:val="20"/>
          <w:szCs w:val="20"/>
          <w:lang w:val="en-US" w:eastAsia="ja-JP"/>
        </w:rPr>
        <w:t>Bibliography</w:t>
      </w:r>
    </w:p>
    <w:p w14:paraId="732FE6A5" w14:textId="2DEFC355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Altrichter, Herbert; and Posch, Peter (1989) Does the grounded theory approach offer a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guiding paradigm for teaching research? Cambridge Journal of Education, 19(1), 21-31.</w:t>
      </w:r>
    </w:p>
    <w:p w14:paraId="4D1AC525" w14:textId="7529C78A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Ashworth, P. D., Giorgi, A. &amp; De Koning, A. J. J. , eds. (1986)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research in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Proceedings of the International Association for Qualitative Research in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Social Science. Pittsburgh, PA: Duquesne University Press.</w:t>
      </w:r>
    </w:p>
    <w:p w14:paraId="1A5FECFD" w14:textId="1266DB08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Babchuk, Wayne (1997) Glaser or Strauss?: grounded theory and adult education.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Midwest Research-to-Practice Conference in Adult, Continuing and Community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Education. Available on line: http://www.canr.msu.edu/aee/research/gradpr96.htm)</w:t>
      </w:r>
    </w:p>
    <w:p w14:paraId="1CF3DEA3" w14:textId="46E26098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Bader, Gloria E., and Rossi, Catherine A. (1998)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Focus groups: a step by step guide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San Diego, Ca.: The Bader Group.</w:t>
      </w:r>
    </w:p>
    <w:p w14:paraId="6F7B29E5" w14:textId="226C6940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Banister, Peter, Burman, Erica, Parker, Ian, Taylor, Maye, and Tindall, Carol (1994)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methods in psychology: a research guide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Buckingham, England: Open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University Press.</w:t>
      </w:r>
    </w:p>
    <w:p w14:paraId="0D4A9271" w14:textId="626F4C5A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Barbour, Rosaline S., and Kitzinger, Jenny, eds.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Developing focus group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research: politics, theory and practice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London: Sage.</w:t>
      </w:r>
    </w:p>
    <w:p w14:paraId="29C97AB7" w14:textId="0A3686EC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Brown, A. and Heller, F. (1981) Usefulness of group feedback analysis as a research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method: its application to a questionnaire study.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Human Relations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34, 141-156.</w:t>
      </w:r>
    </w:p>
    <w:p w14:paraId="073BF525" w14:textId="5C2A9F2B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Brydon-Miller, Mary (1997) Participatory Action Research: psychology and social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change.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 Social Issues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53(4), 657-666.</w:t>
      </w:r>
    </w:p>
    <w:p w14:paraId="652F3290" w14:textId="47F96A0D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Burman, Erica (1997) Minding the gap: positivism, psychology, and the politics of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qualitative methods.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 Social Issues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53(4), 785-801.</w:t>
      </w:r>
    </w:p>
    <w:p w14:paraId="469DC63F" w14:textId="528BFDF8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Calloway, Linda Jo, and Knapp, Constance A. (nd) Using grounded theory to interpret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interviews. Available on line at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http://csis.pace.edu/~knapp/AIS95.htm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)</w:t>
      </w:r>
    </w:p>
    <w:p w14:paraId="56891563" w14:textId="63EB3716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Charmaz, Kathy (1983) The grounded theory method: an explication and interpretation.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In Emerson, R.M., ed.,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Contemporary field research: a book of readings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Boston: Little,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Brown. [pp 109-126]</w:t>
      </w:r>
    </w:p>
    <w:p w14:paraId="330ED650" w14:textId="30487603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Charmaz, Kathy (1999) [Review of] Context and method in qualitative research, edited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by Gale Miller and Robert Dingwall. Thousand Oaks, CA: Sage, 1997.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Contemporary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Sociology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28(2), 247.</w:t>
      </w:r>
    </w:p>
    <w:p w14:paraId="5619D805" w14:textId="51A30AA1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Chenail, R. &amp; Maione, P. (1999) Qualitative inquiry in psychotherapy: research on the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common factors. In: M.A. Hubble, B.L. Duncan, &amp; S.D. Miller, eds.,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heart and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soul of change: what works in therapy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Washington, DC: American Psychological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Association Press.</w:t>
      </w:r>
    </w:p>
    <w:p w14:paraId="721E0343" w14:textId="340E8C33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Chenitz, W. Carole and Swanson Janice M. (1986)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From practice to grounded theory: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research in nursing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Englewood Cliffs, NJ: Addison-Wesley.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</w:p>
    <w:p w14:paraId="59D28520" w14:textId="0858737F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Creswell, John W. (1998)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inquiry and research design: choosing among five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traditions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Oaks, Ca.: Sage.</w:t>
      </w:r>
    </w:p>
    <w:p w14:paraId="26AE4327" w14:textId="0AEF427F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Dey, Ian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Grounding grounded theory: guidelines for qualitative inquiry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San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Diego: Academic Press.</w:t>
      </w:r>
    </w:p>
    <w:p w14:paraId="666372DE" w14:textId="21E58683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Dick, Bob (2000) Data-driven action research [On line]. Available at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http://www.scu.edu.au/schools/gcm/ar/arp/datadriv.html</w:t>
      </w:r>
    </w:p>
    <w:p w14:paraId="160F6A34" w14:textId="30AF6A2E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Dick, Bob (1999) Sources of rigour in action research: addressing the issues of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trustworthiness and credibility. A paper presented at the Association for Qualitative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Research Conference "Issues of rigour in qualitative research" at the Duxton Hotel,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Melbourne, Victoria, 6-10 July 1999. Available on line at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http://www.scu.edu.au/schools/gcm/ar/arp/rigour3.html</w:t>
      </w:r>
    </w:p>
    <w:p w14:paraId="7FDF096F" w14:textId="0E447F6D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Dick, Bob (1990)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Convergent interviewing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version 3. Brisbane: Interchange.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An interviewing method which uses structured process, unstructured content, and a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procedure for increasing the rigour of qualitative information.</w:t>
      </w:r>
    </w:p>
    <w:p w14:paraId="1E587E63" w14:textId="4BF81581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Edmunds, Holly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focus group: research handbook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Chicago, Ill.: NTC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Business Books.</w:t>
      </w:r>
    </w:p>
    <w:p w14:paraId="4B904BF5" w14:textId="33E20A7B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Foddy, William (1993)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Constructing questions for interviews and questionnaires: theory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and practice in social research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Cambridge, England: Cambridge University Press.</w:t>
      </w:r>
    </w:p>
    <w:p w14:paraId="2B96BC58" w14:textId="2A04D6A7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Giorgi, Amedeo (1970)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Psychology as a human science: a phenomenologially based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approach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New York: Harper and Row.</w:t>
      </w:r>
    </w:p>
    <w:p w14:paraId="15C3C765" w14:textId="4DBC6EA1" w:rsidR="00E55D62" w:rsidRPr="00BC6F45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 (1978)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Theoretical sensitivity: advances in the methodology of</w:t>
      </w:r>
      <w:r w:rsidR="00BC6F45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grounded theory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Mill Valley, Ca: Sociology Press.</w:t>
      </w:r>
    </w:p>
    <w:p w14:paraId="6B888713" w14:textId="2E4AE6FD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 (1992)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Basics of grounded theory analysis: emergence vs forcing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Mill Valley, Ca.: Sociology Press.</w:t>
      </w:r>
    </w:p>
    <w:p w14:paraId="6725A4EC" w14:textId="42713835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G., ed. (1994)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More grounded theory methodology: a reader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Mill</w:t>
      </w:r>
      <w:r w:rsidR="00BC6F45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Valley, Ca.: Sociology Press.</w:t>
      </w:r>
    </w:p>
    <w:p w14:paraId="0B0EF47B" w14:textId="2D25531A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G., ed. (1995)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Grounded theory 1984-1994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Volume 1. Mill Valley, Ca.: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Sociology Press.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</w:p>
    <w:p w14:paraId="605EEA2C" w14:textId="01CC0A90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G., ed. (1995)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Grounded theory 1984-1994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Volume 2. Mill Valley, Ca.: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Sociology Press.</w:t>
      </w:r>
    </w:p>
    <w:p w14:paraId="2BA2A547" w14:textId="0FC75BAC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Glaser, Barney G. (1995) A look at grounded theory: 1984-1994. In Glaser, Barney G.,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ed.,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Grounded theory 1984-1994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Volume 1. Mill Valley, Ca.: Sociology Press. [pp3-17]</w:t>
      </w:r>
    </w:p>
    <w:p w14:paraId="32594823" w14:textId="265DA97A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 (1998)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Doing grounded theory: issues and discussions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Mill Valley,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Ca.: Sociology Press.</w:t>
      </w:r>
    </w:p>
    <w:p w14:paraId="36A871C6" w14:textId="704446FF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Glaser, Barney G. and Strauss, Anselm L. (1967)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discovery of grounded theory: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strategies for qualitative research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Chicago.: Aldine.</w:t>
      </w:r>
    </w:p>
    <w:p w14:paraId="49C98D7F" w14:textId="2A17A1C9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Hadden, Stuart C., and Lester, Marilyn (1994) Grounded theory methodology as a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resource for doing ethnomethodology. In Glaser, Barney G., ed.,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More grounded theory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methodology: a reader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Mill Valley, Ca.: Sociology Press. [pp 159-180]</w:t>
      </w:r>
    </w:p>
    <w:p w14:paraId="21583083" w14:textId="7316635D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Haig, Brian D. (1996) Grounded theory as scientific method. Available on line at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http://www.ed.uiuc.edu/EPS/PES-yearbook/95_docs/haig.html</w:t>
      </w:r>
    </w:p>
    <w:p w14:paraId="60ABDA36" w14:textId="34F7E009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Hayes, Nicky, ed. (1997)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Doing qualitative analysis in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Hove, East Sussex: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Psychology Press.</w:t>
      </w:r>
    </w:p>
    <w:p w14:paraId="75FD5582" w14:textId="0C266755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Heller, Frank A., and Brown, Alan (1995) Group Feedback Analysis applied to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longitudinal monitoring of the decision making process.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Human Relations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48(7), 815-836.</w:t>
      </w:r>
    </w:p>
    <w:p w14:paraId="0183B7E3" w14:textId="7826F859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Henwood, K.L., and Pidgeon, N.F. (1992) Qualitative research and psychological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theorizing.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British Journal of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83, 83-111.</w:t>
      </w:r>
    </w:p>
    <w:p w14:paraId="5FCB10E4" w14:textId="7D7B2E4B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Hollway, Wendy (1989)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Subjectivity and method in psychology: gender, meaning and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science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London: Sage.</w:t>
      </w:r>
    </w:p>
    <w:p w14:paraId="0412CFB5" w14:textId="0BF1C65E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Holstein, James A., and Gubrium, Jaber F. (1995)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active interview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Oaks, Ca.: Sage.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</w:p>
    <w:p w14:paraId="7879E010" w14:textId="2B891030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Howard, George S., and Myers, Paul R. (1990) Predicting human behavior: comparing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idiographic, nomothetic, and agentic methodologies.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 Counseling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37(2), 227-233.</w:t>
      </w:r>
    </w:p>
    <w:p w14:paraId="51E6A3B1" w14:textId="77777777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Hubble, M.A., Duncan, B.L. and Miller, S.D., eds.,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 heart and soul of change:</w:t>
      </w:r>
    </w:p>
    <w:p w14:paraId="18229292" w14:textId="77777777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what works in therapy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Washington, DC: American Psychological Association Press.</w:t>
      </w:r>
    </w:p>
    <w:p w14:paraId="015DB9A5" w14:textId="77777777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Kelle, U. (1997) Theory building in qualitative research and computer programs for the</w:t>
      </w:r>
    </w:p>
    <w:p w14:paraId="4E6B32EF" w14:textId="38BA1820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management of textual data.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Sociological Research Online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2(1),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http://www.socresonline.org.uk/socresonline/2/2/1.html</w:t>
      </w:r>
    </w:p>
    <w:p w14:paraId="1C183EE7" w14:textId="491F5FF5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Kinach, Barbara M. (1996) Grounded theory as scientific method: Haig-inspired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reflections on educational research methodology. Available on line at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http://www.ed.uiuc.edu/PES/95_docs/kinach.html</w:t>
      </w:r>
    </w:p>
    <w:p w14:paraId="387A2B5B" w14:textId="49F466EB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Kopala, Mary and Suzuki, Lisa A., eds.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Using qualitative methods in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Thousand Oaks: Sage.</w:t>
      </w:r>
    </w:p>
    <w:p w14:paraId="7EEA0EDB" w14:textId="38CD2615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Kvale, Steinar (1996)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InterViews: an introduction to qualitative research interviewing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Thousand Oaks: Sage.</w:t>
      </w:r>
    </w:p>
    <w:p w14:paraId="295C50F9" w14:textId="36F21163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Kvale, Steinar (1999) The psychoanalytic interview as qualitative research.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Inquiry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5(1), 87-113.</w:t>
      </w:r>
    </w:p>
    <w:p w14:paraId="48D38000" w14:textId="6CEB92E2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Lawler, Edward E., III; Mohrman, A.M. Jr.; Mohrman, S.A.; Ledford, G.E. Jr.; and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Cummings, T.G., eds. (1985)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Doing research that is useful for theory and practice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San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Francisco: Jossey-Bass.</w:t>
      </w:r>
    </w:p>
    <w:p w14:paraId="301CCAF4" w14:textId="4C855916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Marecek, Jeanne, Fine, Michelle, and Kidder, Louise (1997) Working between worlds: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qualitative methods and social psychology.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 Social Issues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53(4), 631-644.</w:t>
      </w:r>
    </w:p>
    <w:p w14:paraId="0D5DB573" w14:textId="41D0C77E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Martin, Julie (1994)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Action research: evaluation and health care widening our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perspectives on nursing research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Armidale, N.S.W.: University of New England Press.</w:t>
      </w:r>
    </w:p>
    <w:p w14:paraId="1DA78AAB" w14:textId="75F0D36F" w:rsidR="00E55D62" w:rsidRPr="00E55D62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Martin, P.Y., and Turner, B.A. (1986) Grounded theory and organizational research.</w:t>
      </w:r>
      <w:r w:rsidR="0086136C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 Applied Behavioral Science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22(2),141-157.</w:t>
      </w:r>
    </w:p>
    <w:p w14:paraId="1A58E307" w14:textId="2DB3BE6B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Mertens, Donna M. (1997)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Research methods in education and psychology: integrating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diversity with quantitative and qualitative approaches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Oaks, CA, Sage.</w:t>
      </w:r>
    </w:p>
    <w:p w14:paraId="2A03DD6A" w14:textId="152E0494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Miller, Gale, and Dingwall, Robert, eds. (1997)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Context and method in qualitative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research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London: Sage.</w:t>
      </w:r>
    </w:p>
    <w:p w14:paraId="7605B2A6" w14:textId="3A065FA7" w:rsidR="00E55D62" w:rsidRPr="0086136C" w:rsidRDefault="00E55D62" w:rsidP="0086136C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Minichiello, Victor; Aroni, Rosalie; Timewell, Eric; and Alexander, Loris (1990)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Indepth</w:t>
      </w:r>
      <w:r w:rsidR="0086136C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interviewing: researching people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Melbourne, Vic.: Longman Cheshire.</w:t>
      </w:r>
    </w:p>
    <w:p w14:paraId="44719251" w14:textId="77777777" w:rsidR="00E55D62" w:rsidRPr="00E55D62" w:rsidRDefault="00E55D62" w:rsidP="00BC6F45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Moustakas, Clark (1994)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Phenomenological research methods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Oaks, CA,</w:t>
      </w:r>
    </w:p>
    <w:p w14:paraId="54070C6F" w14:textId="77777777" w:rsidR="00E55D62" w:rsidRPr="00E55D62" w:rsidRDefault="00E55D62" w:rsidP="0086136C">
      <w:pPr>
        <w:widowControl w:val="0"/>
        <w:autoSpaceDE w:val="0"/>
        <w:autoSpaceDN w:val="0"/>
        <w:adjustRightInd w:val="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Sage.</w:t>
      </w:r>
    </w:p>
    <w:p w14:paraId="786CFFB8" w14:textId="5B7577F4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Nightingale, David J., and Cromby, John, eds. (1999)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Social Constructionist psychology: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 critical analysis of theory and practice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Buckingham: Open University Press.</w:t>
      </w:r>
    </w:p>
    <w:p w14:paraId="41D7A5C0" w14:textId="226896EB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Packer, M. J. and R. B. Addison, eds. (1989)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Entering the circle: hermeneutic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investigation in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Albany, NY, State University of New York Press.</w:t>
      </w:r>
    </w:p>
    <w:p w14:paraId="2E47ADE2" w14:textId="77E33EE5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Pandit, Naresh R. (1996) The creation of theory: a recent application of the grounded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theory method.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Report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2(4). Available on line at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FF0000"/>
          <w:sz w:val="20"/>
          <w:szCs w:val="20"/>
          <w:lang w:val="en-US" w:eastAsia="ja-JP"/>
        </w:rPr>
        <w:t>http://www.nova.edu/ssss/QR/QR2-4/pandit.html</w:t>
      </w:r>
    </w:p>
    <w:p w14:paraId="77B68F4D" w14:textId="35CB8B63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Pidgeon, Nick, and Henwood, Karen (1997) Using grounded theory in psychological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research. In Hayes, Nicky, ed.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Doing qualitative analysis in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Hove, East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Sussex: Psychology Press. [pp245-273]</w:t>
      </w:r>
    </w:p>
    <w:p w14:paraId="0F688D67" w14:textId="455BE0C3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Polkinghorne, D. E. (1988)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Narrative knowing and the human sciences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Albany, NY,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State University of New York Press.</w:t>
      </w:r>
    </w:p>
    <w:p w14:paraId="2BE0CA6C" w14:textId="06D96395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Rabinowitz, Vita Carulli, and Weseen, Susan (1997) Elu(ci)d(at(ing) epistemological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impasses: re-viewing the qualitative/quantitative debates in psychology.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Journal of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Social Issues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53(4), 605-630.</w:t>
      </w:r>
    </w:p>
    <w:p w14:paraId="1F4B4D69" w14:textId="669EC71D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Ratner, Carl (1997)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Cultural psychology and qualitative methodology: theoretical and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empirical considerations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New Yord: Plenum.</w:t>
      </w:r>
    </w:p>
    <w:p w14:paraId="4D4CA682" w14:textId="47E79DA9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Rennie, David L. (1998) Grounded theory methodology: the pressing need for a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coherent logic of justification.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Theory and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8(1), 101-119.</w:t>
      </w:r>
    </w:p>
    <w:p w14:paraId="622BCBBD" w14:textId="38F272A4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Richardson, John T.E., ed. (1996)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Handbook of qualitative research methods for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psychology and the social sciences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Leicester, UK: BPS Books.</w:t>
      </w:r>
    </w:p>
    <w:p w14:paraId="5DF92574" w14:textId="15B61F7B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Schwandt, Thomas A. (1993) Theory for the moral sciences: crisis of identity and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purpose. In Flinders, David J., and Mills, Geoffrey E., eds.,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Theory and concepts in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research: perspectives from the field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New York: Teachers College, Columbia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University. [pp5-23]</w:t>
      </w:r>
    </w:p>
    <w:p w14:paraId="4B0F4B9C" w14:textId="66D780B3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Seidman, Irving (1998)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Interviewing as qualitative research: a guide for researchers in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education and the social sciences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New York: Teachers College Press.</w:t>
      </w:r>
    </w:p>
    <w:p w14:paraId="07127F15" w14:textId="372BD74B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Shavarini, Mitra K. (1997) Focus group interviews in education and psychology.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Harvard Educational Review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67(1), 159.</w:t>
      </w:r>
    </w:p>
    <w:p w14:paraId="4265318E" w14:textId="1BBAE630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Slife, Brent D. and Williams, Richard N. (1995)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What's behind the research?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Discovering hidden assumptions in the behavioral sciences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Oaks, Ca.: Sage.</w:t>
      </w:r>
    </w:p>
    <w:p w14:paraId="3DCDBB41" w14:textId="42C2762D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Smith, Jonathan A., Harré, Rom, and Van Langenove, Luk, eds. (1995)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Rethinking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methods in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Oaks, CA, Sage.</w:t>
      </w:r>
    </w:p>
    <w:p w14:paraId="7A4F61F1" w14:textId="4F90A95C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Stern, Phyllis Noerager (1980) Grounded theory methodology: its uses and processes.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Image, 12(1). Reprinted in Glaser, Barney, ed. (1994)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More grounded theory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methodology: a reader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Mill Valley, Ca.: Sociology Press. [pp 116-126]</w:t>
      </w:r>
    </w:p>
    <w:p w14:paraId="08950E52" w14:textId="427864AF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Strauss, Anselm, and Corbin, Juliet (1990)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Basics of qualitative research: grounded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theory procedures and techniques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Newbury Park: Sage.</w:t>
      </w:r>
    </w:p>
    <w:p w14:paraId="0CE5BBEF" w14:textId="75C584CB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Strauss, Anselm, and Corbin, Juliet, eds. (1997)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Grounded theory in practice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Thousand Oaks, Ca.: Sage.</w:t>
      </w:r>
    </w:p>
    <w:p w14:paraId="75E9CC43" w14:textId="32CEFA1C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Taylor, Steven J., and Bogdan, Robert (1998)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Introduction to qualitative research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methods: a guidebook and resource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, third edition. New York: Wiley.</w:t>
      </w:r>
    </w:p>
    <w:p w14:paraId="6BE3EDE1" w14:textId="319C44F1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Tsoi Hoshmand, Lisa L. (1994)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Orientation to inquiry in a reflective professional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Albany, NY: State University of New York Press.</w:t>
      </w:r>
    </w:p>
    <w:p w14:paraId="396F7D3B" w14:textId="4F5802C8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Vaughn, Sharon; Schumm, Jeanne Shay; and Sinagub, Jane (1996)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Focus group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interviews in education and psychology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Thousand Oaks: Sage.</w:t>
      </w:r>
    </w:p>
    <w:p w14:paraId="7382A08E" w14:textId="046A9611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Ward, John (1993)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How to research community issues: the grounded community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development research method: a resource learning manual with case studies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Oakleigh,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Vic.: Partnership Press and Deakin Univ.</w:t>
      </w:r>
    </w:p>
    <w:p w14:paraId="083544D5" w14:textId="52F7A791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Wilson, Melvin A. (1992) Extending the constant comparative method: some benefits of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participant involvement in data analysis. Paper presented at the Annual Meeting of the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American Educational Research Association (San Fr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ancisco, CA, April 20-24, 1992)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.</w:t>
      </w:r>
    </w:p>
    <w:p w14:paraId="1D10D3E3" w14:textId="2B688802" w:rsidR="00E55D62" w:rsidRPr="00C7195B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Zuuren, Florence J. van; Wertz, Frederick J.; Mook, Bep, eds. (1987)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Advances in</w:t>
      </w:r>
      <w:r w:rsidR="00C7195B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i/>
          <w:iCs/>
          <w:color w:val="002200"/>
          <w:sz w:val="20"/>
          <w:szCs w:val="20"/>
          <w:lang w:val="en-US" w:eastAsia="ja-JP"/>
        </w:rPr>
        <w:t>qualitative psychology: themes and variations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. Lisse: Swets &amp; Zeitlinger.</w:t>
      </w:r>
    </w:p>
    <w:p w14:paraId="0586DCA6" w14:textId="18D21E57" w:rsidR="00E55D62" w:rsidRPr="00E55D62" w:rsidRDefault="00E55D62" w:rsidP="00C7195B">
      <w:pPr>
        <w:widowControl w:val="0"/>
        <w:autoSpaceDE w:val="0"/>
        <w:autoSpaceDN w:val="0"/>
        <w:adjustRightInd w:val="0"/>
        <w:ind w:left="540" w:hanging="540"/>
        <w:rPr>
          <w:rFonts w:ascii="Arial Narrow" w:hAnsi="Arial Narrow" w:cs="LucidaGrande"/>
          <w:color w:val="002200"/>
          <w:sz w:val="20"/>
          <w:szCs w:val="20"/>
          <w:lang w:val="en-US" w:eastAsia="ja-JP"/>
        </w:rPr>
      </w:pP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Copyright © Bob Dick, 2000-2005. You may copy this if you do not include it in</w:t>
      </w:r>
      <w:r w:rsidR="00C7195B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 xml:space="preserve"> </w:t>
      </w:r>
      <w:r w:rsidRPr="00E55D62">
        <w:rPr>
          <w:rFonts w:ascii="Arial Narrow" w:hAnsi="Arial Narrow" w:cs="LucidaGrande"/>
          <w:color w:val="002200"/>
          <w:sz w:val="20"/>
          <w:szCs w:val="20"/>
          <w:lang w:val="en-US" w:eastAsia="ja-JP"/>
        </w:rPr>
        <w:t>material sold at a profit, and this notice is included.</w:t>
      </w:r>
    </w:p>
    <w:p w14:paraId="03AFB8A4" w14:textId="5553C749" w:rsidR="00902256" w:rsidRPr="00E55D62" w:rsidRDefault="00902256" w:rsidP="00BC6F45">
      <w:pPr>
        <w:ind w:left="540" w:hanging="540"/>
        <w:rPr>
          <w:rFonts w:ascii="Arial Narrow" w:hAnsi="Arial Narrow"/>
          <w:sz w:val="20"/>
          <w:szCs w:val="20"/>
        </w:rPr>
      </w:pPr>
    </w:p>
    <w:sectPr w:rsidR="00902256" w:rsidRPr="00E55D62" w:rsidSect="00FD6FAC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C7597" w14:textId="77777777" w:rsidR="00EB394C" w:rsidRDefault="00EB394C" w:rsidP="00EB394C">
      <w:r>
        <w:separator/>
      </w:r>
    </w:p>
  </w:endnote>
  <w:endnote w:type="continuationSeparator" w:id="0">
    <w:p w14:paraId="48D737A9" w14:textId="77777777" w:rsidR="00EB394C" w:rsidRDefault="00EB394C" w:rsidP="00E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247E" w14:textId="7E2C2B21" w:rsidR="00EB394C" w:rsidRPr="00EB394C" w:rsidRDefault="00EB394C" w:rsidP="00EB394C">
    <w:pPr>
      <w:pStyle w:val="Footer"/>
      <w:jc w:val="center"/>
      <w:rPr>
        <w:rFonts w:ascii="Arial Narrow" w:hAnsi="Arial Narrow"/>
        <w:sz w:val="20"/>
        <w:szCs w:val="20"/>
      </w:rPr>
    </w:pPr>
    <w:r w:rsidRPr="00EB394C">
      <w:rPr>
        <w:rFonts w:ascii="Arial Narrow" w:hAnsi="Arial Narrow"/>
        <w:sz w:val="20"/>
        <w:szCs w:val="20"/>
      </w:rPr>
      <w:t xml:space="preserve">Page </w:t>
    </w:r>
    <w:r w:rsidRPr="00EB394C">
      <w:rPr>
        <w:rStyle w:val="PageNumber"/>
        <w:rFonts w:ascii="Arial Narrow" w:hAnsi="Arial Narrow"/>
        <w:sz w:val="20"/>
        <w:szCs w:val="20"/>
      </w:rPr>
      <w:fldChar w:fldCharType="begin"/>
    </w:r>
    <w:r w:rsidRPr="00EB394C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EB394C">
      <w:rPr>
        <w:rStyle w:val="PageNumber"/>
        <w:rFonts w:ascii="Arial Narrow" w:hAnsi="Arial Narrow"/>
        <w:sz w:val="20"/>
        <w:szCs w:val="20"/>
      </w:rPr>
      <w:fldChar w:fldCharType="separate"/>
    </w:r>
    <w:r w:rsidR="005E764D">
      <w:rPr>
        <w:rStyle w:val="PageNumber"/>
        <w:rFonts w:ascii="Arial Narrow" w:hAnsi="Arial Narrow"/>
        <w:noProof/>
        <w:sz w:val="20"/>
        <w:szCs w:val="20"/>
      </w:rPr>
      <w:t>1</w:t>
    </w:r>
    <w:r w:rsidRPr="00EB394C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6A6A" w14:textId="77777777" w:rsidR="00EB394C" w:rsidRDefault="00EB394C" w:rsidP="00EB394C">
      <w:r>
        <w:separator/>
      </w:r>
    </w:p>
  </w:footnote>
  <w:footnote w:type="continuationSeparator" w:id="0">
    <w:p w14:paraId="54AB4FB0" w14:textId="77777777" w:rsidR="00EB394C" w:rsidRDefault="00EB394C" w:rsidP="00EB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2"/>
    <w:rsid w:val="00483547"/>
    <w:rsid w:val="00556A4C"/>
    <w:rsid w:val="005E764D"/>
    <w:rsid w:val="00602EFC"/>
    <w:rsid w:val="0086136C"/>
    <w:rsid w:val="0087194B"/>
    <w:rsid w:val="00902256"/>
    <w:rsid w:val="00943A39"/>
    <w:rsid w:val="00B31B6F"/>
    <w:rsid w:val="00B3214B"/>
    <w:rsid w:val="00B71E3C"/>
    <w:rsid w:val="00BC6F45"/>
    <w:rsid w:val="00C7195B"/>
    <w:rsid w:val="00C765A0"/>
    <w:rsid w:val="00D87AA3"/>
    <w:rsid w:val="00DB52BC"/>
    <w:rsid w:val="00E55D62"/>
    <w:rsid w:val="00EB394C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36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F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4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4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39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F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4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4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5570</Words>
  <Characters>31754</Characters>
  <Application>Microsoft Macintosh Word</Application>
  <DocSecurity>0</DocSecurity>
  <Lines>264</Lines>
  <Paragraphs>74</Paragraphs>
  <ScaleCrop>false</ScaleCrop>
  <Company/>
  <LinksUpToDate>false</LinksUpToDate>
  <CharactersWithSpaces>37250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Clarke</dc:creator>
  <cp:keywords/>
  <dc:description/>
  <cp:lastModifiedBy>Anthony Clarke</cp:lastModifiedBy>
  <cp:revision>2</cp:revision>
  <dcterms:created xsi:type="dcterms:W3CDTF">2017-06-01T23:46:00Z</dcterms:created>
  <dcterms:modified xsi:type="dcterms:W3CDTF">2017-06-01T23:46:00Z</dcterms:modified>
</cp:coreProperties>
</file>