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93" w:rsidRDefault="00D75FE7" w:rsidP="00F05D93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r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6</w:t>
      </w:r>
      <w:bookmarkStart w:id="0" w:name="_GoBack"/>
      <w:bookmarkEnd w:id="0"/>
      <w:r w:rsidR="00F05D93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.část</w:t>
      </w:r>
    </w:p>
    <w:p w:rsidR="00F05D93" w:rsidRDefault="00F05D93" w:rsidP="00F05D93">
      <w:pPr>
        <w:pStyle w:val="Normln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Čtenářská gramotnost, přístupy a strategie při výuce čtení, podpora čtenářství žáků se SVP.</w:t>
      </w:r>
    </w:p>
    <w:p w:rsidR="00F05D93" w:rsidRDefault="00F05D93" w:rsidP="00F05D93">
      <w:pPr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cs-CZ"/>
        </w:rPr>
      </w:pPr>
    </w:p>
    <w:p w:rsidR="00F05D93" w:rsidRDefault="00F05D93" w:rsidP="00F05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Osnova:</w:t>
      </w:r>
    </w:p>
    <w:p w:rsidR="00F05D93" w:rsidRDefault="00F05D93" w:rsidP="00F05D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RVP – vzdělávací oblast Literární výchova</w:t>
      </w:r>
    </w:p>
    <w:p w:rsidR="00855A1B" w:rsidRDefault="00855A1B" w:rsidP="00F05D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Faktory ovlivňující čtenářskou gramotnost</w:t>
      </w:r>
    </w:p>
    <w:p w:rsidR="00855A1B" w:rsidRDefault="00855A1B" w:rsidP="00F05D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Roviny čtenářství</w:t>
      </w:r>
    </w:p>
    <w:p w:rsidR="00855A1B" w:rsidRDefault="00855A1B" w:rsidP="00F05D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Cíle čtenářské gramotnosti</w:t>
      </w:r>
    </w:p>
    <w:p w:rsidR="00855A1B" w:rsidRDefault="00855A1B" w:rsidP="00F05D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Příklady rozvoje čtenářské gramotnosti</w:t>
      </w:r>
    </w:p>
    <w:p w:rsidR="00855A1B" w:rsidRDefault="00855A1B" w:rsidP="00F05D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Žáci se SVP</w:t>
      </w:r>
    </w:p>
    <w:p w:rsidR="00F05D93" w:rsidRDefault="00F05D93" w:rsidP="00F05D93">
      <w:pPr>
        <w:rPr>
          <w:rFonts w:ascii="Arial" w:hAnsi="Arial" w:cs="Arial"/>
          <w:b/>
          <w:sz w:val="24"/>
          <w:szCs w:val="24"/>
        </w:rPr>
      </w:pPr>
    </w:p>
    <w:p w:rsidR="00F05D93" w:rsidRDefault="00F05D93" w:rsidP="00F05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Literatura a odkazy: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>Čtenářská gramotnost ve výuce, metodická příručka, NÚV, Praha, 2011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>Gramotnosti ve vzdělávání, VÚP Praha, 2010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>https://clanky.rvp.cz/clanek/c/z/14941/METODICKA-DOPORUCENI-PRO-ROZVIJENI-CTENARSKE-GRAMOTNOSTI.html/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 xml:space="preserve">ČÁP, J. MAREŠ, J, </w:t>
      </w:r>
      <w:r w:rsidRPr="00F05D93">
        <w:rPr>
          <w:rFonts w:ascii="Arial" w:eastAsiaTheme="minorEastAsia" w:hAnsi="Arial" w:cs="Arial"/>
          <w:i/>
          <w:iCs/>
          <w:color w:val="000000" w:themeColor="text1"/>
          <w:kern w:val="24"/>
        </w:rPr>
        <w:t>Psychologie pro učitele</w:t>
      </w:r>
      <w:r w:rsidRPr="00F05D93">
        <w:rPr>
          <w:rFonts w:ascii="Arial" w:eastAsiaTheme="minorEastAsia" w:hAnsi="Arial" w:cs="Arial"/>
          <w:color w:val="000000" w:themeColor="text1"/>
          <w:kern w:val="24"/>
        </w:rPr>
        <w:t>, Praha: Portál, 2001.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 xml:space="preserve">HAVEL, J.NAJVAROVÁ,V. </w:t>
      </w:r>
      <w:r w:rsidRPr="00F05D93">
        <w:rPr>
          <w:rFonts w:ascii="Arial" w:eastAsiaTheme="minorEastAsia" w:hAnsi="Arial" w:cs="Arial"/>
          <w:i/>
          <w:iCs/>
          <w:color w:val="000000" w:themeColor="text1"/>
          <w:kern w:val="24"/>
        </w:rPr>
        <w:t>Rozvíjení gramotnosti ve výuce na 1. stupni ZŠ</w:t>
      </w:r>
      <w:r w:rsidRPr="00F05D93">
        <w:rPr>
          <w:rFonts w:ascii="Arial" w:eastAsiaTheme="minorEastAsia" w:hAnsi="Arial" w:cs="Arial"/>
          <w:color w:val="000000" w:themeColor="text1"/>
          <w:kern w:val="24"/>
        </w:rPr>
        <w:t>, Masarykova univerzita Brno:2011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 xml:space="preserve">HOLT, J. </w:t>
      </w:r>
      <w:r w:rsidRPr="00F05D93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Jak se děti učí číst. </w:t>
      </w:r>
      <w:r w:rsidRPr="00F05D93">
        <w:rPr>
          <w:rFonts w:ascii="Arial" w:eastAsiaTheme="minorEastAsia" w:hAnsi="Arial" w:cs="Arial"/>
          <w:color w:val="000000" w:themeColor="text1"/>
          <w:kern w:val="24"/>
        </w:rPr>
        <w:t>Praha: Agentura Strom, 1995. -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>MAREŠ, J. PRŮCHA, J. WALTEROVÁ, E. Pedagogický slovník,Portál:2001</w:t>
      </w:r>
    </w:p>
    <w:p w:rsid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 xml:space="preserve">DOLEŽALOVÁ, J. </w:t>
      </w:r>
      <w:r w:rsidRPr="00F05D93">
        <w:rPr>
          <w:rFonts w:ascii="Arial" w:eastAsiaTheme="minorEastAsia" w:hAnsi="Arial" w:cs="Arial"/>
          <w:i/>
          <w:iCs/>
          <w:color w:val="000000" w:themeColor="text1"/>
          <w:kern w:val="24"/>
        </w:rPr>
        <w:t>Jazyková a literární gramotnost v předškolním věku</w:t>
      </w:r>
      <w:r w:rsidRPr="00F05D93">
        <w:rPr>
          <w:rFonts w:ascii="Arial" w:eastAsiaTheme="minorEastAsia" w:hAnsi="Arial" w:cs="Arial"/>
          <w:color w:val="000000" w:themeColor="text1"/>
          <w:kern w:val="24"/>
        </w:rPr>
        <w:t>. Zlín, Univerzita T. Bati, 2018</w:t>
      </w:r>
    </w:p>
    <w:p w:rsidR="00855A1B" w:rsidRPr="00F05D93" w:rsidRDefault="00855A1B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RVP ZV</w:t>
      </w:r>
    </w:p>
    <w:p w:rsidR="00F05D93" w:rsidRDefault="00F05D93" w:rsidP="00F05D93">
      <w:pPr>
        <w:rPr>
          <w:rFonts w:ascii="Arial" w:hAnsi="Arial" w:cs="Arial"/>
          <w:sz w:val="24"/>
          <w:szCs w:val="24"/>
        </w:rPr>
      </w:pPr>
    </w:p>
    <w:p w:rsidR="00F05D93" w:rsidRDefault="00F05D93" w:rsidP="00F05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Pomůcky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05D93" w:rsidRDefault="00855A1B" w:rsidP="00F05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Ukázky pomůcek a materiálů, čítanek</w:t>
      </w:r>
    </w:p>
    <w:p w:rsidR="00855A1B" w:rsidRDefault="00855A1B" w:rsidP="00F05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Ukázka projektu Knihovna</w:t>
      </w:r>
    </w:p>
    <w:p w:rsidR="00F05D93" w:rsidRDefault="00F05D93" w:rsidP="00F05D93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5A1B" w:rsidRDefault="00855A1B" w:rsidP="00F05D93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</w:p>
    <w:p w:rsidR="00855A1B" w:rsidRDefault="00855A1B" w:rsidP="00F05D93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</w:p>
    <w:p w:rsidR="00F05D93" w:rsidRDefault="00F05D93" w:rsidP="00F05D93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lastRenderedPageBreak/>
        <w:t>Studijní materiál</w:t>
      </w:r>
    </w:p>
    <w:p w:rsidR="00855A1B" w:rsidRDefault="00855A1B" w:rsidP="00855A1B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855A1B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Faktory ovlivňující čtenářskou gramotnost</w:t>
      </w:r>
    </w:p>
    <w:p w:rsidR="00855A1B" w:rsidRPr="00855A1B" w:rsidRDefault="00855A1B" w:rsidP="00855A1B">
      <w:pPr>
        <w:pStyle w:val="Odstavecseseznamem"/>
        <w:numPr>
          <w:ilvl w:val="0"/>
          <w:numId w:val="1"/>
        </w:num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855A1B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endogenní</w:t>
      </w:r>
    </w:p>
    <w:p w:rsidR="00855A1B" w:rsidRPr="00855A1B" w:rsidRDefault="00855A1B" w:rsidP="00855A1B">
      <w:pPr>
        <w:pStyle w:val="Odstavecseseznamem"/>
        <w:numPr>
          <w:ilvl w:val="0"/>
          <w:numId w:val="1"/>
        </w:num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855A1B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exogenní</w:t>
      </w:r>
    </w:p>
    <w:p w:rsid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ajorEastAsia" w:hAnsi="Arial" w:cs="Arial"/>
          <w:color w:val="000000" w:themeColor="text1"/>
          <w:kern w:val="24"/>
          <w:u w:val="single"/>
        </w:rPr>
      </w:pPr>
    </w:p>
    <w:p w:rsid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ajorEastAsia" w:hAnsi="Arial" w:cs="Arial"/>
          <w:color w:val="000000" w:themeColor="text1"/>
          <w:kern w:val="24"/>
          <w:u w:val="single"/>
        </w:rPr>
        <w:t xml:space="preserve">Roviny čtenářství </w:t>
      </w:r>
      <w:r w:rsidRPr="00C13B47">
        <w:rPr>
          <w:rFonts w:ascii="Arial" w:eastAsiaTheme="majorEastAsia" w:hAnsi="Arial" w:cs="Arial"/>
          <w:color w:val="000000" w:themeColor="text1"/>
          <w:kern w:val="24"/>
          <w:u w:val="single"/>
        </w:rPr>
        <w:t>(</w:t>
      </w:r>
      <w:r w:rsidRPr="00C13B47">
        <w:rPr>
          <w:rFonts w:ascii="Arial" w:eastAsiaTheme="minorEastAsia" w:hAnsi="Arial" w:cs="Arial"/>
          <w:color w:val="000000" w:themeColor="text1"/>
          <w:kern w:val="24"/>
        </w:rPr>
        <w:t>Gramotnosti ve vzdělávání, VÚP Praha, 2010)</w:t>
      </w:r>
      <w:r>
        <w:rPr>
          <w:rFonts w:ascii="Arial" w:eastAsiaTheme="minorEastAsia" w:hAnsi="Arial" w:cs="Arial"/>
          <w:color w:val="000000" w:themeColor="text1"/>
          <w:kern w:val="24"/>
        </w:rPr>
        <w:t>:</w:t>
      </w:r>
    </w:p>
    <w:p w:rsidR="00C13B47" w:rsidRPr="00C13B47" w:rsidRDefault="00C13B47" w:rsidP="00C13B47">
      <w:pPr>
        <w:pStyle w:val="Normlnweb"/>
        <w:numPr>
          <w:ilvl w:val="0"/>
          <w:numId w:val="3"/>
        </w:numPr>
        <w:spacing w:before="200" w:beforeAutospacing="0" w:after="0" w:afterAutospacing="0" w:line="216" w:lineRule="auto"/>
      </w:pPr>
      <w:r w:rsidRPr="00C13B47">
        <w:rPr>
          <w:rFonts w:ascii="Arial" w:eastAsiaTheme="minorEastAsia" w:hAnsi="Arial" w:cs="Arial"/>
          <w:bCs/>
          <w:color w:val="000000" w:themeColor="text1"/>
          <w:kern w:val="24"/>
        </w:rPr>
        <w:t>vztah ke čtení</w:t>
      </w:r>
    </w:p>
    <w:p w:rsidR="00C13B47" w:rsidRPr="00C13B47" w:rsidRDefault="00C13B47" w:rsidP="00C13B47">
      <w:pPr>
        <w:pStyle w:val="Normlnweb"/>
        <w:numPr>
          <w:ilvl w:val="0"/>
          <w:numId w:val="3"/>
        </w:numPr>
        <w:spacing w:before="200" w:beforeAutospacing="0" w:after="0" w:afterAutospacing="0" w:line="216" w:lineRule="auto"/>
      </w:pPr>
      <w:r w:rsidRPr="00C13B47">
        <w:rPr>
          <w:rFonts w:ascii="Arial" w:eastAsiaTheme="minorEastAsia" w:hAnsi="Arial" w:cs="Arial"/>
          <w:bCs/>
          <w:color w:val="000000" w:themeColor="text1"/>
          <w:kern w:val="24"/>
        </w:rPr>
        <w:t>doslovné porozumění</w:t>
      </w:r>
    </w:p>
    <w:p w:rsidR="00C13B47" w:rsidRPr="00C13B47" w:rsidRDefault="00C13B47" w:rsidP="00C13B47">
      <w:pPr>
        <w:pStyle w:val="Normlnweb"/>
        <w:numPr>
          <w:ilvl w:val="0"/>
          <w:numId w:val="3"/>
        </w:numPr>
        <w:spacing w:before="200" w:beforeAutospacing="0" w:after="0" w:afterAutospacing="0" w:line="216" w:lineRule="auto"/>
      </w:pPr>
      <w:r w:rsidRPr="00C13B47">
        <w:rPr>
          <w:rFonts w:ascii="Arial" w:eastAsiaTheme="minorEastAsia" w:hAnsi="Arial" w:cs="Arial"/>
          <w:bCs/>
          <w:color w:val="000000" w:themeColor="text1"/>
          <w:kern w:val="24"/>
        </w:rPr>
        <w:t>vysuzování  a hodnocení</w:t>
      </w:r>
    </w:p>
    <w:p w:rsidR="00C13B47" w:rsidRPr="00C13B47" w:rsidRDefault="00C13B47" w:rsidP="00C13B47">
      <w:pPr>
        <w:pStyle w:val="Normlnweb"/>
        <w:numPr>
          <w:ilvl w:val="0"/>
          <w:numId w:val="3"/>
        </w:numPr>
        <w:spacing w:before="200" w:beforeAutospacing="0" w:after="0" w:afterAutospacing="0" w:line="216" w:lineRule="auto"/>
      </w:pPr>
      <w:r w:rsidRPr="00C13B47">
        <w:rPr>
          <w:rFonts w:ascii="Arial" w:eastAsiaTheme="minorEastAsia" w:hAnsi="Arial" w:cs="Arial"/>
          <w:bCs/>
          <w:color w:val="000000" w:themeColor="text1"/>
          <w:kern w:val="24"/>
        </w:rPr>
        <w:t>metakognice</w:t>
      </w:r>
    </w:p>
    <w:p w:rsidR="00C13B47" w:rsidRPr="00C13B47" w:rsidRDefault="00C13B47" w:rsidP="00C13B47">
      <w:pPr>
        <w:pStyle w:val="Normlnweb"/>
        <w:numPr>
          <w:ilvl w:val="0"/>
          <w:numId w:val="3"/>
        </w:numPr>
        <w:spacing w:before="200" w:beforeAutospacing="0" w:after="0" w:afterAutospacing="0" w:line="216" w:lineRule="auto"/>
      </w:pPr>
      <w:r w:rsidRPr="00C13B47">
        <w:rPr>
          <w:rFonts w:ascii="Arial" w:eastAsiaTheme="minorEastAsia" w:hAnsi="Arial" w:cs="Arial"/>
          <w:bCs/>
          <w:color w:val="000000" w:themeColor="text1"/>
          <w:kern w:val="24"/>
        </w:rPr>
        <w:t>sdílení</w:t>
      </w:r>
    </w:p>
    <w:p w:rsidR="00C13B47" w:rsidRDefault="00C13B47" w:rsidP="00C13B47">
      <w:pPr>
        <w:pStyle w:val="Normlnweb"/>
        <w:numPr>
          <w:ilvl w:val="0"/>
          <w:numId w:val="3"/>
        </w:numPr>
        <w:spacing w:before="200" w:beforeAutospacing="0" w:after="0" w:afterAutospacing="0" w:line="216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bCs/>
          <w:color w:val="000000" w:themeColor="text1"/>
          <w:kern w:val="24"/>
        </w:rPr>
        <w:t>aplikace</w:t>
      </w:r>
    </w:p>
    <w:p w:rsid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bCs/>
          <w:color w:val="000000" w:themeColor="text1"/>
          <w:kern w:val="24"/>
          <w:u w:val="single"/>
        </w:rPr>
      </w:pPr>
    </w:p>
    <w:p w:rsidR="00C13B47" w:rsidRPr="00C13B47" w:rsidRDefault="00FB0F53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bCs/>
          <w:color w:val="000000" w:themeColor="text1"/>
          <w:kern w:val="24"/>
          <w:u w:val="single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u w:val="single"/>
        </w:rPr>
        <w:t xml:space="preserve">Metody </w:t>
      </w:r>
      <w:r w:rsidR="00C13B47" w:rsidRPr="00C13B47">
        <w:rPr>
          <w:rFonts w:ascii="Arial" w:eastAsiaTheme="minorEastAsia" w:hAnsi="Arial" w:cs="Arial"/>
          <w:bCs/>
          <w:color w:val="000000" w:themeColor="text1"/>
          <w:kern w:val="24"/>
          <w:u w:val="single"/>
        </w:rPr>
        <w:t>rozvoje čtenářské gramotnosti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C13B47">
        <w:rPr>
          <w:rFonts w:ascii="Arial" w:hAnsi="Arial" w:cs="Arial"/>
        </w:rPr>
        <w:t>Volné psaní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C13B47">
        <w:rPr>
          <w:rFonts w:ascii="Arial" w:hAnsi="Arial" w:cs="Arial"/>
        </w:rPr>
        <w:t>Pětilístek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Čtení s předvídáním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Čtení s tabulkou předpovědí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Ano – ne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I.N.S.E.R.T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Dílna čtení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Skládankové učení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Klíčová slova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Myšlenkové mapy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Metoda Kostka</w:t>
      </w:r>
    </w:p>
    <w:p w:rsid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Metoda V-Ch-D</w:t>
      </w:r>
    </w:p>
    <w:p w:rsidR="00FB0F53" w:rsidRPr="00FB0F53" w:rsidRDefault="00FB0F53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u w:val="single"/>
        </w:rPr>
        <w:t>Další příklady aktivit</w:t>
      </w:r>
    </w:p>
    <w:p w:rsidR="00FB0F53" w:rsidRPr="00FB0F53" w:rsidRDefault="00FB0F53" w:rsidP="00FB0F53">
      <w:pPr>
        <w:pStyle w:val="Odstavecseseznamem"/>
        <w:numPr>
          <w:ilvl w:val="0"/>
          <w:numId w:val="10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vysvětlování neznámých pojmů, významově opačná  x podobná slova, najdi synonyma k daným slovům</w:t>
      </w:r>
    </w:p>
    <w:p w:rsidR="00FB0F53" w:rsidRPr="00FB0F53" w:rsidRDefault="00FB0F53" w:rsidP="00FB0F53">
      <w:pPr>
        <w:pStyle w:val="Odstavecseseznamem"/>
        <w:numPr>
          <w:ilvl w:val="0"/>
          <w:numId w:val="10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vlastní ilustrace k textu, srovnání textu a ilustrace v knize k němu, pokus o komiks  </w:t>
      </w:r>
    </w:p>
    <w:p w:rsidR="00FB0F53" w:rsidRPr="00FB0F53" w:rsidRDefault="00FB0F53" w:rsidP="00FB0F53">
      <w:pPr>
        <w:pStyle w:val="Odstavecseseznamem"/>
        <w:numPr>
          <w:ilvl w:val="0"/>
          <w:numId w:val="10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vyprávění  - vlastní zážitky ve srovnání s texty (prázdniny, vánoce…..) </w:t>
      </w:r>
    </w:p>
    <w:p w:rsidR="00FB0F53" w:rsidRPr="00FB0F53" w:rsidRDefault="00FB0F53" w:rsidP="00FB0F53">
      <w:pPr>
        <w:pStyle w:val="Odstavecseseznamem"/>
        <w:numPr>
          <w:ilvl w:val="0"/>
          <w:numId w:val="10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recitace, zpaměti jednoduché básničky, hledání a zapisování rýmů </w:t>
      </w:r>
    </w:p>
    <w:p w:rsidR="00FB0F53" w:rsidRPr="00FB0F53" w:rsidRDefault="00FB0F53" w:rsidP="00FB0F53">
      <w:pPr>
        <w:pStyle w:val="Odstavecseseznamem"/>
        <w:numPr>
          <w:ilvl w:val="0"/>
          <w:numId w:val="10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předčítání – otázky, vysvětlování slov, popis obrázků, srovnání s vlastní zkušeností, ilustrace k předčítanému, dabingové čtení (čtení zároveň s učitelem) </w:t>
      </w:r>
    </w:p>
    <w:p w:rsidR="00FB0F53" w:rsidRPr="00FB0F53" w:rsidRDefault="00FB0F53" w:rsidP="00FB0F53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lastRenderedPageBreak/>
        <w:t xml:space="preserve">orientace v textu – odstavce, řádky (najdi začátek – konec věty, odstavce),  hledání vět,  slov podle pokynů ( druhy slov, řádek, odstavec umístění,  konec a začátek slova….. x-tá věta) </w:t>
      </w:r>
    </w:p>
    <w:p w:rsidR="00FB0F53" w:rsidRPr="00FB0F53" w:rsidRDefault="00FB0F53" w:rsidP="00FB0F53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hledání v textu ( přesmyčky slov z textu, slova podle začátku a konce, rytmu, počtu slabik)  </w:t>
      </w:r>
    </w:p>
    <w:p w:rsidR="009A5BB6" w:rsidRPr="00FB0F53" w:rsidRDefault="00FB0F53" w:rsidP="00FB0F53">
      <w:pPr>
        <w:numPr>
          <w:ilvl w:val="0"/>
          <w:numId w:val="9"/>
        </w:num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skládání rozstříhaného textu, pomíchané věty (několik vět z přečteného textu  rozstříháme nebo napíšeme  pomíchaně na papír – doporučujeme použít rozdílné písmo) </w:t>
      </w:r>
    </w:p>
    <w:p w:rsidR="009A5BB6" w:rsidRPr="00FB0F53" w:rsidRDefault="00FB0F53" w:rsidP="00FB0F53">
      <w:pPr>
        <w:numPr>
          <w:ilvl w:val="0"/>
          <w:numId w:val="9"/>
        </w:num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odpovědi na otázky k textu (viz hledání informací), oprava výroku, pravdivost tvrzení (ano –ne), otázka s výběrem odpovědi (a,b,c) – viz ANO - NE </w:t>
      </w:r>
    </w:p>
    <w:p w:rsidR="009A5BB6" w:rsidRPr="00FB0F53" w:rsidRDefault="00FB0F53" w:rsidP="00FB0F53">
      <w:pPr>
        <w:numPr>
          <w:ilvl w:val="0"/>
          <w:numId w:val="9"/>
        </w:num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mezi jednotlivými slovy v textu nejsou mezery, pokus se slova správně oddělit čárou (opíšeme několik vět z přečteného textu bez mezer) </w:t>
      </w:r>
    </w:p>
    <w:p w:rsidR="009A5BB6" w:rsidRPr="00FB0F53" w:rsidRDefault="00FB0F53" w:rsidP="00FB0F53">
      <w:pPr>
        <w:numPr>
          <w:ilvl w:val="0"/>
          <w:numId w:val="9"/>
        </w:num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označ slova, která se v textu nevyskytují (vypíšeme několik slov z textu a mezi několik dalších, naprosto bez souvislosti </w:t>
      </w:r>
    </w:p>
    <w:p w:rsidR="009A5BB6" w:rsidRPr="00FB0F53" w:rsidRDefault="00FB0F53" w:rsidP="00FB0F53">
      <w:pPr>
        <w:numPr>
          <w:ilvl w:val="0"/>
          <w:numId w:val="9"/>
        </w:num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dej do kroužku slova, která jsou napsaná správně, zkontroluj  s předchozím textem (do několika slov z textu napíšeme další slova, ale s pravopisnou chybou) </w:t>
      </w:r>
    </w:p>
    <w:p w:rsidR="009A5BB6" w:rsidRPr="00FB0F53" w:rsidRDefault="00FB0F53" w:rsidP="00FB0F53">
      <w:pPr>
        <w:numPr>
          <w:ilvl w:val="0"/>
          <w:numId w:val="9"/>
        </w:num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vyber nebo vyměň název </w:t>
      </w:r>
    </w:p>
    <w:p w:rsidR="009A5BB6" w:rsidRPr="00FB0F53" w:rsidRDefault="00FB0F53" w:rsidP="00FB0F53">
      <w:pPr>
        <w:numPr>
          <w:ilvl w:val="0"/>
          <w:numId w:val="9"/>
        </w:num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domysli (spíš vyprávěj, ale i napiš) konec čteného textu</w:t>
      </w:r>
    </w:p>
    <w:p w:rsidR="00FB0F53" w:rsidRPr="00FB0F53" w:rsidRDefault="00FB0F53" w:rsidP="00FB0F53">
      <w:pPr>
        <w:pStyle w:val="Odstavecseseznamem"/>
        <w:spacing w:after="0" w:line="216" w:lineRule="auto"/>
        <w:ind w:left="1440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atd…</w:t>
      </w:r>
    </w:p>
    <w:p w:rsidR="00FB0F53" w:rsidRPr="00FB0F53" w:rsidRDefault="00FB0F53" w:rsidP="00FB0F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Hry, soutěže</w:t>
      </w:r>
    </w:p>
    <w:p w:rsidR="00FB0F53" w:rsidRPr="00FB0F53" w:rsidRDefault="00FB0F53" w:rsidP="00FB0F53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předvádění textu( nebo jen názvu nebo některého slova pantomimou,  </w:t>
      </w:r>
    </w:p>
    <w:p w:rsidR="00FB0F53" w:rsidRPr="00FB0F53" w:rsidRDefault="00FB0F53" w:rsidP="00FB0F53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hra město, jméno, zvíře, věc, </w:t>
      </w:r>
    </w:p>
    <w:p w:rsidR="00FB0F53" w:rsidRPr="00FB0F53" w:rsidRDefault="00FB0F53" w:rsidP="00FB0F53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slova z písmen jiných (dlouhých)  slov nebo jinak vybraných písmen,  </w:t>
      </w:r>
    </w:p>
    <w:p w:rsidR="00FB0F53" w:rsidRPr="00FB0F53" w:rsidRDefault="00FB0F53" w:rsidP="00FB0F53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slovní kopaná, přesmyčky ze slov v textu, </w:t>
      </w:r>
    </w:p>
    <w:p w:rsidR="00FB0F53" w:rsidRPr="00FB0F53" w:rsidRDefault="00FB0F53" w:rsidP="00FB0F53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na co slovo začíná, končí  ( u mladších, u starších spíš obráceně – najdi slovo, které končí na….) </w:t>
      </w:r>
    </w:p>
    <w:p w:rsidR="00FB0F53" w:rsidRPr="00FB0F53" w:rsidRDefault="00FB0F53" w:rsidP="00FB0F53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pexesa s písmenky  </w:t>
      </w:r>
    </w:p>
    <w:p w:rsidR="00FB0F53" w:rsidRPr="00FB0F53" w:rsidRDefault="00FB0F53" w:rsidP="00FB0F53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osmisměrky,  </w:t>
      </w:r>
    </w:p>
    <w:p w:rsidR="00FB0F53" w:rsidRPr="00FB0F53" w:rsidRDefault="00FB0F53" w:rsidP="00FB0F53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B0F5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šifry </w:t>
      </w:r>
    </w:p>
    <w:p w:rsidR="00FB0F53" w:rsidRPr="00C13B47" w:rsidRDefault="00FB0F53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:rsid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  <w:u w:val="single"/>
        </w:rPr>
        <w:t>Žáci se SVP</w:t>
      </w:r>
    </w:p>
    <w:p w:rsidR="00C13B47" w:rsidRPr="00C13B47" w:rsidRDefault="00C13B47" w:rsidP="00C13B47">
      <w:pPr>
        <w:pStyle w:val="Normlnweb"/>
        <w:numPr>
          <w:ilvl w:val="0"/>
          <w:numId w:val="2"/>
        </w:numPr>
        <w:spacing w:before="200" w:beforeAutospacing="0" w:after="0" w:afterAutospacing="0" w:line="216" w:lineRule="auto"/>
        <w:rPr>
          <w:rFonts w:ascii="Arial" w:hAnsi="Arial" w:cs="Arial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dyslexie a rozvoj čtenářství</w:t>
      </w:r>
    </w:p>
    <w:p w:rsidR="00C13B47" w:rsidRPr="00C13B47" w:rsidRDefault="00C13B47" w:rsidP="00C13B47">
      <w:pPr>
        <w:pStyle w:val="Normlnweb"/>
        <w:numPr>
          <w:ilvl w:val="0"/>
          <w:numId w:val="2"/>
        </w:numPr>
        <w:spacing w:before="200" w:beforeAutospacing="0" w:after="0" w:afterAutospacing="0" w:line="216" w:lineRule="auto"/>
        <w:rPr>
          <w:rFonts w:ascii="Arial" w:hAnsi="Arial" w:cs="Arial"/>
        </w:rPr>
      </w:pPr>
      <w:r w:rsidRPr="00C13B47">
        <w:rPr>
          <w:rFonts w:ascii="Arial" w:hAnsi="Arial" w:cs="Arial"/>
        </w:rPr>
        <w:t>diferenciace – hodnocení - motivace</w:t>
      </w:r>
    </w:p>
    <w:p w:rsidR="00C13B47" w:rsidRPr="00C13B47" w:rsidRDefault="00C13B47" w:rsidP="00855A1B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:rsidR="00F05D93" w:rsidRDefault="00F05D93" w:rsidP="00F05D93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AC44F6" w:rsidRDefault="00AC44F6"/>
    <w:sectPr w:rsidR="00AC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163AC"/>
    <w:multiLevelType w:val="hybridMultilevel"/>
    <w:tmpl w:val="3618AC22"/>
    <w:lvl w:ilvl="0" w:tplc="4B02153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77F9F"/>
    <w:multiLevelType w:val="hybridMultilevel"/>
    <w:tmpl w:val="85D6E5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46501F"/>
    <w:multiLevelType w:val="hybridMultilevel"/>
    <w:tmpl w:val="F052FAC8"/>
    <w:lvl w:ilvl="0" w:tplc="4B02153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D72D1"/>
    <w:multiLevelType w:val="hybridMultilevel"/>
    <w:tmpl w:val="2BDA9578"/>
    <w:lvl w:ilvl="0" w:tplc="0405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>
    <w:nsid w:val="56A077A8"/>
    <w:multiLevelType w:val="hybridMultilevel"/>
    <w:tmpl w:val="65780148"/>
    <w:lvl w:ilvl="0" w:tplc="6780F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8D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47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28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49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6A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6D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61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A9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2005A5"/>
    <w:multiLevelType w:val="hybridMultilevel"/>
    <w:tmpl w:val="87D0DFC0"/>
    <w:lvl w:ilvl="0" w:tplc="4B02153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858BC"/>
    <w:multiLevelType w:val="hybridMultilevel"/>
    <w:tmpl w:val="F2AA2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05069"/>
    <w:multiLevelType w:val="hybridMultilevel"/>
    <w:tmpl w:val="45F677D4"/>
    <w:lvl w:ilvl="0" w:tplc="8CC00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7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C7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C5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26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4D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6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E2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03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6305A0"/>
    <w:multiLevelType w:val="hybridMultilevel"/>
    <w:tmpl w:val="0022510A"/>
    <w:lvl w:ilvl="0" w:tplc="7B8A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81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47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2E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85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0D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05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08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870230"/>
    <w:multiLevelType w:val="hybridMultilevel"/>
    <w:tmpl w:val="29400212"/>
    <w:lvl w:ilvl="0" w:tplc="C4940B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24F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84B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C13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490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E8A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E8D3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E8B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10F3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93"/>
    <w:rsid w:val="0054649D"/>
    <w:rsid w:val="00855A1B"/>
    <w:rsid w:val="009A5BB6"/>
    <w:rsid w:val="00AC44F6"/>
    <w:rsid w:val="00C13B47"/>
    <w:rsid w:val="00D75FE7"/>
    <w:rsid w:val="00F05D93"/>
    <w:rsid w:val="00F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29422-90B5-45D4-9657-038ACF15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D9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5D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2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0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7</cp:revision>
  <dcterms:created xsi:type="dcterms:W3CDTF">2018-10-21T07:40:00Z</dcterms:created>
  <dcterms:modified xsi:type="dcterms:W3CDTF">2018-10-25T18:28:00Z</dcterms:modified>
</cp:coreProperties>
</file>