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6E" w:rsidRPr="0088333F" w:rsidRDefault="00BA7BB7" w:rsidP="009F6D6E">
      <w:pPr>
        <w:pStyle w:val="Normlnweb"/>
        <w:spacing w:before="200" w:beforeAutospacing="0" w:after="0" w:afterAutospacing="0" w:line="216" w:lineRule="auto"/>
        <w:jc w:val="center"/>
        <w:rPr>
          <w:sz w:val="36"/>
          <w:szCs w:val="36"/>
        </w:rPr>
      </w:pPr>
      <w:r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6</w:t>
      </w:r>
      <w:bookmarkStart w:id="0" w:name="_GoBack"/>
      <w:bookmarkEnd w:id="0"/>
      <w:r w:rsidR="009F6D6E" w:rsidRPr="0088333F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.část</w:t>
      </w:r>
    </w:p>
    <w:p w:rsidR="009F6D6E" w:rsidRPr="00F620C1" w:rsidRDefault="009F6D6E" w:rsidP="009F6D6E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48"/>
          <w:szCs w:val="48"/>
          <w:lang w:eastAsia="cs-CZ"/>
        </w:rPr>
        <w:t>Příprava na vyučovací hodinu českého jazyka</w:t>
      </w:r>
    </w:p>
    <w:p w:rsidR="009F6D6E" w:rsidRDefault="009F6D6E" w:rsidP="009F6D6E">
      <w:pPr>
        <w:rPr>
          <w:rFonts w:ascii="Arial" w:hAnsi="Arial" w:cs="Arial"/>
          <w:b/>
          <w:sz w:val="24"/>
          <w:szCs w:val="24"/>
        </w:rPr>
      </w:pPr>
    </w:p>
    <w:p w:rsidR="009F6D6E" w:rsidRPr="00F31D72" w:rsidRDefault="009F6D6E" w:rsidP="009F6D6E">
      <w:pPr>
        <w:rPr>
          <w:rFonts w:ascii="Arial" w:hAnsi="Arial" w:cs="Arial"/>
          <w:b/>
          <w:sz w:val="24"/>
          <w:szCs w:val="24"/>
        </w:rPr>
      </w:pPr>
      <w:r w:rsidRPr="00F31D72">
        <w:rPr>
          <w:rFonts w:ascii="Arial" w:hAnsi="Arial" w:cs="Arial"/>
          <w:b/>
          <w:sz w:val="24"/>
          <w:szCs w:val="24"/>
        </w:rPr>
        <w:t>Literatura a odkazy:</w:t>
      </w:r>
    </w:p>
    <w:p w:rsidR="009F6D6E" w:rsidRDefault="009F6D6E" w:rsidP="009F6D6E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FABIÁNKOVÁ, B., HAVEL, J., NOVOTNÁ, M. </w:t>
      </w:r>
      <w:r w:rsidRPr="00C4763A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cs-CZ"/>
        </w:rPr>
        <w:t>Výuka čtení a psaní na 1.stupni základní školy.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Brno 1999</w:t>
      </w:r>
    </w:p>
    <w:p w:rsidR="00711599" w:rsidRDefault="00711599" w:rsidP="009F6D6E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PETTY, G. Moderní vyučování. Praha: Portál 1996, 2002, 2006, 2008, 2013</w:t>
      </w:r>
    </w:p>
    <w:p w:rsidR="009F6D6E" w:rsidRDefault="009F6D6E" w:rsidP="009F6D6E">
      <w:pPr>
        <w:rPr>
          <w:rFonts w:ascii="Arial" w:hAnsi="Arial" w:cs="Arial"/>
          <w:sz w:val="24"/>
          <w:szCs w:val="24"/>
        </w:rPr>
      </w:pPr>
    </w:p>
    <w:p w:rsidR="009F6D6E" w:rsidRPr="003F4ED4" w:rsidRDefault="009F6D6E" w:rsidP="009F6D6E">
      <w:pPr>
        <w:spacing w:after="0" w:line="216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</w:pPr>
      <w:r w:rsidRPr="003F4ED4"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  <w:t>Studijní materiál</w:t>
      </w:r>
    </w:p>
    <w:p w:rsidR="009F6D6E" w:rsidRPr="009F6D6E" w:rsidRDefault="009F6D6E" w:rsidP="009F6D6E">
      <w:pPr>
        <w:pStyle w:val="Normlnweb"/>
        <w:numPr>
          <w:ilvl w:val="0"/>
          <w:numId w:val="5"/>
        </w:numP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9F6D6E">
        <w:rPr>
          <w:rFonts w:ascii="Arial" w:eastAsiaTheme="minorEastAsia" w:hAnsi="Arial" w:cs="Arial"/>
          <w:color w:val="000000" w:themeColor="text1"/>
          <w:kern w:val="24"/>
          <w:u w:val="single"/>
        </w:rPr>
        <w:t>Cíl výuky</w:t>
      </w:r>
    </w:p>
    <w:p w:rsidR="009F6D6E" w:rsidRPr="009F6D6E" w:rsidRDefault="009F6D6E" w:rsidP="00711599">
      <w:pPr>
        <w:pStyle w:val="Normlnweb"/>
        <w:spacing w:before="200" w:beforeAutospacing="0" w:after="0" w:afterAutospacing="0"/>
      </w:pPr>
      <w:r w:rsidRPr="009F6D6E">
        <w:rPr>
          <w:rFonts w:ascii="Arial" w:eastAsiaTheme="minorEastAsia" w:hAnsi="Arial" w:cs="Arial"/>
          <w:color w:val="000000" w:themeColor="text1"/>
          <w:kern w:val="24"/>
        </w:rPr>
        <w:t xml:space="preserve">Výukovým cílem by měla být kvalitativní i kvantitativní změna u jednotlivých žáků, a to v oblasti: </w:t>
      </w:r>
    </w:p>
    <w:p w:rsidR="009F6D6E" w:rsidRPr="009F6D6E" w:rsidRDefault="009F6D6E" w:rsidP="00711599">
      <w:pPr>
        <w:pStyle w:val="Odstavecseseznamem"/>
        <w:numPr>
          <w:ilvl w:val="0"/>
          <w:numId w:val="1"/>
        </w:numPr>
      </w:pPr>
      <w:r w:rsidRPr="009F6D6E">
        <w:rPr>
          <w:rFonts w:ascii="Arial" w:eastAsiaTheme="minorEastAsia" w:hAnsi="Arial" w:cs="Arial"/>
          <w:color w:val="000000" w:themeColor="text1"/>
          <w:kern w:val="24"/>
        </w:rPr>
        <w:t xml:space="preserve">kognitivní (vzdělávací), – osvojování poznatků a intelektových dovedností (znalost, porozumění, aplikace, analýza, syntéza a hodnotící posouzení) </w:t>
      </w:r>
    </w:p>
    <w:p w:rsidR="009F6D6E" w:rsidRPr="009F6D6E" w:rsidRDefault="009F6D6E" w:rsidP="00711599">
      <w:pPr>
        <w:pStyle w:val="Odstavecseseznamem"/>
        <w:numPr>
          <w:ilvl w:val="0"/>
          <w:numId w:val="1"/>
        </w:numPr>
      </w:pPr>
      <w:r w:rsidRPr="009F6D6E">
        <w:rPr>
          <w:rFonts w:ascii="Arial" w:eastAsiaTheme="minorEastAsia" w:hAnsi="Arial" w:cs="Arial"/>
          <w:color w:val="000000" w:themeColor="text1"/>
          <w:kern w:val="24"/>
        </w:rPr>
        <w:t xml:space="preserve">afektivní (postojové) – osvojování postojů, tvoření hodnotové orientace (vnímavost, reagování, oceňování hodnoty, integrování hodnot) </w:t>
      </w:r>
    </w:p>
    <w:p w:rsidR="009F6D6E" w:rsidRPr="009F6D6E" w:rsidRDefault="009F6D6E" w:rsidP="00711599">
      <w:pPr>
        <w:pStyle w:val="Odstavecseseznamem"/>
        <w:numPr>
          <w:ilvl w:val="0"/>
          <w:numId w:val="1"/>
        </w:numPr>
      </w:pPr>
      <w:r w:rsidRPr="009F6D6E">
        <w:rPr>
          <w:rFonts w:ascii="Arial" w:eastAsiaTheme="minorEastAsia" w:hAnsi="Arial" w:cs="Arial"/>
          <w:color w:val="000000" w:themeColor="text1"/>
          <w:kern w:val="24"/>
        </w:rPr>
        <w:t xml:space="preserve">psychomotorické (výcvikové) - osvojování psychomotorických dovedností (řeč, psaní, manipulace, imitace, zpřesňování, koordinace, automatizace) </w:t>
      </w:r>
    </w:p>
    <w:p w:rsidR="009F6D6E" w:rsidRDefault="009F6D6E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:rsidR="00495054" w:rsidRDefault="009F6D6E">
      <w:pPr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>Požadavky na výukové cíle</w:t>
      </w:r>
      <w:r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>: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 xml:space="preserve">Komplexnost 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 xml:space="preserve">Soudržnost 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 xml:space="preserve">Kontrolovatelnost </w:t>
      </w:r>
    </w:p>
    <w:p w:rsidR="009F6D6E" w:rsidRPr="00711599" w:rsidRDefault="009F6D6E" w:rsidP="00016248">
      <w:pPr>
        <w:pStyle w:val="Odstavecseseznamem"/>
        <w:numPr>
          <w:ilvl w:val="0"/>
          <w:numId w:val="4"/>
        </w:numPr>
      </w:pPr>
      <w:r w:rsidRPr="00711599">
        <w:rPr>
          <w:rFonts w:ascii="Arial" w:eastAsiaTheme="majorEastAsia" w:hAnsi="Arial" w:cs="Arial"/>
          <w:bCs/>
          <w:color w:val="000000" w:themeColor="text1"/>
          <w:kern w:val="24"/>
        </w:rPr>
        <w:t xml:space="preserve">Přiměřenost </w:t>
      </w:r>
    </w:p>
    <w:p w:rsidR="00711599" w:rsidRPr="00711599" w:rsidRDefault="00711599" w:rsidP="00711599">
      <w:pPr>
        <w:pStyle w:val="Odstavecseseznamem"/>
      </w:pPr>
    </w:p>
    <w:p w:rsidR="009F6D6E" w:rsidRPr="009F6D6E" w:rsidRDefault="009F6D6E" w:rsidP="009F6D6E">
      <w:pPr>
        <w:pStyle w:val="Normlnweb"/>
        <w:numPr>
          <w:ilvl w:val="0"/>
          <w:numId w:val="5"/>
        </w:numP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9F6D6E">
        <w:rPr>
          <w:rFonts w:ascii="Arial" w:eastAsiaTheme="minorEastAsia" w:hAnsi="Arial" w:cs="Arial"/>
          <w:color w:val="000000" w:themeColor="text1"/>
          <w:kern w:val="24"/>
          <w:u w:val="single"/>
        </w:rPr>
        <w:t>Prostředky a cesty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>Věcný obsah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>Metodika</w:t>
      </w:r>
    </w:p>
    <w:p w:rsidR="009F6D6E" w:rsidRDefault="009F6D6E" w:rsidP="009F6D6E">
      <w:pPr>
        <w:pStyle w:val="Odstavecseseznamem"/>
      </w:pPr>
    </w:p>
    <w:p w:rsidR="009F6D6E" w:rsidRDefault="009F6D6E" w:rsidP="009F6D6E">
      <w:pPr>
        <w:pStyle w:val="Normlnweb"/>
        <w:numPr>
          <w:ilvl w:val="0"/>
          <w:numId w:val="5"/>
        </w:numP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9F6D6E">
        <w:rPr>
          <w:rFonts w:ascii="Arial" w:eastAsiaTheme="minorEastAsia" w:hAnsi="Arial" w:cs="Arial"/>
          <w:color w:val="000000" w:themeColor="text1"/>
          <w:kern w:val="24"/>
          <w:u w:val="single"/>
        </w:rPr>
        <w:t>Organizace vyučovací hodiny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 xml:space="preserve">Nutné pracovní podmínky </w:t>
      </w:r>
    </w:p>
    <w:p w:rsid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 xml:space="preserve">Organizační typ hodiny </w:t>
      </w:r>
    </w:p>
    <w:p w:rsidR="00711599" w:rsidRPr="009F6D6E" w:rsidRDefault="00711599" w:rsidP="00711599">
      <w:pPr>
        <w:pStyle w:val="Odstavecseseznamem"/>
        <w:rPr>
          <w:rFonts w:ascii="Arial" w:eastAsiaTheme="majorEastAsia" w:hAnsi="Arial" w:cs="Arial"/>
          <w:bCs/>
          <w:color w:val="000000" w:themeColor="text1"/>
          <w:kern w:val="24"/>
        </w:rPr>
      </w:pPr>
    </w:p>
    <w:p w:rsidR="009F6D6E" w:rsidRDefault="00711599" w:rsidP="009F6D6E">
      <w:pPr>
        <w:pStyle w:val="Normlnweb"/>
        <w:numPr>
          <w:ilvl w:val="0"/>
          <w:numId w:val="5"/>
        </w:numP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>
        <w:rPr>
          <w:rFonts w:ascii="Arial" w:eastAsiaTheme="minorEastAsia" w:hAnsi="Arial" w:cs="Arial"/>
          <w:color w:val="000000" w:themeColor="text1"/>
          <w:kern w:val="24"/>
          <w:u w:val="single"/>
        </w:rPr>
        <w:t>Další didaktická hlediska, otázky</w:t>
      </w:r>
    </w:p>
    <w:p w:rsidR="00655244" w:rsidRPr="00711599" w:rsidRDefault="00DF5433" w:rsidP="00711599">
      <w:pPr>
        <w:pStyle w:val="Normlnweb"/>
        <w:ind w:left="360"/>
        <w:rPr>
          <w:rFonts w:ascii="Arial" w:eastAsiaTheme="minorEastAsia" w:hAnsi="Arial" w:cs="Arial"/>
          <w:color w:val="000000" w:themeColor="text1"/>
          <w:kern w:val="24"/>
        </w:rPr>
      </w:pPr>
      <w:r w:rsidRPr="00711599">
        <w:rPr>
          <w:rFonts w:ascii="Arial" w:eastAsiaTheme="minorEastAsia" w:hAnsi="Arial" w:cs="Arial"/>
          <w:color w:val="000000" w:themeColor="text1"/>
          <w:kern w:val="24"/>
        </w:rPr>
        <w:t>Jak budu žáky aktivizovat, motivovat?</w:t>
      </w:r>
      <w:r w:rsidR="00711599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711599">
        <w:rPr>
          <w:rFonts w:ascii="Arial" w:eastAsiaTheme="minorEastAsia" w:hAnsi="Arial" w:cs="Arial"/>
          <w:color w:val="000000" w:themeColor="text1"/>
          <w:kern w:val="24"/>
        </w:rPr>
        <w:t>Co bude pro žáky nejobtížnější?</w:t>
      </w:r>
      <w:r w:rsidR="00711599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711599">
        <w:rPr>
          <w:rFonts w:ascii="Arial" w:eastAsiaTheme="minorEastAsia" w:hAnsi="Arial" w:cs="Arial"/>
          <w:color w:val="000000" w:themeColor="text1"/>
          <w:kern w:val="24"/>
        </w:rPr>
        <w:t>Jak zajistím diferencovaný a individualizovaný přístup?</w:t>
      </w:r>
      <w:r w:rsidR="00711599">
        <w:rPr>
          <w:rFonts w:ascii="Arial" w:eastAsiaTheme="minorEastAsia" w:hAnsi="Arial" w:cs="Arial"/>
          <w:color w:val="000000" w:themeColor="text1"/>
          <w:kern w:val="24"/>
        </w:rPr>
        <w:t>.....atd.</w:t>
      </w:r>
    </w:p>
    <w:p w:rsidR="00711599" w:rsidRDefault="00711599" w:rsidP="00711599">
      <w:pPr>
        <w:pStyle w:val="Normlnweb"/>
        <w:spacing w:before="200" w:beforeAutospacing="0" w:after="0" w:afterAutospacing="0" w:line="216" w:lineRule="auto"/>
        <w:ind w:left="720"/>
        <w:rPr>
          <w:rFonts w:ascii="Arial" w:eastAsiaTheme="minorEastAsia" w:hAnsi="Arial" w:cs="Arial"/>
          <w:color w:val="000000" w:themeColor="text1"/>
          <w:kern w:val="24"/>
          <w:u w:val="single"/>
        </w:rPr>
      </w:pPr>
    </w:p>
    <w:p w:rsidR="00711599" w:rsidRPr="009F6D6E" w:rsidRDefault="00711599" w:rsidP="00711599">
      <w:pPr>
        <w:pStyle w:val="Normlnweb"/>
        <w:spacing w:before="200" w:beforeAutospacing="0" w:after="0" w:afterAutospacing="0" w:line="216" w:lineRule="auto"/>
        <w:ind w:left="720"/>
        <w:rPr>
          <w:rFonts w:ascii="Arial" w:eastAsiaTheme="minorEastAsia" w:hAnsi="Arial" w:cs="Arial"/>
          <w:color w:val="000000" w:themeColor="text1"/>
          <w:kern w:val="24"/>
          <w:u w:val="single"/>
        </w:rPr>
      </w:pPr>
    </w:p>
    <w:p w:rsidR="009F6D6E" w:rsidRPr="00711599" w:rsidRDefault="00711599" w:rsidP="009F6D6E">
      <w:pPr>
        <w:pStyle w:val="Odstavecseseznamem"/>
        <w:numPr>
          <w:ilvl w:val="0"/>
          <w:numId w:val="5"/>
        </w:numPr>
        <w:rPr>
          <w:rFonts w:ascii="Arial" w:hAnsi="Arial" w:cs="Arial"/>
          <w:u w:val="single"/>
        </w:rPr>
      </w:pPr>
      <w:r w:rsidRPr="00711599">
        <w:rPr>
          <w:rFonts w:ascii="Arial" w:hAnsi="Arial" w:cs="Arial"/>
          <w:u w:val="single"/>
        </w:rPr>
        <w:t>Co nesmí chybět</w:t>
      </w:r>
    </w:p>
    <w:p w:rsidR="00711599" w:rsidRPr="00711599" w:rsidRDefault="00711599" w:rsidP="00711599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711599">
        <w:rPr>
          <w:rFonts w:ascii="Arial" w:eastAsiaTheme="majorEastAsia" w:hAnsi="Arial" w:cs="Arial"/>
          <w:bCs/>
          <w:color w:val="000000" w:themeColor="text1"/>
          <w:kern w:val="24"/>
        </w:rPr>
        <w:t>Důraz na diferenciaci výuky – musí být zřejmá</w:t>
      </w:r>
    </w:p>
    <w:p w:rsidR="00711599" w:rsidRPr="00711599" w:rsidRDefault="00711599" w:rsidP="00711599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711599">
        <w:rPr>
          <w:rFonts w:ascii="Arial" w:eastAsiaTheme="majorEastAsia" w:hAnsi="Arial" w:cs="Arial"/>
          <w:bCs/>
          <w:color w:val="000000" w:themeColor="text1"/>
          <w:kern w:val="24"/>
        </w:rPr>
        <w:t>Motivace</w:t>
      </w:r>
    </w:p>
    <w:p w:rsidR="00711599" w:rsidRPr="00711599" w:rsidRDefault="00711599" w:rsidP="00711599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711599">
        <w:rPr>
          <w:rFonts w:ascii="Arial" w:eastAsiaTheme="majorEastAsia" w:hAnsi="Arial" w:cs="Arial"/>
          <w:bCs/>
          <w:color w:val="000000" w:themeColor="text1"/>
          <w:kern w:val="24"/>
        </w:rPr>
        <w:t>Časové rozložení vyučovací hodiny</w:t>
      </w:r>
    </w:p>
    <w:p w:rsidR="00711599" w:rsidRPr="00711599" w:rsidRDefault="00711599" w:rsidP="00711599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711599">
        <w:rPr>
          <w:rFonts w:ascii="Arial" w:eastAsiaTheme="majorEastAsia" w:hAnsi="Arial" w:cs="Arial"/>
          <w:bCs/>
          <w:color w:val="000000" w:themeColor="text1"/>
          <w:kern w:val="24"/>
        </w:rPr>
        <w:t>Příloha – pracovní list, text….</w:t>
      </w:r>
    </w:p>
    <w:p w:rsidR="00711599" w:rsidRDefault="00711599" w:rsidP="00711599">
      <w:pPr>
        <w:pStyle w:val="Odstavecseseznamem"/>
      </w:pPr>
    </w:p>
    <w:p w:rsidR="00711599" w:rsidRDefault="00711599" w:rsidP="00711599"/>
    <w:p w:rsidR="00711599" w:rsidRPr="009F6D6E" w:rsidRDefault="00711599" w:rsidP="00711599"/>
    <w:sectPr w:rsidR="00711599" w:rsidRPr="009F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9CA"/>
    <w:multiLevelType w:val="hybridMultilevel"/>
    <w:tmpl w:val="ED14A2B4"/>
    <w:lvl w:ilvl="0" w:tplc="44D4D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A3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0A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A9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AF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365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2B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2E2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0E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773214"/>
    <w:multiLevelType w:val="hybridMultilevel"/>
    <w:tmpl w:val="1126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E705C"/>
    <w:multiLevelType w:val="hybridMultilevel"/>
    <w:tmpl w:val="B2C229E6"/>
    <w:lvl w:ilvl="0" w:tplc="E5E078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93FA7"/>
    <w:multiLevelType w:val="hybridMultilevel"/>
    <w:tmpl w:val="53429EBC"/>
    <w:lvl w:ilvl="0" w:tplc="37BA5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6A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8D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0E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05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E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CE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2E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00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840725"/>
    <w:multiLevelType w:val="hybridMultilevel"/>
    <w:tmpl w:val="A000C272"/>
    <w:lvl w:ilvl="0" w:tplc="277E6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89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49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48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A2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AF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04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E4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AC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FF7578"/>
    <w:multiLevelType w:val="hybridMultilevel"/>
    <w:tmpl w:val="7696F79C"/>
    <w:lvl w:ilvl="0" w:tplc="E5E078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D4D29"/>
    <w:multiLevelType w:val="hybridMultilevel"/>
    <w:tmpl w:val="C1543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E2C8E"/>
    <w:multiLevelType w:val="hybridMultilevel"/>
    <w:tmpl w:val="E53CF2D0"/>
    <w:lvl w:ilvl="0" w:tplc="BB3A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C3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AF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0A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67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60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CC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7C4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87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6E"/>
    <w:rsid w:val="00495054"/>
    <w:rsid w:val="00655244"/>
    <w:rsid w:val="00711599"/>
    <w:rsid w:val="00922148"/>
    <w:rsid w:val="009F6D6E"/>
    <w:rsid w:val="00BA7BB7"/>
    <w:rsid w:val="00D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C0618-3FBC-4041-9273-E81BCC2F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D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6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2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1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2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4</cp:revision>
  <cp:lastPrinted>2018-10-14T17:24:00Z</cp:lastPrinted>
  <dcterms:created xsi:type="dcterms:W3CDTF">2018-10-14T17:03:00Z</dcterms:created>
  <dcterms:modified xsi:type="dcterms:W3CDTF">2019-11-20T18:25:00Z</dcterms:modified>
</cp:coreProperties>
</file>