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3C" w:rsidRPr="003D5F3C" w:rsidRDefault="003D5F3C" w:rsidP="003D5F3C">
      <w:p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Shrnutí základních rozdílů mezi </w:t>
      </w:r>
      <w:r w:rsidR="001C7B42" w:rsidRPr="001C7B42">
        <w:rPr>
          <w:rFonts w:asciiTheme="majorHAnsi" w:eastAsia="Times New Roman" w:hAnsiTheme="majorHAnsi" w:cs="Tahoma"/>
          <w:b/>
          <w:bCs/>
          <w:sz w:val="24"/>
          <w:szCs w:val="20"/>
          <w:u w:val="single"/>
          <w:lang w:eastAsia="cs-CZ"/>
        </w:rPr>
        <w:t>a</w:t>
      </w:r>
      <w:r w:rsidR="001C7B42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) popisným psaním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a </w:t>
      </w:r>
      <w:r w:rsidR="001C7B42" w:rsidRPr="001C7B42">
        <w:rPr>
          <w:rFonts w:asciiTheme="majorHAnsi" w:eastAsia="Times New Roman" w:hAnsiTheme="majorHAnsi" w:cs="Tahoma"/>
          <w:b/>
          <w:bCs/>
          <w:sz w:val="24"/>
          <w:szCs w:val="20"/>
          <w:u w:val="single"/>
          <w:lang w:eastAsia="cs-CZ"/>
        </w:rPr>
        <w:t>b</w:t>
      </w:r>
      <w:r w:rsidR="001C7B42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) reflektivním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 psaním:</w:t>
      </w:r>
    </w:p>
    <w:p w:rsidR="003D5F3C" w:rsidRPr="003D5F3C" w:rsidRDefault="003D5F3C" w:rsidP="003D5F3C">
      <w:pPr>
        <w:pStyle w:val="Odstavecseseznamem"/>
        <w:numPr>
          <w:ilvl w:val="0"/>
          <w:numId w:val="1"/>
        </w:num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Návaznost myšlenek: a)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</w:t>
      </w:r>
      <w:r w:rsidRPr="003D5F3C">
        <w:rPr>
          <w:rFonts w:asciiTheme="majorHAnsi" w:eastAsia="Times New Roman" w:hAnsiTheme="majorHAnsi" w:cs="Tahoma"/>
          <w:bCs/>
          <w:sz w:val="24"/>
          <w:szCs w:val="20"/>
          <w:u w:val="single"/>
          <w:lang w:eastAsia="cs-CZ"/>
        </w:rPr>
        <w:t>skrze časový sled popisovaných událostí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(hodina začala takto, pak jsem dělal toto, žáci reagovali takto…)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b) </w:t>
      </w:r>
      <w:r w:rsidRPr="003D5F3C">
        <w:rPr>
          <w:rFonts w:asciiTheme="majorHAnsi" w:eastAsia="Times New Roman" w:hAnsiTheme="majorHAnsi" w:cs="Tahoma"/>
          <w:bCs/>
          <w:sz w:val="24"/>
          <w:szCs w:val="20"/>
          <w:u w:val="single"/>
          <w:lang w:eastAsia="cs-CZ"/>
        </w:rPr>
        <w:t>skrze jejich význam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(na začátku hodiny se stalo toto, díky čemuž jsem si uvědomil, že…, což se mi spojuje se zkušeností z minulého semestru, kdy… , obecně se k těmto věcem stavím tak, že…, </w:t>
      </w:r>
      <w:proofErr w:type="gramStart"/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nevím do</w:t>
      </w:r>
      <w:proofErr w:type="gramEnd"/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jaké </w:t>
      </w:r>
      <w:bookmarkStart w:id="0" w:name="_GoBack"/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míry to ovlivňuji já svou vznětlivostí/důrazem na dodržení plánu hodiny aj., když to </w:t>
      </w:r>
      <w:bookmarkEnd w:id="0"/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zhodnotím s odstupem tak…)</w:t>
      </w:r>
    </w:p>
    <w:p w:rsidR="003D5F3C" w:rsidRPr="003D5F3C" w:rsidRDefault="003D5F3C" w:rsidP="003D5F3C">
      <w:pPr>
        <w:pStyle w:val="Odstavecseseznamem"/>
        <w:numPr>
          <w:ilvl w:val="0"/>
          <w:numId w:val="1"/>
        </w:num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Úhly pohledu: a) 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pouze jedna perspektiva (např. učitelova-moje),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b)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více perspektiv (učitelova, žáků, cvičného učitele, literatura, spolužák</w:t>
      </w:r>
      <w:r w:rsidR="00207439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..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)</w:t>
      </w:r>
    </w:p>
    <w:p w:rsidR="003D5F3C" w:rsidRPr="003D5F3C" w:rsidRDefault="003D5F3C" w:rsidP="003D5F3C">
      <w:pPr>
        <w:pStyle w:val="Odstavecseseznamem"/>
        <w:numPr>
          <w:ilvl w:val="0"/>
          <w:numId w:val="1"/>
        </w:num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Polemika se sebou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: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a)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nepolemizuji se sebou;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b)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dovolím si zpochybnit vlastní perspektivu</w:t>
      </w:r>
    </w:p>
    <w:p w:rsidR="003D5F3C" w:rsidRPr="003D5F3C" w:rsidRDefault="003D5F3C" w:rsidP="003D5F3C">
      <w:pPr>
        <w:pStyle w:val="Odstavecseseznamem"/>
        <w:numPr>
          <w:ilvl w:val="0"/>
          <w:numId w:val="1"/>
        </w:num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Analýza situace a hledání řešení: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a)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neprobíhá nebo jen povrchně;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b)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probíhá a to ve sledu: prozkoumám událost (snaha dojít k tomu, co je </w:t>
      </w:r>
      <w:r w:rsidR="00212974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s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těžejní) a až po té hledám řešení do budoucna</w:t>
      </w:r>
    </w:p>
    <w:p w:rsidR="003D5F3C" w:rsidRDefault="003D5F3C" w:rsidP="003D5F3C">
      <w:pPr>
        <w:pStyle w:val="Odstavecseseznamem"/>
        <w:numPr>
          <w:ilvl w:val="0"/>
          <w:numId w:val="1"/>
        </w:num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Emoce: a) 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neuvádím nebo je pouze pojmenuji;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b)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pojmenuji emoce a rozebírám jejich příčiny a důsledky (ve vztahu ke mně, ve vztahu k druhým)</w:t>
      </w:r>
    </w:p>
    <w:p w:rsidR="007D6569" w:rsidRDefault="007D6569" w:rsidP="007D6569">
      <w:p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</w:p>
    <w:p w:rsidR="007D6569" w:rsidRDefault="007D6569" w:rsidP="007D6569">
      <w:p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</w:p>
    <w:p w:rsidR="007D6569" w:rsidRDefault="007D6569" w:rsidP="007D6569">
      <w:p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</w:p>
    <w:p w:rsidR="007D6569" w:rsidRDefault="007D6569" w:rsidP="007D6569">
      <w:p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</w:p>
    <w:p w:rsidR="007D6569" w:rsidRPr="003D5F3C" w:rsidRDefault="007D6569" w:rsidP="007D6569">
      <w:p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Shrnutí základních rozdílů mezi </w:t>
      </w:r>
      <w:r w:rsidRPr="001C7B42">
        <w:rPr>
          <w:rFonts w:asciiTheme="majorHAnsi" w:eastAsia="Times New Roman" w:hAnsiTheme="majorHAnsi" w:cs="Tahoma"/>
          <w:b/>
          <w:bCs/>
          <w:sz w:val="24"/>
          <w:szCs w:val="20"/>
          <w:u w:val="single"/>
          <w:lang w:eastAsia="cs-CZ"/>
        </w:rPr>
        <w:t>a</w:t>
      </w:r>
      <w:r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) popisným psaním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a </w:t>
      </w:r>
      <w:r w:rsidRPr="001C7B42">
        <w:rPr>
          <w:rFonts w:asciiTheme="majorHAnsi" w:eastAsia="Times New Roman" w:hAnsiTheme="majorHAnsi" w:cs="Tahoma"/>
          <w:b/>
          <w:bCs/>
          <w:sz w:val="24"/>
          <w:szCs w:val="20"/>
          <w:u w:val="single"/>
          <w:lang w:eastAsia="cs-CZ"/>
        </w:rPr>
        <w:t>b</w:t>
      </w:r>
      <w:r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) reflektivním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 psaním:</w:t>
      </w:r>
    </w:p>
    <w:p w:rsidR="007D6569" w:rsidRPr="003D5F3C" w:rsidRDefault="007D6569" w:rsidP="007D6569">
      <w:pPr>
        <w:pStyle w:val="Odstavecseseznamem"/>
        <w:numPr>
          <w:ilvl w:val="0"/>
          <w:numId w:val="1"/>
        </w:num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Návaznost myšlenek: a)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</w:t>
      </w:r>
      <w:r w:rsidRPr="003D5F3C">
        <w:rPr>
          <w:rFonts w:asciiTheme="majorHAnsi" w:eastAsia="Times New Roman" w:hAnsiTheme="majorHAnsi" w:cs="Tahoma"/>
          <w:bCs/>
          <w:sz w:val="24"/>
          <w:szCs w:val="20"/>
          <w:u w:val="single"/>
          <w:lang w:eastAsia="cs-CZ"/>
        </w:rPr>
        <w:t>skrze časový sled popisovaných událostí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(hodina začala takto, pak jsem dělal toto, žáci reagovali takto…)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b) </w:t>
      </w:r>
      <w:r w:rsidRPr="003D5F3C">
        <w:rPr>
          <w:rFonts w:asciiTheme="majorHAnsi" w:eastAsia="Times New Roman" w:hAnsiTheme="majorHAnsi" w:cs="Tahoma"/>
          <w:bCs/>
          <w:sz w:val="24"/>
          <w:szCs w:val="20"/>
          <w:u w:val="single"/>
          <w:lang w:eastAsia="cs-CZ"/>
        </w:rPr>
        <w:t>skrze jejich význam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(na začátku hodiny se stalo toto, díky čemuž jsem si uvědomil, že…, což se mi spojuje se zkušeností z minulého semestru, kdy… , obecně se k těmto věcem stavím tak, že…, </w:t>
      </w:r>
      <w:proofErr w:type="gramStart"/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nevím do</w:t>
      </w:r>
      <w:proofErr w:type="gramEnd"/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jaké míry to ovlivňuji já svou vznětlivostí/důrazem na dodržení plánu hodiny aj., když to zhodnotím s odstupem tak…)</w:t>
      </w:r>
    </w:p>
    <w:p w:rsidR="007D6569" w:rsidRPr="003D5F3C" w:rsidRDefault="007D6569" w:rsidP="007D6569">
      <w:pPr>
        <w:pStyle w:val="Odstavecseseznamem"/>
        <w:numPr>
          <w:ilvl w:val="0"/>
          <w:numId w:val="1"/>
        </w:num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Úhly pohledu: a) 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pouze jedna perspektiva (např. učitelova-moje),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b)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více perspektiv (učitelova, žáků, cvičného učitele, literatura, spolužák</w:t>
      </w:r>
      <w:r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..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)</w:t>
      </w:r>
    </w:p>
    <w:p w:rsidR="007D6569" w:rsidRPr="003D5F3C" w:rsidRDefault="007D6569" w:rsidP="007D6569">
      <w:pPr>
        <w:pStyle w:val="Odstavecseseznamem"/>
        <w:numPr>
          <w:ilvl w:val="0"/>
          <w:numId w:val="1"/>
        </w:num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Polemika se sebou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: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a)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nepolemizuji se sebou;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b)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dovolím si zpochybnit vlastní perspektivu</w:t>
      </w:r>
    </w:p>
    <w:p w:rsidR="007D6569" w:rsidRPr="003D5F3C" w:rsidRDefault="007D6569" w:rsidP="007D6569">
      <w:pPr>
        <w:pStyle w:val="Odstavecseseznamem"/>
        <w:numPr>
          <w:ilvl w:val="0"/>
          <w:numId w:val="1"/>
        </w:num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Analýza situace a hledání řešení: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a)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neprobíhá nebo jen povrchně; </w:t>
      </w:r>
      <w:r w:rsidRPr="003D5F3C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b)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probíhá a to ve sledu: prozkoumám událost (snaha dojít k tomu, co je </w:t>
      </w:r>
      <w:r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s</w:t>
      </w:r>
      <w:r w:rsidRPr="003D5F3C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>těžejní) a až po té hledám řešení do budoucna</w:t>
      </w:r>
    </w:p>
    <w:p w:rsidR="007D6569" w:rsidRPr="007D6569" w:rsidRDefault="007D6569" w:rsidP="007D6569">
      <w:pPr>
        <w:pStyle w:val="Odstavecseseznamem"/>
        <w:numPr>
          <w:ilvl w:val="0"/>
          <w:numId w:val="1"/>
        </w:numPr>
        <w:spacing w:before="100" w:beforeAutospacing="1" w:after="100" w:afterAutospacing="1" w:line="312" w:lineRule="atLeast"/>
        <w:rPr>
          <w:rFonts w:asciiTheme="majorHAnsi" w:eastAsia="Times New Roman" w:hAnsiTheme="majorHAnsi" w:cs="Tahoma"/>
          <w:bCs/>
          <w:sz w:val="24"/>
          <w:szCs w:val="20"/>
          <w:lang w:eastAsia="cs-CZ"/>
        </w:rPr>
      </w:pPr>
      <w:r w:rsidRPr="007D6569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 xml:space="preserve">Emoce: a) </w:t>
      </w:r>
      <w:r w:rsidRPr="007D6569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neuvádím nebo je pouze pojmenuji; </w:t>
      </w:r>
      <w:r w:rsidRPr="007D6569">
        <w:rPr>
          <w:rFonts w:asciiTheme="majorHAnsi" w:eastAsia="Times New Roman" w:hAnsiTheme="majorHAnsi" w:cs="Tahoma"/>
          <w:b/>
          <w:bCs/>
          <w:sz w:val="24"/>
          <w:szCs w:val="20"/>
          <w:lang w:eastAsia="cs-CZ"/>
        </w:rPr>
        <w:t>b)</w:t>
      </w:r>
      <w:r w:rsidRPr="007D6569">
        <w:rPr>
          <w:rFonts w:asciiTheme="majorHAnsi" w:eastAsia="Times New Roman" w:hAnsiTheme="majorHAnsi" w:cs="Tahoma"/>
          <w:bCs/>
          <w:sz w:val="24"/>
          <w:szCs w:val="20"/>
          <w:lang w:eastAsia="cs-CZ"/>
        </w:rPr>
        <w:t xml:space="preserve"> pojmenuji emoce a rozebírám jejich příčiny a důsledky (ve vztahu ke mně, ve vztahu k druhým)</w:t>
      </w:r>
    </w:p>
    <w:p w:rsidR="00752277" w:rsidRPr="003D5F3C" w:rsidRDefault="00752277">
      <w:pPr>
        <w:rPr>
          <w:rFonts w:asciiTheme="majorHAnsi" w:hAnsiTheme="majorHAnsi"/>
          <w:sz w:val="28"/>
        </w:rPr>
      </w:pPr>
    </w:p>
    <w:sectPr w:rsidR="00752277" w:rsidRPr="003D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6773A"/>
    <w:multiLevelType w:val="hybridMultilevel"/>
    <w:tmpl w:val="9020A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3C"/>
    <w:rsid w:val="001C7B42"/>
    <w:rsid w:val="00207439"/>
    <w:rsid w:val="00212974"/>
    <w:rsid w:val="0021487D"/>
    <w:rsid w:val="003D5F3C"/>
    <w:rsid w:val="0044350B"/>
    <w:rsid w:val="006011E0"/>
    <w:rsid w:val="00752277"/>
    <w:rsid w:val="007D6569"/>
    <w:rsid w:val="00D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D552-1F32-4134-B4E1-0132F4EC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F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klasika">
    <w:name w:val="Moje klasika"/>
    <w:basedOn w:val="Bezmezer"/>
    <w:link w:val="MojeklasikaChar"/>
    <w:autoRedefine/>
    <w:qFormat/>
    <w:rsid w:val="0021487D"/>
    <w:pPr>
      <w:spacing w:line="276" w:lineRule="auto"/>
    </w:pPr>
  </w:style>
  <w:style w:type="character" w:customStyle="1" w:styleId="MojeklasikaChar">
    <w:name w:val="Moje klasika Char"/>
    <w:basedOn w:val="Standardnpsmoodstavce"/>
    <w:link w:val="Mojeklasika"/>
    <w:rsid w:val="0021487D"/>
  </w:style>
  <w:style w:type="paragraph" w:styleId="Bezmezer">
    <w:name w:val="No Spacing"/>
    <w:uiPriority w:val="1"/>
    <w:qFormat/>
    <w:rsid w:val="002148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Veselá Dana</cp:lastModifiedBy>
  <cp:revision>2</cp:revision>
  <dcterms:created xsi:type="dcterms:W3CDTF">2020-10-13T11:35:00Z</dcterms:created>
  <dcterms:modified xsi:type="dcterms:W3CDTF">2020-10-13T11:35:00Z</dcterms:modified>
</cp:coreProperties>
</file>