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45"/>
        <w:gridCol w:w="6255"/>
        <w:tblGridChange w:id="0">
          <w:tblGrid>
            <w:gridCol w:w="2745"/>
            <w:gridCol w:w="625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základní slohové postupy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základní slohové útvary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Který ze základních postupů je (podle Vás) </w:t>
      </w:r>
      <w:r w:rsidDel="00000000" w:rsidR="00000000" w:rsidRPr="00000000">
        <w:rPr>
          <w:u w:val="single"/>
          <w:rtl w:val="0"/>
        </w:rPr>
        <w:t xml:space="preserve">nejjednodušší </w:t>
      </w:r>
      <w:r w:rsidDel="00000000" w:rsidR="00000000" w:rsidRPr="00000000">
        <w:rPr>
          <w:rtl w:val="0"/>
        </w:rPr>
        <w:t xml:space="preserve">a proč?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Který ze základních postupů je (podle Vás) </w:t>
      </w:r>
      <w:r w:rsidDel="00000000" w:rsidR="00000000" w:rsidRPr="00000000">
        <w:rPr>
          <w:u w:val="single"/>
          <w:rtl w:val="0"/>
        </w:rPr>
        <w:t xml:space="preserve">nejsložitější </w:t>
      </w:r>
      <w:r w:rsidDel="00000000" w:rsidR="00000000" w:rsidRPr="00000000">
        <w:rPr>
          <w:rtl w:val="0"/>
        </w:rPr>
        <w:t xml:space="preserve">a proč?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strukturovaný životopis 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posudek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pojednání  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zápis ze schůze 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  <w:t xml:space="preserve">úvaha 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  <w:t xml:space="preserve">zpráva 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  <w:t xml:space="preserve">žádost 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charakteristika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popis 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vypravování 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  <w:t xml:space="preserve">výklad (přednáška) 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oznámení </w:t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Automatizace a aktualizace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Automatisací tedy rozumíme takové užívání jazykových prostředků, a to buď isolovaných nebo vzájemně  spojovaných, jaké je obvyklé pro určitý úkol vyjádření, totiž takové, že výraz sám nebudí pozornost, vyjádření po stránce formy jazykové se děje a je přijímán jako konvenční. … Aktualisací naopak rozumíme užití jazykových prostředků takovým způsobem, že samo budí pozornost a je přijímáno jako neobvyklé, jako zbavené automatisace, disautomatizované, např. živá básnická metafora, na rozdíl od lexikalizované, která je automatisována.” (Havránek, B. 1932)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