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B808" w14:textId="77777777" w:rsidR="0019718E" w:rsidRPr="00D441D6" w:rsidRDefault="0019718E" w:rsidP="0019718E">
      <w:pPr>
        <w:autoSpaceDE w:val="0"/>
        <w:autoSpaceDN w:val="0"/>
        <w:adjustRightInd w:val="0"/>
        <w:rPr>
          <w:rFonts w:ascii="Georgia" w:hAnsi="Georgia" w:cs="EUAlbertina"/>
        </w:rPr>
      </w:pPr>
      <w:r w:rsidRPr="008F2F57">
        <w:rPr>
          <w:rFonts w:ascii="Georgia" w:hAnsi="Georgia" w:cs="EUAlbertina"/>
        </w:rPr>
        <w:t>EVROPSKÝ PARLAMENT A RADA EVROPSKÉ UNIE</w:t>
      </w:r>
      <w:r w:rsidRPr="00D441D6">
        <w:rPr>
          <w:rFonts w:ascii="Georgia" w:hAnsi="Georgia" w:cs="EUAlbertina"/>
        </w:rPr>
        <w:t>,</w:t>
      </w:r>
    </w:p>
    <w:p w14:paraId="1DF6CD12" w14:textId="77777777" w:rsidR="0019718E" w:rsidRPr="00D441D6" w:rsidRDefault="0019718E" w:rsidP="0019718E">
      <w:pPr>
        <w:autoSpaceDE w:val="0"/>
        <w:autoSpaceDN w:val="0"/>
        <w:adjustRightInd w:val="0"/>
        <w:rPr>
          <w:rFonts w:ascii="Georgia" w:hAnsi="Georgia" w:cs="EUAlbertina"/>
        </w:rPr>
      </w:pPr>
    </w:p>
    <w:p w14:paraId="2025F96E" w14:textId="77777777" w:rsidR="0019718E" w:rsidRPr="008F2F57" w:rsidRDefault="0019718E" w:rsidP="0019718E">
      <w:pPr>
        <w:autoSpaceDE w:val="0"/>
        <w:autoSpaceDN w:val="0"/>
        <w:adjustRightInd w:val="0"/>
        <w:rPr>
          <w:rFonts w:ascii="Georgia" w:hAnsi="Georgia" w:cs="EUAlbertina"/>
        </w:rPr>
      </w:pPr>
      <w:r w:rsidRPr="008F2F57">
        <w:rPr>
          <w:rFonts w:ascii="Georgia" w:hAnsi="Georgia" w:cs="EUAlbertina"/>
        </w:rPr>
        <w:t>s ohledem na Smlouvu o fungování Evropské unie, a zejména na čl. 77 odst. 2 písm. a) této</w:t>
      </w:r>
      <w:r>
        <w:rPr>
          <w:rFonts w:ascii="Georgia" w:hAnsi="Georgia" w:cs="EUAlbertina"/>
        </w:rPr>
        <w:t xml:space="preserve"> </w:t>
      </w:r>
      <w:r w:rsidRPr="008F2F57">
        <w:rPr>
          <w:rFonts w:ascii="Georgia" w:hAnsi="Georgia" w:cs="EUAlbertina"/>
        </w:rPr>
        <w:t>smlouvy,</w:t>
      </w:r>
    </w:p>
    <w:p w14:paraId="6BDEB089" w14:textId="77777777" w:rsidR="0019718E" w:rsidRPr="008F2F57" w:rsidRDefault="0019718E" w:rsidP="0019718E">
      <w:pPr>
        <w:autoSpaceDE w:val="0"/>
        <w:autoSpaceDN w:val="0"/>
        <w:adjustRightInd w:val="0"/>
        <w:rPr>
          <w:rFonts w:ascii="Georgia" w:hAnsi="Georgia" w:cs="EUAlbertina"/>
        </w:rPr>
      </w:pPr>
      <w:r w:rsidRPr="008F2F57">
        <w:rPr>
          <w:rFonts w:ascii="Georgia" w:hAnsi="Georgia" w:cs="EUAlbertina"/>
        </w:rPr>
        <w:t>s ohledem na návrh Evropské komise,</w:t>
      </w:r>
    </w:p>
    <w:p w14:paraId="59276979" w14:textId="77777777" w:rsidR="0019718E" w:rsidRPr="008F2F57" w:rsidRDefault="0019718E" w:rsidP="0019718E">
      <w:pPr>
        <w:autoSpaceDE w:val="0"/>
        <w:autoSpaceDN w:val="0"/>
        <w:adjustRightInd w:val="0"/>
        <w:rPr>
          <w:rFonts w:ascii="Georgia" w:hAnsi="Georgia" w:cs="EUAlbertina"/>
        </w:rPr>
      </w:pPr>
      <w:r w:rsidRPr="008F2F57">
        <w:rPr>
          <w:rFonts w:ascii="Georgia" w:hAnsi="Georgia" w:cs="EUAlbertina"/>
        </w:rPr>
        <w:t>v souladu s řádným legislativním postupem,</w:t>
      </w:r>
    </w:p>
    <w:p w14:paraId="58062631" w14:textId="77777777" w:rsidR="0019718E" w:rsidRPr="00D441D6" w:rsidRDefault="0019718E" w:rsidP="0019718E">
      <w:pPr>
        <w:autoSpaceDE w:val="0"/>
        <w:autoSpaceDN w:val="0"/>
        <w:adjustRightInd w:val="0"/>
        <w:rPr>
          <w:rFonts w:ascii="Georgia" w:hAnsi="Georgia" w:cs="EUAlbertina"/>
        </w:rPr>
      </w:pPr>
      <w:r w:rsidRPr="008F2F57">
        <w:rPr>
          <w:rFonts w:ascii="Georgia" w:hAnsi="Georgia" w:cs="EUAlbertina"/>
        </w:rPr>
        <w:t>vzhledem k těmto důvodům:</w:t>
      </w:r>
    </w:p>
    <w:p w14:paraId="7EF3FA77" w14:textId="77777777" w:rsidR="0019718E" w:rsidRDefault="0019718E" w:rsidP="0019718E">
      <w:pPr>
        <w:rPr>
          <w:rFonts w:ascii="Georgia" w:hAnsi="Georgia"/>
        </w:rPr>
      </w:pPr>
    </w:p>
    <w:p w14:paraId="70DCB12C" w14:textId="77777777" w:rsidR="0019718E" w:rsidRDefault="0019718E" w:rsidP="0019718E">
      <w:pPr>
        <w:ind w:left="705" w:hanging="705"/>
        <w:rPr>
          <w:rFonts w:ascii="Georgia" w:hAnsi="Georgia"/>
        </w:rPr>
      </w:pPr>
      <w:r>
        <w:rPr>
          <w:rFonts w:ascii="Georgia" w:hAnsi="Georgia"/>
        </w:rPr>
        <w:t>1</w:t>
      </w:r>
      <w:r w:rsidRPr="00D441D6">
        <w:rPr>
          <w:rFonts w:ascii="Georgia" w:hAnsi="Georgia"/>
        </w:rPr>
        <w:t>.</w:t>
      </w:r>
      <w:r w:rsidRPr="00D441D6">
        <w:rPr>
          <w:rFonts w:ascii="Georgia" w:hAnsi="Georgia"/>
        </w:rPr>
        <w:tab/>
      </w:r>
      <w:r w:rsidRPr="00D7297E">
        <w:rPr>
          <w:rFonts w:ascii="Georgia" w:hAnsi="Georgia"/>
        </w:rPr>
        <w:t>Rada pro spravedlnost a vnitřní věci přijala</w:t>
      </w:r>
      <w:r>
        <w:rPr>
          <w:rFonts w:ascii="Georgia" w:hAnsi="Georgia"/>
        </w:rPr>
        <w:t xml:space="preserve"> </w:t>
      </w:r>
      <w:r w:rsidRPr="00D7297E">
        <w:rPr>
          <w:rFonts w:ascii="Georgia" w:hAnsi="Georgia"/>
        </w:rPr>
        <w:t>zrušení vízové povinnosti</w:t>
      </w:r>
      <w:r>
        <w:rPr>
          <w:rFonts w:ascii="Georgia" w:hAnsi="Georgia"/>
        </w:rPr>
        <w:t xml:space="preserve"> pro </w:t>
      </w:r>
      <w:r w:rsidRPr="00D7297E">
        <w:rPr>
          <w:rFonts w:ascii="Georgia" w:hAnsi="Georgia"/>
        </w:rPr>
        <w:t>obyvatel</w:t>
      </w:r>
      <w:r>
        <w:rPr>
          <w:rFonts w:ascii="Georgia" w:hAnsi="Georgia"/>
        </w:rPr>
        <w:t>e</w:t>
      </w:r>
      <w:r w:rsidRPr="00D7297E">
        <w:rPr>
          <w:rFonts w:ascii="Georgia" w:hAnsi="Georgia"/>
        </w:rPr>
        <w:t xml:space="preserve"> Makedonie, Černé Hory</w:t>
      </w:r>
      <w:r>
        <w:rPr>
          <w:rFonts w:ascii="Georgia" w:hAnsi="Georgia"/>
        </w:rPr>
        <w:t>,</w:t>
      </w:r>
      <w:r w:rsidRPr="00D7297E">
        <w:rPr>
          <w:rFonts w:ascii="Georgia" w:hAnsi="Georgia"/>
        </w:rPr>
        <w:t xml:space="preserve"> Srbska</w:t>
      </w:r>
      <w:r>
        <w:rPr>
          <w:rFonts w:ascii="Georgia" w:hAnsi="Georgia"/>
        </w:rPr>
        <w:t xml:space="preserve">, </w:t>
      </w:r>
      <w:r w:rsidRPr="00D7297E">
        <w:rPr>
          <w:rFonts w:ascii="Georgia" w:hAnsi="Georgia"/>
        </w:rPr>
        <w:t>Albánii a Bosnu a Hercegovinu</w:t>
      </w:r>
      <w:r>
        <w:rPr>
          <w:rFonts w:ascii="Georgia" w:hAnsi="Georgia"/>
        </w:rPr>
        <w:t>.</w:t>
      </w:r>
      <w:r w:rsidRPr="00D7297E">
        <w:rPr>
          <w:rFonts w:ascii="Georgia" w:hAnsi="Georgia"/>
        </w:rPr>
        <w:t xml:space="preserve"> </w:t>
      </w:r>
      <w:r>
        <w:rPr>
          <w:rFonts w:ascii="Georgia" w:hAnsi="Georgia"/>
        </w:rPr>
        <w:t>Vzhledem k</w:t>
      </w:r>
      <w:r w:rsidRPr="00D7297E">
        <w:rPr>
          <w:rFonts w:ascii="Georgia" w:hAnsi="Georgia"/>
        </w:rPr>
        <w:t xml:space="preserve"> odporu některých členských států </w:t>
      </w:r>
      <w:r>
        <w:rPr>
          <w:rFonts w:ascii="Georgia" w:hAnsi="Georgia"/>
        </w:rPr>
        <w:t>bylo součástí nařízení</w:t>
      </w:r>
      <w:r w:rsidRPr="00D7297E">
        <w:rPr>
          <w:rFonts w:ascii="Georgia" w:hAnsi="Georgia"/>
        </w:rPr>
        <w:t xml:space="preserve"> prohlášení, podle nějž má být naléhavě posíleno sledování situace po</w:t>
      </w:r>
      <w:r>
        <w:rPr>
          <w:rFonts w:ascii="Georgia" w:hAnsi="Georgia"/>
        </w:rPr>
        <w:t xml:space="preserve"> </w:t>
      </w:r>
      <w:r w:rsidRPr="00D7297E">
        <w:rPr>
          <w:rFonts w:ascii="Georgia" w:hAnsi="Georgia"/>
        </w:rPr>
        <w:t>liberalizaci víz ve všech zemích západního Balkánu, které liberalizace víz dosáhly, a zejména</w:t>
      </w:r>
      <w:r>
        <w:rPr>
          <w:rFonts w:ascii="Georgia" w:hAnsi="Georgia"/>
        </w:rPr>
        <w:t xml:space="preserve"> Komise </w:t>
      </w:r>
      <w:r w:rsidRPr="00D7297E">
        <w:rPr>
          <w:rFonts w:ascii="Georgia" w:hAnsi="Georgia"/>
        </w:rPr>
        <w:t>uvedla, že v případě náhlého přílivu státních příslušníků jedné či více třetích zemí včetně</w:t>
      </w:r>
      <w:r>
        <w:rPr>
          <w:rFonts w:ascii="Georgia" w:hAnsi="Georgia"/>
        </w:rPr>
        <w:t xml:space="preserve"> </w:t>
      </w:r>
      <w:r w:rsidRPr="00D7297E">
        <w:rPr>
          <w:rFonts w:ascii="Georgia" w:hAnsi="Georgia"/>
        </w:rPr>
        <w:t>státních příslušníků zemí západního Balkánu do jednoho či více členských států může Komise</w:t>
      </w:r>
      <w:r>
        <w:rPr>
          <w:rFonts w:ascii="Georgia" w:hAnsi="Georgia"/>
        </w:rPr>
        <w:t xml:space="preserve"> </w:t>
      </w:r>
      <w:r w:rsidRPr="00D7297E">
        <w:rPr>
          <w:rFonts w:ascii="Georgia" w:hAnsi="Georgia"/>
        </w:rPr>
        <w:t>navrhnout, aby Rada ve prospěch dotyčných členských států přijala dočasná opatření</w:t>
      </w:r>
      <w:r>
        <w:rPr>
          <w:rFonts w:ascii="Georgia" w:hAnsi="Georgia"/>
        </w:rPr>
        <w:t xml:space="preserve"> </w:t>
      </w:r>
      <w:r w:rsidRPr="00D7297E">
        <w:rPr>
          <w:rFonts w:ascii="Georgia" w:hAnsi="Georgia"/>
        </w:rPr>
        <w:t>v souladu s článkem 78 Smlouvy a aby rychle pozastavila liberalizaci víz.</w:t>
      </w:r>
    </w:p>
    <w:p w14:paraId="5D85CE42" w14:textId="77777777" w:rsidR="0019718E" w:rsidRDefault="0019718E" w:rsidP="0019718E">
      <w:pPr>
        <w:ind w:left="705" w:hanging="705"/>
        <w:rPr>
          <w:rFonts w:ascii="Georgia" w:hAnsi="Georgia"/>
        </w:rPr>
      </w:pPr>
    </w:p>
    <w:p w14:paraId="71469BC1" w14:textId="77777777" w:rsidR="0019718E" w:rsidRDefault="0019718E" w:rsidP="0019718E">
      <w:pPr>
        <w:ind w:left="705" w:hanging="705"/>
        <w:rPr>
          <w:rFonts w:ascii="Georgia" w:hAnsi="Georgia"/>
        </w:rPr>
      </w:pPr>
      <w:r>
        <w:rPr>
          <w:rFonts w:ascii="Georgia" w:hAnsi="Georgia"/>
        </w:rPr>
        <w:t>2.</w:t>
      </w:r>
      <w:r>
        <w:rPr>
          <w:rFonts w:ascii="Georgia" w:hAnsi="Georgia"/>
        </w:rPr>
        <w:tab/>
      </w:r>
      <w:r w:rsidRPr="0015289B">
        <w:rPr>
          <w:rFonts w:ascii="Georgia" w:hAnsi="Georgia"/>
        </w:rPr>
        <w:t>Bezvízový styk plat</w:t>
      </w:r>
      <w:r>
        <w:rPr>
          <w:rFonts w:ascii="Georgia" w:hAnsi="Georgia"/>
        </w:rPr>
        <w:t>í</w:t>
      </w:r>
      <w:r w:rsidRPr="0015289B">
        <w:rPr>
          <w:rFonts w:ascii="Georgia" w:hAnsi="Georgia"/>
        </w:rPr>
        <w:t xml:space="preserve"> pro všechny občany zmiňovaných zemí, kteří jsou držitelé pasů s biometrickými údaji. Cesta, kterou si však naplánují, nesmí během šesti měsíců přesáhnout 90 dní. Občané, kteří nemají pas s biometrickými údaji, a stejně tak obyvatelé Kosova, kteří vlastní srbský pas, </w:t>
      </w:r>
      <w:r>
        <w:rPr>
          <w:rFonts w:ascii="Georgia" w:hAnsi="Georgia"/>
        </w:rPr>
        <w:t>musí</w:t>
      </w:r>
      <w:r w:rsidRPr="0015289B">
        <w:rPr>
          <w:rFonts w:ascii="Georgia" w:hAnsi="Georgia"/>
        </w:rPr>
        <w:t xml:space="preserve"> o vízum žádat i nadále. Vízum potřeb</w:t>
      </w:r>
      <w:r>
        <w:rPr>
          <w:rFonts w:ascii="Georgia" w:hAnsi="Georgia"/>
        </w:rPr>
        <w:t>ují</w:t>
      </w:r>
      <w:r w:rsidRPr="0015289B">
        <w:rPr>
          <w:rFonts w:ascii="Georgia" w:hAnsi="Georgia"/>
        </w:rPr>
        <w:t xml:space="preserve"> i osoby, které zamýšlí v </w:t>
      </w:r>
      <w:proofErr w:type="spellStart"/>
      <w:r w:rsidRPr="0015289B">
        <w:rPr>
          <w:rFonts w:ascii="Georgia" w:hAnsi="Georgia"/>
        </w:rPr>
        <w:t>Schengenu</w:t>
      </w:r>
      <w:proofErr w:type="spellEnd"/>
      <w:r w:rsidRPr="0015289B">
        <w:rPr>
          <w:rFonts w:ascii="Georgia" w:hAnsi="Georgia"/>
        </w:rPr>
        <w:t xml:space="preserve"> pracovat (byť v období kratším než stanovených 90 dní). Navíc musí požádat i o pracovní povolení.</w:t>
      </w:r>
    </w:p>
    <w:p w14:paraId="3CD23CE4" w14:textId="77777777" w:rsidR="0019718E" w:rsidRPr="00D441D6" w:rsidRDefault="0019718E" w:rsidP="0019718E">
      <w:pPr>
        <w:rPr>
          <w:rFonts w:ascii="Georgia" w:hAnsi="Georgia"/>
        </w:rPr>
      </w:pPr>
    </w:p>
    <w:p w14:paraId="6876C161" w14:textId="77777777" w:rsidR="0019718E" w:rsidRPr="00D441D6" w:rsidRDefault="0019718E" w:rsidP="0019718E">
      <w:pPr>
        <w:ind w:left="705" w:hanging="705"/>
        <w:rPr>
          <w:rFonts w:ascii="Georgia" w:hAnsi="Georgia"/>
        </w:rPr>
      </w:pPr>
      <w:r>
        <w:rPr>
          <w:rFonts w:ascii="Georgia" w:hAnsi="Georgia"/>
        </w:rPr>
        <w:t>3</w:t>
      </w:r>
      <w:r w:rsidRPr="00D441D6">
        <w:rPr>
          <w:rFonts w:ascii="Georgia" w:hAnsi="Georgia"/>
        </w:rPr>
        <w:t>.</w:t>
      </w:r>
      <w:r w:rsidRPr="00D441D6">
        <w:rPr>
          <w:rFonts w:ascii="Georgia" w:hAnsi="Georgia"/>
        </w:rPr>
        <w:tab/>
      </w:r>
      <w:r w:rsidRPr="008F2F57">
        <w:rPr>
          <w:rFonts w:ascii="Georgia" w:hAnsi="Georgia"/>
        </w:rPr>
        <w:t xml:space="preserve">Toto nařízení </w:t>
      </w:r>
      <w:r>
        <w:rPr>
          <w:rFonts w:ascii="Georgia" w:hAnsi="Georgia"/>
        </w:rPr>
        <w:t xml:space="preserve">reaguje na zvýšený počet žádostí o azyl obyvatel zemí západního Balkánu a </w:t>
      </w:r>
      <w:r w:rsidRPr="008F2F57">
        <w:rPr>
          <w:rFonts w:ascii="Georgia" w:hAnsi="Georgia"/>
        </w:rPr>
        <w:t xml:space="preserve">stanoví </w:t>
      </w:r>
      <w:r>
        <w:rPr>
          <w:rFonts w:ascii="Georgia" w:hAnsi="Georgia"/>
        </w:rPr>
        <w:t>znovuzavedení vízové povinnosti pro Makedonii,</w:t>
      </w:r>
      <w:r w:rsidRPr="00441674">
        <w:rPr>
          <w:rFonts w:ascii="Georgia" w:hAnsi="Georgia"/>
        </w:rPr>
        <w:t xml:space="preserve"> Srbsk</w:t>
      </w:r>
      <w:r>
        <w:rPr>
          <w:rFonts w:ascii="Georgia" w:hAnsi="Georgia"/>
        </w:rPr>
        <w:t>o</w:t>
      </w:r>
      <w:r w:rsidRPr="00441674">
        <w:rPr>
          <w:rFonts w:ascii="Georgia" w:hAnsi="Georgia"/>
        </w:rPr>
        <w:t>, Albánii, Čern</w:t>
      </w:r>
      <w:r>
        <w:rPr>
          <w:rFonts w:ascii="Georgia" w:hAnsi="Georgia"/>
        </w:rPr>
        <w:t>ou</w:t>
      </w:r>
      <w:r w:rsidRPr="00441674">
        <w:rPr>
          <w:rFonts w:ascii="Georgia" w:hAnsi="Georgia"/>
        </w:rPr>
        <w:t xml:space="preserve"> Ho</w:t>
      </w:r>
      <w:r>
        <w:rPr>
          <w:rFonts w:ascii="Georgia" w:hAnsi="Georgia"/>
        </w:rPr>
        <w:t>ru</w:t>
      </w:r>
      <w:r w:rsidRPr="00441674">
        <w:rPr>
          <w:rFonts w:ascii="Georgia" w:hAnsi="Georgia"/>
        </w:rPr>
        <w:t xml:space="preserve"> a Bosn</w:t>
      </w:r>
      <w:r>
        <w:rPr>
          <w:rFonts w:ascii="Georgia" w:hAnsi="Georgia"/>
        </w:rPr>
        <w:t>u</w:t>
      </w:r>
      <w:r w:rsidRPr="00441674">
        <w:rPr>
          <w:rFonts w:ascii="Georgia" w:hAnsi="Georgia"/>
        </w:rPr>
        <w:t xml:space="preserve"> a Hercegovin</w:t>
      </w:r>
      <w:r>
        <w:rPr>
          <w:rFonts w:ascii="Georgia" w:hAnsi="Georgia"/>
        </w:rPr>
        <w:t>u.</w:t>
      </w:r>
    </w:p>
    <w:p w14:paraId="2EE59C2D" w14:textId="77777777" w:rsidR="0019718E" w:rsidRPr="00D441D6" w:rsidRDefault="0019718E" w:rsidP="0019718E">
      <w:pPr>
        <w:ind w:left="705" w:hanging="705"/>
        <w:rPr>
          <w:rFonts w:ascii="Georgia" w:hAnsi="Georgia"/>
        </w:rPr>
      </w:pPr>
    </w:p>
    <w:p w14:paraId="39A54071" w14:textId="77777777" w:rsidR="0019718E" w:rsidRPr="00D441D6" w:rsidRDefault="0019718E" w:rsidP="0019718E">
      <w:pPr>
        <w:ind w:left="705" w:hanging="705"/>
        <w:rPr>
          <w:rFonts w:ascii="Georgia" w:hAnsi="Georgia"/>
        </w:rPr>
      </w:pPr>
      <w:r>
        <w:rPr>
          <w:rFonts w:ascii="Georgia" w:hAnsi="Georgia"/>
        </w:rPr>
        <w:t>4</w:t>
      </w:r>
      <w:r w:rsidRPr="00D441D6">
        <w:rPr>
          <w:rFonts w:ascii="Georgia" w:hAnsi="Georgia"/>
        </w:rPr>
        <w:t>.</w:t>
      </w:r>
      <w:r w:rsidRPr="00D441D6">
        <w:rPr>
          <w:rFonts w:ascii="Georgia" w:hAnsi="Georgia"/>
        </w:rPr>
        <w:tab/>
      </w:r>
      <w:r w:rsidRPr="00D7297E">
        <w:rPr>
          <w:rFonts w:ascii="Georgia" w:hAnsi="Georgia"/>
        </w:rPr>
        <w:t>V zájmu zajištění stejných podmínek pro provádění t</w:t>
      </w:r>
      <w:r>
        <w:rPr>
          <w:rFonts w:ascii="Georgia" w:hAnsi="Georgia"/>
        </w:rPr>
        <w:t>ohoto nařízení</w:t>
      </w:r>
      <w:r w:rsidRPr="00D7297E">
        <w:rPr>
          <w:rFonts w:ascii="Georgia" w:hAnsi="Georgia"/>
        </w:rPr>
        <w:t xml:space="preserve"> by</w:t>
      </w:r>
      <w:r>
        <w:rPr>
          <w:rFonts w:ascii="Georgia" w:hAnsi="Georgia"/>
        </w:rPr>
        <w:t xml:space="preserve"> </w:t>
      </w:r>
      <w:r w:rsidRPr="00D7297E">
        <w:rPr>
          <w:rFonts w:ascii="Georgia" w:hAnsi="Georgia"/>
        </w:rPr>
        <w:t>měly být prováděcí pravomoci svěřeny Komisi. Tyto pravomoci by měly být</w:t>
      </w:r>
      <w:r>
        <w:rPr>
          <w:rFonts w:ascii="Georgia" w:hAnsi="Georgia"/>
        </w:rPr>
        <w:t xml:space="preserve"> </w:t>
      </w:r>
      <w:r w:rsidRPr="00D7297E">
        <w:rPr>
          <w:rFonts w:ascii="Georgia" w:hAnsi="Georgia"/>
        </w:rPr>
        <w:t>vykonávány v souladu s nařízením Evropského parlamentu a Rady (EU) č. 182/2011</w:t>
      </w:r>
      <w:r>
        <w:rPr>
          <w:rFonts w:ascii="Georgia" w:hAnsi="Georgia"/>
        </w:rPr>
        <w:t xml:space="preserve"> </w:t>
      </w:r>
      <w:r w:rsidRPr="00D7297E">
        <w:rPr>
          <w:rFonts w:ascii="Georgia" w:hAnsi="Georgia"/>
        </w:rPr>
        <w:t>ze dne 16. února 2011, kterým se stanoví pravidla a obecné zásady způsobu, jakým</w:t>
      </w:r>
      <w:r>
        <w:rPr>
          <w:rFonts w:ascii="Georgia" w:hAnsi="Georgia"/>
        </w:rPr>
        <w:t xml:space="preserve"> </w:t>
      </w:r>
      <w:r w:rsidRPr="00D7297E">
        <w:rPr>
          <w:rFonts w:ascii="Georgia" w:hAnsi="Georgia"/>
        </w:rPr>
        <w:t>členské státy kontrolují Komisi při výkonu prováděcích pravomocí</w:t>
      </w:r>
      <w:r>
        <w:rPr>
          <w:rFonts w:ascii="Georgia" w:hAnsi="Georgia"/>
        </w:rPr>
        <w:t>.</w:t>
      </w:r>
    </w:p>
    <w:p w14:paraId="13A5FD94" w14:textId="77777777" w:rsidR="0019718E" w:rsidRDefault="0019718E" w:rsidP="0019718E">
      <w:pPr>
        <w:ind w:left="705" w:hanging="705"/>
        <w:rPr>
          <w:rFonts w:ascii="Georgia" w:hAnsi="Georgia"/>
        </w:rPr>
      </w:pPr>
    </w:p>
    <w:p w14:paraId="61FDD807" w14:textId="77777777" w:rsidR="0019718E" w:rsidRDefault="0019718E" w:rsidP="0019718E">
      <w:pPr>
        <w:ind w:left="705" w:hanging="705"/>
        <w:rPr>
          <w:rFonts w:ascii="Georgia" w:hAnsi="Georgia"/>
        </w:rPr>
      </w:pPr>
    </w:p>
    <w:p w14:paraId="62556666" w14:textId="77777777" w:rsidR="0019718E" w:rsidRDefault="0019718E" w:rsidP="0019718E">
      <w:pPr>
        <w:ind w:left="705" w:hanging="705"/>
        <w:rPr>
          <w:rFonts w:ascii="Georgia" w:hAnsi="Georgia"/>
        </w:rPr>
      </w:pPr>
    </w:p>
    <w:p w14:paraId="01463971" w14:textId="77777777" w:rsidR="0019718E" w:rsidRDefault="0019718E" w:rsidP="0019718E">
      <w:pPr>
        <w:ind w:left="705" w:hanging="705"/>
        <w:rPr>
          <w:rFonts w:ascii="Georgia" w:hAnsi="Georgia"/>
        </w:rPr>
      </w:pPr>
    </w:p>
    <w:p w14:paraId="7E16441E" w14:textId="77777777" w:rsidR="0019718E" w:rsidRPr="00D441D6" w:rsidRDefault="0019718E" w:rsidP="0019718E">
      <w:pPr>
        <w:ind w:left="705" w:hanging="705"/>
        <w:rPr>
          <w:rFonts w:ascii="Georgia" w:hAnsi="Georgia"/>
        </w:rPr>
      </w:pPr>
    </w:p>
    <w:p w14:paraId="51FF9BA7" w14:textId="77777777" w:rsidR="0019718E" w:rsidRDefault="0019718E" w:rsidP="0019718E">
      <w:pPr>
        <w:ind w:left="705" w:hanging="705"/>
        <w:rPr>
          <w:rFonts w:ascii="Georgia" w:hAnsi="Georgia"/>
        </w:rPr>
      </w:pPr>
    </w:p>
    <w:p w14:paraId="37402936" w14:textId="04552881" w:rsidR="0019718E" w:rsidRPr="00D441D6" w:rsidRDefault="0019718E" w:rsidP="0019718E">
      <w:pPr>
        <w:ind w:left="705" w:hanging="705"/>
        <w:rPr>
          <w:rFonts w:ascii="Georgia" w:hAnsi="Georgia"/>
        </w:rPr>
      </w:pPr>
      <w:r w:rsidRPr="0015289B">
        <w:rPr>
          <w:rFonts w:ascii="Georgia" w:hAnsi="Georgia"/>
        </w:rPr>
        <w:lastRenderedPageBreak/>
        <w:t>PŘIJALY TOTO NAŘÍZENÍ:</w:t>
      </w:r>
    </w:p>
    <w:p w14:paraId="3379DACE" w14:textId="77777777" w:rsidR="0019718E" w:rsidRDefault="0019718E" w:rsidP="0019718E">
      <w:pPr>
        <w:jc w:val="center"/>
        <w:rPr>
          <w:rFonts w:ascii="Georgia" w:hAnsi="Georgia"/>
        </w:rPr>
      </w:pPr>
    </w:p>
    <w:p w14:paraId="64CBD0AC" w14:textId="77777777" w:rsidR="0019718E" w:rsidRPr="00C44BFD" w:rsidRDefault="0019718E" w:rsidP="0019718E">
      <w:pPr>
        <w:jc w:val="center"/>
        <w:rPr>
          <w:rFonts w:ascii="Georgia" w:hAnsi="Georgia"/>
          <w:i/>
        </w:rPr>
      </w:pPr>
      <w:r w:rsidRPr="00C44BFD">
        <w:rPr>
          <w:rFonts w:ascii="Georgia" w:hAnsi="Georgia"/>
          <w:i/>
        </w:rPr>
        <w:t>Článek 1</w:t>
      </w:r>
    </w:p>
    <w:p w14:paraId="7A114D64" w14:textId="77777777" w:rsidR="0019718E" w:rsidRDefault="0019718E" w:rsidP="0019718E">
      <w:pPr>
        <w:rPr>
          <w:rFonts w:ascii="Georgia" w:hAnsi="Georgia"/>
        </w:rPr>
      </w:pPr>
    </w:p>
    <w:p w14:paraId="04D2FFA6" w14:textId="77777777" w:rsidR="0019718E" w:rsidRPr="00C44BFD" w:rsidRDefault="0019718E" w:rsidP="0019718E">
      <w:pPr>
        <w:pStyle w:val="Odstavecseseznamem"/>
        <w:numPr>
          <w:ilvl w:val="0"/>
          <w:numId w:val="1"/>
        </w:numPr>
        <w:rPr>
          <w:rFonts w:ascii="Georgia" w:hAnsi="Georgia"/>
        </w:rPr>
      </w:pPr>
      <w:r w:rsidRPr="00C44BFD">
        <w:rPr>
          <w:rFonts w:ascii="Georgia" w:hAnsi="Georgia"/>
        </w:rPr>
        <w:t>Státní příslušníci Makedonie, Srbska, Albánie, Černé Hory a Bosny a Hercegoviny jsou povinni mít při překračování vnějších hranic členských států</w:t>
      </w:r>
      <w:r>
        <w:rPr>
          <w:rFonts w:ascii="Georgia" w:hAnsi="Georgia"/>
        </w:rPr>
        <w:t xml:space="preserve"> </w:t>
      </w:r>
      <w:r w:rsidRPr="00C44BFD">
        <w:rPr>
          <w:rFonts w:ascii="Georgia" w:hAnsi="Georgia"/>
        </w:rPr>
        <w:t>vízum.</w:t>
      </w:r>
    </w:p>
    <w:p w14:paraId="2DA642C5" w14:textId="77777777" w:rsidR="0019718E" w:rsidRDefault="0019718E" w:rsidP="0019718E">
      <w:pPr>
        <w:rPr>
          <w:rFonts w:ascii="Georgia" w:hAnsi="Georgia"/>
        </w:rPr>
      </w:pPr>
    </w:p>
    <w:p w14:paraId="5E5C53A2" w14:textId="77777777" w:rsidR="0019718E" w:rsidRPr="00C44BFD" w:rsidRDefault="0019718E" w:rsidP="0019718E">
      <w:pPr>
        <w:jc w:val="center"/>
        <w:rPr>
          <w:rFonts w:ascii="Georgia" w:hAnsi="Georgia"/>
          <w:i/>
        </w:rPr>
      </w:pPr>
      <w:r w:rsidRPr="00C44BFD">
        <w:rPr>
          <w:rFonts w:ascii="Georgia" w:hAnsi="Georgia"/>
          <w:i/>
        </w:rPr>
        <w:t>Článek 2</w:t>
      </w:r>
    </w:p>
    <w:p w14:paraId="1701666A" w14:textId="77777777" w:rsidR="0019718E" w:rsidRDefault="0019718E" w:rsidP="0019718E">
      <w:pPr>
        <w:pStyle w:val="Odstavecseseznamem"/>
        <w:numPr>
          <w:ilvl w:val="0"/>
          <w:numId w:val="2"/>
        </w:numPr>
        <w:rPr>
          <w:rFonts w:ascii="Georgia" w:hAnsi="Georgia"/>
        </w:rPr>
      </w:pPr>
      <w:r w:rsidRPr="00C44BFD">
        <w:rPr>
          <w:rFonts w:ascii="Georgia" w:hAnsi="Georgia"/>
        </w:rPr>
        <w:t>Pro účely tohoto nařízení se „vízem“ rozumí oprávnění udělené členským státem za účelem průjezdu přes území členských států nebo zamýšleného pobytu na území členských států, jehož délka nepřekročí tři měsíce během jakéhokoli šestiměsíčního období od data prvního vstupu na území členských států.</w:t>
      </w:r>
    </w:p>
    <w:p w14:paraId="2BC2ADF3" w14:textId="77777777" w:rsidR="0019718E" w:rsidRDefault="0019718E" w:rsidP="0019718E">
      <w:pPr>
        <w:ind w:left="360"/>
        <w:rPr>
          <w:rFonts w:ascii="Georgia" w:hAnsi="Georgia"/>
        </w:rPr>
      </w:pPr>
    </w:p>
    <w:p w14:paraId="66981B04" w14:textId="77777777" w:rsidR="0019718E" w:rsidRPr="00C44BFD" w:rsidRDefault="0019718E" w:rsidP="0019718E">
      <w:pPr>
        <w:jc w:val="center"/>
        <w:rPr>
          <w:rFonts w:ascii="Georgia" w:hAnsi="Georgia"/>
          <w:i/>
        </w:rPr>
      </w:pPr>
      <w:r w:rsidRPr="00C44BFD">
        <w:rPr>
          <w:rFonts w:ascii="Georgia" w:hAnsi="Georgia"/>
          <w:i/>
        </w:rPr>
        <w:t xml:space="preserve">Článek </w:t>
      </w:r>
      <w:r>
        <w:rPr>
          <w:rFonts w:ascii="Georgia" w:hAnsi="Georgia"/>
          <w:i/>
        </w:rPr>
        <w:t>3</w:t>
      </w:r>
    </w:p>
    <w:p w14:paraId="74515D30" w14:textId="77777777" w:rsidR="0019718E" w:rsidRDefault="0019718E" w:rsidP="0019718E">
      <w:pPr>
        <w:pStyle w:val="Odstavecseseznamem"/>
        <w:numPr>
          <w:ilvl w:val="0"/>
          <w:numId w:val="3"/>
        </w:numPr>
        <w:rPr>
          <w:rFonts w:ascii="Georgia" w:hAnsi="Georgia"/>
        </w:rPr>
      </w:pPr>
      <w:r w:rsidRPr="00320674">
        <w:rPr>
          <w:rFonts w:ascii="Georgia" w:hAnsi="Georgia"/>
        </w:rPr>
        <w:t>Členský stát může stanovit výjimky z vízové povinnosti stanovené v čl. 1 odst. 1, pokud jde o</w:t>
      </w:r>
    </w:p>
    <w:p w14:paraId="7070FA7D" w14:textId="77777777" w:rsidR="0019718E" w:rsidRDefault="0019718E" w:rsidP="0019718E">
      <w:pPr>
        <w:pStyle w:val="Odstavecseseznamem"/>
        <w:numPr>
          <w:ilvl w:val="0"/>
          <w:numId w:val="4"/>
        </w:numPr>
        <w:rPr>
          <w:rFonts w:ascii="Georgia" w:hAnsi="Georgia"/>
        </w:rPr>
      </w:pPr>
      <w:r w:rsidRPr="00320674">
        <w:rPr>
          <w:rFonts w:ascii="Georgia" w:hAnsi="Georgia"/>
        </w:rPr>
        <w:t>držitele diplomatických pasů, služebních/úředních pasů nebo zvláštních pasů;</w:t>
      </w:r>
    </w:p>
    <w:p w14:paraId="39467796" w14:textId="77777777" w:rsidR="0019718E" w:rsidRDefault="0019718E" w:rsidP="0019718E">
      <w:pPr>
        <w:pStyle w:val="Odstavecseseznamem"/>
        <w:numPr>
          <w:ilvl w:val="0"/>
          <w:numId w:val="4"/>
        </w:numPr>
        <w:rPr>
          <w:rFonts w:ascii="Georgia" w:hAnsi="Georgia"/>
        </w:rPr>
      </w:pPr>
      <w:r w:rsidRPr="00320674">
        <w:rPr>
          <w:rFonts w:ascii="Georgia" w:hAnsi="Georgia"/>
        </w:rPr>
        <w:t>civilní posádku lodí plavících se v mezinárodních vodách;</w:t>
      </w:r>
    </w:p>
    <w:p w14:paraId="5F6677CD" w14:textId="77777777" w:rsidR="0019718E" w:rsidRDefault="0019718E" w:rsidP="0019718E">
      <w:pPr>
        <w:pStyle w:val="Odstavecseseznamem"/>
        <w:numPr>
          <w:ilvl w:val="0"/>
          <w:numId w:val="4"/>
        </w:numPr>
        <w:rPr>
          <w:rFonts w:ascii="Georgia" w:hAnsi="Georgia"/>
        </w:rPr>
      </w:pPr>
      <w:r w:rsidRPr="00320674">
        <w:rPr>
          <w:rFonts w:ascii="Georgia" w:hAnsi="Georgia"/>
        </w:rPr>
        <w:t>držitele propustek, diplomatických nebo služebních pasů vydaných určitými mezivládními mezinárodními organizacemi nebo jinými subjekty podléhajícími</w:t>
      </w:r>
      <w:r>
        <w:rPr>
          <w:rFonts w:ascii="Georgia" w:hAnsi="Georgia"/>
        </w:rPr>
        <w:t xml:space="preserve"> </w:t>
      </w:r>
      <w:r w:rsidRPr="00320674">
        <w:rPr>
          <w:rFonts w:ascii="Georgia" w:hAnsi="Georgia"/>
        </w:rPr>
        <w:t>mezinárodnímu právu jejich úředníkům.</w:t>
      </w:r>
    </w:p>
    <w:p w14:paraId="790EEA28" w14:textId="77777777" w:rsidR="0019718E" w:rsidRPr="004E2BBE" w:rsidRDefault="0019718E" w:rsidP="0019718E">
      <w:pPr>
        <w:rPr>
          <w:rFonts w:ascii="Georgia" w:hAnsi="Georgia"/>
        </w:rPr>
      </w:pPr>
    </w:p>
    <w:p w14:paraId="4C39F5F2" w14:textId="77777777" w:rsidR="0019718E" w:rsidRPr="00C44BFD" w:rsidRDefault="0019718E" w:rsidP="0019718E">
      <w:pPr>
        <w:jc w:val="center"/>
        <w:rPr>
          <w:rFonts w:ascii="Georgia" w:hAnsi="Georgia"/>
          <w:i/>
        </w:rPr>
      </w:pPr>
      <w:r w:rsidRPr="00C44BFD">
        <w:rPr>
          <w:rFonts w:ascii="Georgia" w:hAnsi="Georgia"/>
          <w:i/>
        </w:rPr>
        <w:t xml:space="preserve">Článek </w:t>
      </w:r>
      <w:r>
        <w:rPr>
          <w:rFonts w:ascii="Georgia" w:hAnsi="Georgia"/>
          <w:i/>
        </w:rPr>
        <w:t>4</w:t>
      </w:r>
    </w:p>
    <w:p w14:paraId="669D10AA" w14:textId="77777777" w:rsidR="0019718E" w:rsidRDefault="0019718E" w:rsidP="0019718E">
      <w:pPr>
        <w:pStyle w:val="Odstavecseseznamem"/>
        <w:numPr>
          <w:ilvl w:val="0"/>
          <w:numId w:val="5"/>
        </w:numPr>
        <w:rPr>
          <w:rFonts w:ascii="Georgia" w:hAnsi="Georgia"/>
        </w:rPr>
      </w:pPr>
      <w:r w:rsidRPr="001A2842">
        <w:rPr>
          <w:rFonts w:ascii="Georgia" w:hAnsi="Georgia"/>
        </w:rPr>
        <w:t>Toto nařízení vstupuje v platnost dvacátým dnem po vyhlášení v Úředním věstníku Evropské</w:t>
      </w:r>
      <w:r>
        <w:rPr>
          <w:rFonts w:ascii="Georgia" w:hAnsi="Georgia"/>
        </w:rPr>
        <w:t xml:space="preserve"> </w:t>
      </w:r>
      <w:r w:rsidRPr="001A2842">
        <w:rPr>
          <w:rFonts w:ascii="Georgia" w:hAnsi="Georgia"/>
        </w:rPr>
        <w:t>unie.</w:t>
      </w:r>
    </w:p>
    <w:p w14:paraId="32953C19" w14:textId="77777777" w:rsidR="0019718E" w:rsidRDefault="0019718E" w:rsidP="0019718E">
      <w:pPr>
        <w:pStyle w:val="Odstavecseseznamem"/>
        <w:rPr>
          <w:rFonts w:ascii="Georgia" w:hAnsi="Georgia"/>
        </w:rPr>
      </w:pPr>
      <w:r w:rsidRPr="001A2842">
        <w:rPr>
          <w:rFonts w:ascii="Georgia" w:hAnsi="Georgia"/>
        </w:rPr>
        <w:t>Toto nařízení je závazné v celém rozsahu a přímo použitelné v zúčastněných členských</w:t>
      </w:r>
      <w:r>
        <w:rPr>
          <w:rFonts w:ascii="Georgia" w:hAnsi="Georgia"/>
        </w:rPr>
        <w:t xml:space="preserve"> </w:t>
      </w:r>
      <w:r w:rsidRPr="001A2842">
        <w:rPr>
          <w:rFonts w:ascii="Georgia" w:hAnsi="Georgia"/>
        </w:rPr>
        <w:t>státech v souladu se Smlouvami.</w:t>
      </w:r>
    </w:p>
    <w:p w14:paraId="222F6BF7" w14:textId="77777777" w:rsidR="0019718E" w:rsidRPr="001A2842" w:rsidRDefault="0019718E" w:rsidP="0019718E">
      <w:pPr>
        <w:pStyle w:val="Odstavecseseznamem"/>
        <w:numPr>
          <w:ilvl w:val="0"/>
          <w:numId w:val="5"/>
        </w:numPr>
        <w:rPr>
          <w:rFonts w:ascii="Georgia" w:hAnsi="Georgia"/>
        </w:rPr>
      </w:pPr>
      <w:r>
        <w:rPr>
          <w:rFonts w:ascii="Georgia" w:hAnsi="Georgia"/>
        </w:rPr>
        <w:t>Toto nařízení je platné do 30. června 2025, kdy dojde k jeho přezkoumání.</w:t>
      </w:r>
    </w:p>
    <w:p w14:paraId="104DB741" w14:textId="77777777" w:rsidR="0019718E" w:rsidRDefault="0019718E" w:rsidP="0019718E">
      <w:pPr>
        <w:pStyle w:val="Odstavecseseznamem"/>
        <w:rPr>
          <w:rFonts w:ascii="Georgia" w:hAnsi="Georgia"/>
        </w:rPr>
      </w:pPr>
    </w:p>
    <w:p w14:paraId="107BE7E5" w14:textId="77777777" w:rsidR="0019718E" w:rsidRPr="001A2842" w:rsidRDefault="0019718E" w:rsidP="0019718E">
      <w:pPr>
        <w:pStyle w:val="Odstavecseseznamem"/>
        <w:rPr>
          <w:rFonts w:ascii="Georgia" w:hAnsi="Georgia"/>
        </w:rPr>
      </w:pPr>
    </w:p>
    <w:p w14:paraId="7C7C0744" w14:textId="77777777" w:rsidR="0019718E" w:rsidRPr="00D441D6" w:rsidRDefault="0019718E" w:rsidP="0019718E">
      <w:pPr>
        <w:rPr>
          <w:rFonts w:ascii="Georgia" w:hAnsi="Georgia"/>
        </w:rPr>
      </w:pPr>
      <w:r w:rsidRPr="00D441D6">
        <w:rPr>
          <w:rFonts w:ascii="Georgia" w:hAnsi="Georgia"/>
        </w:rPr>
        <w:t>V</w:t>
      </w:r>
      <w:r>
        <w:rPr>
          <w:rFonts w:ascii="Georgia" w:hAnsi="Georgia"/>
        </w:rPr>
        <w:t> Brně dne 2.1.2024</w:t>
      </w:r>
      <w:r w:rsidRPr="00D441D6">
        <w:rPr>
          <w:rFonts w:ascii="Georgia" w:hAnsi="Georgia"/>
        </w:rPr>
        <w:t xml:space="preserve"> </w:t>
      </w:r>
    </w:p>
    <w:p w14:paraId="3D2FBC0E" w14:textId="77777777" w:rsidR="0019718E" w:rsidRPr="00D441D6" w:rsidRDefault="0019718E" w:rsidP="0019718E">
      <w:pPr>
        <w:rPr>
          <w:rFonts w:ascii="Georgia" w:hAnsi="Georgia"/>
        </w:rPr>
      </w:pPr>
    </w:p>
    <w:p w14:paraId="6B4E44C4" w14:textId="77777777" w:rsidR="0019718E" w:rsidRPr="00642A51" w:rsidRDefault="0019718E" w:rsidP="0019718E">
      <w:pPr>
        <w:rPr>
          <w:rFonts w:ascii="Georgia" w:hAnsi="Georgia"/>
          <w:i/>
        </w:rPr>
      </w:pPr>
      <w:r w:rsidRPr="00642A51">
        <w:rPr>
          <w:rFonts w:ascii="Georgia" w:hAnsi="Georgia"/>
          <w:i/>
        </w:rPr>
        <w:t xml:space="preserve">Za Evropský parlament </w:t>
      </w:r>
      <w:r w:rsidRPr="00642A51">
        <w:rPr>
          <w:rFonts w:ascii="Georgia" w:hAnsi="Georgia"/>
          <w:i/>
        </w:rPr>
        <w:tab/>
      </w:r>
      <w:r w:rsidRPr="00642A51">
        <w:rPr>
          <w:rFonts w:ascii="Georgia" w:hAnsi="Georgia"/>
          <w:i/>
        </w:rPr>
        <w:tab/>
      </w:r>
      <w:r w:rsidRPr="00642A51">
        <w:rPr>
          <w:rFonts w:ascii="Georgia" w:hAnsi="Georgia"/>
          <w:i/>
        </w:rPr>
        <w:tab/>
      </w:r>
      <w:r w:rsidRPr="00642A51">
        <w:rPr>
          <w:rFonts w:ascii="Georgia" w:hAnsi="Georgia"/>
          <w:i/>
        </w:rPr>
        <w:tab/>
      </w:r>
      <w:r w:rsidRPr="00642A51">
        <w:rPr>
          <w:rFonts w:ascii="Georgia" w:hAnsi="Georgia"/>
          <w:i/>
        </w:rPr>
        <w:tab/>
      </w:r>
      <w:r w:rsidRPr="00642A51">
        <w:rPr>
          <w:rFonts w:ascii="Georgia" w:hAnsi="Georgia"/>
          <w:i/>
        </w:rPr>
        <w:tab/>
        <w:t>Za Radu</w:t>
      </w:r>
    </w:p>
    <w:p w14:paraId="34B111AF" w14:textId="77777777" w:rsidR="0019718E" w:rsidRDefault="0019718E" w:rsidP="0019718E">
      <w:pPr>
        <w:rPr>
          <w:rFonts w:ascii="Georgia" w:hAnsi="Georgia"/>
          <w:i/>
        </w:rPr>
      </w:pPr>
      <w:r w:rsidRPr="00642A51">
        <w:rPr>
          <w:rFonts w:ascii="Georgia" w:hAnsi="Georgia"/>
          <w:i/>
        </w:rPr>
        <w:t xml:space="preserve">předseda / předsedkyně </w:t>
      </w:r>
      <w:r w:rsidRPr="00642A51">
        <w:rPr>
          <w:rFonts w:ascii="Georgia" w:hAnsi="Georgia"/>
          <w:i/>
        </w:rPr>
        <w:tab/>
      </w:r>
      <w:r w:rsidRPr="00642A51">
        <w:rPr>
          <w:rFonts w:ascii="Georgia" w:hAnsi="Georgia"/>
          <w:i/>
        </w:rPr>
        <w:tab/>
      </w:r>
      <w:r w:rsidRPr="00642A51">
        <w:rPr>
          <w:rFonts w:ascii="Georgia" w:hAnsi="Georgia"/>
          <w:i/>
        </w:rPr>
        <w:tab/>
      </w:r>
      <w:r w:rsidRPr="00642A51">
        <w:rPr>
          <w:rFonts w:ascii="Georgia" w:hAnsi="Georgia"/>
          <w:i/>
        </w:rPr>
        <w:tab/>
      </w:r>
      <w:r w:rsidRPr="00642A51">
        <w:rPr>
          <w:rFonts w:ascii="Georgia" w:hAnsi="Georgia"/>
          <w:i/>
        </w:rPr>
        <w:tab/>
      </w:r>
      <w:r w:rsidRPr="00642A51">
        <w:rPr>
          <w:rFonts w:ascii="Georgia" w:hAnsi="Georgia"/>
          <w:i/>
        </w:rPr>
        <w:tab/>
        <w:t>předseda / předsedkyně</w:t>
      </w:r>
    </w:p>
    <w:p w14:paraId="0800316E" w14:textId="77777777" w:rsidR="0019718E" w:rsidRDefault="0019718E" w:rsidP="0019718E">
      <w:pPr>
        <w:rPr>
          <w:rFonts w:ascii="Georgia" w:hAnsi="Georgia"/>
          <w:i/>
        </w:rPr>
      </w:pPr>
    </w:p>
    <w:p w14:paraId="144542AA" w14:textId="77777777" w:rsidR="00C47E35" w:rsidRDefault="00C47E35"/>
    <w:sectPr w:rsidR="00C47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728"/>
    <w:multiLevelType w:val="hybridMultilevel"/>
    <w:tmpl w:val="6A5252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426328"/>
    <w:multiLevelType w:val="hybridMultilevel"/>
    <w:tmpl w:val="6FDC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507A2"/>
    <w:multiLevelType w:val="hybridMultilevel"/>
    <w:tmpl w:val="78F2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75858"/>
    <w:multiLevelType w:val="hybridMultilevel"/>
    <w:tmpl w:val="0E2CF464"/>
    <w:lvl w:ilvl="0" w:tplc="4656D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4226D"/>
    <w:multiLevelType w:val="hybridMultilevel"/>
    <w:tmpl w:val="CB9EE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8E"/>
    <w:rsid w:val="0019718E"/>
    <w:rsid w:val="00BE4949"/>
    <w:rsid w:val="00C47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79F3"/>
  <w15:chartTrackingRefBased/>
  <w15:docId w15:val="{81F1434A-08AF-42C8-94F6-32906CD2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718E"/>
    <w:pPr>
      <w:spacing w:before="120" w:after="120" w:line="240" w:lineRule="auto"/>
      <w:jc w:val="both"/>
    </w:pPr>
    <w:rPr>
      <w:rFonts w:ascii="Times New Roman" w:eastAsia="Times New Roman" w:hAnsi="Times New Roman" w:cs="Times New Roman"/>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2864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Malachta</dc:creator>
  <cp:keywords/>
  <dc:description/>
  <cp:lastModifiedBy>Radovan Malachta</cp:lastModifiedBy>
  <cp:revision>1</cp:revision>
  <dcterms:created xsi:type="dcterms:W3CDTF">2023-12-19T19:34:00Z</dcterms:created>
  <dcterms:modified xsi:type="dcterms:W3CDTF">2023-12-19T22:00:00Z</dcterms:modified>
</cp:coreProperties>
</file>