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66" w:rsidRPr="00953192" w:rsidRDefault="006862B0" w:rsidP="00A76D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3192">
        <w:rPr>
          <w:rFonts w:ascii="Times New Roman" w:hAnsi="Times New Roman"/>
          <w:b/>
          <w:sz w:val="24"/>
          <w:szCs w:val="24"/>
        </w:rPr>
        <w:t xml:space="preserve">Desatero </w:t>
      </w:r>
      <w:r w:rsidR="00AF6D66" w:rsidRPr="00953192">
        <w:rPr>
          <w:rFonts w:ascii="Times New Roman" w:hAnsi="Times New Roman"/>
          <w:b/>
          <w:sz w:val="24"/>
          <w:szCs w:val="24"/>
        </w:rPr>
        <w:t>o projevech nadaných</w:t>
      </w:r>
    </w:p>
    <w:p w:rsidR="0040454B" w:rsidRPr="00D306FD" w:rsidRDefault="002D19AF" w:rsidP="00A76DC0">
      <w:pPr>
        <w:spacing w:line="360" w:lineRule="auto"/>
        <w:rPr>
          <w:rFonts w:asciiTheme="minorHAnsi" w:hAnsiTheme="minorHAnsi"/>
        </w:rPr>
      </w:pPr>
      <w:r w:rsidRPr="00D306FD">
        <w:rPr>
          <w:rFonts w:asciiTheme="minorHAnsi" w:hAnsiTheme="minorHAnsi"/>
        </w:rPr>
        <w:t>Ž</w:t>
      </w:r>
      <w:r w:rsidR="007234FC" w:rsidRPr="00D306FD">
        <w:rPr>
          <w:rFonts w:asciiTheme="minorHAnsi" w:hAnsiTheme="minorHAnsi"/>
        </w:rPr>
        <w:t>ádné dvě děti nejsou zcela stejné</w:t>
      </w:r>
      <w:r w:rsidRPr="00D306FD">
        <w:rPr>
          <w:rFonts w:asciiTheme="minorHAnsi" w:hAnsiTheme="minorHAnsi"/>
        </w:rPr>
        <w:t xml:space="preserve"> a </w:t>
      </w:r>
      <w:r w:rsidR="007234FC" w:rsidRPr="00D306FD">
        <w:rPr>
          <w:rFonts w:asciiTheme="minorHAnsi" w:hAnsiTheme="minorHAnsi"/>
        </w:rPr>
        <w:t xml:space="preserve">o nadaných dětech platí totéž. </w:t>
      </w:r>
      <w:proofErr w:type="spellStart"/>
      <w:r w:rsidRPr="00D306FD">
        <w:rPr>
          <w:rFonts w:asciiTheme="minorHAnsi" w:hAnsiTheme="minorHAnsi"/>
        </w:rPr>
        <w:t>Clark</w:t>
      </w:r>
      <w:proofErr w:type="spellEnd"/>
      <w:r w:rsidRPr="00D306FD">
        <w:rPr>
          <w:rFonts w:asciiTheme="minorHAnsi" w:hAnsiTheme="minorHAnsi"/>
        </w:rPr>
        <w:t xml:space="preserve"> (2008) </w:t>
      </w:r>
      <w:r w:rsidR="00803C54" w:rsidRPr="00D306FD">
        <w:rPr>
          <w:rFonts w:asciiTheme="minorHAnsi" w:hAnsiTheme="minorHAnsi"/>
        </w:rPr>
        <w:t xml:space="preserve">dokonce </w:t>
      </w:r>
      <w:r w:rsidRPr="00D306FD">
        <w:rPr>
          <w:rFonts w:asciiTheme="minorHAnsi" w:hAnsiTheme="minorHAnsi"/>
        </w:rPr>
        <w:t xml:space="preserve">uvádí, že nadaní se od sebe odlišují více než jedinci intaktní populace. </w:t>
      </w:r>
      <w:r w:rsidR="007234FC" w:rsidRPr="00D306FD">
        <w:rPr>
          <w:rFonts w:asciiTheme="minorHAnsi" w:hAnsiTheme="minorHAnsi"/>
        </w:rPr>
        <w:t>Proto nelze nadané žáky vnímat jako homogenní skupinu</w:t>
      </w:r>
      <w:r w:rsidR="00803C54" w:rsidRPr="00D306FD">
        <w:rPr>
          <w:rFonts w:asciiTheme="minorHAnsi" w:hAnsiTheme="minorHAnsi"/>
        </w:rPr>
        <w:t xml:space="preserve"> (Fořtík</w:t>
      </w:r>
      <w:r w:rsidR="00417D60" w:rsidRPr="00D306FD">
        <w:rPr>
          <w:rFonts w:asciiTheme="minorHAnsi" w:hAnsiTheme="minorHAnsi"/>
        </w:rPr>
        <w:t xml:space="preserve"> a </w:t>
      </w:r>
      <w:proofErr w:type="spellStart"/>
      <w:r w:rsidR="00803C54" w:rsidRPr="00D306FD">
        <w:rPr>
          <w:rFonts w:asciiTheme="minorHAnsi" w:hAnsiTheme="minorHAnsi"/>
        </w:rPr>
        <w:t>Fořtíková</w:t>
      </w:r>
      <w:proofErr w:type="spellEnd"/>
      <w:r w:rsidR="00803C54" w:rsidRPr="00D306FD">
        <w:rPr>
          <w:rFonts w:asciiTheme="minorHAnsi" w:hAnsiTheme="minorHAnsi"/>
        </w:rPr>
        <w:t>, 2007)</w:t>
      </w:r>
      <w:r w:rsidR="007234FC" w:rsidRPr="00D306FD">
        <w:rPr>
          <w:rFonts w:asciiTheme="minorHAnsi" w:hAnsiTheme="minorHAnsi"/>
        </w:rPr>
        <w:t>.</w:t>
      </w:r>
      <w:r w:rsidR="00C822EB" w:rsidRPr="00D306FD">
        <w:rPr>
          <w:rFonts w:asciiTheme="minorHAnsi" w:hAnsiTheme="minorHAnsi"/>
        </w:rPr>
        <w:t xml:space="preserve"> </w:t>
      </w:r>
      <w:r w:rsidR="00AF09AC" w:rsidRPr="00D306FD">
        <w:rPr>
          <w:rFonts w:asciiTheme="minorHAnsi" w:hAnsiTheme="minorHAnsi"/>
        </w:rPr>
        <w:t xml:space="preserve">Přesto </w:t>
      </w:r>
      <w:r w:rsidR="00C822EB" w:rsidRPr="00D306FD">
        <w:rPr>
          <w:rFonts w:asciiTheme="minorHAnsi" w:hAnsiTheme="minorHAnsi"/>
        </w:rPr>
        <w:t xml:space="preserve">lze vymezit projevy, </w:t>
      </w:r>
      <w:r w:rsidR="0040454B" w:rsidRPr="00D306FD">
        <w:rPr>
          <w:rFonts w:asciiTheme="minorHAnsi" w:hAnsiTheme="minorHAnsi"/>
        </w:rPr>
        <w:t xml:space="preserve">se </w:t>
      </w:r>
      <w:r w:rsidR="00C822EB" w:rsidRPr="00D306FD">
        <w:rPr>
          <w:rFonts w:asciiTheme="minorHAnsi" w:hAnsiTheme="minorHAnsi"/>
        </w:rPr>
        <w:t>kter</w:t>
      </w:r>
      <w:r w:rsidR="00385B37" w:rsidRPr="00D306FD">
        <w:rPr>
          <w:rFonts w:asciiTheme="minorHAnsi" w:hAnsiTheme="minorHAnsi"/>
        </w:rPr>
        <w:t xml:space="preserve">ými se u </w:t>
      </w:r>
      <w:r w:rsidR="007234FC" w:rsidRPr="00D306FD">
        <w:rPr>
          <w:rFonts w:asciiTheme="minorHAnsi" w:hAnsiTheme="minorHAnsi"/>
        </w:rPr>
        <w:t>nadaných</w:t>
      </w:r>
      <w:r w:rsidR="00385B37" w:rsidRPr="00D306FD">
        <w:rPr>
          <w:rFonts w:asciiTheme="minorHAnsi" w:hAnsiTheme="minorHAnsi"/>
        </w:rPr>
        <w:t xml:space="preserve"> můžeme setkat a na které je nutné brát zřetel při </w:t>
      </w:r>
      <w:r w:rsidR="007234FC" w:rsidRPr="00D306FD">
        <w:rPr>
          <w:rFonts w:asciiTheme="minorHAnsi" w:hAnsiTheme="minorHAnsi"/>
        </w:rPr>
        <w:t xml:space="preserve">jejich </w:t>
      </w:r>
      <w:r w:rsidR="00385B37" w:rsidRPr="00D306FD">
        <w:rPr>
          <w:rFonts w:asciiTheme="minorHAnsi" w:hAnsiTheme="minorHAnsi"/>
        </w:rPr>
        <w:t xml:space="preserve">vzdělávání. </w:t>
      </w:r>
      <w:r w:rsidR="00417D60" w:rsidRPr="00D306FD">
        <w:rPr>
          <w:rFonts w:asciiTheme="minorHAnsi" w:hAnsiTheme="minorHAnsi"/>
        </w:rPr>
        <w:t>N</w:t>
      </w:r>
      <w:r w:rsidR="000342C4" w:rsidRPr="00D306FD">
        <w:rPr>
          <w:rFonts w:asciiTheme="minorHAnsi" w:hAnsiTheme="minorHAnsi"/>
        </w:rPr>
        <w:t xml:space="preserve">adaní </w:t>
      </w:r>
      <w:r w:rsidR="00417D60" w:rsidRPr="00D306FD">
        <w:rPr>
          <w:rFonts w:asciiTheme="minorHAnsi" w:hAnsiTheme="minorHAnsi"/>
        </w:rPr>
        <w:t xml:space="preserve">však </w:t>
      </w:r>
      <w:r w:rsidR="000342C4" w:rsidRPr="00D306FD">
        <w:rPr>
          <w:rFonts w:asciiTheme="minorHAnsi" w:hAnsiTheme="minorHAnsi"/>
        </w:rPr>
        <w:t>nemusí disponovat všemi projevy</w:t>
      </w:r>
      <w:r w:rsidR="00417D60" w:rsidRPr="00D306FD">
        <w:rPr>
          <w:rFonts w:asciiTheme="minorHAnsi" w:hAnsiTheme="minorHAnsi"/>
        </w:rPr>
        <w:t xml:space="preserve"> a ani </w:t>
      </w:r>
      <w:r w:rsidR="000342C4" w:rsidRPr="00D306FD">
        <w:rPr>
          <w:rFonts w:asciiTheme="minorHAnsi" w:hAnsiTheme="minorHAnsi"/>
        </w:rPr>
        <w:t>jejich výskyt není zárukou</w:t>
      </w:r>
      <w:r w:rsidR="00417D60" w:rsidRPr="00D306FD">
        <w:rPr>
          <w:rFonts w:asciiTheme="minorHAnsi" w:hAnsiTheme="minorHAnsi"/>
        </w:rPr>
        <w:t>, že se jedná o nadaného.</w:t>
      </w:r>
      <w:r w:rsidR="000342C4" w:rsidRPr="00D306FD">
        <w:rPr>
          <w:rFonts w:asciiTheme="minorHAnsi" w:hAnsiTheme="minorHAnsi"/>
        </w:rPr>
        <w:t xml:space="preserve"> </w:t>
      </w:r>
      <w:r w:rsidR="00417D60" w:rsidRPr="00D306FD">
        <w:rPr>
          <w:rFonts w:asciiTheme="minorHAnsi" w:hAnsiTheme="minorHAnsi"/>
        </w:rPr>
        <w:t>Dále je velmi důležité vzít v úvahu</w:t>
      </w:r>
      <w:r w:rsidR="000342C4" w:rsidRPr="00D306FD">
        <w:rPr>
          <w:rFonts w:asciiTheme="minorHAnsi" w:hAnsiTheme="minorHAnsi"/>
        </w:rPr>
        <w:t xml:space="preserve">, že </w:t>
      </w:r>
      <w:r w:rsidR="00417D60" w:rsidRPr="00D306FD">
        <w:rPr>
          <w:rFonts w:asciiTheme="minorHAnsi" w:hAnsiTheme="minorHAnsi"/>
        </w:rPr>
        <w:t xml:space="preserve">uváděné </w:t>
      </w:r>
      <w:r w:rsidR="000342C4" w:rsidRPr="00D306FD">
        <w:rPr>
          <w:rFonts w:asciiTheme="minorHAnsi" w:hAnsiTheme="minorHAnsi"/>
        </w:rPr>
        <w:t>projevy</w:t>
      </w:r>
      <w:r w:rsidR="00417D60" w:rsidRPr="00D306FD">
        <w:rPr>
          <w:rFonts w:asciiTheme="minorHAnsi" w:hAnsiTheme="minorHAnsi"/>
        </w:rPr>
        <w:t xml:space="preserve"> </w:t>
      </w:r>
      <w:r w:rsidR="000342C4" w:rsidRPr="00D306FD">
        <w:rPr>
          <w:rFonts w:asciiTheme="minorHAnsi" w:hAnsiTheme="minorHAnsi"/>
        </w:rPr>
        <w:t xml:space="preserve">mohou být ovlivněny věkem nadaného a že </w:t>
      </w:r>
      <w:r w:rsidR="00953192" w:rsidRPr="00D306FD">
        <w:rPr>
          <w:rFonts w:asciiTheme="minorHAnsi" w:hAnsiTheme="minorHAnsi"/>
        </w:rPr>
        <w:t xml:space="preserve">jsou obvykle vázány na oblast nadání. </w:t>
      </w:r>
      <w:r w:rsidR="00622EC5" w:rsidRPr="00D306FD">
        <w:rPr>
          <w:rFonts w:asciiTheme="minorHAnsi" w:hAnsiTheme="minorHAnsi"/>
        </w:rPr>
        <w:t>Zejména</w:t>
      </w:r>
      <w:r w:rsidR="00953192" w:rsidRPr="00D306FD">
        <w:rPr>
          <w:rFonts w:asciiTheme="minorHAnsi" w:hAnsiTheme="minorHAnsi"/>
        </w:rPr>
        <w:t xml:space="preserve"> </w:t>
      </w:r>
      <w:r w:rsidR="00622EC5" w:rsidRPr="00D306FD">
        <w:rPr>
          <w:rFonts w:asciiTheme="minorHAnsi" w:hAnsiTheme="minorHAnsi"/>
        </w:rPr>
        <w:t>je potřeba si uvědomit</w:t>
      </w:r>
      <w:r w:rsidR="00953192" w:rsidRPr="00D306FD">
        <w:rPr>
          <w:rFonts w:asciiTheme="minorHAnsi" w:hAnsiTheme="minorHAnsi"/>
        </w:rPr>
        <w:t xml:space="preserve">, </w:t>
      </w:r>
      <w:r w:rsidR="000342C4" w:rsidRPr="00D306FD">
        <w:rPr>
          <w:rFonts w:asciiTheme="minorHAnsi" w:hAnsiTheme="minorHAnsi"/>
        </w:rPr>
        <w:t>že</w:t>
      </w:r>
      <w:r w:rsidR="00953192" w:rsidRPr="00D306FD">
        <w:rPr>
          <w:rFonts w:asciiTheme="minorHAnsi" w:hAnsiTheme="minorHAnsi"/>
        </w:rPr>
        <w:t xml:space="preserve"> </w:t>
      </w:r>
      <w:r w:rsidR="000342C4" w:rsidRPr="00D306FD">
        <w:rPr>
          <w:rFonts w:asciiTheme="minorHAnsi" w:hAnsiTheme="minorHAnsi"/>
        </w:rPr>
        <w:t xml:space="preserve">nadání </w:t>
      </w:r>
      <w:r w:rsidR="00622EC5" w:rsidRPr="00D306FD">
        <w:rPr>
          <w:rFonts w:asciiTheme="minorHAnsi" w:hAnsiTheme="minorHAnsi"/>
        </w:rPr>
        <w:t>je součástí</w:t>
      </w:r>
      <w:r w:rsidR="000342C4" w:rsidRPr="00D306FD">
        <w:rPr>
          <w:rFonts w:asciiTheme="minorHAnsi" w:hAnsiTheme="minorHAnsi"/>
        </w:rPr>
        <w:t> celé osobnosti</w:t>
      </w:r>
      <w:r w:rsidR="00622EC5" w:rsidRPr="00D306FD">
        <w:rPr>
          <w:rFonts w:asciiTheme="minorHAnsi" w:hAnsiTheme="minorHAnsi"/>
        </w:rPr>
        <w:t xml:space="preserve"> nadaného jedince, nikoliv </w:t>
      </w:r>
      <w:r w:rsidR="0008794C" w:rsidRPr="00D306FD">
        <w:rPr>
          <w:rFonts w:asciiTheme="minorHAnsi" w:hAnsiTheme="minorHAnsi"/>
        </w:rPr>
        <w:t xml:space="preserve">její </w:t>
      </w:r>
      <w:r w:rsidR="000342C4" w:rsidRPr="00D306FD">
        <w:rPr>
          <w:rFonts w:asciiTheme="minorHAnsi" w:hAnsiTheme="minorHAnsi"/>
        </w:rPr>
        <w:t>samostatná a izolovaná část</w:t>
      </w:r>
      <w:r w:rsidR="00953192" w:rsidRPr="00D306FD">
        <w:rPr>
          <w:rFonts w:asciiTheme="minorHAnsi" w:hAnsiTheme="minorHAnsi"/>
        </w:rPr>
        <w:t xml:space="preserve">, proto je nutné brát v úvahu </w:t>
      </w:r>
      <w:r w:rsidR="0008794C" w:rsidRPr="00D306FD">
        <w:rPr>
          <w:rFonts w:asciiTheme="minorHAnsi" w:hAnsiTheme="minorHAnsi"/>
        </w:rPr>
        <w:t xml:space="preserve">osobnost nadaného jako celek </w:t>
      </w:r>
      <w:r w:rsidR="000342C4" w:rsidRPr="00D306FD">
        <w:rPr>
          <w:rFonts w:asciiTheme="minorHAnsi" w:hAnsiTheme="minorHAnsi"/>
        </w:rPr>
        <w:t>(</w:t>
      </w:r>
      <w:proofErr w:type="spellStart"/>
      <w:r w:rsidR="000342C4" w:rsidRPr="00D306FD">
        <w:rPr>
          <w:rFonts w:asciiTheme="minorHAnsi" w:hAnsiTheme="minorHAnsi"/>
        </w:rPr>
        <w:t>Laznibatová</w:t>
      </w:r>
      <w:proofErr w:type="spellEnd"/>
      <w:r w:rsidR="000342C4" w:rsidRPr="00D306FD">
        <w:rPr>
          <w:rFonts w:asciiTheme="minorHAnsi" w:hAnsiTheme="minorHAnsi"/>
        </w:rPr>
        <w:t>, 2003)</w:t>
      </w:r>
      <w:r w:rsidR="0008794C" w:rsidRPr="00D306FD">
        <w:rPr>
          <w:rFonts w:asciiTheme="minorHAnsi" w:hAnsi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2528"/>
        <w:gridCol w:w="6039"/>
      </w:tblGrid>
      <w:tr w:rsidR="005475D5" w:rsidRPr="00D306FD" w:rsidTr="005475D5">
        <w:tc>
          <w:tcPr>
            <w:tcW w:w="421" w:type="dxa"/>
          </w:tcPr>
          <w:p w:rsidR="005475D5" w:rsidRPr="00D306FD" w:rsidRDefault="005475D5" w:rsidP="00A76DC0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1.</w:t>
            </w:r>
          </w:p>
        </w:tc>
        <w:tc>
          <w:tcPr>
            <w:tcW w:w="2544" w:type="dxa"/>
          </w:tcPr>
          <w:p w:rsidR="005475D5" w:rsidRPr="00D306FD" w:rsidRDefault="005475D5" w:rsidP="00A76DC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Motivace</w:t>
            </w:r>
          </w:p>
        </w:tc>
        <w:tc>
          <w:tcPr>
            <w:tcW w:w="6097" w:type="dxa"/>
          </w:tcPr>
          <w:p w:rsidR="005475D5" w:rsidRPr="00B220E1" w:rsidRDefault="005475D5" w:rsidP="005475D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vnitřní motivace pro oblast jejich zájmu, často velmi silná; </w:t>
            </w:r>
          </w:p>
          <w:p w:rsidR="005475D5" w:rsidRPr="00B220E1" w:rsidRDefault="005475D5" w:rsidP="005475D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obtíže s motivováním v jiných oblastech, které nadaný vnímá jako „nedůležité“ z hlediska svého zájmu</w:t>
            </w:r>
            <w:r w:rsidR="000375EF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A76DC0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2.</w:t>
            </w:r>
          </w:p>
        </w:tc>
        <w:tc>
          <w:tcPr>
            <w:tcW w:w="2544" w:type="dxa"/>
          </w:tcPr>
          <w:p w:rsidR="005475D5" w:rsidRPr="00D306FD" w:rsidRDefault="005475D5" w:rsidP="00A76DC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 xml:space="preserve">Přístup k učení </w:t>
            </w:r>
          </w:p>
        </w:tc>
        <w:tc>
          <w:tcPr>
            <w:tcW w:w="6097" w:type="dxa"/>
          </w:tcPr>
          <w:p w:rsidR="005475D5" w:rsidRPr="00B220E1" w:rsidRDefault="005475D5" w:rsidP="008C780F">
            <w:pPr>
              <w:pStyle w:val="xzvds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perfekcionismus,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 který požadují i od druhých;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5475D5" w:rsidRPr="00B220E1" w:rsidRDefault="008C780F" w:rsidP="008C780F">
            <w:pPr>
              <w:pStyle w:val="xzvds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 xml:space="preserve">jsou </w:t>
            </w:r>
            <w:r w:rsidR="005475D5" w:rsidRPr="00B220E1">
              <w:rPr>
                <w:rFonts w:asciiTheme="minorHAnsi" w:hAnsiTheme="minorHAnsi"/>
                <w:sz w:val="22"/>
                <w:szCs w:val="22"/>
              </w:rPr>
              <w:t>sebekritičtí a někdy mají chybné sebepojetí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;</w:t>
            </w:r>
          </w:p>
          <w:p w:rsidR="005475D5" w:rsidRPr="00B220E1" w:rsidRDefault="005475D5" w:rsidP="008C780F">
            <w:pPr>
              <w:pStyle w:val="xzvds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zaujetí pro činnost související s jejich zájmem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;</w:t>
            </w:r>
          </w:p>
          <w:p w:rsidR="005475D5" w:rsidRPr="00B220E1" w:rsidRDefault="005475D5" w:rsidP="008C780F">
            <w:pPr>
              <w:pStyle w:val="xzvds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neumí se učit, proto mohou mít problémy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;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   </w:t>
            </w:r>
          </w:p>
          <w:p w:rsidR="005475D5" w:rsidRPr="00B220E1" w:rsidRDefault="005475D5" w:rsidP="008C780F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Style w:val="vkif2"/>
                <w:rFonts w:asciiTheme="minorHAnsi" w:hAnsiTheme="minorHAnsi" w:cs="Arial"/>
                <w:color w:val="auto"/>
                <w:sz w:val="22"/>
                <w:szCs w:val="22"/>
                <w:bdr w:val="none" w:sz="0" w:space="0" w:color="auto" w:frame="1"/>
              </w:rPr>
              <w:t>schopni delší pozornosti pro oblast jejich zájmu</w:t>
            </w:r>
            <w:r w:rsidR="008C780F" w:rsidRPr="00B220E1">
              <w:rPr>
                <w:rStyle w:val="vkif2"/>
                <w:rFonts w:asciiTheme="minorHAnsi" w:hAnsiTheme="minorHAnsi" w:cs="Arial"/>
                <w:color w:val="auto"/>
                <w:sz w:val="22"/>
                <w:szCs w:val="22"/>
                <w:bdr w:val="none" w:sz="0" w:space="0" w:color="auto" w:frame="1"/>
              </w:rPr>
              <w:t>;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5475D5" w:rsidRPr="00B220E1" w:rsidRDefault="008C780F" w:rsidP="000375EF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vysoká 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koncentrovat</w:t>
            </w:r>
            <w:r w:rsidRPr="00B220E1">
              <w:rPr>
                <w:rStyle w:val="vkif2"/>
                <w:rFonts w:asciiTheme="minorHAnsi" w:hAnsiTheme="minorHAnsi" w:cs="Arial"/>
                <w:color w:val="auto"/>
                <w:sz w:val="22"/>
                <w:szCs w:val="22"/>
                <w:bdr w:val="none" w:sz="0" w:space="0" w:color="auto" w:frame="1"/>
              </w:rPr>
              <w:t xml:space="preserve"> pro oblast jejich zájmu</w:t>
            </w:r>
            <w:r w:rsidR="000375EF" w:rsidRPr="00B220E1">
              <w:rPr>
                <w:rStyle w:val="vkif2"/>
                <w:rFonts w:asciiTheme="minorHAnsi" w:hAnsiTheme="minorHAnsi" w:cs="Arial"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A76DC0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3.</w:t>
            </w:r>
          </w:p>
        </w:tc>
        <w:tc>
          <w:tcPr>
            <w:tcW w:w="2544" w:type="dxa"/>
          </w:tcPr>
          <w:p w:rsidR="005475D5" w:rsidRPr="00D306FD" w:rsidRDefault="005475D5" w:rsidP="00A76DC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Paměť</w:t>
            </w:r>
          </w:p>
        </w:tc>
        <w:tc>
          <w:tcPr>
            <w:tcW w:w="6097" w:type="dxa"/>
          </w:tcPr>
          <w:p w:rsidR="008C780F" w:rsidRPr="00B220E1" w:rsidRDefault="005475D5" w:rsidP="008C780F">
            <w:pPr>
              <w:pStyle w:val="xzvds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obvykle vynikající, a to zejména v oblasti jejich zájmu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;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C780F" w:rsidRPr="00B220E1" w:rsidRDefault="008C780F" w:rsidP="008C780F">
            <w:pPr>
              <w:pStyle w:val="xzvds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může být encyklopedická;</w:t>
            </w:r>
          </w:p>
          <w:p w:rsidR="008C780F" w:rsidRPr="00B220E1" w:rsidRDefault="008C780F" w:rsidP="008C780F">
            <w:pPr>
              <w:pStyle w:val="xzvds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vytvářejí struktury;</w:t>
            </w:r>
          </w:p>
          <w:p w:rsidR="005475D5" w:rsidRPr="00B220E1" w:rsidRDefault="008C780F" w:rsidP="008C780F">
            <w:pPr>
              <w:pStyle w:val="xzvds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rychlé zapamatování – nepotřebují tolik opakování jako intaktní populace</w:t>
            </w:r>
            <w:r w:rsidR="000375EF" w:rsidRPr="00B220E1">
              <w:rPr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A76DC0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4.</w:t>
            </w:r>
          </w:p>
        </w:tc>
        <w:tc>
          <w:tcPr>
            <w:tcW w:w="2544" w:type="dxa"/>
          </w:tcPr>
          <w:p w:rsidR="005475D5" w:rsidRPr="00D306FD" w:rsidRDefault="005475D5" w:rsidP="00A76DC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Zpracovávání informací</w:t>
            </w:r>
          </w:p>
        </w:tc>
        <w:tc>
          <w:tcPr>
            <w:tcW w:w="6097" w:type="dxa"/>
          </w:tcPr>
          <w:p w:rsidR="008C780F" w:rsidRPr="00B220E1" w:rsidRDefault="005475D5" w:rsidP="008C780F">
            <w:pPr>
              <w:pStyle w:val="xzvds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rychlé zabudovávání 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nových poznatků 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do existujících znalostních struktur</w:t>
            </w:r>
            <w:r w:rsidR="008C780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 a v případě potřeby jsou schopni je přebudovat;</w:t>
            </w:r>
            <w:r w:rsidRPr="00B220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C780F" w:rsidRPr="00B220E1" w:rsidRDefault="008C780F" w:rsidP="008C780F">
            <w:pPr>
              <w:pStyle w:val="xzvds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>p</w:t>
            </w:r>
            <w:r w:rsidR="005475D5" w:rsidRPr="00B220E1">
              <w:rPr>
                <w:rFonts w:asciiTheme="minorHAnsi" w:hAnsiTheme="minorHAnsi"/>
                <w:sz w:val="22"/>
                <w:szCs w:val="22"/>
              </w:rPr>
              <w:t>oužívají vyspělejší myšlenkové procesy</w:t>
            </w:r>
            <w:r w:rsidRPr="00B220E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8C780F" w:rsidRPr="00B220E1" w:rsidRDefault="005475D5" w:rsidP="008C780F">
            <w:pPr>
              <w:pStyle w:val="xzvds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>dovedou rychle a správně zobecňovat</w:t>
            </w:r>
            <w:r w:rsidR="008C780F" w:rsidRPr="00B220E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83A5F" w:rsidRPr="00B220E1" w:rsidRDefault="008C780F" w:rsidP="00083A5F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c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htějí získávat nové informace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 d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okáž</w:t>
            </w:r>
            <w:r w:rsidR="00422EB6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í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si je 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vyhle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dat;</w:t>
            </w:r>
          </w:p>
          <w:p w:rsidR="00083A5F" w:rsidRPr="00B220E1" w:rsidRDefault="00083A5F" w:rsidP="00083A5F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lépe rozumí abstraktním pojmům než jejich vrstevníci;</w:t>
            </w:r>
          </w:p>
          <w:p w:rsidR="005475D5" w:rsidRPr="00B220E1" w:rsidRDefault="00083A5F" w:rsidP="000375EF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vidí neobvyklé vztahy a souvislosti</w:t>
            </w:r>
            <w:r w:rsidR="000375EF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A76DC0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5.</w:t>
            </w:r>
          </w:p>
        </w:tc>
        <w:tc>
          <w:tcPr>
            <w:tcW w:w="2544" w:type="dxa"/>
          </w:tcPr>
          <w:p w:rsidR="005475D5" w:rsidRPr="00D306FD" w:rsidRDefault="005475D5" w:rsidP="00A76DC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Osvojování poznatků</w:t>
            </w:r>
          </w:p>
        </w:tc>
        <w:tc>
          <w:tcPr>
            <w:tcW w:w="6097" w:type="dxa"/>
          </w:tcPr>
          <w:p w:rsidR="00083A5F" w:rsidRPr="00B220E1" w:rsidRDefault="005475D5" w:rsidP="00083A5F">
            <w:pPr>
              <w:pStyle w:val="xzvds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velmi rychlé, nepotřebuji tolik procvičování jako intaktní populace; </w:t>
            </w:r>
          </w:p>
          <w:p w:rsidR="005475D5" w:rsidRPr="00B220E1" w:rsidRDefault="005475D5" w:rsidP="00083A5F">
            <w:pPr>
              <w:pStyle w:val="xzvds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textAlignment w:val="baseline"/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opakování již známého </w:t>
            </w:r>
            <w:r w:rsidR="00083A5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 xml:space="preserve">je </w:t>
            </w:r>
            <w:r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zdrojem nudy a nepozornosti</w:t>
            </w:r>
            <w:r w:rsidR="00083A5F" w:rsidRPr="00B220E1">
              <w:rPr>
                <w:rStyle w:val="vkif2"/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  <w:t>;</w:t>
            </w:r>
          </w:p>
          <w:p w:rsidR="00083A5F" w:rsidRPr="00B220E1" w:rsidRDefault="00083A5F" w:rsidP="00083A5F">
            <w:pPr>
              <w:pStyle w:val="xzvds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>kladou si otázky;</w:t>
            </w:r>
          </w:p>
          <w:p w:rsidR="00083A5F" w:rsidRPr="00B220E1" w:rsidRDefault="00083A5F" w:rsidP="00083A5F">
            <w:pPr>
              <w:pStyle w:val="xzvds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>umí kriticky uvažovat;</w:t>
            </w:r>
          </w:p>
          <w:p w:rsidR="00083A5F" w:rsidRPr="00B220E1" w:rsidRDefault="00083A5F" w:rsidP="000375EF">
            <w:pPr>
              <w:pStyle w:val="xzvds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="Arial"/>
                <w:sz w:val="22"/>
                <w:szCs w:val="22"/>
                <w:bdr w:val="none" w:sz="0" w:space="0" w:color="auto" w:frame="1"/>
              </w:rPr>
            </w:pPr>
            <w:r w:rsidRPr="00B220E1">
              <w:rPr>
                <w:rFonts w:asciiTheme="minorHAnsi" w:hAnsiTheme="minorHAnsi"/>
                <w:sz w:val="22"/>
                <w:szCs w:val="22"/>
              </w:rPr>
              <w:t>prezentují své názory a dokáží je obhajovat</w:t>
            </w:r>
            <w:r w:rsidR="000375EF" w:rsidRPr="00B220E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</w:rPr>
            </w:pPr>
            <w:r w:rsidRPr="00D306FD">
              <w:rPr>
                <w:rFonts w:asciiTheme="minorHAnsi" w:hAnsiTheme="minorHAnsi"/>
              </w:rPr>
              <w:t>6.</w:t>
            </w:r>
          </w:p>
        </w:tc>
        <w:tc>
          <w:tcPr>
            <w:tcW w:w="2544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Fonts w:asciiTheme="minorHAnsi" w:hAnsiTheme="minorHAnsi"/>
                <w:b/>
              </w:rPr>
              <w:t>Pozorování</w:t>
            </w:r>
          </w:p>
        </w:tc>
        <w:tc>
          <w:tcPr>
            <w:tcW w:w="6097" w:type="dxa"/>
          </w:tcPr>
          <w:p w:rsidR="005475D5" w:rsidRPr="00B220E1" w:rsidRDefault="00083A5F" w:rsidP="00083A5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mají</w:t>
            </w:r>
            <w:r w:rsidR="005475D5" w:rsidRPr="00B220E1">
              <w:rPr>
                <w:rFonts w:asciiTheme="minorHAnsi" w:hAnsiTheme="minorHAnsi"/>
              </w:rPr>
              <w:t xml:space="preserve"> </w:t>
            </w:r>
            <w:r w:rsidRPr="00B220E1">
              <w:rPr>
                <w:rFonts w:asciiTheme="minorHAnsi" w:hAnsiTheme="minorHAnsi"/>
              </w:rPr>
              <w:t xml:space="preserve">výborné </w:t>
            </w:r>
            <w:r w:rsidR="005475D5" w:rsidRPr="00B220E1">
              <w:rPr>
                <w:rFonts w:asciiTheme="minorHAnsi" w:hAnsiTheme="minorHAnsi"/>
              </w:rPr>
              <w:t>pozorovací schopnosti</w:t>
            </w:r>
            <w:r w:rsidRPr="00B220E1">
              <w:rPr>
                <w:rFonts w:asciiTheme="minorHAnsi" w:hAnsiTheme="minorHAnsi"/>
              </w:rPr>
              <w:t>, dokážou rozlišit i detaily</w:t>
            </w:r>
            <w:r w:rsidR="005475D5" w:rsidRPr="00B220E1">
              <w:rPr>
                <w:rFonts w:asciiTheme="minorHAnsi" w:hAnsiTheme="minorHAnsi"/>
              </w:rPr>
              <w:t xml:space="preserve">, </w:t>
            </w:r>
            <w:r w:rsidRPr="00B220E1">
              <w:rPr>
                <w:rFonts w:asciiTheme="minorHAnsi" w:hAnsiTheme="minorHAnsi"/>
              </w:rPr>
              <w:t>které jejich vrstevníci nevnímají;</w:t>
            </w:r>
          </w:p>
          <w:p w:rsidR="00083A5F" w:rsidRPr="00B220E1" w:rsidRDefault="00083A5F" w:rsidP="00083A5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na základě pozorování vyvozují závěry;</w:t>
            </w:r>
          </w:p>
          <w:p w:rsidR="00083A5F" w:rsidRPr="00B220E1" w:rsidRDefault="00083A5F" w:rsidP="00083A5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 xml:space="preserve">jsou schopni odlišit podstatné znaky od </w:t>
            </w:r>
            <w:r w:rsidR="004C7FAC" w:rsidRPr="00B220E1">
              <w:rPr>
                <w:rFonts w:asciiTheme="minorHAnsi" w:hAnsiTheme="minorHAnsi"/>
              </w:rPr>
              <w:t>nepodstatných;</w:t>
            </w:r>
          </w:p>
          <w:p w:rsidR="005475D5" w:rsidRPr="00B220E1" w:rsidRDefault="004C7FAC" w:rsidP="00083A5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plánují postup</w:t>
            </w:r>
            <w:r w:rsidR="000375EF" w:rsidRPr="00B220E1">
              <w:rPr>
                <w:rFonts w:asciiTheme="minorHAnsi" w:hAnsiTheme="minorHAnsi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</w:rPr>
            </w:pPr>
            <w:r w:rsidRPr="00D306FD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2544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Fonts w:asciiTheme="minorHAnsi" w:hAnsiTheme="minorHAnsi"/>
                <w:b/>
              </w:rPr>
              <w:t>Řešení problému</w:t>
            </w:r>
          </w:p>
        </w:tc>
        <w:tc>
          <w:tcPr>
            <w:tcW w:w="6097" w:type="dxa"/>
          </w:tcPr>
          <w:p w:rsidR="004C7FAC" w:rsidRPr="00B220E1" w:rsidRDefault="005475D5" w:rsidP="004C7FAC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chápou problémy v širších souvislostech</w:t>
            </w:r>
            <w:r w:rsidR="004C7FAC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4C7FAC" w:rsidRPr="00B220E1" w:rsidRDefault="004C7FAC" w:rsidP="004C7FAC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jsou schopni uplatňovat osvojené poznatky a 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zkušenosti 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v nových situacích;</w:t>
            </w:r>
          </w:p>
          <w:p w:rsidR="004C7FAC" w:rsidRPr="00B220E1" w:rsidRDefault="004C7FAC" w:rsidP="004C7FAC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mají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živou představivost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  <w:p w:rsidR="005475D5" w:rsidRPr="00B220E1" w:rsidRDefault="004C7FAC" w:rsidP="004C7FAC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j</w:t>
            </w:r>
            <w:r w:rsidR="005475D5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sou často originální ve svém uvažování i ve způ</w:t>
            </w: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sobu řešení úkolů;</w:t>
            </w:r>
          </w:p>
          <w:p w:rsidR="004C7FAC" w:rsidRPr="00B220E1" w:rsidRDefault="004C7FAC" w:rsidP="000375EF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220E1">
              <w:rPr>
                <w:rFonts w:asciiTheme="minorHAnsi" w:hAnsiTheme="minorHAnsi"/>
                <w:color w:val="auto"/>
                <w:sz w:val="22"/>
                <w:szCs w:val="22"/>
              </w:rPr>
              <w:t>někdy nejsou schopni přijmout argumenty, které se neshodují s jejich názory</w:t>
            </w:r>
            <w:r w:rsidR="000375EF" w:rsidRPr="00B220E1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</w:rPr>
            </w:pPr>
            <w:r w:rsidRPr="00D306FD">
              <w:rPr>
                <w:rFonts w:asciiTheme="minorHAnsi" w:hAnsiTheme="minorHAnsi"/>
              </w:rPr>
              <w:t>8.</w:t>
            </w:r>
          </w:p>
        </w:tc>
        <w:tc>
          <w:tcPr>
            <w:tcW w:w="2544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Fonts w:asciiTheme="minorHAnsi" w:hAnsiTheme="minorHAnsi"/>
                <w:b/>
              </w:rPr>
              <w:t>Smysluplnost</w:t>
            </w:r>
          </w:p>
        </w:tc>
        <w:tc>
          <w:tcPr>
            <w:tcW w:w="6097" w:type="dxa"/>
          </w:tcPr>
          <w:p w:rsidR="004C7FAC" w:rsidRPr="00B220E1" w:rsidRDefault="004C7FAC" w:rsidP="004C7FA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chtějí znát důvody</w:t>
            </w:r>
            <w:r w:rsidR="005475D5" w:rsidRPr="00B220E1">
              <w:rPr>
                <w:rFonts w:asciiTheme="minorHAnsi" w:hAnsiTheme="minorHAnsi"/>
              </w:rPr>
              <w:t xml:space="preserve">, </w:t>
            </w:r>
          </w:p>
          <w:p w:rsidR="004C7FAC" w:rsidRPr="00B220E1" w:rsidRDefault="004C7FAC" w:rsidP="004C7FA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chtějí se podíle</w:t>
            </w:r>
            <w:r w:rsidR="005475D5" w:rsidRPr="00B220E1">
              <w:rPr>
                <w:rFonts w:asciiTheme="minorHAnsi" w:hAnsiTheme="minorHAnsi"/>
              </w:rPr>
              <w:t xml:space="preserve">t na plánování, </w:t>
            </w:r>
          </w:p>
          <w:p w:rsidR="004C7FAC" w:rsidRPr="00B220E1" w:rsidRDefault="004C7FAC" w:rsidP="004C7FA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chtějí mít možnost volby</w:t>
            </w:r>
            <w:r w:rsidR="005475D5" w:rsidRPr="00B220E1">
              <w:rPr>
                <w:rFonts w:asciiTheme="minorHAnsi" w:hAnsiTheme="minorHAnsi"/>
              </w:rPr>
              <w:t xml:space="preserve">, </w:t>
            </w:r>
          </w:p>
          <w:p w:rsidR="004C7FAC" w:rsidRPr="00B220E1" w:rsidRDefault="005475D5" w:rsidP="004C7FAC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odmítají plnit úkoly, které považují za nesmyslné</w:t>
            </w:r>
            <w:r w:rsidR="004C7FAC" w:rsidRPr="00B220E1">
              <w:rPr>
                <w:rFonts w:asciiTheme="minorHAnsi" w:hAnsiTheme="minorHAnsi"/>
              </w:rPr>
              <w:t>;</w:t>
            </w:r>
          </w:p>
          <w:p w:rsidR="005475D5" w:rsidRPr="00B220E1" w:rsidRDefault="004C7FAC" w:rsidP="000375EF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n</w:t>
            </w:r>
            <w:r w:rsidR="005475D5" w:rsidRPr="00B220E1">
              <w:rPr>
                <w:rFonts w:asciiTheme="minorHAnsi" w:hAnsiTheme="minorHAnsi"/>
              </w:rPr>
              <w:t>eradi se podřizují pravidlům</w:t>
            </w:r>
            <w:r w:rsidRPr="00B220E1">
              <w:rPr>
                <w:rFonts w:asciiTheme="minorHAnsi" w:hAnsiTheme="minorHAnsi"/>
              </w:rPr>
              <w:t>, zejména těm, které nepovažují za odůvodněné</w:t>
            </w:r>
            <w:r w:rsidR="000375EF" w:rsidRPr="00B220E1">
              <w:rPr>
                <w:rFonts w:asciiTheme="minorHAnsi" w:hAnsiTheme="minorHAnsi"/>
              </w:rPr>
              <w:t>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5475D5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9.</w:t>
            </w:r>
          </w:p>
        </w:tc>
        <w:tc>
          <w:tcPr>
            <w:tcW w:w="2544" w:type="dxa"/>
          </w:tcPr>
          <w:p w:rsidR="005475D5" w:rsidRPr="00D306FD" w:rsidRDefault="005475D5" w:rsidP="005475D5">
            <w:pPr>
              <w:spacing w:line="360" w:lineRule="auto"/>
              <w:jc w:val="left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Vztahy s vrstevníky, dospělými</w:t>
            </w:r>
          </w:p>
        </w:tc>
        <w:tc>
          <w:tcPr>
            <w:tcW w:w="6097" w:type="dxa"/>
          </w:tcPr>
          <w:p w:rsidR="000375EF" w:rsidRPr="00B220E1" w:rsidRDefault="005475D5" w:rsidP="000375EF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rStyle w:val="vkif2"/>
                <w:rFonts w:asciiTheme="minorHAnsi" w:hAnsiTheme="minorHAnsi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vzhledem k odlišnosti si nemusí rozumět s vrstevníky, kteří nesdílejí jejich zájmy a js</w:t>
            </w:r>
            <w:r w:rsidR="000375EF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ou na jiné intelektuální úrovni;</w:t>
            </w:r>
          </w:p>
          <w:p w:rsidR="000375EF" w:rsidRPr="00B220E1" w:rsidRDefault="005475D5" w:rsidP="000375EF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rStyle w:val="vkif2"/>
                <w:rFonts w:asciiTheme="minorHAnsi" w:hAnsiTheme="minorHAnsi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mohou odmítat skupinovou práci se spolužáky a být jimi také odmítáni; </w:t>
            </w:r>
          </w:p>
          <w:p w:rsidR="000375EF" w:rsidRPr="00B220E1" w:rsidRDefault="005475D5" w:rsidP="000375EF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rStyle w:val="vkif2"/>
                <w:rFonts w:asciiTheme="minorHAnsi" w:hAnsiTheme="minorHAnsi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pokud nemají možnost komunikovat s vrstevníky „na stejné </w:t>
            </w:r>
            <w:r w:rsidR="000375EF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kognitivní úrovni“, </w:t>
            </w: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vyhledávají dospělé; </w:t>
            </w:r>
          </w:p>
          <w:p w:rsidR="005475D5" w:rsidRPr="00B220E1" w:rsidRDefault="000375EF" w:rsidP="00422EB6">
            <w:pPr>
              <w:pStyle w:val="Odstavecseseznamem"/>
              <w:numPr>
                <w:ilvl w:val="0"/>
                <w:numId w:val="33"/>
              </w:numPr>
              <w:ind w:left="357" w:hanging="357"/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májí skl</w:t>
            </w:r>
            <w:r w:rsidR="00422EB6" w:rsidRPr="00B220E1">
              <w:rPr>
                <w:rFonts w:asciiTheme="minorHAnsi" w:hAnsiTheme="minorHAnsi"/>
              </w:rPr>
              <w:t>on k odmítání autorit (např. učitelé, další pedagogičtí pracovníci), pokud je</w:t>
            </w:r>
            <w:r w:rsidRPr="00B220E1">
              <w:rPr>
                <w:rFonts w:asciiTheme="minorHAnsi" w:hAnsiTheme="minorHAnsi"/>
              </w:rPr>
              <w:t xml:space="preserve"> ne</w:t>
            </w:r>
            <w:r w:rsidR="00422EB6" w:rsidRPr="00B220E1">
              <w:rPr>
                <w:rFonts w:asciiTheme="minorHAnsi" w:hAnsiTheme="minorHAnsi"/>
              </w:rPr>
              <w:t xml:space="preserve">považují </w:t>
            </w:r>
            <w:r w:rsidRPr="00B220E1">
              <w:rPr>
                <w:rFonts w:asciiTheme="minorHAnsi" w:hAnsiTheme="minorHAnsi"/>
              </w:rPr>
              <w:t xml:space="preserve">za </w:t>
            </w: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autoritu sami.</w:t>
            </w:r>
          </w:p>
        </w:tc>
      </w:tr>
      <w:tr w:rsidR="005475D5" w:rsidRPr="00D306FD" w:rsidTr="005475D5">
        <w:tc>
          <w:tcPr>
            <w:tcW w:w="421" w:type="dxa"/>
          </w:tcPr>
          <w:p w:rsidR="005475D5" w:rsidRPr="00D306FD" w:rsidRDefault="005475D5" w:rsidP="005475D5">
            <w:pPr>
              <w:spacing w:line="360" w:lineRule="auto"/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</w:pPr>
            <w:r w:rsidRPr="00D306FD">
              <w:rPr>
                <w:rStyle w:val="vkif2"/>
                <w:rFonts w:asciiTheme="minorHAnsi" w:hAnsiTheme="minorHAnsi" w:cs="Arial"/>
                <w:color w:val="4B4B4B"/>
                <w:bdr w:val="none" w:sz="0" w:space="0" w:color="auto" w:frame="1"/>
              </w:rPr>
              <w:t>10.</w:t>
            </w:r>
          </w:p>
        </w:tc>
        <w:tc>
          <w:tcPr>
            <w:tcW w:w="2544" w:type="dxa"/>
          </w:tcPr>
          <w:p w:rsidR="005475D5" w:rsidRPr="00D306FD" w:rsidRDefault="005475D5" w:rsidP="005475D5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306FD">
              <w:rPr>
                <w:rStyle w:val="vkif2"/>
                <w:rFonts w:asciiTheme="minorHAnsi" w:hAnsiTheme="minorHAnsi" w:cs="Arial"/>
                <w:b/>
                <w:color w:val="4B4B4B"/>
                <w:bdr w:val="none" w:sz="0" w:space="0" w:color="auto" w:frame="1"/>
              </w:rPr>
              <w:t>Emocionální nevyváženost</w:t>
            </w:r>
          </w:p>
        </w:tc>
        <w:tc>
          <w:tcPr>
            <w:tcW w:w="6097" w:type="dxa"/>
          </w:tcPr>
          <w:p w:rsidR="000375EF" w:rsidRPr="00B220E1" w:rsidRDefault="000375EF" w:rsidP="00422EB6">
            <w:pPr>
              <w:pStyle w:val="Odstavecseseznamem"/>
              <w:numPr>
                <w:ilvl w:val="0"/>
                <w:numId w:val="34"/>
              </w:numPr>
              <w:jc w:val="left"/>
              <w:rPr>
                <w:rStyle w:val="vkif2"/>
                <w:rFonts w:asciiTheme="minorHAnsi" w:hAnsiTheme="minorHAnsi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velké odlišnosti - je nutné vnímat o</w:t>
            </w:r>
            <w:r w:rsidR="005475D5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sobnost nadaného</w:t>
            </w: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 jako celek - </w:t>
            </w:r>
            <w:r w:rsidR="005475D5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 </w:t>
            </w:r>
            <w:r w:rsidR="00287B5D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 xml:space="preserve">někteří odborníci (např. </w:t>
            </w:r>
            <w:proofErr w:type="spellStart"/>
            <w:r w:rsidR="00287B5D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Freeman</w:t>
            </w:r>
            <w:proofErr w:type="spellEnd"/>
            <w:r w:rsidR="00287B5D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) s touto charakterist</w:t>
            </w:r>
            <w:bookmarkStart w:id="0" w:name="_GoBack"/>
            <w:bookmarkEnd w:id="0"/>
            <w:r w:rsidR="00287B5D"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ikou nadaných nesouhlasí</w:t>
            </w:r>
          </w:p>
          <w:p w:rsidR="000375EF" w:rsidRPr="00B220E1" w:rsidRDefault="000375EF" w:rsidP="00422EB6">
            <w:pPr>
              <w:pStyle w:val="Odstavecseseznamem"/>
              <w:numPr>
                <w:ilvl w:val="0"/>
                <w:numId w:val="34"/>
              </w:numPr>
              <w:jc w:val="left"/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</w:pPr>
            <w:r w:rsidRPr="00B220E1">
              <w:rPr>
                <w:rStyle w:val="vkif2"/>
                <w:rFonts w:asciiTheme="minorHAnsi" w:hAnsiTheme="minorHAnsi" w:cs="Arial"/>
                <w:bdr w:val="none" w:sz="0" w:space="0" w:color="auto" w:frame="1"/>
              </w:rPr>
              <w:t>bývá spojena s úrovní pohledu na existencionální otázky – zabývají se úvahami, které jejich vrstevníci nevnímají;</w:t>
            </w:r>
          </w:p>
          <w:p w:rsidR="005475D5" w:rsidRPr="00B220E1" w:rsidRDefault="000375EF" w:rsidP="00422EB6">
            <w:pPr>
              <w:pStyle w:val="Odstavecseseznamem"/>
              <w:numPr>
                <w:ilvl w:val="0"/>
                <w:numId w:val="34"/>
              </w:numPr>
              <w:jc w:val="left"/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m</w:t>
            </w:r>
            <w:r w:rsidR="005475D5" w:rsidRPr="00B220E1">
              <w:rPr>
                <w:rFonts w:asciiTheme="minorHAnsi" w:hAnsiTheme="minorHAnsi"/>
              </w:rPr>
              <w:t>ají rozvinutý cit pro morálku a spra</w:t>
            </w:r>
            <w:r w:rsidRPr="00B220E1">
              <w:rPr>
                <w:rFonts w:asciiTheme="minorHAnsi" w:hAnsiTheme="minorHAnsi"/>
              </w:rPr>
              <w:t>vedlnost;</w:t>
            </w:r>
          </w:p>
          <w:p w:rsidR="000375EF" w:rsidRPr="00B220E1" w:rsidRDefault="00EB622E" w:rsidP="00B65B0D">
            <w:pPr>
              <w:pStyle w:val="Odstavecseseznamem"/>
              <w:numPr>
                <w:ilvl w:val="0"/>
                <w:numId w:val="34"/>
              </w:numPr>
              <w:jc w:val="left"/>
              <w:rPr>
                <w:rFonts w:asciiTheme="minorHAnsi" w:hAnsiTheme="minorHAnsi"/>
              </w:rPr>
            </w:pPr>
            <w:r w:rsidRPr="00B220E1">
              <w:rPr>
                <w:rFonts w:asciiTheme="minorHAnsi" w:hAnsiTheme="minorHAnsi"/>
              </w:rPr>
              <w:t>nadání umocňuje jejich osobnostní charakteristiky</w:t>
            </w:r>
            <w:r w:rsidR="00E8632F" w:rsidRPr="00B220E1">
              <w:rPr>
                <w:rFonts w:asciiTheme="minorHAnsi" w:hAnsiTheme="minorHAnsi"/>
              </w:rPr>
              <w:t>,</w:t>
            </w:r>
            <w:r w:rsidRPr="00B220E1">
              <w:rPr>
                <w:rFonts w:asciiTheme="minorHAnsi" w:hAnsiTheme="minorHAnsi"/>
              </w:rPr>
              <w:t xml:space="preserve"> a proto</w:t>
            </w:r>
            <w:r w:rsidR="00B65B0D" w:rsidRPr="00B220E1">
              <w:rPr>
                <w:rFonts w:asciiTheme="minorHAnsi" w:hAnsiTheme="minorHAnsi"/>
              </w:rPr>
              <w:t xml:space="preserve"> mohou být více</w:t>
            </w:r>
            <w:r w:rsidR="00287B5D" w:rsidRPr="00B220E1">
              <w:rPr>
                <w:rFonts w:asciiTheme="minorHAnsi" w:hAnsiTheme="minorHAnsi"/>
              </w:rPr>
              <w:t xml:space="preserve"> </w:t>
            </w:r>
            <w:r w:rsidR="00B65B0D" w:rsidRPr="00B220E1">
              <w:rPr>
                <w:rFonts w:asciiTheme="minorHAnsi" w:hAnsiTheme="minorHAnsi"/>
              </w:rPr>
              <w:t>vznětliví, netrpěliví</w:t>
            </w:r>
            <w:r w:rsidR="000375EF" w:rsidRPr="00B220E1">
              <w:rPr>
                <w:rFonts w:asciiTheme="minorHAnsi" w:hAnsiTheme="minorHAnsi"/>
              </w:rPr>
              <w:t>, což může vyvolávat problémy ve vztazích.</w:t>
            </w:r>
          </w:p>
        </w:tc>
      </w:tr>
    </w:tbl>
    <w:p w:rsidR="00287B5D" w:rsidRPr="00D306FD" w:rsidRDefault="00287B5D" w:rsidP="000342C4">
      <w:pPr>
        <w:pStyle w:val="xzvds"/>
        <w:spacing w:before="0" w:beforeAutospacing="0" w:after="0" w:afterAutospacing="0"/>
        <w:textAlignment w:val="baseline"/>
        <w:rPr>
          <w:rStyle w:val="vkif2"/>
          <w:rFonts w:asciiTheme="minorHAnsi" w:hAnsiTheme="minorHAnsi" w:cs="Arial"/>
          <w:color w:val="4B4B4B"/>
          <w:sz w:val="22"/>
          <w:szCs w:val="22"/>
          <w:bdr w:val="none" w:sz="0" w:space="0" w:color="auto" w:frame="1"/>
        </w:rPr>
      </w:pPr>
    </w:p>
    <w:p w:rsidR="000342C4" w:rsidRPr="00B220E1" w:rsidRDefault="00D306FD" w:rsidP="000342C4">
      <w:pPr>
        <w:pStyle w:val="xzvds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  <w:r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CLARK</w:t>
      </w:r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, B. </w:t>
      </w:r>
      <w:proofErr w:type="spellStart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>Growing</w:t>
      </w:r>
      <w:proofErr w:type="spellEnd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 xml:space="preserve"> up </w:t>
      </w:r>
      <w:proofErr w:type="spellStart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>gifted</w:t>
      </w:r>
      <w:proofErr w:type="spellEnd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 xml:space="preserve"> (7th </w:t>
      </w:r>
      <w:proofErr w:type="spellStart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>ed</w:t>
      </w:r>
      <w:proofErr w:type="spellEnd"/>
      <w:r w:rsidR="000342C4" w:rsidRPr="00B220E1">
        <w:rPr>
          <w:rStyle w:val="Zdraznn"/>
          <w:rFonts w:asciiTheme="minorHAnsi" w:hAnsiTheme="minorHAnsi" w:cs="Arial"/>
          <w:i w:val="0"/>
          <w:sz w:val="20"/>
          <w:szCs w:val="20"/>
          <w:bdr w:val="none" w:sz="0" w:space="0" w:color="auto" w:frame="1"/>
        </w:rPr>
        <w:t>.)</w:t>
      </w:r>
      <w:r w:rsidR="000342C4" w:rsidRPr="00B220E1">
        <w:rPr>
          <w:rStyle w:val="vkif2"/>
          <w:rFonts w:asciiTheme="minorHAnsi" w:hAnsiTheme="minorHAnsi" w:cs="Arial"/>
          <w:i/>
          <w:sz w:val="20"/>
          <w:szCs w:val="20"/>
          <w:bdr w:val="none" w:sz="0" w:space="0" w:color="auto" w:frame="1"/>
        </w:rPr>
        <w:t xml:space="preserve">   </w:t>
      </w:r>
      <w:proofErr w:type="spellStart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Upper</w:t>
      </w:r>
      <w:proofErr w:type="spellEnd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Saddle</w:t>
      </w:r>
      <w:proofErr w:type="spellEnd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River</w:t>
      </w:r>
      <w:r w:rsidR="009F3BAA" w:rsidRPr="00B220E1">
        <w:rPr>
          <w:rStyle w:val="vkif2"/>
          <w:rFonts w:asciiTheme="minorHAnsi" w:hAnsiTheme="minorHAnsi" w:cs="Arial"/>
          <w:i/>
          <w:sz w:val="20"/>
          <w:szCs w:val="20"/>
          <w:bdr w:val="none" w:sz="0" w:space="0" w:color="auto" w:frame="1"/>
        </w:rPr>
        <w:t>.</w:t>
      </w:r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NJ:  </w:t>
      </w:r>
      <w:proofErr w:type="spellStart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Pearson</w:t>
      </w:r>
      <w:proofErr w:type="spellEnd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Prentice</w:t>
      </w:r>
      <w:proofErr w:type="spellEnd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Hall</w:t>
      </w:r>
      <w:proofErr w:type="spellEnd"/>
      <w:r w:rsidR="000342C4"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>.</w:t>
      </w:r>
      <w:r w:rsidRPr="00B220E1">
        <w:rPr>
          <w:rStyle w:val="vkif2"/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2008.</w:t>
      </w:r>
    </w:p>
    <w:p w:rsidR="00C714C3" w:rsidRPr="00B220E1" w:rsidRDefault="00C714C3" w:rsidP="000342C4">
      <w:pPr>
        <w:rPr>
          <w:rFonts w:asciiTheme="minorHAnsi" w:hAnsiTheme="minorHAnsi"/>
          <w:sz w:val="20"/>
          <w:szCs w:val="20"/>
        </w:rPr>
      </w:pPr>
      <w:r w:rsidRPr="00B220E1">
        <w:rPr>
          <w:rFonts w:asciiTheme="minorHAnsi" w:hAnsiTheme="minorHAnsi"/>
          <w:sz w:val="20"/>
          <w:szCs w:val="20"/>
        </w:rPr>
        <w:t>FOŘTÍK, V., FOŘTÍKOVÁ, J. Nadané dítě a rozvoj jeho schopností. Praha: Portál, 2007. ISBN 978-80-7367-297-3</w:t>
      </w:r>
    </w:p>
    <w:p w:rsidR="00953192" w:rsidRPr="00B220E1" w:rsidRDefault="00D306FD" w:rsidP="000342C4">
      <w:pPr>
        <w:rPr>
          <w:rFonts w:asciiTheme="minorHAnsi" w:hAnsiTheme="minorHAnsi"/>
          <w:sz w:val="20"/>
          <w:szCs w:val="20"/>
        </w:rPr>
      </w:pPr>
      <w:r w:rsidRPr="00B220E1">
        <w:rPr>
          <w:sz w:val="20"/>
          <w:szCs w:val="20"/>
        </w:rPr>
        <w:t>LAZNIBATOVÁ</w:t>
      </w:r>
      <w:r w:rsidR="00953192" w:rsidRPr="00B220E1">
        <w:rPr>
          <w:rFonts w:asciiTheme="minorHAnsi" w:hAnsiTheme="minorHAnsi"/>
          <w:sz w:val="20"/>
          <w:szCs w:val="20"/>
        </w:rPr>
        <w:t xml:space="preserve">, J. Nadané </w:t>
      </w:r>
      <w:proofErr w:type="spellStart"/>
      <w:r w:rsidR="00953192" w:rsidRPr="00B220E1">
        <w:rPr>
          <w:rFonts w:asciiTheme="minorHAnsi" w:hAnsiTheme="minorHAnsi"/>
          <w:sz w:val="20"/>
          <w:szCs w:val="20"/>
        </w:rPr>
        <w:t>dieťa</w:t>
      </w:r>
      <w:proofErr w:type="spellEnd"/>
      <w:r w:rsidR="00953192" w:rsidRPr="00B220E1">
        <w:rPr>
          <w:rFonts w:asciiTheme="minorHAnsi" w:hAnsiTheme="minorHAnsi"/>
          <w:sz w:val="20"/>
          <w:szCs w:val="20"/>
        </w:rPr>
        <w:t xml:space="preserve">. Bratislava: Iris. </w:t>
      </w:r>
      <w:r w:rsidR="009F3BAA" w:rsidRPr="00B220E1">
        <w:rPr>
          <w:rFonts w:asciiTheme="minorHAnsi" w:hAnsiTheme="minorHAnsi"/>
          <w:sz w:val="20"/>
          <w:szCs w:val="20"/>
        </w:rPr>
        <w:t>2003.</w:t>
      </w:r>
    </w:p>
    <w:p w:rsidR="00C714C3" w:rsidRPr="00B220E1" w:rsidRDefault="00C714C3" w:rsidP="000342C4">
      <w:pPr>
        <w:rPr>
          <w:rFonts w:asciiTheme="minorHAnsi" w:hAnsiTheme="minorHAnsi"/>
          <w:sz w:val="20"/>
          <w:szCs w:val="20"/>
        </w:rPr>
      </w:pPr>
      <w:r w:rsidRPr="00B220E1">
        <w:rPr>
          <w:rFonts w:asciiTheme="minorHAnsi" w:hAnsiTheme="minorHAnsi"/>
          <w:sz w:val="20"/>
          <w:szCs w:val="20"/>
        </w:rPr>
        <w:t>MACHŮ, E. Rozpoznávání a vzdělávání rozumově nadaných dětí v běžné třídě základní školy - příručka pro učitele a studenty učitelství. Brno: Masarykova univerzita, 2006. ISBN: 80-210-3979-5.</w:t>
      </w:r>
    </w:p>
    <w:p w:rsidR="00417D60" w:rsidRPr="00D306FD" w:rsidRDefault="00417D60" w:rsidP="006862B0">
      <w:pPr>
        <w:spacing w:line="360" w:lineRule="auto"/>
        <w:rPr>
          <w:rStyle w:val="Hypertextovodkaz"/>
          <w:rFonts w:asciiTheme="minorHAnsi" w:hAnsiTheme="minorHAnsi"/>
        </w:rPr>
      </w:pPr>
    </w:p>
    <w:p w:rsidR="00417D60" w:rsidRDefault="00417D60" w:rsidP="006862B0">
      <w:pPr>
        <w:spacing w:line="360" w:lineRule="auto"/>
        <w:rPr>
          <w:rStyle w:val="Hypertextovodkaz"/>
          <w:rFonts w:ascii="Times New Roman" w:hAnsi="Times New Roman"/>
          <w:sz w:val="24"/>
          <w:szCs w:val="24"/>
        </w:rPr>
      </w:pPr>
    </w:p>
    <w:p w:rsidR="008427FE" w:rsidRPr="00613FCA" w:rsidRDefault="008427FE" w:rsidP="008427FE">
      <w:p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8427FE" w:rsidRPr="0061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7E12"/>
    <w:multiLevelType w:val="hybridMultilevel"/>
    <w:tmpl w:val="B89A84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45046"/>
    <w:multiLevelType w:val="hybridMultilevel"/>
    <w:tmpl w:val="EE6C2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B15"/>
    <w:multiLevelType w:val="hybridMultilevel"/>
    <w:tmpl w:val="D3ECA9D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72B94"/>
    <w:multiLevelType w:val="hybridMultilevel"/>
    <w:tmpl w:val="2F729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13F5"/>
    <w:multiLevelType w:val="hybridMultilevel"/>
    <w:tmpl w:val="1610E2F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80061"/>
    <w:multiLevelType w:val="hybridMultilevel"/>
    <w:tmpl w:val="EBBC31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3763"/>
    <w:multiLevelType w:val="hybridMultilevel"/>
    <w:tmpl w:val="106C6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04C65"/>
    <w:multiLevelType w:val="hybridMultilevel"/>
    <w:tmpl w:val="80CC9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7DA5"/>
    <w:multiLevelType w:val="hybridMultilevel"/>
    <w:tmpl w:val="184C8F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63ADF"/>
    <w:multiLevelType w:val="hybridMultilevel"/>
    <w:tmpl w:val="1AB87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B588C"/>
    <w:multiLevelType w:val="hybridMultilevel"/>
    <w:tmpl w:val="8DDEE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C140F"/>
    <w:multiLevelType w:val="hybridMultilevel"/>
    <w:tmpl w:val="34BEA3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602377"/>
    <w:multiLevelType w:val="hybridMultilevel"/>
    <w:tmpl w:val="AB22DB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834142"/>
    <w:multiLevelType w:val="hybridMultilevel"/>
    <w:tmpl w:val="65F00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C1364"/>
    <w:multiLevelType w:val="hybridMultilevel"/>
    <w:tmpl w:val="E334CB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8099E"/>
    <w:multiLevelType w:val="hybridMultilevel"/>
    <w:tmpl w:val="A75AA47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F5CB9"/>
    <w:multiLevelType w:val="hybridMultilevel"/>
    <w:tmpl w:val="3F143ACC"/>
    <w:lvl w:ilvl="0" w:tplc="017C3C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3D0A"/>
    <w:multiLevelType w:val="hybridMultilevel"/>
    <w:tmpl w:val="C6C2B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1A3"/>
    <w:multiLevelType w:val="hybridMultilevel"/>
    <w:tmpl w:val="7318DE7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8DE6F5A">
      <w:numFmt w:val="bullet"/>
      <w:lvlText w:val=""/>
      <w:lvlJc w:val="left"/>
      <w:pPr>
        <w:ind w:left="1305" w:hanging="58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305B0"/>
    <w:multiLevelType w:val="hybridMultilevel"/>
    <w:tmpl w:val="F9A4CD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376BC5"/>
    <w:multiLevelType w:val="hybridMultilevel"/>
    <w:tmpl w:val="74185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2C1AEC"/>
    <w:multiLevelType w:val="hybridMultilevel"/>
    <w:tmpl w:val="163A0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E5535"/>
    <w:multiLevelType w:val="hybridMultilevel"/>
    <w:tmpl w:val="2208D9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C6CB2"/>
    <w:multiLevelType w:val="hybridMultilevel"/>
    <w:tmpl w:val="6CEAE6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1D1FD6"/>
    <w:multiLevelType w:val="hybridMultilevel"/>
    <w:tmpl w:val="FA32F80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24319"/>
    <w:multiLevelType w:val="hybridMultilevel"/>
    <w:tmpl w:val="CBE236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F15D6B"/>
    <w:multiLevelType w:val="hybridMultilevel"/>
    <w:tmpl w:val="289C65D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FB483D"/>
    <w:multiLevelType w:val="hybridMultilevel"/>
    <w:tmpl w:val="40F67E3E"/>
    <w:lvl w:ilvl="0" w:tplc="0405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E24D6"/>
    <w:multiLevelType w:val="hybridMultilevel"/>
    <w:tmpl w:val="1F64B33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14B71"/>
    <w:multiLevelType w:val="hybridMultilevel"/>
    <w:tmpl w:val="09266C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9F4D38"/>
    <w:multiLevelType w:val="hybridMultilevel"/>
    <w:tmpl w:val="0CA4389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362578"/>
    <w:multiLevelType w:val="hybridMultilevel"/>
    <w:tmpl w:val="C6C2B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520EB"/>
    <w:multiLevelType w:val="hybridMultilevel"/>
    <w:tmpl w:val="8C96B8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A3017"/>
    <w:multiLevelType w:val="hybridMultilevel"/>
    <w:tmpl w:val="CB6A41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33"/>
  </w:num>
  <w:num w:numId="5">
    <w:abstractNumId w:val="8"/>
  </w:num>
  <w:num w:numId="6">
    <w:abstractNumId w:val="0"/>
  </w:num>
  <w:num w:numId="7">
    <w:abstractNumId w:val="28"/>
  </w:num>
  <w:num w:numId="8">
    <w:abstractNumId w:val="15"/>
  </w:num>
  <w:num w:numId="9">
    <w:abstractNumId w:val="24"/>
  </w:num>
  <w:num w:numId="10">
    <w:abstractNumId w:val="4"/>
  </w:num>
  <w:num w:numId="11">
    <w:abstractNumId w:val="18"/>
  </w:num>
  <w:num w:numId="12">
    <w:abstractNumId w:val="19"/>
  </w:num>
  <w:num w:numId="13">
    <w:abstractNumId w:val="32"/>
  </w:num>
  <w:num w:numId="14">
    <w:abstractNumId w:val="30"/>
  </w:num>
  <w:num w:numId="15">
    <w:abstractNumId w:val="2"/>
  </w:num>
  <w:num w:numId="16">
    <w:abstractNumId w:val="11"/>
  </w:num>
  <w:num w:numId="17">
    <w:abstractNumId w:val="22"/>
  </w:num>
  <w:num w:numId="18">
    <w:abstractNumId w:val="26"/>
  </w:num>
  <w:num w:numId="19">
    <w:abstractNumId w:val="16"/>
  </w:num>
  <w:num w:numId="20">
    <w:abstractNumId w:val="7"/>
  </w:num>
  <w:num w:numId="21">
    <w:abstractNumId w:val="12"/>
  </w:num>
  <w:num w:numId="22">
    <w:abstractNumId w:val="31"/>
  </w:num>
  <w:num w:numId="23">
    <w:abstractNumId w:val="3"/>
  </w:num>
  <w:num w:numId="24">
    <w:abstractNumId w:val="17"/>
  </w:num>
  <w:num w:numId="25">
    <w:abstractNumId w:val="14"/>
  </w:num>
  <w:num w:numId="26">
    <w:abstractNumId w:val="20"/>
  </w:num>
  <w:num w:numId="27">
    <w:abstractNumId w:val="21"/>
  </w:num>
  <w:num w:numId="28">
    <w:abstractNumId w:val="6"/>
  </w:num>
  <w:num w:numId="29">
    <w:abstractNumId w:val="13"/>
  </w:num>
  <w:num w:numId="30">
    <w:abstractNumId w:val="10"/>
  </w:num>
  <w:num w:numId="31">
    <w:abstractNumId w:val="25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C0"/>
    <w:rsid w:val="000342C4"/>
    <w:rsid w:val="000375EF"/>
    <w:rsid w:val="00083A5F"/>
    <w:rsid w:val="0008794C"/>
    <w:rsid w:val="00096EA8"/>
    <w:rsid w:val="000E6387"/>
    <w:rsid w:val="00181253"/>
    <w:rsid w:val="00244FC1"/>
    <w:rsid w:val="0024764B"/>
    <w:rsid w:val="00287B5D"/>
    <w:rsid w:val="002D19AF"/>
    <w:rsid w:val="00385B37"/>
    <w:rsid w:val="003B40C3"/>
    <w:rsid w:val="0040454B"/>
    <w:rsid w:val="004062C6"/>
    <w:rsid w:val="00417D60"/>
    <w:rsid w:val="00422EB6"/>
    <w:rsid w:val="004526D0"/>
    <w:rsid w:val="004549CD"/>
    <w:rsid w:val="00473A88"/>
    <w:rsid w:val="004C7FAC"/>
    <w:rsid w:val="004F5915"/>
    <w:rsid w:val="005475D5"/>
    <w:rsid w:val="00580DF4"/>
    <w:rsid w:val="005D453A"/>
    <w:rsid w:val="00622EC5"/>
    <w:rsid w:val="00634BCE"/>
    <w:rsid w:val="00663CA7"/>
    <w:rsid w:val="006862B0"/>
    <w:rsid w:val="007234FC"/>
    <w:rsid w:val="0074596A"/>
    <w:rsid w:val="00792D7F"/>
    <w:rsid w:val="00803C54"/>
    <w:rsid w:val="008427FE"/>
    <w:rsid w:val="008C780F"/>
    <w:rsid w:val="00953192"/>
    <w:rsid w:val="009A5799"/>
    <w:rsid w:val="009F3BAA"/>
    <w:rsid w:val="00A76DC0"/>
    <w:rsid w:val="00AF09AC"/>
    <w:rsid w:val="00AF6D66"/>
    <w:rsid w:val="00B220E1"/>
    <w:rsid w:val="00B5160B"/>
    <w:rsid w:val="00B65B0D"/>
    <w:rsid w:val="00BA3291"/>
    <w:rsid w:val="00BB7455"/>
    <w:rsid w:val="00C06078"/>
    <w:rsid w:val="00C30E41"/>
    <w:rsid w:val="00C714C3"/>
    <w:rsid w:val="00C72B52"/>
    <w:rsid w:val="00C822EB"/>
    <w:rsid w:val="00CE2E54"/>
    <w:rsid w:val="00D306FD"/>
    <w:rsid w:val="00DC0F99"/>
    <w:rsid w:val="00E306F7"/>
    <w:rsid w:val="00E8632F"/>
    <w:rsid w:val="00EB622E"/>
    <w:rsid w:val="00EC7004"/>
    <w:rsid w:val="00ED469A"/>
    <w:rsid w:val="00EE21E3"/>
    <w:rsid w:val="00FB0753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4A6E-01EB-4DCF-8EBB-CCD8B29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DC0"/>
    <w:pPr>
      <w:spacing w:after="0" w:line="240" w:lineRule="auto"/>
      <w:jc w:val="both"/>
    </w:pPr>
    <w:rPr>
      <w:rFonts w:ascii="Calibri" w:eastAsia="Calibri" w:hAnsi="Calibri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C714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D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69A"/>
    <w:rPr>
      <w:rFonts w:ascii="Segoe UI" w:eastAsia="Calibri" w:hAnsi="Segoe UI" w:cs="Segoe UI"/>
      <w:sz w:val="18"/>
      <w:szCs w:val="18"/>
      <w:lang w:val="cs-CZ"/>
    </w:rPr>
  </w:style>
  <w:style w:type="paragraph" w:customStyle="1" w:styleId="Default">
    <w:name w:val="Default"/>
    <w:rsid w:val="00BA3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CE2E54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D19AF"/>
    <w:rPr>
      <w:i/>
      <w:iCs/>
    </w:rPr>
  </w:style>
  <w:style w:type="paragraph" w:customStyle="1" w:styleId="xzvds">
    <w:name w:val="xzvds"/>
    <w:basedOn w:val="Normln"/>
    <w:rsid w:val="002D19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vkif2">
    <w:name w:val="vkif2"/>
    <w:basedOn w:val="Standardnpsmoodstavce"/>
    <w:rsid w:val="002D19AF"/>
  </w:style>
  <w:style w:type="character" w:customStyle="1" w:styleId="Nadpis1Char">
    <w:name w:val="Nadpis 1 Char"/>
    <w:basedOn w:val="Standardnpsmoodstavce"/>
    <w:link w:val="Nadpis1"/>
    <w:uiPriority w:val="9"/>
    <w:rsid w:val="00C714C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titleauthoretc">
    <w:name w:val="titleauthoretc"/>
    <w:basedOn w:val="Standardnpsmoodstavce"/>
    <w:rsid w:val="00C714C3"/>
  </w:style>
  <w:style w:type="character" w:styleId="Siln">
    <w:name w:val="Strong"/>
    <w:basedOn w:val="Standardnpsmoodstavce"/>
    <w:uiPriority w:val="22"/>
    <w:qFormat/>
    <w:rsid w:val="00C714C3"/>
    <w:rPr>
      <w:b/>
      <w:bCs/>
    </w:rPr>
  </w:style>
  <w:style w:type="table" w:styleId="Mkatabulky">
    <w:name w:val="Table Grid"/>
    <w:basedOn w:val="Normlntabulka"/>
    <w:uiPriority w:val="59"/>
    <w:rsid w:val="0062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6</cp:revision>
  <cp:lastPrinted>2021-03-19T10:49:00Z</cp:lastPrinted>
  <dcterms:created xsi:type="dcterms:W3CDTF">2021-03-19T10:34:00Z</dcterms:created>
  <dcterms:modified xsi:type="dcterms:W3CDTF">2021-03-19T13:31:00Z</dcterms:modified>
</cp:coreProperties>
</file>