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BFC7D" w14:textId="40B344A8" w:rsidR="009C74AB" w:rsidRPr="009C74AB" w:rsidRDefault="009C74AB" w:rsidP="00681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150"/>
        </w:rPr>
      </w:pPr>
    </w:p>
    <w:p w14:paraId="4007F277" w14:textId="0513C14D" w:rsidR="007F4F3E" w:rsidRPr="007F4F3E" w:rsidRDefault="009C74AB" w:rsidP="0031022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150"/>
        </w:rPr>
      </w:pP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Lastovickova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M,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Bobal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P,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Strouhalova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D,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Bobalova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J. Acetonitrile-assisted enzymatic digestion can facilitate the bottom-up identification of proteins of cancer origin. Analytical Biochemistry. </w:t>
      </w:r>
      <w:proofErr w:type="gram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2019;570:1</w:t>
      </w:r>
      <w:proofErr w:type="gram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-4. </w:t>
      </w:r>
    </w:p>
    <w:p w14:paraId="224CD614" w14:textId="7BCDA502" w:rsidR="009C74AB" w:rsidRPr="007F4F3E" w:rsidRDefault="009C74AB" w:rsidP="005F09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150"/>
        </w:rPr>
      </w:pP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Otevrel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J,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Svestka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D,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Bobal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P.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Bianthryl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-based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organocatalysts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for the asymmetric Henry reaction of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fluoroketones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. Organic</w:t>
      </w:r>
      <w:r w:rsidRPr="007F4F3E">
        <w:rPr>
          <w:rFonts w:ascii="Times New Roman" w:eastAsia="Times New Roman" w:hAnsi="Times New Roman" w:cs="Times New Roman"/>
          <w:i/>
          <w:iCs/>
          <w:sz w:val="24"/>
          <w:szCs w:val="24"/>
          <w:lang w:eastAsia="en-150"/>
        </w:rPr>
        <w:t xml:space="preserve"> &amp; Biomolecular Chemistry</w:t>
      </w:r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. 2019;17(21):5244-5248. </w:t>
      </w:r>
    </w:p>
    <w:p w14:paraId="7B69D667" w14:textId="016C255B" w:rsidR="009C74AB" w:rsidRPr="007F4F3E" w:rsidRDefault="009C74AB" w:rsidP="007F4F3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150"/>
        </w:rPr>
      </w:pP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Pokorna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A,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Bobal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P,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Oravec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M,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Rarova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L,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Bobalova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J,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Jampilek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J. Investigation of Permeation of Theophylline through Skin Using Selected Piperazine-2,5-Diones. Molecules. 2019;24(3):566. </w:t>
      </w:r>
    </w:p>
    <w:p w14:paraId="02B2828C" w14:textId="77777777" w:rsidR="0019157A" w:rsidRPr="007F6532" w:rsidRDefault="0019157A" w:rsidP="001915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150"/>
        </w:rPr>
      </w:pPr>
      <w:proofErr w:type="spellStart"/>
      <w:r w:rsidRPr="007F6532">
        <w:rPr>
          <w:rFonts w:ascii="Times New Roman" w:eastAsia="Times New Roman" w:hAnsi="Times New Roman" w:cs="Times New Roman"/>
          <w:sz w:val="24"/>
          <w:szCs w:val="24"/>
          <w:lang w:eastAsia="en-150"/>
        </w:rPr>
        <w:t>Hunakova</w:t>
      </w:r>
      <w:proofErr w:type="spellEnd"/>
      <w:r w:rsidRPr="007F6532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L, </w:t>
      </w:r>
      <w:proofErr w:type="spellStart"/>
      <w:r w:rsidRPr="007F6532">
        <w:rPr>
          <w:rFonts w:ascii="Times New Roman" w:eastAsia="Times New Roman" w:hAnsi="Times New Roman" w:cs="Times New Roman"/>
          <w:sz w:val="24"/>
          <w:szCs w:val="24"/>
          <w:lang w:eastAsia="en-150"/>
        </w:rPr>
        <w:t>Horvathova</w:t>
      </w:r>
      <w:proofErr w:type="spellEnd"/>
      <w:r w:rsidRPr="007F6532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E, </w:t>
      </w:r>
      <w:proofErr w:type="spellStart"/>
      <w:r w:rsidRPr="007F6532">
        <w:rPr>
          <w:rFonts w:ascii="Times New Roman" w:eastAsia="Times New Roman" w:hAnsi="Times New Roman" w:cs="Times New Roman"/>
          <w:sz w:val="24"/>
          <w:szCs w:val="24"/>
          <w:lang w:eastAsia="en-150"/>
        </w:rPr>
        <w:t>Gronesova</w:t>
      </w:r>
      <w:proofErr w:type="spellEnd"/>
      <w:r w:rsidRPr="007F6532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P, </w:t>
      </w:r>
      <w:proofErr w:type="spellStart"/>
      <w:r w:rsidRPr="007F6532">
        <w:rPr>
          <w:rFonts w:ascii="Times New Roman" w:eastAsia="Times New Roman" w:hAnsi="Times New Roman" w:cs="Times New Roman"/>
          <w:sz w:val="24"/>
          <w:szCs w:val="24"/>
          <w:lang w:eastAsia="en-150"/>
        </w:rPr>
        <w:t>Bobal</w:t>
      </w:r>
      <w:proofErr w:type="spellEnd"/>
      <w:r w:rsidRPr="007F6532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P, </w:t>
      </w:r>
      <w:proofErr w:type="spellStart"/>
      <w:r w:rsidRPr="007F6532">
        <w:rPr>
          <w:rFonts w:ascii="Times New Roman" w:eastAsia="Times New Roman" w:hAnsi="Times New Roman" w:cs="Times New Roman"/>
          <w:sz w:val="24"/>
          <w:szCs w:val="24"/>
          <w:lang w:eastAsia="en-150"/>
        </w:rPr>
        <w:t>Otevrel</w:t>
      </w:r>
      <w:proofErr w:type="spellEnd"/>
      <w:r w:rsidRPr="007F6532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J, </w:t>
      </w:r>
      <w:proofErr w:type="spellStart"/>
      <w:r w:rsidRPr="007F6532">
        <w:rPr>
          <w:rFonts w:ascii="Times New Roman" w:eastAsia="Times New Roman" w:hAnsi="Times New Roman" w:cs="Times New Roman"/>
          <w:sz w:val="24"/>
          <w:szCs w:val="24"/>
          <w:lang w:eastAsia="en-150"/>
        </w:rPr>
        <w:t>Brtko</w:t>
      </w:r>
      <w:proofErr w:type="spellEnd"/>
      <w:r w:rsidRPr="007F6532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J. </w:t>
      </w:r>
      <w:proofErr w:type="spellStart"/>
      <w:r w:rsidRPr="007F6532">
        <w:rPr>
          <w:rFonts w:ascii="Times New Roman" w:eastAsia="Times New Roman" w:hAnsi="Times New Roman" w:cs="Times New Roman"/>
          <w:sz w:val="24"/>
          <w:szCs w:val="24"/>
          <w:lang w:eastAsia="en-150"/>
        </w:rPr>
        <w:t>Triorganotin</w:t>
      </w:r>
      <w:proofErr w:type="spellEnd"/>
      <w:r w:rsidRPr="007F6532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Isothiocyanates Affect Migration and Immune Check-point Receptors in Human Triple-negative Breast Carcinoma MDA-MB-231 Cells. </w:t>
      </w:r>
      <w:r w:rsidRPr="007F6532">
        <w:rPr>
          <w:rFonts w:ascii="Times New Roman" w:eastAsia="Times New Roman" w:hAnsi="Times New Roman" w:cs="Times New Roman"/>
          <w:i/>
          <w:iCs/>
          <w:sz w:val="24"/>
          <w:szCs w:val="24"/>
          <w:lang w:eastAsia="en-150"/>
        </w:rPr>
        <w:t>Anticancer Res</w:t>
      </w:r>
      <w:r w:rsidRPr="007F6532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. 2019;39(9):4845-4851. </w:t>
      </w:r>
    </w:p>
    <w:p w14:paraId="6C0CE9E2" w14:textId="30A7C7B3" w:rsidR="009C74AB" w:rsidRPr="007F4F3E" w:rsidRDefault="009C74AB" w:rsidP="007F4F3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n-150"/>
        </w:rPr>
      </w:pP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Macejova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D,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Mosna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B,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Bobal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P,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Otevrel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J,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Brtko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J.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Triorganotin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derivatives: time-dependent expression of Vimentin, Annexin. </w:t>
      </w:r>
      <w:r w:rsidRPr="007F4F3E">
        <w:rPr>
          <w:rFonts w:ascii="Times New Roman" w:eastAsia="Times New Roman" w:hAnsi="Times New Roman" w:cs="Times New Roman"/>
          <w:i/>
          <w:iCs/>
          <w:sz w:val="24"/>
          <w:szCs w:val="24"/>
          <w:lang w:eastAsia="en-150"/>
        </w:rPr>
        <w:t>Toxicology Letters</w:t>
      </w:r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. 2019;</w:t>
      </w:r>
      <w:proofErr w:type="gram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314:S</w:t>
      </w:r>
      <w:proofErr w:type="gram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124-S125.</w:t>
      </w:r>
    </w:p>
    <w:p w14:paraId="36552ADB" w14:textId="595715CC" w:rsidR="007F4F3E" w:rsidRPr="007F4F3E" w:rsidRDefault="006811C1" w:rsidP="00602A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150"/>
        </w:rPr>
      </w:pP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Leláková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V,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Šmejkal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K,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Jakubczyk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K, et al. Parallel in vitro and in silico investigations into anti-inflammatory effects of non-prenylated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stilbenoids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. Food Chemistry. </w:t>
      </w:r>
      <w:proofErr w:type="gram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2019;285:431</w:t>
      </w:r>
      <w:proofErr w:type="gram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-440. </w:t>
      </w:r>
    </w:p>
    <w:p w14:paraId="54605E29" w14:textId="0BEDA164" w:rsidR="006811C1" w:rsidRPr="007F4F3E" w:rsidRDefault="006811C1" w:rsidP="007F4F3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n-150"/>
        </w:rPr>
      </w:pP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Strouhalova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D,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Macejova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D,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Mosna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B, et al. Down-regulation of vimentin by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triorganotin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isothiocyanates—nuclear retinoid X receptor agonists: A proteomic approach. </w:t>
      </w:r>
      <w:r w:rsidRPr="007F4F3E">
        <w:rPr>
          <w:rFonts w:ascii="Times New Roman" w:eastAsia="Times New Roman" w:hAnsi="Times New Roman" w:cs="Times New Roman"/>
          <w:i/>
          <w:iCs/>
          <w:sz w:val="24"/>
          <w:szCs w:val="24"/>
          <w:lang w:eastAsia="en-150"/>
        </w:rPr>
        <w:t>Toxicology Letters</w:t>
      </w:r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. </w:t>
      </w:r>
      <w:proofErr w:type="gram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2020;318:22</w:t>
      </w:r>
      <w:proofErr w:type="gram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-29. </w:t>
      </w:r>
    </w:p>
    <w:p w14:paraId="6614D4A8" w14:textId="6453C169" w:rsidR="006811C1" w:rsidRPr="007F4F3E" w:rsidRDefault="006811C1" w:rsidP="007F4F3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n-150"/>
        </w:rPr>
      </w:pP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Hošek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J,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Leláková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V,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Bobál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P, et al. Prenylated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Stilbenoids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Affect Inflammation by Inhibiting the NF-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κB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/AP-1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Signaling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Pathway and Cyclooxygenases and Lipoxygenase. </w:t>
      </w:r>
      <w:r w:rsidRPr="0019157A">
        <w:rPr>
          <w:rFonts w:ascii="Times New Roman" w:eastAsia="Times New Roman" w:hAnsi="Times New Roman" w:cs="Times New Roman"/>
          <w:sz w:val="24"/>
          <w:szCs w:val="24"/>
          <w:lang w:eastAsia="en-150"/>
        </w:rPr>
        <w:t>J Nat Prod</w:t>
      </w:r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. 2019;82(7):1839-1848. </w:t>
      </w:r>
    </w:p>
    <w:p w14:paraId="4B7FFA0D" w14:textId="7A237FC9" w:rsidR="006811C1" w:rsidRDefault="000C446D" w:rsidP="007F4F3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150"/>
        </w:rPr>
      </w:pP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Hunakova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L,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Horvathova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E,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Majerova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K,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Bobal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P,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Otevrel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J,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Brtko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J. Genotoxic Effects of Tributyltin and </w:t>
      </w:r>
      <w:proofErr w:type="spellStart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>Triphenyltin</w:t>
      </w:r>
      <w:proofErr w:type="spellEnd"/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Isothiocyanates, Cognate RXR Ligands: Comparison in Human Breast Carcinoma MCF 7 and MDA-MB-231 Cells. </w:t>
      </w:r>
      <w:r w:rsidRPr="0019157A">
        <w:rPr>
          <w:rFonts w:ascii="Times New Roman" w:eastAsia="Times New Roman" w:hAnsi="Times New Roman" w:cs="Times New Roman"/>
          <w:sz w:val="24"/>
          <w:szCs w:val="24"/>
          <w:lang w:eastAsia="en-150"/>
        </w:rPr>
        <w:t>International Journal of Molecular Sciences</w:t>
      </w:r>
      <w:r w:rsidRPr="007F4F3E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. 2019;20(5):1198. </w:t>
      </w:r>
    </w:p>
    <w:p w14:paraId="3EEA45BE" w14:textId="6228B17A" w:rsidR="0019157A" w:rsidRPr="0019157A" w:rsidRDefault="0019157A" w:rsidP="0019157A">
      <w:pPr>
        <w:pStyle w:val="ListParagraph"/>
        <w:numPr>
          <w:ilvl w:val="0"/>
          <w:numId w:val="3"/>
        </w:numPr>
        <w:ind w:right="96"/>
        <w:rPr>
          <w:rFonts w:ascii="Times New Roman" w:eastAsia="Times New Roman" w:hAnsi="Times New Roman" w:cs="Times New Roman"/>
          <w:sz w:val="24"/>
          <w:szCs w:val="24"/>
          <w:lang w:eastAsia="en-150"/>
        </w:rPr>
      </w:pPr>
      <w:proofErr w:type="spellStart"/>
      <w:r w:rsidRPr="0019157A">
        <w:rPr>
          <w:rFonts w:ascii="Times New Roman" w:eastAsia="Times New Roman" w:hAnsi="Times New Roman" w:cs="Times New Roman"/>
          <w:sz w:val="24"/>
          <w:szCs w:val="24"/>
          <w:lang w:eastAsia="en-150"/>
        </w:rPr>
        <w:t>Bak</w:t>
      </w:r>
      <w:proofErr w:type="spellEnd"/>
      <w:r w:rsidRPr="0019157A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A, </w:t>
      </w:r>
      <w:proofErr w:type="spellStart"/>
      <w:r w:rsidRPr="0019157A">
        <w:rPr>
          <w:rFonts w:ascii="Times New Roman" w:eastAsia="Times New Roman" w:hAnsi="Times New Roman" w:cs="Times New Roman"/>
          <w:sz w:val="24"/>
          <w:szCs w:val="24"/>
          <w:lang w:eastAsia="en-150"/>
        </w:rPr>
        <w:t>Pizova</w:t>
      </w:r>
      <w:proofErr w:type="spellEnd"/>
      <w:r w:rsidRPr="0019157A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H, </w:t>
      </w:r>
      <w:proofErr w:type="spellStart"/>
      <w:r w:rsidRPr="0019157A">
        <w:rPr>
          <w:rFonts w:ascii="Times New Roman" w:eastAsia="Times New Roman" w:hAnsi="Times New Roman" w:cs="Times New Roman"/>
          <w:sz w:val="24"/>
          <w:szCs w:val="24"/>
          <w:lang w:eastAsia="en-150"/>
        </w:rPr>
        <w:t>Kozik</w:t>
      </w:r>
      <w:proofErr w:type="spellEnd"/>
      <w:r w:rsidRPr="0019157A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V, et al. SAR-mediated Similarity Assessment of the Property Profile for New, Silicon-Based </w:t>
      </w:r>
      <w:proofErr w:type="spellStart"/>
      <w:r w:rsidRPr="0019157A">
        <w:rPr>
          <w:rFonts w:ascii="Times New Roman" w:eastAsia="Times New Roman" w:hAnsi="Times New Roman" w:cs="Times New Roman"/>
          <w:sz w:val="24"/>
          <w:szCs w:val="24"/>
          <w:lang w:eastAsia="en-150"/>
        </w:rPr>
        <w:t>AChE</w:t>
      </w:r>
      <w:proofErr w:type="spellEnd"/>
      <w:r w:rsidRPr="0019157A">
        <w:rPr>
          <w:rFonts w:ascii="Times New Roman" w:eastAsia="Times New Roman" w:hAnsi="Times New Roman" w:cs="Times New Roman"/>
          <w:sz w:val="24"/>
          <w:szCs w:val="24"/>
          <w:lang w:eastAsia="en-150"/>
        </w:rPr>
        <w:t>/</w:t>
      </w:r>
      <w:proofErr w:type="spellStart"/>
      <w:r w:rsidRPr="0019157A">
        <w:rPr>
          <w:rFonts w:ascii="Times New Roman" w:eastAsia="Times New Roman" w:hAnsi="Times New Roman" w:cs="Times New Roman"/>
          <w:sz w:val="24"/>
          <w:szCs w:val="24"/>
          <w:lang w:eastAsia="en-150"/>
        </w:rPr>
        <w:t>BChE</w:t>
      </w:r>
      <w:proofErr w:type="spellEnd"/>
      <w:r w:rsidRPr="0019157A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Inhibitors. Int J Mol Sci. 2019;20(21)</w:t>
      </w:r>
      <w:r w:rsidRPr="0019157A">
        <w:rPr>
          <w:rFonts w:ascii="Times New Roman" w:eastAsia="Times New Roman" w:hAnsi="Times New Roman" w:cs="Times New Roman"/>
          <w:sz w:val="24"/>
          <w:szCs w:val="24"/>
          <w:lang w:eastAsia="en-150"/>
        </w:rPr>
        <w:t xml:space="preserve"> </w:t>
      </w:r>
      <w:bookmarkStart w:id="0" w:name="_GoBack"/>
      <w:bookmarkEnd w:id="0"/>
    </w:p>
    <w:sectPr w:rsidR="0019157A" w:rsidRPr="00191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21"/>
    <w:multiLevelType w:val="hybridMultilevel"/>
    <w:tmpl w:val="1CD2042E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0522A"/>
    <w:multiLevelType w:val="hybridMultilevel"/>
    <w:tmpl w:val="D122B85C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82153"/>
    <w:multiLevelType w:val="hybridMultilevel"/>
    <w:tmpl w:val="61C2CAA0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6E"/>
    <w:rsid w:val="000C446D"/>
    <w:rsid w:val="0019157A"/>
    <w:rsid w:val="004A736E"/>
    <w:rsid w:val="005A3F90"/>
    <w:rsid w:val="006811C1"/>
    <w:rsid w:val="007F4F3E"/>
    <w:rsid w:val="007F6532"/>
    <w:rsid w:val="009C74AB"/>
    <w:rsid w:val="00B21498"/>
    <w:rsid w:val="00EE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478717"/>
  <w15:chartTrackingRefBased/>
  <w15:docId w15:val="{27223A08-F358-4AAA-85F0-EB8D21E4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4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682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82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501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444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468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623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396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0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034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049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569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03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paranis</dc:creator>
  <cp:keywords/>
  <dc:description/>
  <cp:lastModifiedBy>george paranis</cp:lastModifiedBy>
  <cp:revision>6</cp:revision>
  <dcterms:created xsi:type="dcterms:W3CDTF">2020-02-23T09:07:00Z</dcterms:created>
  <dcterms:modified xsi:type="dcterms:W3CDTF">2020-02-23T10:19:00Z</dcterms:modified>
</cp:coreProperties>
</file>