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95" w:rsidRPr="00BA3BEB" w:rsidRDefault="00BA3BEB" w:rsidP="00BA3BEB">
      <w:pPr>
        <w:jc w:val="center"/>
        <w:rPr>
          <w:b/>
        </w:rPr>
      </w:pPr>
      <w:r w:rsidRPr="00BA3BEB">
        <w:rPr>
          <w:b/>
          <w:highlight w:val="yellow"/>
        </w:rPr>
        <w:t>LIDOVÁ A POZDNÍ LATINA – TEXTY</w:t>
      </w:r>
    </w:p>
    <w:p w:rsidR="00BA3BEB" w:rsidRDefault="00BA3BEB" w:rsidP="00BA3BEB">
      <w:r w:rsidRPr="00BA3BEB">
        <w:rPr>
          <w:highlight w:val="green"/>
        </w:rPr>
        <w:t>POMPEJSKÉ NÁPISY</w:t>
      </w:r>
    </w:p>
    <w:p w:rsidR="00BA3BEB" w:rsidRPr="00BA3BEB" w:rsidRDefault="00BA3BEB" w:rsidP="00BA3BEB">
      <w:pPr>
        <w:spacing w:after="120" w:line="240" w:lineRule="auto"/>
        <w:jc w:val="center"/>
        <w:rPr>
          <w:b/>
        </w:rPr>
      </w:pPr>
      <w:r w:rsidRPr="00BA3BEB">
        <w:rPr>
          <w:b/>
        </w:rPr>
        <w:t>CIL IV 1173</w:t>
      </w:r>
    </w:p>
    <w:p w:rsidR="00BA3BEB" w:rsidRPr="00BA3BEB" w:rsidRDefault="00BA3BEB" w:rsidP="00BA3BEB">
      <w:pPr>
        <w:spacing w:after="120" w:line="240" w:lineRule="auto"/>
        <w:jc w:val="center"/>
      </w:pPr>
      <w:r>
        <w:rPr>
          <w:caps/>
          <w:sz w:val="23"/>
          <w:szCs w:val="23"/>
        </w:rPr>
        <w:t>quisquis ama valia, peria qui nosci amare</w:t>
      </w:r>
    </w:p>
    <w:p w:rsidR="00BA3BEB" w:rsidRDefault="00BA3BEB" w:rsidP="00BA3BEB">
      <w:pPr>
        <w:spacing w:after="120" w:line="240" w:lineRule="auto"/>
        <w:jc w:val="center"/>
        <w:rPr>
          <w:caps/>
          <w:sz w:val="23"/>
          <w:szCs w:val="23"/>
        </w:rPr>
      </w:pPr>
      <w:r>
        <w:rPr>
          <w:caps/>
          <w:sz w:val="23"/>
          <w:szCs w:val="23"/>
        </w:rPr>
        <w:t>bis anti peria quisquis amare vota</w:t>
      </w:r>
    </w:p>
    <w:p w:rsidR="00BA3BEB" w:rsidRDefault="00BA3BEB" w:rsidP="00BA3BEB">
      <w:pPr>
        <w:spacing w:after="120" w:line="240" w:lineRule="auto"/>
        <w:jc w:val="center"/>
        <w:rPr>
          <w:caps/>
          <w:sz w:val="23"/>
          <w:szCs w:val="23"/>
        </w:rPr>
      </w:pPr>
    </w:p>
    <w:p w:rsidR="00BA3BEB" w:rsidRPr="00BA3BEB" w:rsidRDefault="00BA3BEB" w:rsidP="00BA3BEB">
      <w:pPr>
        <w:spacing w:after="120" w:line="240" w:lineRule="auto"/>
        <w:jc w:val="center"/>
        <w:rPr>
          <w:b/>
        </w:rPr>
      </w:pPr>
      <w:r w:rsidRPr="00BA3BEB">
        <w:rPr>
          <w:b/>
        </w:rPr>
        <w:t>CIL IV 3494</w:t>
      </w:r>
    </w:p>
    <w:p w:rsidR="00BA3BEB" w:rsidRDefault="00BA3BEB" w:rsidP="00BA3BEB">
      <w:pPr>
        <w:spacing w:after="120" w:line="240" w:lineRule="auto"/>
        <w:jc w:val="center"/>
      </w:pPr>
      <w:r w:rsidRPr="00BA3BEB">
        <w:drawing>
          <wp:inline distT="0" distB="0" distL="0" distR="0">
            <wp:extent cx="5000625" cy="2387986"/>
            <wp:effectExtent l="19050" t="0" r="9525" b="0"/>
            <wp:docPr id="7" name="obrázek 7" descr="http://upload.wikimedia.org/wikipedia/commons/thumb/9/94/3494%28Foras_rixsatis%29.1.jpg/601px-3494%28Foras_rixsatis%29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9/94/3494%28Foras_rixsatis%29.1.jpg/601px-3494%28Foras_rixsatis%29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2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38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BEB" w:rsidRDefault="00BA3BEB" w:rsidP="00BA3BEB">
      <w:pPr>
        <w:spacing w:after="120" w:line="240" w:lineRule="auto"/>
        <w:jc w:val="center"/>
      </w:pPr>
      <w:r>
        <w:t>EXSI – NON TRIA DUAS EST</w:t>
      </w:r>
    </w:p>
    <w:p w:rsidR="00BA3BEB" w:rsidRDefault="00BA3BEB" w:rsidP="00BA3BEB">
      <w:pPr>
        <w:spacing w:after="120" w:line="240" w:lineRule="auto"/>
        <w:jc w:val="center"/>
      </w:pPr>
      <w:r>
        <w:t>NOXSI AME TRIA ECO FUI – ORO TE FELLATOR ECO FUI</w:t>
      </w:r>
    </w:p>
    <w:p w:rsidR="00BA3BEB" w:rsidRDefault="00BA3BEB" w:rsidP="00BA3BEB">
      <w:pPr>
        <w:spacing w:after="120" w:line="240" w:lineRule="auto"/>
        <w:jc w:val="center"/>
      </w:pPr>
      <w:r>
        <w:t>ITIS FORAS RIXSATIS</w:t>
      </w:r>
    </w:p>
    <w:p w:rsidR="00BA3BEB" w:rsidRDefault="00BA3BEB" w:rsidP="00BA3BEB">
      <w:pPr>
        <w:spacing w:after="120" w:line="240" w:lineRule="auto"/>
        <w:jc w:val="center"/>
      </w:pPr>
    </w:p>
    <w:p w:rsidR="00BA3BEB" w:rsidRPr="00BA3BEB" w:rsidRDefault="00BA3BEB" w:rsidP="00BA3BEB">
      <w:pPr>
        <w:spacing w:after="120" w:line="240" w:lineRule="auto"/>
        <w:jc w:val="center"/>
        <w:rPr>
          <w:b/>
        </w:rPr>
      </w:pPr>
      <w:r w:rsidRPr="00BA3BEB">
        <w:rPr>
          <w:b/>
        </w:rPr>
        <w:t>CIL IV 8162</w:t>
      </w:r>
    </w:p>
    <w:p w:rsidR="00BA3BEB" w:rsidRDefault="00BA3BEB" w:rsidP="00BA3BEB">
      <w:pPr>
        <w:spacing w:after="120" w:line="240" w:lineRule="auto"/>
        <w:jc w:val="center"/>
      </w:pPr>
      <w:r w:rsidRPr="00BA3BEB">
        <w:drawing>
          <wp:inline distT="0" distB="0" distL="0" distR="0">
            <wp:extent cx="5760720" cy="870875"/>
            <wp:effectExtent l="19050" t="0" r="0" b="0"/>
            <wp:docPr id="2" name="obrázek 10" descr="Hic fiumus cari duo nos sine fine sodales &#10;&#10;nomina si [quaeris Caius et Aulus erant]       [CIL 04 8162]&#10;&#10;&#10;&#10;This translated as &#10;&#10;“We two dear men, friends forever, were here. If you want to know our names, they are Gaius and Aulus”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ic fiumus cari duo nos sine fine sodales &#10;&#10;nomina si [quaeris Caius et Aulus erant]       [CIL 04 8162]&#10;&#10;&#10;&#10;This translated as &#10;&#10;“We two dear men, friends forever, were here. If you want to know our names, they are Gaius and Aulus”&#10;&#10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BEB" w:rsidRDefault="00BA3BEB" w:rsidP="00BA3BE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BA3BEB">
        <w:rPr>
          <w:rFonts w:ascii="Times New Roman" w:eastAsia="Times New Roman" w:hAnsi="Times New Roman" w:cs="Times New Roman"/>
          <w:szCs w:val="24"/>
          <w:lang w:val="fr-FR" w:eastAsia="cs-CZ"/>
        </w:rPr>
        <w:t>HIC FIUMUS CARI DUO NOS SINE FINE SODALES NOMINA SI [QUAERIS CAIUS ET AULUS ERANT</w:t>
      </w:r>
      <w:r w:rsidRPr="00BA3BEB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]</w:t>
      </w:r>
    </w:p>
    <w:p w:rsidR="00BA3BEB" w:rsidRDefault="00BA3BEB" w:rsidP="00BA3B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</w:p>
    <w:p w:rsidR="00BA3BEB" w:rsidRDefault="00BA3BEB" w:rsidP="00BA3BEB">
      <w:pPr>
        <w:spacing w:after="120" w:line="240" w:lineRule="auto"/>
      </w:pPr>
      <w:r>
        <w:rPr>
          <w:highlight w:val="green"/>
        </w:rPr>
        <w:t>APPENDIX PROBI</w:t>
      </w:r>
    </w:p>
    <w:p w:rsidR="00BA3BEB" w:rsidRDefault="00BA3BEB" w:rsidP="007503F2">
      <w:proofErr w:type="spellStart"/>
      <w:r>
        <w:rPr>
          <w:rFonts w:ascii="Calibri" w:eastAsia="Calibri" w:hAnsi="Calibri" w:cs="Times New Roman"/>
          <w:b/>
          <w:bCs/>
        </w:rPr>
        <w:t>speculum</w:t>
      </w:r>
      <w:proofErr w:type="spellEnd"/>
      <w:r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Calibri" w:eastAsia="Calibri" w:hAnsi="Calibri" w:cs="Times New Roman"/>
          <w:i/>
          <w:iCs/>
        </w:rPr>
        <w:t>non</w:t>
      </w:r>
      <w:r>
        <w:rPr>
          <w:rFonts w:ascii="Calibri" w:eastAsia="Calibri" w:hAnsi="Calibri" w:cs="Times New Roman"/>
          <w:b/>
          <w:bCs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</w:rPr>
        <w:t>speclum</w:t>
      </w:r>
      <w:proofErr w:type="spellEnd"/>
    </w:p>
    <w:p w:rsidR="00BA3BEB" w:rsidRDefault="00BA3BEB" w:rsidP="007503F2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  <w:b/>
          <w:bCs/>
        </w:rPr>
        <w:t>nunquam</w:t>
      </w:r>
      <w:proofErr w:type="spellEnd"/>
      <w:r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Calibri" w:eastAsia="Calibri" w:hAnsi="Calibri" w:cs="Times New Roman"/>
          <w:i/>
          <w:iCs/>
        </w:rPr>
        <w:t>non</w:t>
      </w:r>
      <w:r>
        <w:rPr>
          <w:rFonts w:ascii="Calibri" w:eastAsia="Calibri" w:hAnsi="Calibri" w:cs="Times New Roman"/>
          <w:b/>
          <w:bCs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</w:rPr>
        <w:t>numqua</w:t>
      </w:r>
      <w:proofErr w:type="spellEnd"/>
    </w:p>
    <w:p w:rsidR="00BA3BEB" w:rsidRDefault="00BA3BEB" w:rsidP="007503F2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  <w:b/>
          <w:bCs/>
        </w:rPr>
        <w:t>auris</w:t>
      </w:r>
      <w:proofErr w:type="spellEnd"/>
      <w:r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Calibri" w:eastAsia="Calibri" w:hAnsi="Calibri" w:cs="Times New Roman"/>
          <w:i/>
          <w:iCs/>
        </w:rPr>
        <w:t>non</w:t>
      </w:r>
      <w:r>
        <w:rPr>
          <w:rFonts w:ascii="Calibri" w:eastAsia="Calibri" w:hAnsi="Calibri" w:cs="Times New Roman"/>
          <w:b/>
          <w:bCs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</w:rPr>
        <w:t>oricla</w:t>
      </w:r>
      <w:proofErr w:type="spellEnd"/>
    </w:p>
    <w:p w:rsidR="00BA3BEB" w:rsidRDefault="00BA3BEB" w:rsidP="007503F2">
      <w:pPr>
        <w:rPr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mensa </w:t>
      </w:r>
      <w:r>
        <w:rPr>
          <w:rFonts w:ascii="Calibri" w:eastAsia="Calibri" w:hAnsi="Calibri" w:cs="Times New Roman"/>
          <w:i/>
          <w:iCs/>
        </w:rPr>
        <w:t>non</w:t>
      </w:r>
      <w:r>
        <w:rPr>
          <w:rFonts w:ascii="Calibri" w:eastAsia="Calibri" w:hAnsi="Calibri" w:cs="Times New Roman"/>
          <w:b/>
          <w:bCs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</w:rPr>
        <w:t>mesa</w:t>
      </w:r>
      <w:proofErr w:type="spellEnd"/>
    </w:p>
    <w:p w:rsidR="00BA3BEB" w:rsidRDefault="00BA3BEB" w:rsidP="007503F2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  <w:b/>
          <w:bCs/>
        </w:rPr>
        <w:t>vinea</w:t>
      </w:r>
      <w:proofErr w:type="spellEnd"/>
      <w:r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Calibri" w:eastAsia="Calibri" w:hAnsi="Calibri" w:cs="Times New Roman"/>
          <w:i/>
          <w:iCs/>
        </w:rPr>
        <w:t>non</w:t>
      </w:r>
      <w:r>
        <w:rPr>
          <w:rFonts w:ascii="Calibri" w:eastAsia="Calibri" w:hAnsi="Calibri" w:cs="Times New Roman"/>
          <w:b/>
          <w:bCs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</w:rPr>
        <w:t>vinia</w:t>
      </w:r>
      <w:proofErr w:type="spellEnd"/>
    </w:p>
    <w:p w:rsidR="00BA3BEB" w:rsidRDefault="00BA3BEB" w:rsidP="007503F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amfora </w:t>
      </w:r>
      <w:r>
        <w:rPr>
          <w:rFonts w:ascii="Calibri" w:eastAsia="Calibri" w:hAnsi="Calibri" w:cs="Times New Roman"/>
          <w:i/>
          <w:iCs/>
        </w:rPr>
        <w:t>non</w:t>
      </w:r>
      <w:r>
        <w:rPr>
          <w:rFonts w:ascii="Calibri" w:eastAsia="Calibri" w:hAnsi="Calibri" w:cs="Times New Roman"/>
          <w:b/>
          <w:bCs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</w:rPr>
        <w:t>ampora</w:t>
      </w:r>
      <w:proofErr w:type="spellEnd"/>
    </w:p>
    <w:p w:rsidR="00BA3BEB" w:rsidRDefault="007503F2" w:rsidP="00BA3BEB">
      <w:pPr>
        <w:spacing w:after="120" w:line="240" w:lineRule="auto"/>
      </w:pPr>
      <w:r>
        <w:rPr>
          <w:highlight w:val="green"/>
        </w:rPr>
        <w:lastRenderedPageBreak/>
        <w:t>ITINERARIUM EGERIAE</w:t>
      </w:r>
    </w:p>
    <w:p w:rsidR="007503F2" w:rsidRPr="00D02C57" w:rsidRDefault="007503F2" w:rsidP="007503F2">
      <w:pPr>
        <w:spacing w:after="120"/>
        <w:rPr>
          <w:b/>
          <w:u w:val="single"/>
        </w:rPr>
      </w:pPr>
      <w:r w:rsidRPr="00D02C57">
        <w:rPr>
          <w:b/>
          <w:u w:val="single"/>
        </w:rPr>
        <w:t>hrob sv. Tomáše (17/1)</w:t>
      </w:r>
    </w:p>
    <w:p w:rsidR="007503F2" w:rsidRPr="00696CEE" w:rsidRDefault="007503F2" w:rsidP="007503F2">
      <w:pPr>
        <w:spacing w:line="360" w:lineRule="auto"/>
        <w:jc w:val="both"/>
      </w:pPr>
      <w:proofErr w:type="spellStart"/>
      <w:r>
        <w:t>Item</w:t>
      </w:r>
      <w:proofErr w:type="spellEnd"/>
      <w:r>
        <w:t xml:space="preserve"> in </w:t>
      </w:r>
      <w:proofErr w:type="spellStart"/>
      <w:r>
        <w:t>nomine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, </w:t>
      </w:r>
      <w:proofErr w:type="spellStart"/>
      <w:r>
        <w:t>transacto</w:t>
      </w:r>
      <w:proofErr w:type="spellEnd"/>
      <w:r>
        <w:t xml:space="preserve"> </w:t>
      </w:r>
      <w:proofErr w:type="spellStart"/>
      <w:r>
        <w:t>aliquanto</w:t>
      </w:r>
      <w:proofErr w:type="spellEnd"/>
      <w:r>
        <w:t xml:space="preserve"> </w:t>
      </w:r>
      <w:proofErr w:type="spellStart"/>
      <w:r>
        <w:t>tempore</w:t>
      </w:r>
      <w:proofErr w:type="spellEnd"/>
      <w:r>
        <w:t xml:space="preserve">, </w:t>
      </w:r>
      <w:proofErr w:type="spellStart"/>
      <w:r>
        <w:t>cum</w:t>
      </w:r>
      <w:proofErr w:type="spellEnd"/>
      <w:r>
        <w:t xml:space="preserve"> </w:t>
      </w:r>
      <w:proofErr w:type="spellStart"/>
      <w:r>
        <w:t>iam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pleni </w:t>
      </w:r>
      <w:proofErr w:type="spellStart"/>
      <w:r>
        <w:t>essent</w:t>
      </w:r>
      <w:proofErr w:type="spellEnd"/>
      <w:r>
        <w:t xml:space="preserve">, a quo in </w:t>
      </w:r>
      <w:proofErr w:type="spellStart"/>
      <w:r>
        <w:t>Ierusolimam</w:t>
      </w:r>
      <w:proofErr w:type="spellEnd"/>
      <w:r>
        <w:t xml:space="preserve"> </w:t>
      </w:r>
      <w:proofErr w:type="spellStart"/>
      <w:r>
        <w:t>uenisse</w:t>
      </w:r>
      <w:proofErr w:type="spellEnd"/>
      <w:r>
        <w:t xml:space="preserve">, </w:t>
      </w:r>
      <w:proofErr w:type="spellStart"/>
      <w:r>
        <w:t>uisis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omnibus </w:t>
      </w:r>
      <w:proofErr w:type="spellStart"/>
      <w:r>
        <w:t>locis</w:t>
      </w:r>
      <w:proofErr w:type="spellEnd"/>
      <w:r>
        <w:t xml:space="preserve"> </w:t>
      </w:r>
      <w:proofErr w:type="spellStart"/>
      <w:r>
        <w:t>sanctis</w:t>
      </w:r>
      <w:proofErr w:type="spellEnd"/>
      <w:r>
        <w:t xml:space="preserve">, ad </w:t>
      </w:r>
      <w:proofErr w:type="spellStart"/>
      <w:r>
        <w:t>quos</w:t>
      </w:r>
      <w:proofErr w:type="spellEnd"/>
      <w:r>
        <w:t xml:space="preserve"> </w:t>
      </w:r>
      <w:proofErr w:type="spellStart"/>
      <w:r>
        <w:t>orationis</w:t>
      </w:r>
      <w:proofErr w:type="spellEnd"/>
      <w:r>
        <w:t xml:space="preserve"> </w:t>
      </w:r>
      <w:proofErr w:type="spellStart"/>
      <w:r>
        <w:t>gratia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tenderam</w:t>
      </w:r>
      <w:proofErr w:type="spellEnd"/>
      <w:r>
        <w:t xml:space="preserve">, </w:t>
      </w:r>
      <w:proofErr w:type="spellStart"/>
      <w:r>
        <w:t>et</w:t>
      </w:r>
      <w:proofErr w:type="spellEnd"/>
      <w:r>
        <w:t xml:space="preserve"> ideo </w:t>
      </w:r>
      <w:proofErr w:type="spellStart"/>
      <w:r>
        <w:t>iam</w:t>
      </w:r>
      <w:proofErr w:type="spellEnd"/>
      <w:r>
        <w:t xml:space="preserve"> </w:t>
      </w:r>
      <w:proofErr w:type="spellStart"/>
      <w:r>
        <w:t>reuertendi</w:t>
      </w:r>
      <w:proofErr w:type="spellEnd"/>
      <w:r>
        <w:t xml:space="preserve"> ad </w:t>
      </w:r>
      <w:proofErr w:type="spellStart"/>
      <w:r>
        <w:t>patriam</w:t>
      </w:r>
      <w:proofErr w:type="spellEnd"/>
      <w:r>
        <w:t xml:space="preserve"> </w:t>
      </w:r>
      <w:proofErr w:type="spellStart"/>
      <w:r>
        <w:t>animus</w:t>
      </w:r>
      <w:proofErr w:type="spellEnd"/>
      <w:r>
        <w:t xml:space="preserve"> </w:t>
      </w:r>
      <w:proofErr w:type="spellStart"/>
      <w:r>
        <w:t>esset</w:t>
      </w:r>
      <w:proofErr w:type="spellEnd"/>
      <w:r>
        <w:t xml:space="preserve">: </w:t>
      </w:r>
      <w:proofErr w:type="spellStart"/>
      <w:r>
        <w:t>uolui</w:t>
      </w:r>
      <w:proofErr w:type="spellEnd"/>
      <w:r>
        <w:t xml:space="preserve"> </w:t>
      </w:r>
      <w:proofErr w:type="spellStart"/>
      <w:r>
        <w:t>iubente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ad </w:t>
      </w:r>
      <w:proofErr w:type="spellStart"/>
      <w:r>
        <w:t>Mesopotamiam</w:t>
      </w:r>
      <w:proofErr w:type="spellEnd"/>
      <w:r>
        <w:t xml:space="preserve"> </w:t>
      </w:r>
      <w:proofErr w:type="spellStart"/>
      <w:r>
        <w:t>Syriae</w:t>
      </w:r>
      <w:proofErr w:type="spellEnd"/>
      <w:r>
        <w:t xml:space="preserve"> </w:t>
      </w:r>
      <w:proofErr w:type="spellStart"/>
      <w:r>
        <w:t>accedere</w:t>
      </w:r>
      <w:proofErr w:type="spellEnd"/>
      <w:r>
        <w:t xml:space="preserve"> ad </w:t>
      </w:r>
      <w:proofErr w:type="spellStart"/>
      <w:r>
        <w:t>uisendos</w:t>
      </w:r>
      <w:proofErr w:type="spellEnd"/>
      <w:r>
        <w:t xml:space="preserve"> </w:t>
      </w:r>
      <w:proofErr w:type="spellStart"/>
      <w:r>
        <w:t>sanctos</w:t>
      </w:r>
      <w:proofErr w:type="spellEnd"/>
      <w:r>
        <w:t xml:space="preserve"> </w:t>
      </w:r>
      <w:proofErr w:type="spellStart"/>
      <w:r>
        <w:t>monachos</w:t>
      </w:r>
      <w:proofErr w:type="spellEnd"/>
      <w:r>
        <w:t xml:space="preserve">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ibi</w:t>
      </w:r>
      <w:proofErr w:type="spellEnd"/>
      <w:r>
        <w:t xml:space="preserve"> </w:t>
      </w:r>
      <w:proofErr w:type="spellStart"/>
      <w:r>
        <w:t>plurimi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tam </w:t>
      </w:r>
      <w:proofErr w:type="spellStart"/>
      <w:r>
        <w:t>eximiae</w:t>
      </w:r>
      <w:proofErr w:type="spellEnd"/>
      <w:r>
        <w:t xml:space="preserve"> </w:t>
      </w:r>
      <w:proofErr w:type="spellStart"/>
      <w:r>
        <w:t>uitae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dicebantur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uix</w:t>
      </w:r>
      <w:proofErr w:type="spellEnd"/>
      <w:r>
        <w:t xml:space="preserve"> </w:t>
      </w:r>
      <w:proofErr w:type="spellStart"/>
      <w:r>
        <w:t>referri</w:t>
      </w:r>
      <w:proofErr w:type="spellEnd"/>
      <w:r>
        <w:t xml:space="preserve"> </w:t>
      </w:r>
      <w:proofErr w:type="spellStart"/>
      <w:r>
        <w:t>possit</w:t>
      </w:r>
      <w:proofErr w:type="spellEnd"/>
      <w:r>
        <w:t xml:space="preserve">; </w:t>
      </w:r>
      <w:proofErr w:type="spellStart"/>
      <w:r>
        <w:t>nec</w:t>
      </w:r>
      <w:proofErr w:type="spellEnd"/>
      <w:r>
        <w:t xml:space="preserve"> non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gratia</w:t>
      </w:r>
      <w:proofErr w:type="spellEnd"/>
      <w:r>
        <w:t xml:space="preserve"> </w:t>
      </w:r>
      <w:proofErr w:type="spellStart"/>
      <w:r>
        <w:t>orationis</w:t>
      </w:r>
      <w:proofErr w:type="spellEnd"/>
      <w:r>
        <w:t xml:space="preserve"> ad martyrium </w:t>
      </w:r>
      <w:proofErr w:type="spellStart"/>
      <w:r>
        <w:t>sancti</w:t>
      </w:r>
      <w:proofErr w:type="spellEnd"/>
      <w:r>
        <w:t xml:space="preserve"> </w:t>
      </w:r>
      <w:proofErr w:type="spellStart"/>
      <w:r>
        <w:t>Thomae</w:t>
      </w:r>
      <w:proofErr w:type="spellEnd"/>
      <w:r>
        <w:t xml:space="preserve"> </w:t>
      </w:r>
      <w:proofErr w:type="spellStart"/>
      <w:r>
        <w:t>apostoli</w:t>
      </w:r>
      <w:proofErr w:type="spellEnd"/>
      <w:r>
        <w:t xml:space="preserve">, </w:t>
      </w:r>
      <w:proofErr w:type="spellStart"/>
      <w:r>
        <w:t>ubi</w:t>
      </w:r>
      <w:proofErr w:type="spellEnd"/>
      <w:r>
        <w:t xml:space="preserve"> corpus </w:t>
      </w:r>
      <w:proofErr w:type="spellStart"/>
      <w:r>
        <w:t>illius</w:t>
      </w:r>
      <w:proofErr w:type="spellEnd"/>
      <w:r>
        <w:t xml:space="preserve"> </w:t>
      </w:r>
      <w:proofErr w:type="spellStart"/>
      <w:r>
        <w:t>integrum</w:t>
      </w:r>
      <w:proofErr w:type="spellEnd"/>
      <w:r>
        <w:t xml:space="preserve"> </w:t>
      </w:r>
      <w:proofErr w:type="spellStart"/>
      <w:r>
        <w:t>positum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apud</w:t>
      </w:r>
      <w:proofErr w:type="spellEnd"/>
      <w:r>
        <w:t xml:space="preserve"> </w:t>
      </w:r>
      <w:proofErr w:type="spellStart"/>
      <w:r>
        <w:t>Edessam</w:t>
      </w:r>
      <w:proofErr w:type="spellEnd"/>
      <w:r>
        <w:t xml:space="preserve">, </w:t>
      </w:r>
      <w:proofErr w:type="spellStart"/>
      <w:r>
        <w:t>quem</w:t>
      </w:r>
      <w:proofErr w:type="spellEnd"/>
      <w:r>
        <w:t xml:space="preserve"> se </w:t>
      </w:r>
      <w:proofErr w:type="spellStart"/>
      <w:r>
        <w:t>illuc</w:t>
      </w:r>
      <w:proofErr w:type="spellEnd"/>
      <w:r>
        <w:t xml:space="preserve"> </w:t>
      </w:r>
      <w:proofErr w:type="spellStart"/>
      <w:r>
        <w:t>missurum</w:t>
      </w:r>
      <w:proofErr w:type="spellEnd"/>
      <w:r>
        <w:t xml:space="preserve">, </w:t>
      </w:r>
      <w:proofErr w:type="spellStart"/>
      <w:r>
        <w:t>posteaquam</w:t>
      </w:r>
      <w:proofErr w:type="spellEnd"/>
      <w:r>
        <w:t xml:space="preserve"> in </w:t>
      </w:r>
      <w:proofErr w:type="spellStart"/>
      <w:r>
        <w:t>caelis</w:t>
      </w:r>
      <w:proofErr w:type="spellEnd"/>
      <w:r>
        <w:t xml:space="preserve"> </w:t>
      </w:r>
      <w:proofErr w:type="spellStart"/>
      <w:r>
        <w:t>ascendisset</w:t>
      </w:r>
      <w:proofErr w:type="spellEnd"/>
      <w:r>
        <w:t xml:space="preserve">, Deus </w:t>
      </w:r>
      <w:proofErr w:type="spellStart"/>
      <w:r>
        <w:t>noster</w:t>
      </w:r>
      <w:proofErr w:type="spellEnd"/>
      <w:r>
        <w:t xml:space="preserve"> </w:t>
      </w:r>
      <w:proofErr w:type="spellStart"/>
      <w:r>
        <w:t>Iesus</w:t>
      </w:r>
      <w:proofErr w:type="spellEnd"/>
      <w:r>
        <w:t xml:space="preserve"> </w:t>
      </w:r>
      <w:proofErr w:type="spellStart"/>
      <w:r>
        <w:t>testatus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per </w:t>
      </w:r>
      <w:proofErr w:type="spellStart"/>
      <w:r>
        <w:t>epistolam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grandi </w:t>
      </w:r>
      <w:proofErr w:type="spellStart"/>
      <w:r>
        <w:t>reuerentia</w:t>
      </w:r>
      <w:proofErr w:type="spellEnd"/>
      <w:r>
        <w:t xml:space="preserve"> </w:t>
      </w:r>
      <w:proofErr w:type="spellStart"/>
      <w:r>
        <w:t>apud</w:t>
      </w:r>
      <w:proofErr w:type="spellEnd"/>
      <w:r>
        <w:t xml:space="preserve"> </w:t>
      </w:r>
      <w:proofErr w:type="spellStart"/>
      <w:r>
        <w:t>Edessam</w:t>
      </w:r>
      <w:proofErr w:type="spellEnd"/>
      <w:r>
        <w:t xml:space="preserve"> </w:t>
      </w:r>
      <w:proofErr w:type="spellStart"/>
      <w:r>
        <w:t>ciuitatem</w:t>
      </w:r>
      <w:proofErr w:type="spellEnd"/>
      <w:r>
        <w:t xml:space="preserve">, </w:t>
      </w:r>
      <w:proofErr w:type="spellStart"/>
      <w:r>
        <w:t>ubi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ipsud</w:t>
      </w:r>
      <w:proofErr w:type="spellEnd"/>
      <w:r>
        <w:t xml:space="preserve"> martyrium, </w:t>
      </w:r>
      <w:proofErr w:type="spellStart"/>
      <w:r>
        <w:t>custoditur</w:t>
      </w:r>
      <w:proofErr w:type="spellEnd"/>
      <w:r>
        <w:t xml:space="preserve">. </w:t>
      </w:r>
    </w:p>
    <w:p w:rsidR="007503F2" w:rsidRPr="003D087F" w:rsidRDefault="007503F2" w:rsidP="007503F2">
      <w:pPr>
        <w:spacing w:after="120" w:line="360" w:lineRule="auto"/>
        <w:jc w:val="both"/>
        <w:rPr>
          <w:b/>
          <w:u w:val="single"/>
        </w:rPr>
      </w:pPr>
      <w:r w:rsidRPr="003D087F">
        <w:rPr>
          <w:b/>
          <w:u w:val="single"/>
        </w:rPr>
        <w:t>chrámy na Golgotě (25/8-10)</w:t>
      </w:r>
    </w:p>
    <w:p w:rsidR="007503F2" w:rsidRDefault="007503F2" w:rsidP="007503F2">
      <w:pPr>
        <w:spacing w:line="360" w:lineRule="auto"/>
        <w:jc w:val="both"/>
      </w:pPr>
      <w:proofErr w:type="spellStart"/>
      <w:r>
        <w:t>At</w:t>
      </w:r>
      <w:proofErr w:type="spellEnd"/>
      <w:r>
        <w:t xml:space="preserve"> </w:t>
      </w:r>
      <w:proofErr w:type="spellStart"/>
      <w:r>
        <w:t>ubi</w:t>
      </w:r>
      <w:proofErr w:type="spellEnd"/>
      <w:r>
        <w:t xml:space="preserve"> autem </w:t>
      </w:r>
      <w:proofErr w:type="spellStart"/>
      <w:r>
        <w:t>resumpserit</w:t>
      </w:r>
      <w:proofErr w:type="spellEnd"/>
      <w:r>
        <w:t xml:space="preserve"> se </w:t>
      </w:r>
      <w:proofErr w:type="spellStart"/>
      <w:r>
        <w:t>populus</w:t>
      </w:r>
      <w:proofErr w:type="spellEnd"/>
      <w:r>
        <w:t xml:space="preserve">, hora </w:t>
      </w:r>
      <w:proofErr w:type="spellStart"/>
      <w:r>
        <w:t>incipiente</w:t>
      </w:r>
      <w:proofErr w:type="spellEnd"/>
      <w:r>
        <w:t xml:space="preserve"> </w:t>
      </w:r>
      <w:proofErr w:type="spellStart"/>
      <w:r>
        <w:t>secunda</w:t>
      </w:r>
      <w:proofErr w:type="spellEnd"/>
      <w:r>
        <w:t xml:space="preserve"> </w:t>
      </w:r>
      <w:proofErr w:type="spellStart"/>
      <w:r>
        <w:t>colligent</w:t>
      </w:r>
      <w:proofErr w:type="spellEnd"/>
      <w:r>
        <w:t xml:space="preserve"> se </w:t>
      </w:r>
      <w:proofErr w:type="spellStart"/>
      <w:r>
        <w:t>omnes</w:t>
      </w:r>
      <w:proofErr w:type="spellEnd"/>
      <w:r>
        <w:t xml:space="preserve"> in </w:t>
      </w:r>
      <w:proofErr w:type="spellStart"/>
      <w:r>
        <w:t>ecclesia</w:t>
      </w:r>
      <w:proofErr w:type="spellEnd"/>
      <w:r>
        <w:t xml:space="preserve"> </w:t>
      </w:r>
      <w:proofErr w:type="spellStart"/>
      <w:r>
        <w:t>maiore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in </w:t>
      </w:r>
      <w:proofErr w:type="spellStart"/>
      <w:r>
        <w:t>Golghota</w:t>
      </w:r>
      <w:proofErr w:type="spellEnd"/>
      <w:r>
        <w:t xml:space="preserve">. </w:t>
      </w:r>
      <w:proofErr w:type="spellStart"/>
      <w:r>
        <w:t>Qui</w:t>
      </w:r>
      <w:proofErr w:type="spellEnd"/>
      <w:r>
        <w:t xml:space="preserve"> autem </w:t>
      </w:r>
      <w:proofErr w:type="spellStart"/>
      <w:r>
        <w:t>ornatussit</w:t>
      </w:r>
      <w:proofErr w:type="spellEnd"/>
      <w:r>
        <w:t xml:space="preserve"> </w:t>
      </w:r>
      <w:proofErr w:type="spellStart"/>
      <w:r>
        <w:t>illa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ecclesiae</w:t>
      </w:r>
      <w:proofErr w:type="spellEnd"/>
      <w:r>
        <w:t xml:space="preserve"> vel </w:t>
      </w:r>
      <w:proofErr w:type="spellStart"/>
      <w:r>
        <w:t>Anastasis</w:t>
      </w:r>
      <w:proofErr w:type="spellEnd"/>
      <w:r>
        <w:t xml:space="preserve"> aut </w:t>
      </w:r>
      <w:proofErr w:type="spellStart"/>
      <w:r>
        <w:t>Crucis</w:t>
      </w:r>
      <w:proofErr w:type="spellEnd"/>
      <w:r>
        <w:t xml:space="preserve"> aut in </w:t>
      </w:r>
      <w:proofErr w:type="spellStart"/>
      <w:r>
        <w:t>Bethleem</w:t>
      </w:r>
      <w:proofErr w:type="spellEnd"/>
      <w:r>
        <w:t xml:space="preserve">, </w:t>
      </w:r>
      <w:proofErr w:type="spellStart"/>
      <w:r>
        <w:t>superfluum</w:t>
      </w:r>
      <w:proofErr w:type="spellEnd"/>
      <w:r>
        <w:t xml:space="preserve"> </w:t>
      </w:r>
      <w:proofErr w:type="spellStart"/>
      <w:r>
        <w:t>fuit</w:t>
      </w:r>
      <w:proofErr w:type="spellEnd"/>
      <w:r>
        <w:t xml:space="preserve"> </w:t>
      </w:r>
      <w:proofErr w:type="spellStart"/>
      <w:r>
        <w:t>scribi</w:t>
      </w:r>
      <w:proofErr w:type="spellEnd"/>
      <w:r>
        <w:t xml:space="preserve">. </w:t>
      </w:r>
      <w:proofErr w:type="spellStart"/>
      <w:r>
        <w:t>Ubi</w:t>
      </w:r>
      <w:proofErr w:type="spellEnd"/>
      <w:r>
        <w:t xml:space="preserve"> extra </w:t>
      </w:r>
      <w:proofErr w:type="spellStart"/>
      <w:r>
        <w:t>aurum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gemmas</w:t>
      </w:r>
      <w:proofErr w:type="spellEnd"/>
      <w:r>
        <w:t xml:space="preserve"> aut </w:t>
      </w:r>
      <w:proofErr w:type="spellStart"/>
      <w:r>
        <w:t>sirico</w:t>
      </w:r>
      <w:proofErr w:type="spellEnd"/>
      <w:r>
        <w:t xml:space="preserve"> </w:t>
      </w:r>
      <w:proofErr w:type="spellStart"/>
      <w:r>
        <w:t>nichil</w:t>
      </w:r>
      <w:proofErr w:type="spellEnd"/>
      <w:r>
        <w:t xml:space="preserve"> </w:t>
      </w:r>
      <w:proofErr w:type="spellStart"/>
      <w:r>
        <w:t>aliud</w:t>
      </w:r>
      <w:proofErr w:type="spellEnd"/>
      <w:r>
        <w:t xml:space="preserve"> </w:t>
      </w:r>
      <w:proofErr w:type="spellStart"/>
      <w:r>
        <w:t>uides</w:t>
      </w:r>
      <w:proofErr w:type="spellEnd"/>
      <w:r>
        <w:t xml:space="preserve">; </w:t>
      </w:r>
      <w:proofErr w:type="spellStart"/>
      <w:r>
        <w:t>nam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si </w:t>
      </w:r>
      <w:proofErr w:type="spellStart"/>
      <w:r>
        <w:t>uela</w:t>
      </w:r>
      <w:proofErr w:type="spellEnd"/>
      <w:r>
        <w:t xml:space="preserve"> </w:t>
      </w:r>
      <w:proofErr w:type="spellStart"/>
      <w:r>
        <w:t>uides</w:t>
      </w:r>
      <w:proofErr w:type="spellEnd"/>
      <w:r>
        <w:t xml:space="preserve">, </w:t>
      </w:r>
      <w:proofErr w:type="spellStart"/>
      <w:r>
        <w:t>auroclaua</w:t>
      </w:r>
      <w:proofErr w:type="spellEnd"/>
      <w:r>
        <w:t xml:space="preserve"> </w:t>
      </w:r>
      <w:proofErr w:type="spellStart"/>
      <w:r>
        <w:t>oleserica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, si </w:t>
      </w:r>
      <w:proofErr w:type="spellStart"/>
      <w:r>
        <w:t>cortinas</w:t>
      </w:r>
      <w:proofErr w:type="spellEnd"/>
      <w:r>
        <w:t xml:space="preserve"> </w:t>
      </w:r>
      <w:proofErr w:type="spellStart"/>
      <w:r>
        <w:t>uides</w:t>
      </w:r>
      <w:proofErr w:type="spellEnd"/>
      <w:r>
        <w:t xml:space="preserve">, </w:t>
      </w:r>
      <w:proofErr w:type="spellStart"/>
      <w:r>
        <w:t>similiter</w:t>
      </w:r>
      <w:proofErr w:type="spellEnd"/>
      <w:r>
        <w:t xml:space="preserve"> </w:t>
      </w:r>
      <w:proofErr w:type="spellStart"/>
      <w:r>
        <w:t>auroclaue</w:t>
      </w:r>
      <w:proofErr w:type="spellEnd"/>
      <w:r>
        <w:t xml:space="preserve"> </w:t>
      </w:r>
      <w:proofErr w:type="spellStart"/>
      <w:r>
        <w:t>olesericae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. </w:t>
      </w:r>
      <w:proofErr w:type="spellStart"/>
      <w:r>
        <w:t>Ministreium</w:t>
      </w:r>
      <w:proofErr w:type="spellEnd"/>
      <w:r>
        <w:t xml:space="preserve"> autem omne genus </w:t>
      </w:r>
      <w:proofErr w:type="spellStart"/>
      <w:r>
        <w:t>aureum</w:t>
      </w:r>
      <w:proofErr w:type="spellEnd"/>
      <w:r>
        <w:t xml:space="preserve"> </w:t>
      </w:r>
      <w:proofErr w:type="spellStart"/>
      <w:r>
        <w:t>gemmatum</w:t>
      </w:r>
      <w:proofErr w:type="spellEnd"/>
      <w:r>
        <w:t xml:space="preserve"> </w:t>
      </w:r>
      <w:proofErr w:type="spellStart"/>
      <w:r>
        <w:t>profectur</w:t>
      </w:r>
      <w:proofErr w:type="spellEnd"/>
      <w:r>
        <w:t xml:space="preserve"> </w:t>
      </w:r>
      <w:proofErr w:type="spellStart"/>
      <w:r>
        <w:t>illa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. Numerus autem </w:t>
      </w:r>
      <w:proofErr w:type="spellStart"/>
      <w:r>
        <w:t>uel</w:t>
      </w:r>
      <w:proofErr w:type="spellEnd"/>
      <w:r>
        <w:t xml:space="preserve"> </w:t>
      </w:r>
      <w:proofErr w:type="spellStart"/>
      <w:r>
        <w:t>ponderatio</w:t>
      </w:r>
      <w:proofErr w:type="spellEnd"/>
      <w:r>
        <w:t xml:space="preserve"> de </w:t>
      </w:r>
      <w:proofErr w:type="spellStart"/>
      <w:r>
        <w:t>ceriofalis</w:t>
      </w:r>
      <w:proofErr w:type="spellEnd"/>
      <w:r>
        <w:t xml:space="preserve"> </w:t>
      </w:r>
      <w:proofErr w:type="spellStart"/>
      <w:r>
        <w:t>uel</w:t>
      </w:r>
      <w:proofErr w:type="spellEnd"/>
      <w:r>
        <w:t xml:space="preserve"> </w:t>
      </w:r>
      <w:proofErr w:type="spellStart"/>
      <w:r>
        <w:t>cicindelis</w:t>
      </w:r>
      <w:proofErr w:type="spellEnd"/>
      <w:r>
        <w:t xml:space="preserve"> aut </w:t>
      </w:r>
      <w:proofErr w:type="spellStart"/>
      <w:r>
        <w:t>lucernis</w:t>
      </w:r>
      <w:proofErr w:type="spellEnd"/>
      <w:r>
        <w:t xml:space="preserve"> vel </w:t>
      </w:r>
      <w:proofErr w:type="spellStart"/>
      <w:r>
        <w:t>diverso</w:t>
      </w:r>
      <w:proofErr w:type="spellEnd"/>
      <w:r>
        <w:t xml:space="preserve"> </w:t>
      </w:r>
      <w:proofErr w:type="spellStart"/>
      <w:r>
        <w:t>ministerio</w:t>
      </w:r>
      <w:proofErr w:type="spellEnd"/>
      <w:r>
        <w:t xml:space="preserve"> </w:t>
      </w:r>
      <w:proofErr w:type="spellStart"/>
      <w:r>
        <w:t>nunquid</w:t>
      </w:r>
      <w:proofErr w:type="spellEnd"/>
      <w:r>
        <w:t xml:space="preserve"> </w:t>
      </w:r>
      <w:proofErr w:type="spellStart"/>
      <w:r>
        <w:t>uel</w:t>
      </w:r>
      <w:proofErr w:type="spellEnd"/>
      <w:r>
        <w:t xml:space="preserve"> </w:t>
      </w:r>
      <w:proofErr w:type="spellStart"/>
      <w:r>
        <w:t>extimari</w:t>
      </w:r>
      <w:proofErr w:type="spellEnd"/>
      <w:r>
        <w:t xml:space="preserve"> aut </w:t>
      </w:r>
      <w:proofErr w:type="spellStart"/>
      <w:r>
        <w:t>scribi</w:t>
      </w:r>
      <w:proofErr w:type="spellEnd"/>
      <w:r>
        <w:t xml:space="preserve"> </w:t>
      </w:r>
      <w:proofErr w:type="spellStart"/>
      <w:r>
        <w:t>potest</w:t>
      </w:r>
      <w:proofErr w:type="spellEnd"/>
      <w:r>
        <w:t>?</w:t>
      </w:r>
    </w:p>
    <w:p w:rsidR="007503F2" w:rsidRDefault="007503F2" w:rsidP="007503F2">
      <w:pPr>
        <w:spacing w:line="360" w:lineRule="auto"/>
        <w:jc w:val="both"/>
      </w:pPr>
      <w:proofErr w:type="spellStart"/>
      <w:r>
        <w:t>Nam</w:t>
      </w:r>
      <w:proofErr w:type="spellEnd"/>
      <w:r>
        <w:t xml:space="preserve"> </w:t>
      </w:r>
      <w:proofErr w:type="spellStart"/>
      <w:r>
        <w:t>quid</w:t>
      </w:r>
      <w:proofErr w:type="spellEnd"/>
      <w:r>
        <w:t xml:space="preserve"> </w:t>
      </w:r>
      <w:proofErr w:type="spellStart"/>
      <w:r>
        <w:t>dicam</w:t>
      </w:r>
      <w:proofErr w:type="spellEnd"/>
      <w:r>
        <w:t xml:space="preserve"> de </w:t>
      </w:r>
      <w:proofErr w:type="spellStart"/>
      <w:r>
        <w:t>ornatu</w:t>
      </w:r>
      <w:proofErr w:type="spellEnd"/>
      <w:r>
        <w:t xml:space="preserve"> </w:t>
      </w:r>
      <w:proofErr w:type="spellStart"/>
      <w:r>
        <w:t>fabricae</w:t>
      </w:r>
      <w:proofErr w:type="spellEnd"/>
      <w:r>
        <w:t xml:space="preserve"> </w:t>
      </w:r>
      <w:proofErr w:type="spellStart"/>
      <w:r>
        <w:t>ipsius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Constantinus</w:t>
      </w:r>
      <w:proofErr w:type="spellEnd"/>
      <w:r>
        <w:t xml:space="preserve"> sun </w:t>
      </w:r>
      <w:proofErr w:type="spellStart"/>
      <w:r>
        <w:t>presentia</w:t>
      </w:r>
      <w:proofErr w:type="spellEnd"/>
      <w:r>
        <w:t xml:space="preserve"> </w:t>
      </w:r>
      <w:proofErr w:type="spellStart"/>
      <w:r>
        <w:t>matris</w:t>
      </w:r>
      <w:proofErr w:type="spellEnd"/>
      <w:r>
        <w:t xml:space="preserve"> </w:t>
      </w:r>
      <w:proofErr w:type="spellStart"/>
      <w:r>
        <w:t>suae</w:t>
      </w:r>
      <w:proofErr w:type="spellEnd"/>
      <w:r>
        <w:t xml:space="preserve">, in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uires</w:t>
      </w:r>
      <w:proofErr w:type="spellEnd"/>
      <w:r>
        <w:t xml:space="preserve"> </w:t>
      </w:r>
      <w:proofErr w:type="spellStart"/>
      <w:r>
        <w:t>regni</w:t>
      </w:r>
      <w:proofErr w:type="spellEnd"/>
      <w:r>
        <w:t xml:space="preserve"> </w:t>
      </w:r>
      <w:proofErr w:type="spellStart"/>
      <w:r>
        <w:t>sui</w:t>
      </w:r>
      <w:proofErr w:type="spellEnd"/>
      <w:r>
        <w:t xml:space="preserve"> </w:t>
      </w:r>
      <w:proofErr w:type="spellStart"/>
      <w:r>
        <w:t>habui</w:t>
      </w:r>
      <w:proofErr w:type="spellEnd"/>
      <w:r>
        <w:t xml:space="preserve">, </w:t>
      </w:r>
      <w:proofErr w:type="spellStart"/>
      <w:r>
        <w:t>honorauit</w:t>
      </w:r>
      <w:proofErr w:type="spellEnd"/>
      <w:r>
        <w:t xml:space="preserve">, auro, </w:t>
      </w:r>
      <w:proofErr w:type="spellStart"/>
      <w:r>
        <w:t>musiuo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marmore</w:t>
      </w:r>
      <w:proofErr w:type="spellEnd"/>
      <w:r>
        <w:t xml:space="preserve"> </w:t>
      </w:r>
      <w:proofErr w:type="spellStart"/>
      <w:r>
        <w:t>pretioso</w:t>
      </w:r>
      <w:proofErr w:type="spellEnd"/>
      <w:r>
        <w:t xml:space="preserve">, tam </w:t>
      </w:r>
      <w:proofErr w:type="spellStart"/>
      <w:r>
        <w:t>ecclesiam</w:t>
      </w:r>
      <w:proofErr w:type="spellEnd"/>
      <w:r>
        <w:t xml:space="preserve"> </w:t>
      </w:r>
      <w:proofErr w:type="spellStart"/>
      <w:r>
        <w:t>maiorem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Anastasim</w:t>
      </w:r>
      <w:proofErr w:type="spellEnd"/>
      <w:r>
        <w:t xml:space="preserve"> </w:t>
      </w:r>
      <w:proofErr w:type="spellStart"/>
      <w:r>
        <w:t>uel</w:t>
      </w:r>
      <w:proofErr w:type="spellEnd"/>
      <w:r>
        <w:t xml:space="preserve"> ad </w:t>
      </w:r>
      <w:proofErr w:type="spellStart"/>
      <w:r>
        <w:t>Crucem</w:t>
      </w:r>
      <w:proofErr w:type="spellEnd"/>
      <w:r>
        <w:t xml:space="preserve"> </w:t>
      </w:r>
      <w:proofErr w:type="spellStart"/>
      <w:r>
        <w:t>uel</w:t>
      </w:r>
      <w:proofErr w:type="spellEnd"/>
      <w:r>
        <w:t xml:space="preserve"> </w:t>
      </w:r>
      <w:proofErr w:type="spellStart"/>
      <w:r>
        <w:t>cetera</w:t>
      </w:r>
      <w:proofErr w:type="spellEnd"/>
      <w:r>
        <w:t xml:space="preserve"> </w:t>
      </w:r>
      <w:proofErr w:type="spellStart"/>
      <w:r>
        <w:t>loca</w:t>
      </w:r>
      <w:proofErr w:type="spellEnd"/>
      <w:r>
        <w:t xml:space="preserve"> </w:t>
      </w:r>
      <w:proofErr w:type="spellStart"/>
      <w:r>
        <w:t>sancta</w:t>
      </w:r>
      <w:proofErr w:type="spellEnd"/>
      <w:r>
        <w:t xml:space="preserve"> in </w:t>
      </w:r>
      <w:proofErr w:type="spellStart"/>
      <w:r>
        <w:t>Ierusolima</w:t>
      </w:r>
      <w:proofErr w:type="spellEnd"/>
      <w:r>
        <w:t>?</w:t>
      </w:r>
    </w:p>
    <w:p w:rsidR="007503F2" w:rsidRDefault="007503F2" w:rsidP="007503F2">
      <w:pPr>
        <w:spacing w:line="360" w:lineRule="auto"/>
        <w:jc w:val="both"/>
      </w:pPr>
      <w:r>
        <w:t xml:space="preserve">Sed </w:t>
      </w:r>
      <w:proofErr w:type="spellStart"/>
      <w:r>
        <w:t>ut</w:t>
      </w:r>
      <w:proofErr w:type="spellEnd"/>
      <w:r>
        <w:t xml:space="preserve"> </w:t>
      </w:r>
      <w:proofErr w:type="spellStart"/>
      <w:r>
        <w:t>redeamus</w:t>
      </w:r>
      <w:proofErr w:type="spellEnd"/>
      <w:r>
        <w:t xml:space="preserve"> ad </w:t>
      </w:r>
      <w:proofErr w:type="spellStart"/>
      <w:r>
        <w:t>rem</w:t>
      </w:r>
      <w:proofErr w:type="spellEnd"/>
      <w:r>
        <w:t xml:space="preserve">, fit ergo prima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missa</w:t>
      </w:r>
      <w:proofErr w:type="spellEnd"/>
      <w:r>
        <w:t xml:space="preserve"> in </w:t>
      </w:r>
      <w:proofErr w:type="spellStart"/>
      <w:r>
        <w:t>ecclesia</w:t>
      </w:r>
      <w:proofErr w:type="spellEnd"/>
      <w:r>
        <w:t xml:space="preserve"> </w:t>
      </w:r>
      <w:proofErr w:type="spellStart"/>
      <w:r>
        <w:t>maiore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in </w:t>
      </w:r>
      <w:proofErr w:type="spellStart"/>
      <w:r>
        <w:t>Golgotha</w:t>
      </w:r>
      <w:proofErr w:type="spellEnd"/>
      <w:r>
        <w:t xml:space="preserve">. </w:t>
      </w:r>
      <w:proofErr w:type="spellStart"/>
      <w:r>
        <w:t>Et</w:t>
      </w:r>
      <w:proofErr w:type="spellEnd"/>
      <w:r>
        <w:t xml:space="preserve"> </w:t>
      </w:r>
      <w:proofErr w:type="spellStart"/>
      <w:r>
        <w:t>quoniam</w:t>
      </w:r>
      <w:proofErr w:type="spellEnd"/>
      <w:r>
        <w:t xml:space="preserve"> dům </w:t>
      </w:r>
      <w:proofErr w:type="spellStart"/>
      <w:r>
        <w:t>predicant</w:t>
      </w:r>
      <w:proofErr w:type="spellEnd"/>
      <w:r>
        <w:t xml:space="preserve">, </w:t>
      </w:r>
      <w:proofErr w:type="spellStart"/>
      <w:r>
        <w:t>uel</w:t>
      </w:r>
      <w:proofErr w:type="spellEnd"/>
      <w:r>
        <w:t xml:space="preserve"> </w:t>
      </w:r>
      <w:proofErr w:type="spellStart"/>
      <w:r>
        <w:t>legent</w:t>
      </w:r>
      <w:proofErr w:type="spellEnd"/>
      <w:r>
        <w:t xml:space="preserve"> </w:t>
      </w:r>
      <w:proofErr w:type="spellStart"/>
      <w:r>
        <w:t>singulas</w:t>
      </w:r>
      <w:proofErr w:type="spellEnd"/>
      <w:r>
        <w:t xml:space="preserve"> </w:t>
      </w:r>
      <w:proofErr w:type="spellStart"/>
      <w:r>
        <w:t>lectiones</w:t>
      </w:r>
      <w:proofErr w:type="spellEnd"/>
      <w:r>
        <w:t xml:space="preserve"> </w:t>
      </w:r>
      <w:proofErr w:type="spellStart"/>
      <w:r>
        <w:t>uel</w:t>
      </w:r>
      <w:proofErr w:type="spellEnd"/>
      <w:r>
        <w:t xml:space="preserve"> </w:t>
      </w:r>
      <w:proofErr w:type="spellStart"/>
      <w:r>
        <w:t>dicunt</w:t>
      </w:r>
      <w:proofErr w:type="spellEnd"/>
      <w:r>
        <w:t xml:space="preserve"> </w:t>
      </w:r>
      <w:proofErr w:type="spellStart"/>
      <w:r>
        <w:t>ymnos</w:t>
      </w:r>
      <w:proofErr w:type="spellEnd"/>
      <w:r>
        <w:t xml:space="preserve">, omnia </w:t>
      </w:r>
      <w:proofErr w:type="spellStart"/>
      <w:r>
        <w:t>tamen</w:t>
      </w:r>
      <w:proofErr w:type="spellEnd"/>
      <w:r>
        <w:t xml:space="preserve"> </w:t>
      </w:r>
      <w:proofErr w:type="spellStart"/>
      <w:r>
        <w:t>apta</w:t>
      </w:r>
      <w:proofErr w:type="spellEnd"/>
      <w:r>
        <w:t xml:space="preserve"> </w:t>
      </w:r>
      <w:proofErr w:type="spellStart"/>
      <w:r>
        <w:t>ipsi</w:t>
      </w:r>
      <w:proofErr w:type="spellEnd"/>
      <w:r>
        <w:t xml:space="preserve"> </w:t>
      </w:r>
      <w:proofErr w:type="spellStart"/>
      <w:r>
        <w:t>diei</w:t>
      </w:r>
      <w:proofErr w:type="spellEnd"/>
      <w:r>
        <w:t xml:space="preserve">, </w:t>
      </w:r>
      <w:proofErr w:type="spellStart"/>
      <w:r>
        <w:t>et</w:t>
      </w:r>
      <w:proofErr w:type="spellEnd"/>
      <w:r>
        <w:t xml:space="preserve"> </w:t>
      </w:r>
      <w:proofErr w:type="spellStart"/>
      <w:r>
        <w:t>inde</w:t>
      </w:r>
      <w:proofErr w:type="spellEnd"/>
      <w:r>
        <w:t xml:space="preserve"> </w:t>
      </w:r>
      <w:proofErr w:type="spellStart"/>
      <w:r>
        <w:t>postmodum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missa</w:t>
      </w:r>
      <w:proofErr w:type="spellEnd"/>
      <w:r>
        <w:t xml:space="preserve"> </w:t>
      </w:r>
      <w:proofErr w:type="spellStart"/>
      <w:r>
        <w:t>ecclesiae</w:t>
      </w:r>
      <w:proofErr w:type="spellEnd"/>
      <w:r>
        <w:t xml:space="preserve"> </w:t>
      </w:r>
      <w:proofErr w:type="spellStart"/>
      <w:r>
        <w:t>facta</w:t>
      </w:r>
      <w:proofErr w:type="spellEnd"/>
      <w:r>
        <w:t xml:space="preserve"> </w:t>
      </w:r>
      <w:proofErr w:type="spellStart"/>
      <w:r>
        <w:t>fuerit</w:t>
      </w:r>
      <w:proofErr w:type="spellEnd"/>
      <w:r>
        <w:t xml:space="preserve">, </w:t>
      </w:r>
      <w:proofErr w:type="spellStart"/>
      <w:r>
        <w:t>hitur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ymnis</w:t>
      </w:r>
      <w:proofErr w:type="spellEnd"/>
      <w:r>
        <w:t xml:space="preserve"> ad </w:t>
      </w:r>
      <w:proofErr w:type="spellStart"/>
      <w:r>
        <w:t>Anastasim</w:t>
      </w:r>
      <w:proofErr w:type="spellEnd"/>
      <w:r>
        <w:t xml:space="preserve"> </w:t>
      </w:r>
      <w:proofErr w:type="spellStart"/>
      <w:r>
        <w:t>iuxta</w:t>
      </w:r>
      <w:proofErr w:type="spellEnd"/>
      <w:r>
        <w:t xml:space="preserve"> </w:t>
      </w:r>
      <w:proofErr w:type="spellStart"/>
      <w:r>
        <w:t>consuetudinem</w:t>
      </w:r>
      <w:proofErr w:type="spellEnd"/>
      <w:r>
        <w:t xml:space="preserve">: </w:t>
      </w:r>
      <w:proofErr w:type="spellStart"/>
      <w:r>
        <w:t>ac</w:t>
      </w:r>
      <w:proofErr w:type="spellEnd"/>
      <w:r>
        <w:t xml:space="preserve"> sic fit </w:t>
      </w:r>
      <w:proofErr w:type="spellStart"/>
      <w:r>
        <w:t>missa</w:t>
      </w:r>
      <w:proofErr w:type="spellEnd"/>
      <w:r>
        <w:t xml:space="preserve"> </w:t>
      </w:r>
      <w:proofErr w:type="spellStart"/>
      <w:r>
        <w:t>fortisan</w:t>
      </w:r>
      <w:proofErr w:type="spellEnd"/>
      <w:r>
        <w:t xml:space="preserve"> sexta hora. </w:t>
      </w:r>
    </w:p>
    <w:p w:rsidR="007503F2" w:rsidRPr="005E05B0" w:rsidRDefault="007503F2" w:rsidP="007503F2">
      <w:pPr>
        <w:spacing w:after="120" w:line="360" w:lineRule="auto"/>
        <w:jc w:val="both"/>
        <w:rPr>
          <w:b/>
          <w:u w:val="single"/>
        </w:rPr>
      </w:pPr>
      <w:r w:rsidRPr="005E05B0">
        <w:rPr>
          <w:b/>
          <w:u w:val="single"/>
        </w:rPr>
        <w:t>půst (28/1-4)</w:t>
      </w:r>
    </w:p>
    <w:p w:rsidR="007503F2" w:rsidRDefault="007503F2" w:rsidP="007503F2">
      <w:pPr>
        <w:spacing w:after="0" w:line="360" w:lineRule="auto"/>
        <w:jc w:val="both"/>
      </w:pPr>
      <w:proofErr w:type="spellStart"/>
      <w:r>
        <w:t>Ieiuniorum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consuetudo</w:t>
      </w:r>
      <w:proofErr w:type="spellEnd"/>
      <w:r>
        <w:t xml:space="preserve"> hic talis </w:t>
      </w:r>
      <w:proofErr w:type="spellStart"/>
      <w:r>
        <w:t>est</w:t>
      </w:r>
      <w:proofErr w:type="spellEnd"/>
      <w:r>
        <w:t xml:space="preserve"> in </w:t>
      </w:r>
      <w:proofErr w:type="spellStart"/>
      <w:r>
        <w:t>quadragesimis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alii</w:t>
      </w:r>
      <w:proofErr w:type="spellEnd"/>
      <w:r>
        <w:t xml:space="preserve"> </w:t>
      </w:r>
      <w:proofErr w:type="spellStart"/>
      <w:r>
        <w:t>quemadmodum</w:t>
      </w:r>
      <w:proofErr w:type="spellEnd"/>
      <w:r>
        <w:t xml:space="preserve"> </w:t>
      </w:r>
      <w:proofErr w:type="spellStart"/>
      <w:r>
        <w:t>manducauerint</w:t>
      </w:r>
      <w:proofErr w:type="spellEnd"/>
      <w:r>
        <w:t xml:space="preserve"> </w:t>
      </w:r>
      <w:proofErr w:type="spellStart"/>
      <w:r>
        <w:t>dominica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post </w:t>
      </w:r>
      <w:proofErr w:type="spellStart"/>
      <w:r>
        <w:t>missa</w:t>
      </w:r>
      <w:proofErr w:type="spellEnd"/>
      <w:r>
        <w:t xml:space="preserve">, id </w:t>
      </w:r>
      <w:proofErr w:type="spellStart"/>
      <w:r>
        <w:t>est</w:t>
      </w:r>
      <w:proofErr w:type="spellEnd"/>
      <w:r>
        <w:t xml:space="preserve"> hora </w:t>
      </w:r>
      <w:proofErr w:type="spellStart"/>
      <w:r>
        <w:t>quinta</w:t>
      </w:r>
      <w:proofErr w:type="spellEnd"/>
      <w:r>
        <w:t xml:space="preserve"> aut sexta, </w:t>
      </w:r>
      <w:proofErr w:type="spellStart"/>
      <w:r>
        <w:t>iam</w:t>
      </w:r>
      <w:proofErr w:type="spellEnd"/>
      <w:r>
        <w:t xml:space="preserve"> non </w:t>
      </w:r>
      <w:proofErr w:type="spellStart"/>
      <w:r>
        <w:t>manducent</w:t>
      </w:r>
      <w:proofErr w:type="spellEnd"/>
      <w:r>
        <w:t xml:space="preserve"> per </w:t>
      </w:r>
      <w:proofErr w:type="spellStart"/>
      <w:r>
        <w:t>tota</w:t>
      </w:r>
      <w:proofErr w:type="spellEnd"/>
      <w:r>
        <w:t xml:space="preserve"> </w:t>
      </w:r>
      <w:proofErr w:type="spellStart"/>
      <w:r>
        <w:t>septimana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sabbato</w:t>
      </w:r>
      <w:proofErr w:type="spellEnd"/>
      <w:r>
        <w:t xml:space="preserve"> </w:t>
      </w:r>
      <w:proofErr w:type="spellStart"/>
      <w:r>
        <w:t>ueniente</w:t>
      </w:r>
      <w:proofErr w:type="spellEnd"/>
      <w:r>
        <w:t xml:space="preserve"> post </w:t>
      </w:r>
      <w:proofErr w:type="spellStart"/>
      <w:r>
        <w:t>missa</w:t>
      </w:r>
      <w:proofErr w:type="spellEnd"/>
      <w:r>
        <w:t xml:space="preserve"> </w:t>
      </w:r>
      <w:proofErr w:type="spellStart"/>
      <w:r>
        <w:t>Anastasis</w:t>
      </w:r>
      <w:proofErr w:type="spellEnd"/>
      <w:r>
        <w:t xml:space="preserve">, </w:t>
      </w:r>
      <w:proofErr w:type="spellStart"/>
      <w:r>
        <w:t>hi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faciunt</w:t>
      </w:r>
      <w:proofErr w:type="spellEnd"/>
      <w:r>
        <w:t xml:space="preserve"> </w:t>
      </w:r>
      <w:proofErr w:type="spellStart"/>
      <w:r>
        <w:t>ebdomadas</w:t>
      </w:r>
      <w:proofErr w:type="spellEnd"/>
      <w:r>
        <w:t xml:space="preserve">. </w:t>
      </w:r>
    </w:p>
    <w:p w:rsidR="007503F2" w:rsidRDefault="007503F2" w:rsidP="007503F2">
      <w:pPr>
        <w:spacing w:after="0" w:line="360" w:lineRule="auto"/>
        <w:jc w:val="both"/>
      </w:pPr>
      <w:r>
        <w:t>…</w:t>
      </w:r>
    </w:p>
    <w:p w:rsidR="007503F2" w:rsidRPr="007503F2" w:rsidRDefault="007503F2" w:rsidP="007503F2">
      <w:pPr>
        <w:spacing w:line="360" w:lineRule="auto"/>
        <w:jc w:val="both"/>
      </w:pPr>
      <w:proofErr w:type="spellStart"/>
      <w:r>
        <w:t>Nemo</w:t>
      </w:r>
      <w:proofErr w:type="spellEnd"/>
      <w:r>
        <w:t xml:space="preserve"> autem </w:t>
      </w:r>
      <w:proofErr w:type="spellStart"/>
      <w:r>
        <w:t>exigit</w:t>
      </w:r>
      <w:proofErr w:type="spellEnd"/>
      <w:r>
        <w:t xml:space="preserve">,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debeat</w:t>
      </w:r>
      <w:proofErr w:type="spellEnd"/>
      <w:r>
        <w:t xml:space="preserve"> </w:t>
      </w:r>
      <w:proofErr w:type="spellStart"/>
      <w:r>
        <w:t>facere</w:t>
      </w:r>
      <w:proofErr w:type="spellEnd"/>
      <w:r>
        <w:t xml:space="preserve">, sed </w:t>
      </w:r>
      <w:proofErr w:type="spellStart"/>
      <w:r>
        <w:t>unusquisque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potest</w:t>
      </w:r>
      <w:proofErr w:type="spellEnd"/>
      <w:r>
        <w:t xml:space="preserve"> id facit; </w:t>
      </w:r>
      <w:proofErr w:type="spellStart"/>
      <w:r>
        <w:t>nec</w:t>
      </w:r>
      <w:proofErr w:type="spellEnd"/>
      <w:r>
        <w:t xml:space="preserve"> </w:t>
      </w:r>
      <w:proofErr w:type="spellStart"/>
      <w:r>
        <w:t>ille</w:t>
      </w:r>
      <w:proofErr w:type="spellEnd"/>
      <w:r>
        <w:t xml:space="preserve"> </w:t>
      </w:r>
      <w:proofErr w:type="spellStart"/>
      <w:r>
        <w:t>laudatur</w:t>
      </w:r>
      <w:proofErr w:type="spellEnd"/>
      <w:r>
        <w:t xml:space="preserve">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satis</w:t>
      </w:r>
      <w:proofErr w:type="spellEnd"/>
      <w:r>
        <w:t xml:space="preserve"> </w:t>
      </w:r>
      <w:proofErr w:type="spellStart"/>
      <w:r>
        <w:t>fecerit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ille</w:t>
      </w:r>
      <w:proofErr w:type="spellEnd"/>
      <w:r>
        <w:t xml:space="preserve"> </w:t>
      </w:r>
      <w:proofErr w:type="spellStart"/>
      <w:r>
        <w:t>vituperatur</w:t>
      </w:r>
      <w:proofErr w:type="spellEnd"/>
      <w:r>
        <w:t xml:space="preserve">, </w:t>
      </w:r>
      <w:proofErr w:type="spellStart"/>
      <w:r>
        <w:t>qui</w:t>
      </w:r>
      <w:proofErr w:type="spellEnd"/>
      <w:r>
        <w:t xml:space="preserve"> minus. Talis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hic </w:t>
      </w:r>
      <w:proofErr w:type="spellStart"/>
      <w:r>
        <w:t>consuetudo</w:t>
      </w:r>
      <w:proofErr w:type="spellEnd"/>
      <w:r>
        <w:t xml:space="preserve">. </w:t>
      </w:r>
      <w:proofErr w:type="spellStart"/>
      <w:r>
        <w:t>Esca</w:t>
      </w:r>
      <w:proofErr w:type="spellEnd"/>
      <w:r>
        <w:t xml:space="preserve"> autem </w:t>
      </w:r>
      <w:proofErr w:type="spellStart"/>
      <w:r>
        <w:t>eorum</w:t>
      </w:r>
      <w:proofErr w:type="spellEnd"/>
      <w:r>
        <w:t xml:space="preserve"> </w:t>
      </w:r>
      <w:proofErr w:type="spellStart"/>
      <w:r>
        <w:t>quadragesimarum</w:t>
      </w:r>
      <w:proofErr w:type="spellEnd"/>
      <w:r>
        <w:t xml:space="preserve"> </w:t>
      </w:r>
      <w:proofErr w:type="spellStart"/>
      <w:r>
        <w:t>diebus</w:t>
      </w:r>
      <w:proofErr w:type="spellEnd"/>
      <w:r>
        <w:t xml:space="preserve"> </w:t>
      </w:r>
      <w:proofErr w:type="spellStart"/>
      <w:r>
        <w:t>haec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panem </w:t>
      </w:r>
      <w:proofErr w:type="spellStart"/>
      <w:r>
        <w:t>quidem</w:t>
      </w:r>
      <w:proofErr w:type="spellEnd"/>
      <w:r>
        <w:t xml:space="preserve"> </w:t>
      </w:r>
      <w:proofErr w:type="spellStart"/>
      <w:r>
        <w:t>libari</w:t>
      </w:r>
      <w:proofErr w:type="spellEnd"/>
      <w:r>
        <w:t xml:space="preserve"> non </w:t>
      </w:r>
      <w:proofErr w:type="spellStart"/>
      <w:r>
        <w:t>potest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oleum </w:t>
      </w:r>
      <w:proofErr w:type="spellStart"/>
      <w:r>
        <w:t>gustent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aliquid</w:t>
      </w:r>
      <w:proofErr w:type="spellEnd"/>
      <w:r>
        <w:t xml:space="preserve">, </w:t>
      </w:r>
      <w:proofErr w:type="spellStart"/>
      <w:r>
        <w:t>quod</w:t>
      </w:r>
      <w:proofErr w:type="spellEnd"/>
      <w:r>
        <w:t xml:space="preserve"> de </w:t>
      </w:r>
      <w:proofErr w:type="spellStart"/>
      <w:r>
        <w:t>arboribus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sed </w:t>
      </w:r>
      <w:proofErr w:type="spellStart"/>
      <w:r>
        <w:t>tantum</w:t>
      </w:r>
      <w:proofErr w:type="spellEnd"/>
      <w:r>
        <w:t xml:space="preserve">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sorbitione</w:t>
      </w:r>
      <w:proofErr w:type="spellEnd"/>
      <w:r>
        <w:t xml:space="preserve"> </w:t>
      </w:r>
      <w:proofErr w:type="spellStart"/>
      <w:r>
        <w:t>modica</w:t>
      </w:r>
      <w:proofErr w:type="spellEnd"/>
      <w:r>
        <w:t xml:space="preserve"> de </w:t>
      </w:r>
      <w:proofErr w:type="spellStart"/>
      <w:r>
        <w:t>farina</w:t>
      </w:r>
      <w:proofErr w:type="spellEnd"/>
      <w:r>
        <w:t xml:space="preserve">. </w:t>
      </w:r>
    </w:p>
    <w:sectPr w:rsidR="007503F2" w:rsidRPr="007503F2" w:rsidSect="00BA3BE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B3B4B"/>
    <w:multiLevelType w:val="hybridMultilevel"/>
    <w:tmpl w:val="98C653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3BEB"/>
    <w:rsid w:val="000E3CED"/>
    <w:rsid w:val="00260165"/>
    <w:rsid w:val="004F49DE"/>
    <w:rsid w:val="00694EFE"/>
    <w:rsid w:val="007503F2"/>
    <w:rsid w:val="00952095"/>
    <w:rsid w:val="00BA3BEB"/>
    <w:rsid w:val="00C4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095"/>
  </w:style>
  <w:style w:type="paragraph" w:styleId="Nadpis4">
    <w:name w:val="heading 4"/>
    <w:basedOn w:val="Normln"/>
    <w:next w:val="Normln"/>
    <w:link w:val="Nadpis4Char"/>
    <w:qFormat/>
    <w:rsid w:val="00BA3BE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3BEB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A3BE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BA3B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1</cp:revision>
  <dcterms:created xsi:type="dcterms:W3CDTF">2014-03-09T10:41:00Z</dcterms:created>
  <dcterms:modified xsi:type="dcterms:W3CDTF">2014-03-09T10:54:00Z</dcterms:modified>
</cp:coreProperties>
</file>