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Strategie, jež spočívá v sakralizaci některých jazyků a textů, například děl presokr</w:t>
      </w:r>
      <w:r w:rsidRPr="00FF41B4">
        <w:rPr>
          <w:rFonts w:ascii="Times New Roman" w:hAnsi="Times New Roman" w:cs="Times New Roman"/>
          <w:sz w:val="24"/>
          <w:szCs w:val="24"/>
          <w:highlight w:val="yellow"/>
        </w:rPr>
        <w:t>á</w:t>
      </w:r>
      <w:r>
        <w:rPr>
          <w:rFonts w:ascii="Times New Roman" w:hAnsi="Times New Roman" w:cs="Times New Roman"/>
          <w:sz w:val="24"/>
          <w:szCs w:val="24"/>
        </w:rPr>
        <w:t>tiků, a řečtiny obecně,</w:t>
      </w:r>
      <w:r w:rsidRPr="0045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kterou Heidegger používá ve svých spisech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 výjimkou němčiny, nebo spíš němčiny čerpající z řecké etymologie, kterou on sám užívá, jakožto </w:t>
      </w:r>
      <w:commentRangeStart w:id="0"/>
      <w:r>
        <w:rPr>
          <w:rFonts w:ascii="Times New Roman" w:hAnsi="Times New Roman" w:cs="Times New Roman"/>
          <w:sz w:val="24"/>
          <w:szCs w:val="24"/>
        </w:rPr>
        <w:t>kněží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uctívající prapůvodní </w:t>
      </w:r>
      <w:r w:rsidRPr="00D02785">
        <w:rPr>
          <w:rFonts w:ascii="Times New Roman" w:hAnsi="Times New Roman" w:cs="Times New Roman"/>
          <w:i/>
          <w:iCs/>
          <w:sz w:val="24"/>
          <w:szCs w:val="24"/>
        </w:rPr>
        <w:t>„logos“</w:t>
      </w:r>
      <w:r>
        <w:rPr>
          <w:rFonts w:ascii="Times New Roman" w:hAnsi="Times New Roman" w:cs="Times New Roman"/>
          <w:sz w:val="24"/>
          <w:szCs w:val="24"/>
        </w:rPr>
        <w:t>), vychází z úmyslu zavést jakési tabu, které má chránit před překladatelským znesvěcováním.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Mnohem častěji, než se zdá, budeme v takovém případě čelit v různých kruzích jakési snaze vydávat za nepřeložitelné, nebo zaručovat nepřeložitelnost. Hraničí to se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skrytou, 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kabalistickou hermeneutikou, která vychází ze zcela jiných věcí, než jsou tajemné vztahy, kterými jsou propojená slova, věci a myšlenky. Tyto snahy jsou zpátečnické a svůj původ mají mnohdy v záměně filosofické hloubky s dojmem nepopsatelnosti, nebo také v navození dojmu nevypověditelnosti, místo autentického poetického jazyka.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Někdy se také zdá, že se téma nepřeložitelnosti používá jako zbraň k polemice proti cizím překladům, zajištujíc tak dotyčnému exkluzivní přístup k vytouženému dílu. Je tedy záhodno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mít při práci na paměti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tuto polemickou (a tedy často přeceňovanou) funkci takzvané nepřeložitelnosti.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Máme zde i třetí prostředek k 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banalizaci,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nebo v každém případě k vynechání ontologie z naší problematiky, a to tak, že podpoříme tvrzení G. Genetta, podle kterého zde nelze mluvit o nemožných, ale spíše o </w:t>
      </w:r>
      <w:commentRangeStart w:id="4"/>
      <w:r>
        <w:rPr>
          <w:rFonts w:ascii="Times New Roman" w:hAnsi="Times New Roman" w:cs="Times New Roman"/>
          <w:sz w:val="24"/>
          <w:szCs w:val="24"/>
        </w:rPr>
        <w:t>škodlivých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překladech. „Neměli bychom rozlišovat,“ píše „mezi přeložitelnými texty (takové nejsou) a nepřeložitelnými texty, ale raději mezi texty, kterým chybný překlad uškodí (literární texty), a texty, kterým nevadí,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 tedy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ostatní texty. I když někdy by taková mýlka udělaná v diplomatickém </w:t>
      </w:r>
      <w:commentRangeStart w:id="6"/>
      <w:r>
        <w:rPr>
          <w:rFonts w:ascii="Times New Roman" w:hAnsi="Times New Roman" w:cs="Times New Roman"/>
          <w:sz w:val="24"/>
          <w:szCs w:val="24"/>
        </w:rPr>
        <w:t>spise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nebo v mezinárodním usnesení mohla mít neblahé následky.“ Zkrátka, jednalo by se o náhradu teoretické alternativy (možný/nemožný překlad) alternativou praktickou (škodlivý/přijatelný překlad). Přesně takový rozumný způsob navrhuje Paul Ricoeur, který se nehodlá ztratit v tom, co označuje za „spekulativní slepou uličku“, </w:t>
      </w:r>
      <w:commentRangeStart w:id="7"/>
      <w:r>
        <w:rPr>
          <w:rFonts w:ascii="Times New Roman" w:hAnsi="Times New Roman" w:cs="Times New Roman"/>
          <w:sz w:val="24"/>
          <w:szCs w:val="24"/>
        </w:rPr>
        <w:t>tedy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paradox, který dennodenně </w:t>
      </w:r>
      <w:commentRangeStart w:id="8"/>
      <w:r>
        <w:rPr>
          <w:rFonts w:ascii="Times New Roman" w:hAnsi="Times New Roman" w:cs="Times New Roman"/>
          <w:sz w:val="24"/>
          <w:szCs w:val="24"/>
        </w:rPr>
        <w:t>prokazují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mnohé překlady, z nichž ne všechny končí neúspěchem. Měli bychom tedy nahradit „zhoubnou alternativu“ (jazyky se buď natolik liší, že se nedají překládat, nebo můžeme překládat, a tedy všechny jazyky vychází z jednoho) záhadou (co je to za činnost, je</w:t>
      </w:r>
      <w:r w:rsidRPr="00BA4AE6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ž je „teoreticky nepochopitelná“ ale „vskutku </w:t>
      </w:r>
      <w:commentRangeStart w:id="9"/>
      <w:r>
        <w:rPr>
          <w:rFonts w:ascii="Times New Roman" w:hAnsi="Times New Roman" w:cs="Times New Roman"/>
          <w:sz w:val="24"/>
          <w:szCs w:val="24"/>
        </w:rPr>
        <w:t>uskutečnitelná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“?) 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se také odvolávat na dvě další úvahy schopné relativizovat náš problém (ten musí být opravdu složitý, když musíme znásobit </w:t>
      </w:r>
      <w:commentRangeStart w:id="10"/>
      <w:r>
        <w:rPr>
          <w:rFonts w:ascii="Times New Roman" w:hAnsi="Times New Roman" w:cs="Times New Roman"/>
          <w:sz w:val="24"/>
          <w:szCs w:val="24"/>
        </w:rPr>
        <w:t>úvodní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opatření!). Tyto dvě úvahy jsou výsledkem naší předchozí práce týkající se objasnění toho, „co znamená překládat“.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Hned v úvodu můžeme sledovat, že jestli se překlad interpretuje jako neustálý pohyb, proces, a ne pouze jako neměnný produkt, nepřeložitelnost nelze chápat jako nezvratný rozsudek, ale spíše jako pokyn k nepřetržité překladatelské práci, o </w:t>
      </w:r>
      <w:commentRangeStart w:id="11"/>
      <w:r>
        <w:rPr>
          <w:rFonts w:ascii="Times New Roman" w:hAnsi="Times New Roman" w:cs="Times New Roman"/>
          <w:sz w:val="24"/>
          <w:szCs w:val="24"/>
        </w:rPr>
        <w:t>čem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svědčí prokazatelná řada znovu přeložených textů, z nichž každý jeden se opírá o ty předchozí (zejména tehdy, když se jim chce </w:t>
      </w:r>
      <w:commentRangeStart w:id="12"/>
      <w:r>
        <w:rPr>
          <w:rFonts w:ascii="Times New Roman" w:hAnsi="Times New Roman" w:cs="Times New Roman"/>
          <w:sz w:val="24"/>
          <w:szCs w:val="24"/>
        </w:rPr>
        <w:t>vzdálit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3" w:name="_GoBack"/>
      <w:bookmarkEnd w:id="13"/>
      <w:r>
        <w:rPr>
          <w:rFonts w:ascii="Times New Roman" w:hAnsi="Times New Roman" w:cs="Times New Roman"/>
          <w:sz w:val="24"/>
          <w:szCs w:val="24"/>
        </w:rPr>
        <w:t xml:space="preserve">Pak můžeme také sledovat, ať už jde o překlad interní nebo externí, že jestli se vyznačuje jazykovou výměnou v rámci toho samého jazyka, to takzvané </w:t>
      </w:r>
      <w:r w:rsidRPr="00E071DE">
        <w:rPr>
          <w:rFonts w:ascii="Times New Roman" w:hAnsi="Times New Roman" w:cs="Times New Roman"/>
          <w:i/>
          <w:iCs/>
          <w:sz w:val="24"/>
          <w:szCs w:val="24"/>
        </w:rPr>
        <w:t>„non possumus“</w:t>
      </w:r>
      <w:r>
        <w:rPr>
          <w:rFonts w:ascii="Times New Roman" w:hAnsi="Times New Roman" w:cs="Times New Roman"/>
          <w:sz w:val="24"/>
          <w:szCs w:val="24"/>
        </w:rPr>
        <w:t xml:space="preserve"> se tak zcela jistě zevšeobecňuje, ale také mimořádně banalizuje. Protože jestli by to doopravdy bylo tak drastické, nemohli bychom se, </w:t>
      </w:r>
      <w:r w:rsidRPr="005C61B3">
        <w:rPr>
          <w:rFonts w:ascii="Times New Roman" w:hAnsi="Times New Roman" w:cs="Times New Roman"/>
          <w:i/>
          <w:iCs/>
          <w:sz w:val="24"/>
          <w:szCs w:val="24"/>
        </w:rPr>
        <w:t>ve francouzštině</w:t>
      </w:r>
      <w:r>
        <w:rPr>
          <w:rFonts w:ascii="Times New Roman" w:hAnsi="Times New Roman" w:cs="Times New Roman"/>
          <w:sz w:val="24"/>
          <w:szCs w:val="24"/>
        </w:rPr>
        <w:t xml:space="preserve">, bavit </w:t>
      </w:r>
      <w:commentRangeStart w:id="14"/>
      <w:r>
        <w:rPr>
          <w:rFonts w:ascii="Times New Roman" w:hAnsi="Times New Roman" w:cs="Times New Roman"/>
          <w:sz w:val="24"/>
          <w:szCs w:val="24"/>
        </w:rPr>
        <w:t>na patřičné úrovni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. Jako mnohá přehnaná tvrzení, i to o nepřeložitelnosti se může jevit jako samo sobě odporující. A to, co naznačuje, je, že potíž, která zde skutečně je, se týká jazyka obecně, a ne pouze hypotéz o kontaktu mezi jazyky. „Co </w:t>
      </w:r>
      <w:commentRangeStart w:id="15"/>
      <w:r>
        <w:rPr>
          <w:rFonts w:ascii="Times New Roman" w:hAnsi="Times New Roman" w:cs="Times New Roman"/>
          <w:sz w:val="24"/>
          <w:szCs w:val="24"/>
        </w:rPr>
        <w:t>pod tím chápete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?“ je otázka, </w:t>
      </w:r>
      <w:commentRangeStart w:id="16"/>
      <w:r>
        <w:rPr>
          <w:rFonts w:ascii="Times New Roman" w:hAnsi="Times New Roman" w:cs="Times New Roman"/>
          <w:sz w:val="24"/>
          <w:szCs w:val="24"/>
        </w:rPr>
        <w:t>která podněcuje tu nejmenší zručnost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>, a ne pouze tu, která se týká ciziny.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solder – vyplatit, vyrovnat účet, </w:t>
      </w:r>
      <w:r w:rsidRPr="00A8777C">
        <w:rPr>
          <w:rFonts w:ascii="Times New Roman" w:hAnsi="Times New Roman" w:cs="Times New Roman"/>
          <w:sz w:val="24"/>
          <w:szCs w:val="24"/>
          <w:u w:val="single"/>
        </w:rPr>
        <w:t>končit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troquer – vyměnit, směnit, </w:t>
      </w:r>
      <w:r>
        <w:rPr>
          <w:rFonts w:ascii="Times New Roman" w:hAnsi="Times New Roman" w:cs="Times New Roman"/>
          <w:sz w:val="24"/>
          <w:szCs w:val="24"/>
          <w:u w:val="single"/>
        </w:rPr>
        <w:t>nahradit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77C">
        <w:rPr>
          <w:rFonts w:ascii="Times New Roman" w:hAnsi="Times New Roman" w:cs="Times New Roman"/>
          <w:sz w:val="24"/>
          <w:szCs w:val="24"/>
        </w:rPr>
        <w:t>entendre – slyšet, poslouchat, chápat,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rozumět (</w:t>
      </w:r>
      <w:commentRangeStart w:id="17"/>
      <w:r>
        <w:rPr>
          <w:rFonts w:ascii="Times New Roman" w:hAnsi="Times New Roman" w:cs="Times New Roman"/>
          <w:sz w:val="24"/>
          <w:szCs w:val="24"/>
          <w:u w:val="single"/>
        </w:rPr>
        <w:t>interpretovat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podmět – strategie:  Strategie, jež spočívá v sakralizaci některých jazyků a textů, například děl presokrátiků, a řečtiny obecně,</w:t>
      </w:r>
      <w:r w:rsidRPr="0045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kterou Heidegger používá ve svých spisech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 výjimkou němčiny, nebo spíš němčiny čerpající z řecké etymologie, kterou on sám užívá, </w:t>
      </w:r>
      <w:r w:rsidRPr="00FF41B4">
        <w:rPr>
          <w:rFonts w:ascii="Times New Roman" w:hAnsi="Times New Roman" w:cs="Times New Roman"/>
          <w:sz w:val="24"/>
          <w:szCs w:val="24"/>
          <w:highlight w:val="yellow"/>
        </w:rPr>
        <w:t>jakožto kněží</w:t>
      </w:r>
      <w:r>
        <w:rPr>
          <w:rFonts w:ascii="Times New Roman" w:hAnsi="Times New Roman" w:cs="Times New Roman"/>
          <w:sz w:val="24"/>
          <w:szCs w:val="24"/>
        </w:rPr>
        <w:t xml:space="preserve"> uctívající prapůvodní logos),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8"/>
      <w:r>
        <w:rPr>
          <w:rFonts w:ascii="Times New Roman" w:hAnsi="Times New Roman" w:cs="Times New Roman"/>
          <w:sz w:val="24"/>
          <w:szCs w:val="24"/>
        </w:rPr>
        <w:t>přísudek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 xml:space="preserve"> – vychází: …vychází z úmyslu zavést jakési tabu, které má chránit před překladatelským znesvěcováním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B" w:rsidRDefault="003E5A2B" w:rsidP="0065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Komentáře správně, velmi správné porozumění textu, vynechávka jen P2, výrazné posuny významu P9 a 16. Stylisticky také podařené, čeština výborná!</w:t>
      </w: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B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Alexandra Tamášová</w:t>
      </w:r>
    </w:p>
    <w:p w:rsidR="003E5A2B" w:rsidRPr="00E4194A" w:rsidRDefault="003E5A2B" w:rsidP="00E4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333535</w:t>
      </w:r>
    </w:p>
    <w:sectPr w:rsidR="003E5A2B" w:rsidRPr="00E4194A" w:rsidSect="00B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5-05-20T13:31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 xml:space="preserve">velekněz/ kněz </w:t>
      </w:r>
    </w:p>
  </w:comment>
  <w:comment w:id="1" w:author="Pavla" w:date="2015-05-20T13:34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s představou jakéhosi soukromého jazyka</w:t>
      </w:r>
    </w:p>
  </w:comment>
  <w:comment w:id="2" w:author="Pavla" w:date="2015-05-20T13:36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lépe na konec věty = jádro výpovědi</w:t>
      </w:r>
    </w:p>
  </w:comment>
  <w:comment w:id="3" w:author="Pavla" w:date="2015-05-20T13:37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už příliš silné, lépe asi „oddramatizování“ apod.</w:t>
      </w:r>
    </w:p>
  </w:comment>
  <w:comment w:id="4" w:author="Pavla" w:date="2015-05-20T13:38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jako i výše – ponechávat kurzívu</w:t>
      </w:r>
    </w:p>
  </w:comment>
  <w:comment w:id="5" w:author="Pavla" w:date="2015-05-20T13:39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což jsou</w:t>
      </w:r>
    </w:p>
  </w:comment>
  <w:comment w:id="6" w:author="Pavla" w:date="2015-05-20T13:40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depeši/ zprávě</w:t>
      </w:r>
    </w:p>
  </w:comment>
  <w:comment w:id="7" w:author="Pavla" w:date="2015-05-20T13:42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bu’ď musíte skloňovat, nebo „což je“</w:t>
      </w:r>
    </w:p>
  </w:comment>
  <w:comment w:id="8" w:author="Pavla" w:date="2015-05-20T13:42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vyvracejí</w:t>
      </w:r>
    </w:p>
  </w:comment>
  <w:comment w:id="9" w:author="Pavla" w:date="2015-05-20T13:46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souvětí velmi dobře</w:t>
      </w:r>
    </w:p>
  </w:comment>
  <w:comment w:id="10" w:author="Pavla" w:date="2015-05-20T13:48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lépe:  např. „preventivní “</w:t>
      </w:r>
    </w:p>
  </w:comment>
  <w:comment w:id="11" w:author="Pavla" w:date="2015-05-20T13:48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čemž</w:t>
      </w:r>
    </w:p>
  </w:comment>
  <w:comment w:id="12" w:author="Pavla" w:date="2015-05-20T13:49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velmi dobrý odstavec</w:t>
      </w:r>
    </w:p>
  </w:comment>
  <w:comment w:id="14" w:author="Pavla" w:date="2015-05-20T13:58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ani srozumitelněji, ani méně srozumitelně</w:t>
      </w:r>
    </w:p>
  </w:comment>
  <w:comment w:id="15" w:author="Pavla" w:date="2015-05-20T13:27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tím myslíte</w:t>
      </w:r>
    </w:p>
  </w:comment>
  <w:comment w:id="16" w:author="Pavla" w:date="2015-05-20T14:03:00Z" w:initials="P">
    <w:p w:rsidR="003E5A2B" w:rsidRDefault="003E5A2B" w:rsidP="00FF41B4">
      <w:pPr>
        <w:pStyle w:val="CommentText"/>
      </w:pPr>
      <w:r>
        <w:rPr>
          <w:rStyle w:val="CommentReference"/>
        </w:rPr>
        <w:annotationRef/>
      </w:r>
      <w:r>
        <w:t>ne, „kterou vyvolává menší chápavost/ porozumění, a to nejen u cizince“</w:t>
      </w:r>
    </w:p>
    <w:p w:rsidR="003E5A2B" w:rsidRDefault="003E5A2B" w:rsidP="00FF41B4">
      <w:pPr>
        <w:pStyle w:val="CommentText"/>
      </w:pPr>
    </w:p>
  </w:comment>
  <w:comment w:id="17" w:author="Pavla" w:date="2015-05-20T14:00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synonyma zvolena správně</w:t>
      </w:r>
    </w:p>
  </w:comment>
  <w:comment w:id="18" w:author="Pavla" w:date="2015-05-20T14:01:00Z" w:initials="P">
    <w:p w:rsidR="003E5A2B" w:rsidRDefault="003E5A2B">
      <w:pPr>
        <w:pStyle w:val="CommentText"/>
      </w:pPr>
      <w:r>
        <w:rPr>
          <w:rStyle w:val="CommentReference"/>
        </w:rPr>
        <w:annotationRef/>
      </w:r>
      <w:r>
        <w:t>rozbor souvětí správně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94A"/>
    <w:rsid w:val="00052D0A"/>
    <w:rsid w:val="0006124A"/>
    <w:rsid w:val="000B5B82"/>
    <w:rsid w:val="000E7EEB"/>
    <w:rsid w:val="00210E83"/>
    <w:rsid w:val="0026770E"/>
    <w:rsid w:val="002D15F0"/>
    <w:rsid w:val="0033720C"/>
    <w:rsid w:val="00371E52"/>
    <w:rsid w:val="00386386"/>
    <w:rsid w:val="003E5A2B"/>
    <w:rsid w:val="00410B61"/>
    <w:rsid w:val="00454D18"/>
    <w:rsid w:val="00457CDF"/>
    <w:rsid w:val="00495A54"/>
    <w:rsid w:val="004A0530"/>
    <w:rsid w:val="005C61B3"/>
    <w:rsid w:val="00626E2A"/>
    <w:rsid w:val="006501DA"/>
    <w:rsid w:val="006B67B4"/>
    <w:rsid w:val="00782E65"/>
    <w:rsid w:val="007B026F"/>
    <w:rsid w:val="00844934"/>
    <w:rsid w:val="00994CEA"/>
    <w:rsid w:val="009B2FA4"/>
    <w:rsid w:val="00A8777C"/>
    <w:rsid w:val="00AC7628"/>
    <w:rsid w:val="00AD6264"/>
    <w:rsid w:val="00AF69BF"/>
    <w:rsid w:val="00B204A6"/>
    <w:rsid w:val="00BA4AE6"/>
    <w:rsid w:val="00BA7DEC"/>
    <w:rsid w:val="00BD7510"/>
    <w:rsid w:val="00C05AB6"/>
    <w:rsid w:val="00C20063"/>
    <w:rsid w:val="00C218CF"/>
    <w:rsid w:val="00D02785"/>
    <w:rsid w:val="00D311B6"/>
    <w:rsid w:val="00E071DE"/>
    <w:rsid w:val="00E4194A"/>
    <w:rsid w:val="00EA0A80"/>
    <w:rsid w:val="00F11B48"/>
    <w:rsid w:val="00F405E1"/>
    <w:rsid w:val="00F603F3"/>
    <w:rsid w:val="00FC6F8D"/>
    <w:rsid w:val="00FE2256"/>
    <w:rsid w:val="00FF41B4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E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F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4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558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5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F4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5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640</Words>
  <Characters>3779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Strategie, jež spočívá v sakralizaci některých jazyků a textů, například děl presokrátiků, a řečtiny obecně, kterou Heidegger používá ve svých spisech (s výjimkou němčiny, nebo spíš němčiny čerpající z řecké etymologie, kterou on sám užívá, jakožto kně</dc:title>
  <dc:subject/>
  <dc:creator>Alexandra Tamášová</dc:creator>
  <cp:keywords/>
  <dc:description/>
  <cp:lastModifiedBy>Pavla</cp:lastModifiedBy>
  <cp:revision>8</cp:revision>
  <dcterms:created xsi:type="dcterms:W3CDTF">2015-05-20T08:56:00Z</dcterms:created>
  <dcterms:modified xsi:type="dcterms:W3CDTF">2015-05-20T13:13:00Z</dcterms:modified>
</cp:coreProperties>
</file>