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Default="00052231" w:rsidP="00052231">
      <w:pPr>
        <w:jc w:val="center"/>
        <w:rPr>
          <w:lang w:val="cs-CZ"/>
        </w:rPr>
      </w:pPr>
      <w:r w:rsidRPr="00052231">
        <w:rPr>
          <w:lang w:val="cs-CZ"/>
        </w:rPr>
        <w:t>Témata prezentací:</w:t>
      </w:r>
    </w:p>
    <w:p w:rsidR="00052231" w:rsidRDefault="00052231" w:rsidP="00052231">
      <w:pPr>
        <w:jc w:val="both"/>
        <w:rPr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3.3.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Jiang</w:t>
      </w:r>
      <w:proofErr w:type="spellEnd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Zemin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– životopis, cesta k moci, hlavní politické směřování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10.3.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Hu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Jintao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– životopis, cesta k moci, hlavní politické směřování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17.3.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Xi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Jinping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- 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životopis, cesta k moci, hlavní politické směřování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8.4.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Ideologie – formální, ekonomická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symboly KSČ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14.4.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Centrální organizace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provinční orgány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21.4.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Vychovávání dalších generací - Členové a mladí komunisté 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(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Communist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Youth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League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>)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28.4.</w:t>
      </w:r>
    </w:p>
    <w:p w:rsidR="00052231" w:rsidRPr="00052231" w:rsidRDefault="00052231" w:rsidP="00052231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Vztahy s ostatními politickými stranami a státy</w:t>
      </w:r>
    </w:p>
    <w:p w:rsidR="00052231" w:rsidRDefault="00052231" w:rsidP="00052231">
      <w:pPr>
        <w:pStyle w:val="ListParagraph"/>
        <w:numPr>
          <w:ilvl w:val="2"/>
          <w:numId w:val="3"/>
        </w:num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Komunistické strany</w:t>
      </w:r>
    </w:p>
    <w:p w:rsidR="00052231" w:rsidRDefault="00052231" w:rsidP="00052231">
      <w:pPr>
        <w:pStyle w:val="ListParagraph"/>
        <w:numPr>
          <w:ilvl w:val="2"/>
          <w:numId w:val="3"/>
        </w:num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Nekomunistické strany</w:t>
      </w:r>
    </w:p>
    <w:p w:rsidR="00052231" w:rsidRDefault="00052231" w:rsidP="00052231">
      <w:pPr>
        <w:pStyle w:val="ListParagraph"/>
        <w:ind w:left="144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pStyle w:val="ListParagraph"/>
        <w:ind w:left="144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5.5. Cenzura a internet</w:t>
      </w:r>
    </w:p>
    <w:p w:rsid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bookmarkStart w:id="0" w:name="_GoBack"/>
      <w:bookmarkEnd w:id="0"/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lang w:val="cs-CZ"/>
        </w:rPr>
      </w:pPr>
      <w:r>
        <w:rPr>
          <w:lang w:val="cs-CZ"/>
        </w:rPr>
        <w:t>12.5. Závěrečné prezentace – tři skupiny</w:t>
      </w:r>
    </w:p>
    <w:sectPr w:rsidR="00052231" w:rsidRPr="00052231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EB4"/>
    <w:multiLevelType w:val="hybridMultilevel"/>
    <w:tmpl w:val="400A4590"/>
    <w:lvl w:ilvl="0" w:tplc="2050F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4B52"/>
    <w:multiLevelType w:val="hybridMultilevel"/>
    <w:tmpl w:val="400A4590"/>
    <w:lvl w:ilvl="0" w:tplc="2050F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C4A48"/>
    <w:multiLevelType w:val="hybridMultilevel"/>
    <w:tmpl w:val="312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1"/>
    <w:rsid w:val="00052231"/>
    <w:rsid w:val="003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BE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Macintosh Word</Application>
  <DocSecurity>0</DocSecurity>
  <Lines>4</Lines>
  <Paragraphs>1</Paragraphs>
  <ScaleCrop>false</ScaleCrop>
  <Company>denisa.hilbertova@gmail.com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1</cp:revision>
  <dcterms:created xsi:type="dcterms:W3CDTF">2016-02-25T11:40:00Z</dcterms:created>
  <dcterms:modified xsi:type="dcterms:W3CDTF">2016-02-25T11:52:00Z</dcterms:modified>
</cp:coreProperties>
</file>