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Mar>
          <w:left w:w="0" w:type="dxa"/>
          <w:right w:w="0" w:type="dxa"/>
        </w:tblCellMar>
        <w:tblLook w:val="01E0" w:firstRow="1" w:lastRow="1" w:firstColumn="1" w:lastColumn="1" w:noHBand="0" w:noVBand="0"/>
      </w:tblPr>
      <w:tblGrid>
        <w:gridCol w:w="6804"/>
        <w:gridCol w:w="2268"/>
      </w:tblGrid>
      <w:tr w:rsidR="009154FF" w:rsidRPr="00E502E5" w14:paraId="0C2CBCF6" w14:textId="77777777" w:rsidTr="007A42AB">
        <w:trPr>
          <w:trHeight w:hRule="exact" w:val="1418"/>
        </w:trPr>
        <w:tc>
          <w:tcPr>
            <w:tcW w:w="6804" w:type="dxa"/>
            <w:shd w:val="clear" w:color="auto" w:fill="auto"/>
            <w:vAlign w:val="center"/>
          </w:tcPr>
          <w:p w14:paraId="41015DDA" w14:textId="77777777" w:rsidR="009154FF" w:rsidRPr="00E502E5" w:rsidRDefault="00903D78" w:rsidP="007A42AB">
            <w:pPr>
              <w:pStyle w:val="EPName"/>
            </w:pPr>
            <w:r w:rsidRPr="00E502E5">
              <w:t>Parlement européen</w:t>
            </w:r>
          </w:p>
          <w:p w14:paraId="6C7A3F0C" w14:textId="77777777" w:rsidR="009154FF" w:rsidRPr="00E502E5" w:rsidRDefault="00B37A5B" w:rsidP="00B37A5B">
            <w:pPr>
              <w:pStyle w:val="EPTerm"/>
              <w:rPr>
                <w:rStyle w:val="HideTWBExt"/>
                <w:noProof w:val="0"/>
                <w:vanish w:val="0"/>
                <w:color w:val="auto"/>
              </w:rPr>
            </w:pPr>
            <w:r w:rsidRPr="00E502E5">
              <w:t>2014-2019</w:t>
            </w:r>
          </w:p>
        </w:tc>
        <w:tc>
          <w:tcPr>
            <w:tcW w:w="2268" w:type="dxa"/>
            <w:shd w:val="clear" w:color="auto" w:fill="auto"/>
          </w:tcPr>
          <w:p w14:paraId="28D19ACF" w14:textId="77777777" w:rsidR="009154FF" w:rsidRPr="00E502E5" w:rsidRDefault="00BF7ACA" w:rsidP="007A42AB">
            <w:pPr>
              <w:pStyle w:val="EPLogo"/>
            </w:pPr>
            <w:r>
              <w:pict w14:anchorId="5FB37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pt;height:51.05pt">
                  <v:imagedata r:id="rId7" o:title="EP logo RGB_Mute"/>
                </v:shape>
              </w:pict>
            </w:r>
          </w:p>
        </w:tc>
      </w:tr>
    </w:tbl>
    <w:p w14:paraId="2B59E0F7" w14:textId="77777777" w:rsidR="000E7234" w:rsidRPr="00E502E5" w:rsidRDefault="000E7234" w:rsidP="000E7234">
      <w:pPr>
        <w:pStyle w:val="LineTop"/>
      </w:pPr>
    </w:p>
    <w:p w14:paraId="32183507" w14:textId="77777777" w:rsidR="000E7234" w:rsidRPr="00E502E5" w:rsidRDefault="000E7234" w:rsidP="000E7234">
      <w:pPr>
        <w:pStyle w:val="ZCommittee"/>
      </w:pPr>
      <w:r w:rsidRPr="00E502E5">
        <w:rPr>
          <w:rStyle w:val="HideTWBExt"/>
          <w:noProof w:val="0"/>
        </w:rPr>
        <w:t>&lt;</w:t>
      </w:r>
      <w:r w:rsidRPr="00E502E5">
        <w:rPr>
          <w:rStyle w:val="HideTWBExt"/>
          <w:i w:val="0"/>
          <w:noProof w:val="0"/>
        </w:rPr>
        <w:t>Commission</w:t>
      </w:r>
      <w:r w:rsidRPr="00E502E5">
        <w:rPr>
          <w:rStyle w:val="HideTWBExt"/>
          <w:noProof w:val="0"/>
        </w:rPr>
        <w:t>&gt;</w:t>
      </w:r>
      <w:r w:rsidRPr="00E502E5">
        <w:rPr>
          <w:rStyle w:val="HideTWBInt"/>
          <w:color w:val="auto"/>
        </w:rPr>
        <w:t>{CJ31}</w:t>
      </w:r>
      <w:r w:rsidRPr="00E502E5">
        <w:t>Commission des affaires étrangères</w:t>
      </w:r>
      <w:r w:rsidRPr="00E502E5">
        <w:br/>
        <w:t>Commission du développement</w:t>
      </w:r>
      <w:r w:rsidRPr="00E502E5">
        <w:br/>
        <w:t>Commission des budgets</w:t>
      </w:r>
      <w:r w:rsidRPr="00E502E5">
        <w:rPr>
          <w:rStyle w:val="HideTWBExt"/>
          <w:noProof w:val="0"/>
        </w:rPr>
        <w:t>&lt;/</w:t>
      </w:r>
      <w:r w:rsidRPr="00E502E5">
        <w:rPr>
          <w:rStyle w:val="HideTWBExt"/>
          <w:i w:val="0"/>
          <w:noProof w:val="0"/>
        </w:rPr>
        <w:t>Commission</w:t>
      </w:r>
      <w:r w:rsidRPr="00E502E5">
        <w:rPr>
          <w:rStyle w:val="HideTWBExt"/>
          <w:noProof w:val="0"/>
        </w:rPr>
        <w:t>&gt;</w:t>
      </w:r>
    </w:p>
    <w:p w14:paraId="65B72A74" w14:textId="77777777" w:rsidR="000E7234" w:rsidRPr="00E502E5" w:rsidRDefault="000E7234" w:rsidP="000E7234">
      <w:pPr>
        <w:pStyle w:val="LineBottom"/>
      </w:pPr>
    </w:p>
    <w:p w14:paraId="3EE486F9" w14:textId="77777777" w:rsidR="00B85286" w:rsidRPr="00E502E5" w:rsidRDefault="00B85286">
      <w:pPr>
        <w:pStyle w:val="RefProc"/>
      </w:pPr>
      <w:r w:rsidRPr="00E502E5">
        <w:rPr>
          <w:rStyle w:val="HideTWBExt"/>
          <w:b w:val="0"/>
          <w:noProof w:val="0"/>
        </w:rPr>
        <w:t>&lt;</w:t>
      </w:r>
      <w:r w:rsidRPr="00E502E5">
        <w:rPr>
          <w:rStyle w:val="HideTWBExt"/>
          <w:b w:val="0"/>
          <w:caps w:val="0"/>
          <w:noProof w:val="0"/>
        </w:rPr>
        <w:t>RefProc</w:t>
      </w:r>
      <w:r w:rsidRPr="00E502E5">
        <w:rPr>
          <w:rStyle w:val="HideTWBExt"/>
          <w:b w:val="0"/>
          <w:noProof w:val="0"/>
        </w:rPr>
        <w:t>&gt;</w:t>
      </w:r>
      <w:r w:rsidRPr="00E502E5">
        <w:t>2016/</w:t>
      </w:r>
      <w:bookmarkStart w:id="0" w:name="_GoBack"/>
      <w:bookmarkEnd w:id="0"/>
      <w:r w:rsidRPr="00E502E5">
        <w:t>0281</w:t>
      </w:r>
      <w:r w:rsidRPr="00E502E5">
        <w:rPr>
          <w:rStyle w:val="HideTWBExt"/>
          <w:b w:val="0"/>
          <w:noProof w:val="0"/>
        </w:rPr>
        <w:t>&lt;/</w:t>
      </w:r>
      <w:r w:rsidRPr="00E502E5">
        <w:rPr>
          <w:rStyle w:val="HideTWBExt"/>
          <w:b w:val="0"/>
          <w:caps w:val="0"/>
          <w:noProof w:val="0"/>
        </w:rPr>
        <w:t>RefProc</w:t>
      </w:r>
      <w:r w:rsidRPr="00E502E5">
        <w:rPr>
          <w:rStyle w:val="HideTWBExt"/>
          <w:b w:val="0"/>
          <w:noProof w:val="0"/>
        </w:rPr>
        <w:t>&gt;&lt;</w:t>
      </w:r>
      <w:r w:rsidRPr="00E502E5">
        <w:rPr>
          <w:rStyle w:val="HideTWBExt"/>
          <w:b w:val="0"/>
          <w:caps w:val="0"/>
          <w:noProof w:val="0"/>
        </w:rPr>
        <w:t>RefTypeProc</w:t>
      </w:r>
      <w:r w:rsidRPr="00E502E5">
        <w:rPr>
          <w:rStyle w:val="HideTWBExt"/>
          <w:b w:val="0"/>
          <w:noProof w:val="0"/>
        </w:rPr>
        <w:t>&gt;</w:t>
      </w:r>
      <w:r w:rsidRPr="00E502E5">
        <w:t>(COD)</w:t>
      </w:r>
      <w:r w:rsidRPr="00E502E5">
        <w:rPr>
          <w:rStyle w:val="HideTWBExt"/>
          <w:b w:val="0"/>
          <w:noProof w:val="0"/>
        </w:rPr>
        <w:t>&lt;/</w:t>
      </w:r>
      <w:r w:rsidRPr="00E502E5">
        <w:rPr>
          <w:rStyle w:val="HideTWBExt"/>
          <w:b w:val="0"/>
          <w:caps w:val="0"/>
          <w:noProof w:val="0"/>
        </w:rPr>
        <w:t>RefTypeProc</w:t>
      </w:r>
      <w:r w:rsidRPr="00E502E5">
        <w:rPr>
          <w:rStyle w:val="HideTWBExt"/>
          <w:b w:val="0"/>
          <w:noProof w:val="0"/>
        </w:rPr>
        <w:t>&gt;</w:t>
      </w:r>
    </w:p>
    <w:p w14:paraId="601AC856" w14:textId="77777777" w:rsidR="00B85286" w:rsidRPr="00BF7ACA" w:rsidRDefault="00B85286">
      <w:pPr>
        <w:pStyle w:val="ZDate"/>
        <w:rPr>
          <w:lang w:val="en-GB"/>
        </w:rPr>
      </w:pPr>
      <w:r w:rsidRPr="00BF7ACA">
        <w:rPr>
          <w:rStyle w:val="HideTWBExt"/>
          <w:noProof w:val="0"/>
          <w:lang w:val="en-GB"/>
        </w:rPr>
        <w:t>&lt;Date&gt;</w:t>
      </w:r>
      <w:r w:rsidRPr="00BF7ACA">
        <w:rPr>
          <w:rStyle w:val="HideTWBInt"/>
          <w:color w:val="auto"/>
          <w:lang w:val="en-GB"/>
        </w:rPr>
        <w:t>{27/03/2017}</w:t>
      </w:r>
      <w:r w:rsidRPr="00BF7ACA">
        <w:rPr>
          <w:lang w:val="en-GB"/>
        </w:rPr>
        <w:t>27.3.2017</w:t>
      </w:r>
      <w:r w:rsidRPr="00BF7ACA">
        <w:rPr>
          <w:rStyle w:val="HideTWBExt"/>
          <w:noProof w:val="0"/>
          <w:lang w:val="en-GB"/>
        </w:rPr>
        <w:t>&lt;/Date&gt;</w:t>
      </w:r>
    </w:p>
    <w:p w14:paraId="7E8468D3" w14:textId="77777777" w:rsidR="009B0305" w:rsidRPr="00BF7ACA" w:rsidRDefault="009B0305" w:rsidP="009B0305">
      <w:pPr>
        <w:pStyle w:val="TypeDocAM"/>
        <w:rPr>
          <w:lang w:val="en-GB"/>
        </w:rPr>
      </w:pPr>
      <w:r w:rsidRPr="00BF7ACA">
        <w:rPr>
          <w:rStyle w:val="HideTWBExt"/>
          <w:b w:val="0"/>
          <w:noProof w:val="0"/>
          <w:lang w:val="en-GB"/>
        </w:rPr>
        <w:t>&lt;TypeAM&gt;</w:t>
      </w:r>
      <w:r w:rsidRPr="00BF7ACA">
        <w:rPr>
          <w:lang w:val="en-GB"/>
        </w:rPr>
        <w:t>AMENDEMENT</w:t>
      </w:r>
      <w:r w:rsidRPr="00BF7ACA">
        <w:rPr>
          <w:rStyle w:val="HideTWBExt"/>
          <w:b w:val="0"/>
          <w:noProof w:val="0"/>
          <w:lang w:val="en-GB"/>
        </w:rPr>
        <w:t>&lt;/TypeAM&gt;</w:t>
      </w:r>
    </w:p>
    <w:p w14:paraId="38B661D6" w14:textId="1552376B" w:rsidR="00B85286" w:rsidRPr="00E502E5" w:rsidRDefault="00E25DC5" w:rsidP="001C2054">
      <w:pPr>
        <w:pStyle w:val="NRAMS"/>
      </w:pPr>
      <w:r w:rsidRPr="00E502E5">
        <w:rPr>
          <w:rStyle w:val="HideTWBExt"/>
          <w:b w:val="0"/>
          <w:noProof w:val="0"/>
        </w:rPr>
        <w:t>&lt;RangeAM&gt;</w:t>
      </w:r>
      <w:r w:rsidRPr="00E502E5">
        <w:t>71 - 386</w:t>
      </w:r>
      <w:r w:rsidRPr="00E502E5">
        <w:rPr>
          <w:rStyle w:val="HideTWBExt"/>
          <w:b w:val="0"/>
          <w:noProof w:val="0"/>
        </w:rPr>
        <w:t>&lt;/RangeAM&gt;</w:t>
      </w:r>
    </w:p>
    <w:p w14:paraId="47D419E5" w14:textId="77777777" w:rsidR="001C2054" w:rsidRPr="00E502E5" w:rsidRDefault="00A15973" w:rsidP="00A93F8C">
      <w:pPr>
        <w:pStyle w:val="CoverBold"/>
      </w:pPr>
      <w:r w:rsidRPr="00E502E5">
        <w:rPr>
          <w:rStyle w:val="HideTWBExt"/>
          <w:b w:val="0"/>
          <w:noProof w:val="0"/>
        </w:rPr>
        <w:t>&lt;TitreType&gt;</w:t>
      </w:r>
      <w:r w:rsidRPr="00E502E5">
        <w:t>Projet de rapport</w:t>
      </w:r>
      <w:r w:rsidRPr="00E502E5">
        <w:rPr>
          <w:rStyle w:val="HideTWBExt"/>
          <w:b w:val="0"/>
          <w:noProof w:val="0"/>
        </w:rPr>
        <w:t>&lt;/TitreType&gt;</w:t>
      </w:r>
    </w:p>
    <w:p w14:paraId="2EF24726" w14:textId="77777777" w:rsidR="00B85286" w:rsidRPr="00E502E5" w:rsidRDefault="00E25DC5" w:rsidP="00A93F8C">
      <w:pPr>
        <w:pStyle w:val="CoverBold"/>
      </w:pPr>
      <w:r w:rsidRPr="00E502E5">
        <w:rPr>
          <w:rStyle w:val="HideTWBExt"/>
          <w:b w:val="0"/>
          <w:noProof w:val="0"/>
        </w:rPr>
        <w:t>&lt;Rapporteur&gt;</w:t>
      </w:r>
      <w:r w:rsidRPr="00E502E5">
        <w:t>Eduard Kukan, Doru-Claudian Frunzulică, Eider Gardiazabal Rubial</w:t>
      </w:r>
      <w:r w:rsidRPr="00E502E5">
        <w:rPr>
          <w:rStyle w:val="HideTWBExt"/>
          <w:b w:val="0"/>
          <w:noProof w:val="0"/>
        </w:rPr>
        <w:t>&lt;/Rapporteur&gt;</w:t>
      </w:r>
    </w:p>
    <w:p w14:paraId="1FA0584B" w14:textId="77777777" w:rsidR="00B85286" w:rsidRPr="00E502E5" w:rsidRDefault="00075DBE">
      <w:pPr>
        <w:pStyle w:val="Cover24"/>
      </w:pPr>
      <w:r w:rsidRPr="00E502E5">
        <w:rPr>
          <w:rStyle w:val="HideTWBExt"/>
          <w:noProof w:val="0"/>
        </w:rPr>
        <w:t>&lt;DocRefPE&gt;</w:t>
      </w:r>
      <w:r w:rsidRPr="00E502E5">
        <w:t>(PE599.835v01-00)</w:t>
      </w:r>
      <w:r w:rsidRPr="00E502E5">
        <w:rPr>
          <w:rStyle w:val="HideTWBExt"/>
          <w:noProof w:val="0"/>
        </w:rPr>
        <w:t>&lt;/DocRefPE&gt;</w:t>
      </w:r>
    </w:p>
    <w:p w14:paraId="656806C4" w14:textId="495C05E8" w:rsidR="00B85286" w:rsidRPr="00E502E5" w:rsidRDefault="00A15973">
      <w:pPr>
        <w:pStyle w:val="Cover24"/>
      </w:pPr>
      <w:r w:rsidRPr="00E502E5">
        <w:rPr>
          <w:rStyle w:val="HideTWBExt"/>
          <w:noProof w:val="0"/>
        </w:rPr>
        <w:t>&lt;Titre&gt;</w:t>
      </w:r>
      <w:r w:rsidR="00960566">
        <w:t>P</w:t>
      </w:r>
      <w:r w:rsidRPr="00E502E5">
        <w:t>roposition de règlement du Parlement européen et du Conseil relatif au Fonds européen pour le développement durable (FEDD) et instituant la garantie FEDD et le fonds de garantie FEDD</w:t>
      </w:r>
      <w:r w:rsidRPr="00E502E5">
        <w:rPr>
          <w:rStyle w:val="HideTWBExt"/>
          <w:noProof w:val="0"/>
        </w:rPr>
        <w:t>&lt;/Titre&gt;</w:t>
      </w:r>
    </w:p>
    <w:p w14:paraId="62D87F04" w14:textId="77777777" w:rsidR="006337D4" w:rsidRPr="00E502E5" w:rsidRDefault="00E25DC5" w:rsidP="006337D4">
      <w:pPr>
        <w:pStyle w:val="CoverNormal"/>
      </w:pPr>
      <w:r w:rsidRPr="00E502E5">
        <w:rPr>
          <w:rStyle w:val="HideTWBExt"/>
          <w:noProof w:val="0"/>
        </w:rPr>
        <w:t>&lt;DocAmend&gt;</w:t>
      </w:r>
      <w:r w:rsidRPr="00E502E5">
        <w:t>Proposition de règlement</w:t>
      </w:r>
      <w:r w:rsidRPr="00E502E5">
        <w:rPr>
          <w:rStyle w:val="HideTWBExt"/>
          <w:noProof w:val="0"/>
        </w:rPr>
        <w:t>&lt;/DocAmend&gt;</w:t>
      </w:r>
    </w:p>
    <w:p w14:paraId="268DB949" w14:textId="0AB56640" w:rsidR="00B85286" w:rsidRPr="00BF7ACA" w:rsidRDefault="00A15973">
      <w:pPr>
        <w:pStyle w:val="Cover24"/>
        <w:rPr>
          <w:lang w:val="pt-PT"/>
        </w:rPr>
      </w:pPr>
      <w:r w:rsidRPr="00BF7ACA">
        <w:rPr>
          <w:rStyle w:val="HideTWBExt"/>
          <w:noProof w:val="0"/>
          <w:lang w:val="pt-PT"/>
        </w:rPr>
        <w:t>&lt;DocRef&gt;</w:t>
      </w:r>
      <w:r w:rsidRPr="00BF7ACA">
        <w:rPr>
          <w:lang w:val="pt-PT"/>
        </w:rPr>
        <w:t>(COM(2016)0586 – C8-0377/2016 – 2016/0281(COD))</w:t>
      </w:r>
      <w:r w:rsidRPr="00BF7ACA">
        <w:rPr>
          <w:rStyle w:val="HideTWBExt"/>
          <w:noProof w:val="0"/>
          <w:lang w:val="pt-PT"/>
        </w:rPr>
        <w:t>&lt;/DocRef&gt;</w:t>
      </w:r>
    </w:p>
    <w:p w14:paraId="2609F086" w14:textId="77777777" w:rsidR="00B85286" w:rsidRPr="00BF7ACA" w:rsidRDefault="00B85286" w:rsidP="00E660E2">
      <w:pPr>
        <w:widowControl/>
        <w:tabs>
          <w:tab w:val="center" w:pos="4677"/>
        </w:tabs>
        <w:rPr>
          <w:lang w:val="pt-PT"/>
        </w:rPr>
      </w:pPr>
      <w:r w:rsidRPr="00BF7ACA">
        <w:rPr>
          <w:lang w:val="pt-PT"/>
        </w:rPr>
        <w:br w:type="page"/>
      </w:r>
    </w:p>
    <w:p w14:paraId="665D17B3" w14:textId="77777777" w:rsidR="00B85286" w:rsidRPr="00BF7ACA" w:rsidRDefault="00903D78" w:rsidP="00E660E2">
      <w:pPr>
        <w:widowControl/>
        <w:tabs>
          <w:tab w:val="center" w:pos="4677"/>
        </w:tabs>
        <w:rPr>
          <w:lang w:val="de-DE"/>
        </w:rPr>
      </w:pPr>
      <w:r w:rsidRPr="00BF7ACA">
        <w:rPr>
          <w:lang w:val="de-DE"/>
        </w:rPr>
        <w:t>AM_Com_LegReport</w:t>
      </w:r>
    </w:p>
    <w:p w14:paraId="1C6311C2" w14:textId="5FFC9C0A" w:rsidR="00BF7ACA" w:rsidRPr="00BF7ACA" w:rsidRDefault="00B85286" w:rsidP="00BF7ACA">
      <w:pPr>
        <w:pStyle w:val="AMNumberTabs"/>
        <w:keepNext/>
        <w:rPr>
          <w:lang w:val="de-DE"/>
        </w:rPr>
      </w:pPr>
      <w:r w:rsidRPr="00BF7ACA">
        <w:rPr>
          <w:lang w:val="de-DE"/>
        </w:rPr>
        <w:br w:type="page"/>
      </w:r>
    </w:p>
    <w:p w14:paraId="6EA4CC23" w14:textId="607D9C69" w:rsidR="00FA192C" w:rsidRPr="00BF7ACA" w:rsidRDefault="00FA192C" w:rsidP="00FA192C">
      <w:pPr>
        <w:rPr>
          <w:lang w:val="de-DE"/>
        </w:rPr>
      </w:pPr>
    </w:p>
    <w:p w14:paraId="27DF7AC8" w14:textId="6FFF0279" w:rsidR="00BF7ACA" w:rsidRPr="00BF7ACA" w:rsidRDefault="00BF7ACA" w:rsidP="00BF7ACA">
      <w:pPr>
        <w:pStyle w:val="AMNumberTabs"/>
        <w:keepNext/>
        <w:rPr>
          <w:lang w:val="de-DE"/>
        </w:rPr>
      </w:pPr>
      <w:r w:rsidRPr="00BF7ACA">
        <w:rPr>
          <w:rStyle w:val="HideTWBExt"/>
          <w:b w:val="0"/>
          <w:lang w:val="de-DE"/>
        </w:rPr>
        <w:t>&lt;RepeatBlock-Amend&gt;</w:t>
      </w:r>
      <w:r w:rsidRPr="00BF7ACA">
        <w:rPr>
          <w:rStyle w:val="HideTWBExt"/>
          <w:b w:val="0"/>
          <w:lang w:val="de-DE"/>
        </w:rPr>
        <w:t>&lt;Amend&gt;</w:t>
      </w:r>
      <w:r w:rsidRPr="00BF7ACA">
        <w:rPr>
          <w:lang w:val="de-DE"/>
        </w:rPr>
        <w:t>Amendement</w:t>
      </w:r>
      <w:r w:rsidRPr="00BF7ACA">
        <w:rPr>
          <w:lang w:val="de-DE"/>
        </w:rPr>
        <w:tab/>
      </w:r>
      <w:r w:rsidRPr="00BF7ACA">
        <w:rPr>
          <w:lang w:val="de-DE"/>
        </w:rPr>
        <w:tab/>
      </w:r>
      <w:r w:rsidRPr="00BF7ACA">
        <w:rPr>
          <w:rStyle w:val="HideTWBExt"/>
          <w:b w:val="0"/>
          <w:lang w:val="de-DE"/>
        </w:rPr>
        <w:t>&lt;NumAm&gt;</w:t>
      </w:r>
      <w:r w:rsidRPr="00BF7ACA">
        <w:rPr>
          <w:lang w:val="de-DE"/>
        </w:rPr>
        <w:t>71</w:t>
      </w:r>
      <w:r w:rsidRPr="00BF7ACA">
        <w:rPr>
          <w:rStyle w:val="HideTWBExt"/>
          <w:b w:val="0"/>
          <w:lang w:val="de-DE"/>
        </w:rPr>
        <w:t>&lt;/NumAm&gt;</w:t>
      </w:r>
    </w:p>
    <w:p w14:paraId="43760AA5" w14:textId="77777777" w:rsidR="00BF7ACA" w:rsidRPr="0019144F" w:rsidRDefault="00BF7ACA" w:rsidP="00BF7ACA">
      <w:pPr>
        <w:pStyle w:val="NormalBold"/>
        <w:rPr>
          <w:lang w:val="en-GB"/>
        </w:rPr>
      </w:pPr>
      <w:r w:rsidRPr="0019144F">
        <w:rPr>
          <w:rStyle w:val="HideTWBExt"/>
          <w:b w:val="0"/>
          <w:lang w:val="en-GB"/>
        </w:rPr>
        <w:t>&lt;RepeatBlock-By&gt;&lt;Members&gt;</w:t>
      </w:r>
      <w:r w:rsidRPr="0019144F">
        <w:rPr>
          <w:lang w:val="en-GB"/>
        </w:rPr>
        <w:t>Jonathan Arnott</w:t>
      </w:r>
      <w:r w:rsidRPr="0019144F">
        <w:rPr>
          <w:rStyle w:val="HideTWBExt"/>
          <w:b w:val="0"/>
          <w:lang w:val="en-GB"/>
        </w:rPr>
        <w:t>&lt;/Members&gt;</w:t>
      </w:r>
    </w:p>
    <w:p w14:paraId="22833A6E" w14:textId="77777777" w:rsidR="00BF7ACA" w:rsidRPr="005A5903" w:rsidRDefault="00BF7ACA" w:rsidP="00BF7ACA">
      <w:r>
        <w:rPr>
          <w:rStyle w:val="HideTWBExt"/>
        </w:rPr>
        <w:t>&lt;/RepeatBlock-By&gt;</w:t>
      </w:r>
    </w:p>
    <w:p w14:paraId="1F654350"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0AD41421" w14:textId="77777777" w:rsidR="00BF7ACA" w:rsidRPr="005A5903" w:rsidRDefault="00BF7ACA" w:rsidP="00BF7ACA">
      <w:pPr>
        <w:pStyle w:val="NormalBold"/>
      </w:pPr>
      <w:r>
        <w:rPr>
          <w:rStyle w:val="HideTWBExt"/>
          <w:b w:val="0"/>
        </w:rPr>
        <w:t>&lt;Article&gt;</w:t>
      </w:r>
      <w:r w:rsidRPr="0019144F">
        <w:t>–</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100AD7DC" w14:textId="77777777" w:rsidTr="007924BE">
        <w:trPr>
          <w:jc w:val="center"/>
        </w:trPr>
        <w:tc>
          <w:tcPr>
            <w:tcW w:w="9752" w:type="dxa"/>
            <w:gridSpan w:val="2"/>
          </w:tcPr>
          <w:p w14:paraId="0514F515" w14:textId="77777777" w:rsidR="00BF7ACA" w:rsidRPr="005A5903" w:rsidRDefault="00BF7ACA" w:rsidP="007924BE">
            <w:pPr>
              <w:keepNext/>
            </w:pPr>
          </w:p>
        </w:tc>
      </w:tr>
      <w:tr w:rsidR="00BF7ACA" w:rsidRPr="005A5903" w14:paraId="4618300B" w14:textId="77777777" w:rsidTr="007924BE">
        <w:trPr>
          <w:jc w:val="center"/>
        </w:trPr>
        <w:tc>
          <w:tcPr>
            <w:tcW w:w="4876" w:type="dxa"/>
          </w:tcPr>
          <w:p w14:paraId="0B07D35D" w14:textId="77777777" w:rsidR="00BF7ACA" w:rsidRPr="005A5903" w:rsidRDefault="00BF7ACA" w:rsidP="007924BE">
            <w:pPr>
              <w:pStyle w:val="ColumnHeading"/>
              <w:keepNext/>
            </w:pPr>
          </w:p>
        </w:tc>
        <w:tc>
          <w:tcPr>
            <w:tcW w:w="4876" w:type="dxa"/>
            <w:hideMark/>
          </w:tcPr>
          <w:p w14:paraId="4644525A" w14:textId="77777777" w:rsidR="00BF7ACA" w:rsidRPr="005A5903" w:rsidRDefault="00BF7ACA" w:rsidP="007924BE">
            <w:pPr>
              <w:pStyle w:val="ColumnHeading"/>
              <w:keepNext/>
            </w:pPr>
            <w:r>
              <w:t>Proposition de rejet</w:t>
            </w:r>
          </w:p>
        </w:tc>
      </w:tr>
      <w:tr w:rsidR="00BF7ACA" w:rsidRPr="005A5903" w14:paraId="75B0C03F" w14:textId="77777777" w:rsidTr="007924BE">
        <w:trPr>
          <w:jc w:val="center"/>
        </w:trPr>
        <w:tc>
          <w:tcPr>
            <w:tcW w:w="4876" w:type="dxa"/>
          </w:tcPr>
          <w:p w14:paraId="28F7FEAC" w14:textId="77777777" w:rsidR="00BF7ACA" w:rsidRPr="005A5903" w:rsidRDefault="00BF7ACA" w:rsidP="007924BE">
            <w:pPr>
              <w:pStyle w:val="Normal6"/>
            </w:pPr>
          </w:p>
        </w:tc>
        <w:tc>
          <w:tcPr>
            <w:tcW w:w="4876" w:type="dxa"/>
            <w:hideMark/>
          </w:tcPr>
          <w:p w14:paraId="4CF1DCCF" w14:textId="77777777" w:rsidR="00BF7ACA" w:rsidRPr="005A5903" w:rsidRDefault="00BF7ACA" w:rsidP="007924BE">
            <w:pPr>
              <w:pStyle w:val="Normal6"/>
              <w:rPr>
                <w:szCs w:val="24"/>
              </w:rPr>
            </w:pPr>
            <w:r>
              <w:rPr>
                <w:b/>
                <w:i/>
              </w:rPr>
              <w:t>Le Parlement européen rejette la proposition de la Commission.</w:t>
            </w:r>
          </w:p>
        </w:tc>
      </w:tr>
    </w:tbl>
    <w:p w14:paraId="18CC22EE" w14:textId="77777777" w:rsidR="00BF7ACA" w:rsidRPr="00627C55" w:rsidRDefault="00BF7ACA" w:rsidP="00BF7ACA">
      <w:pPr>
        <w:pStyle w:val="Olang"/>
        <w:rPr>
          <w:noProof w:val="0"/>
          <w:szCs w:val="24"/>
          <w:lang w:val="en-GB"/>
        </w:rPr>
      </w:pPr>
      <w:r w:rsidRPr="00627C55">
        <w:rPr>
          <w:noProof w:val="0"/>
          <w:lang w:val="en-GB"/>
        </w:rPr>
        <w:t xml:space="preserve">Or. </w:t>
      </w:r>
      <w:r w:rsidRPr="00627C55">
        <w:rPr>
          <w:rStyle w:val="HideTWBExt"/>
          <w:noProof w:val="0"/>
          <w:lang w:val="en-GB"/>
        </w:rPr>
        <w:t>&lt;Original&gt;</w:t>
      </w:r>
      <w:r w:rsidRPr="00627C55">
        <w:rPr>
          <w:rStyle w:val="HideTWBInt"/>
          <w:noProof w:val="0"/>
          <w:lang w:val="en-GB"/>
        </w:rPr>
        <w:t>{EN}</w:t>
      </w:r>
      <w:r w:rsidRPr="00627C55">
        <w:rPr>
          <w:noProof w:val="0"/>
          <w:lang w:val="en-GB"/>
        </w:rPr>
        <w:t>en</w:t>
      </w:r>
      <w:r w:rsidRPr="00627C55">
        <w:rPr>
          <w:rStyle w:val="HideTWBExt"/>
          <w:noProof w:val="0"/>
          <w:lang w:val="en-GB"/>
        </w:rPr>
        <w:t>&lt;/Original&gt;</w:t>
      </w:r>
    </w:p>
    <w:p w14:paraId="6A64C99E" w14:textId="77777777" w:rsidR="00BF7ACA" w:rsidRPr="00627C55" w:rsidRDefault="00BF7ACA" w:rsidP="00BF7ACA">
      <w:pPr>
        <w:rPr>
          <w:lang w:val="en-GB"/>
        </w:rPr>
      </w:pPr>
      <w:r w:rsidRPr="00627C55">
        <w:rPr>
          <w:rStyle w:val="HideTWBExt"/>
          <w:lang w:val="en-GB"/>
        </w:rPr>
        <w:t>&lt;/Amend&gt;</w:t>
      </w:r>
    </w:p>
    <w:p w14:paraId="7FFE447F" w14:textId="77777777" w:rsidR="00BF7ACA" w:rsidRPr="00627C55" w:rsidRDefault="00BF7ACA" w:rsidP="00BF7ACA">
      <w:pPr>
        <w:pStyle w:val="AMNumberTabs"/>
        <w:keepNext/>
        <w:jc w:val="both"/>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72</w:t>
      </w:r>
      <w:r w:rsidRPr="00627C55">
        <w:rPr>
          <w:rStyle w:val="HideTWBExt"/>
          <w:b w:val="0"/>
          <w:lang w:val="en-GB"/>
        </w:rPr>
        <w:t>&lt;/NumAm&gt;</w:t>
      </w:r>
    </w:p>
    <w:p w14:paraId="5896AABB" w14:textId="77777777"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Eleni Theocharous</w:t>
      </w:r>
      <w:r w:rsidRPr="00627C55">
        <w:rPr>
          <w:rStyle w:val="HideTWBExt"/>
          <w:b w:val="0"/>
          <w:lang w:val="en-GB"/>
        </w:rPr>
        <w:t>&lt;/Members&gt;</w:t>
      </w:r>
    </w:p>
    <w:p w14:paraId="2720A5AC" w14:textId="77777777" w:rsidR="00BF7ACA" w:rsidRPr="005A5903" w:rsidRDefault="00BF7ACA" w:rsidP="00BF7ACA">
      <w:r>
        <w:rPr>
          <w:rStyle w:val="HideTWBExt"/>
        </w:rPr>
        <w:t>&lt;/RepeatBlock-By&gt;</w:t>
      </w:r>
    </w:p>
    <w:p w14:paraId="2A8073E1"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1CEA41A7" w14:textId="77777777" w:rsidR="00BF7ACA" w:rsidRPr="005A5903" w:rsidRDefault="00BF7ACA" w:rsidP="00BF7ACA">
      <w:pPr>
        <w:pStyle w:val="NormalBold"/>
      </w:pPr>
      <w:r>
        <w:rPr>
          <w:rStyle w:val="HideTWBExt"/>
          <w:b w:val="0"/>
        </w:rPr>
        <w:t>&lt;Article&gt;</w:t>
      </w:r>
      <w:r w:rsidRPr="0019144F">
        <w:t>Visa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377ACA89" w14:textId="77777777" w:rsidTr="007924BE">
        <w:trPr>
          <w:jc w:val="center"/>
        </w:trPr>
        <w:tc>
          <w:tcPr>
            <w:tcW w:w="9752" w:type="dxa"/>
            <w:gridSpan w:val="2"/>
          </w:tcPr>
          <w:p w14:paraId="61E55F02" w14:textId="77777777" w:rsidR="00BF7ACA" w:rsidRPr="005A5903" w:rsidRDefault="00BF7ACA" w:rsidP="007924BE">
            <w:pPr>
              <w:keepNext/>
            </w:pPr>
          </w:p>
        </w:tc>
      </w:tr>
      <w:tr w:rsidR="00BF7ACA" w:rsidRPr="005A5903" w14:paraId="79B8ACB9" w14:textId="77777777" w:rsidTr="007924BE">
        <w:trPr>
          <w:jc w:val="center"/>
        </w:trPr>
        <w:tc>
          <w:tcPr>
            <w:tcW w:w="4876" w:type="dxa"/>
            <w:hideMark/>
          </w:tcPr>
          <w:p w14:paraId="7CB8B871" w14:textId="77777777" w:rsidR="00BF7ACA" w:rsidRPr="0019144F" w:rsidRDefault="00BF7ACA" w:rsidP="007924BE">
            <w:pPr>
              <w:pStyle w:val="ColumnHeading"/>
              <w:keepNext/>
            </w:pPr>
            <w:r w:rsidRPr="0019144F">
              <w:t>Texte proposé par la Commission</w:t>
            </w:r>
          </w:p>
        </w:tc>
        <w:tc>
          <w:tcPr>
            <w:tcW w:w="4876" w:type="dxa"/>
            <w:hideMark/>
          </w:tcPr>
          <w:p w14:paraId="5588BC9D" w14:textId="77777777" w:rsidR="00BF7ACA" w:rsidRPr="0019144F" w:rsidRDefault="00BF7ACA" w:rsidP="007924BE">
            <w:pPr>
              <w:pStyle w:val="ColumnHeading"/>
              <w:keepNext/>
            </w:pPr>
            <w:r w:rsidRPr="0019144F">
              <w:t>Amendement</w:t>
            </w:r>
          </w:p>
        </w:tc>
      </w:tr>
      <w:tr w:rsidR="00BF7ACA" w:rsidRPr="005A5903" w14:paraId="73DEFB91" w14:textId="77777777" w:rsidTr="007924BE">
        <w:trPr>
          <w:jc w:val="center"/>
        </w:trPr>
        <w:tc>
          <w:tcPr>
            <w:tcW w:w="4876" w:type="dxa"/>
            <w:hideMark/>
          </w:tcPr>
          <w:p w14:paraId="3CC71F4E" w14:textId="77777777" w:rsidR="00BF7ACA" w:rsidRPr="0019144F" w:rsidRDefault="00BF7ACA" w:rsidP="007924BE">
            <w:pPr>
              <w:pStyle w:val="Normal6"/>
            </w:pPr>
            <w:r w:rsidRPr="0019144F">
              <w:t>vu le traité sur le fonctionnement de l</w:t>
            </w:r>
            <w:r>
              <w:t>’</w:t>
            </w:r>
            <w:r w:rsidRPr="0019144F">
              <w:t>Union européenne, et notamment son article 209, paragraphe 1, et son article 212, paragraphe 2,</w:t>
            </w:r>
          </w:p>
        </w:tc>
        <w:tc>
          <w:tcPr>
            <w:tcW w:w="4876" w:type="dxa"/>
            <w:hideMark/>
          </w:tcPr>
          <w:p w14:paraId="3E08D4F8" w14:textId="77777777" w:rsidR="00BF7ACA" w:rsidRPr="0019144F" w:rsidRDefault="00BF7ACA" w:rsidP="007924BE">
            <w:pPr>
              <w:pStyle w:val="Normal6"/>
              <w:rPr>
                <w:szCs w:val="24"/>
              </w:rPr>
            </w:pPr>
            <w:r w:rsidRPr="0019144F">
              <w:t>vu le traité sur le fonctionnement de l</w:t>
            </w:r>
            <w:r>
              <w:t>’</w:t>
            </w:r>
            <w:r w:rsidRPr="0019144F">
              <w:t xml:space="preserve">Union européenne, et notamment </w:t>
            </w:r>
            <w:r w:rsidRPr="0019144F">
              <w:rPr>
                <w:b/>
                <w:i/>
              </w:rPr>
              <w:t>son article 208, paragraphe 1,</w:t>
            </w:r>
            <w:r w:rsidRPr="0019144F">
              <w:t xml:space="preserve"> son article 209, paragraphe 1, et son article 212, paragraphe 2,</w:t>
            </w:r>
          </w:p>
        </w:tc>
      </w:tr>
    </w:tbl>
    <w:p w14:paraId="4C65E2D6" w14:textId="77777777" w:rsidR="00BF7ACA" w:rsidRPr="00627C55" w:rsidRDefault="00BF7ACA" w:rsidP="00BF7ACA">
      <w:pPr>
        <w:pStyle w:val="Olang"/>
        <w:rPr>
          <w:noProof w:val="0"/>
          <w:szCs w:val="24"/>
          <w:lang w:val="en-GB"/>
        </w:rPr>
      </w:pPr>
      <w:r w:rsidRPr="00627C55">
        <w:rPr>
          <w:noProof w:val="0"/>
          <w:lang w:val="en-GB"/>
        </w:rPr>
        <w:t xml:space="preserve">Or. </w:t>
      </w:r>
      <w:r w:rsidRPr="00627C55">
        <w:rPr>
          <w:rStyle w:val="HideTWBExt"/>
          <w:noProof w:val="0"/>
          <w:lang w:val="en-GB"/>
        </w:rPr>
        <w:t>&lt;Original&gt;</w:t>
      </w:r>
      <w:r w:rsidRPr="00627C55">
        <w:rPr>
          <w:rStyle w:val="HideTWBInt"/>
          <w:noProof w:val="0"/>
          <w:lang w:val="en-GB"/>
        </w:rPr>
        <w:t>{EN}</w:t>
      </w:r>
      <w:r w:rsidRPr="00627C55">
        <w:rPr>
          <w:noProof w:val="0"/>
          <w:lang w:val="en-GB"/>
        </w:rPr>
        <w:t>en</w:t>
      </w:r>
      <w:r w:rsidRPr="00627C55">
        <w:rPr>
          <w:rStyle w:val="HideTWBExt"/>
          <w:noProof w:val="0"/>
          <w:lang w:val="en-GB"/>
        </w:rPr>
        <w:t>&lt;/Original&gt;</w:t>
      </w:r>
    </w:p>
    <w:p w14:paraId="7BBBFAA3" w14:textId="77777777" w:rsidR="00BF7ACA" w:rsidRPr="00627C55" w:rsidRDefault="00BF7ACA" w:rsidP="00BF7ACA">
      <w:pPr>
        <w:rPr>
          <w:lang w:val="en-GB"/>
        </w:rPr>
      </w:pPr>
      <w:r w:rsidRPr="00627C55">
        <w:rPr>
          <w:rStyle w:val="HideTWBExt"/>
          <w:lang w:val="en-GB"/>
        </w:rPr>
        <w:t>&lt;/Amend&gt;</w:t>
      </w:r>
    </w:p>
    <w:p w14:paraId="312CDA9D" w14:textId="77777777" w:rsidR="00BF7ACA" w:rsidRPr="00BF7ACA" w:rsidRDefault="00BF7ACA" w:rsidP="00BF7ACA">
      <w:pPr>
        <w:pStyle w:val="AMNumberTabs"/>
        <w:keepNext/>
        <w:rPr>
          <w:lang w:val="en-GB"/>
        </w:rPr>
      </w:pPr>
      <w:r w:rsidRPr="00BF7ACA">
        <w:rPr>
          <w:rStyle w:val="HideTWBExt"/>
          <w:b w:val="0"/>
          <w:lang w:val="en-GB"/>
        </w:rPr>
        <w:t>&lt;Amend&gt;</w:t>
      </w:r>
      <w:r w:rsidRPr="00BF7ACA">
        <w:rPr>
          <w:lang w:val="en-GB"/>
        </w:rPr>
        <w:t>Amendement</w:t>
      </w:r>
      <w:r w:rsidRPr="00BF7ACA">
        <w:rPr>
          <w:lang w:val="en-GB"/>
        </w:rPr>
        <w:tab/>
      </w:r>
      <w:r w:rsidRPr="00BF7ACA">
        <w:rPr>
          <w:lang w:val="en-GB"/>
        </w:rPr>
        <w:tab/>
      </w:r>
      <w:r w:rsidRPr="00BF7ACA">
        <w:rPr>
          <w:rStyle w:val="HideTWBExt"/>
          <w:b w:val="0"/>
          <w:lang w:val="en-GB"/>
        </w:rPr>
        <w:t>&lt;NumAm&gt;</w:t>
      </w:r>
      <w:r w:rsidRPr="00BF7ACA">
        <w:rPr>
          <w:lang w:val="en-GB"/>
        </w:rPr>
        <w:t>73</w:t>
      </w:r>
      <w:r w:rsidRPr="00BF7ACA">
        <w:rPr>
          <w:rStyle w:val="HideTWBExt"/>
          <w:b w:val="0"/>
          <w:lang w:val="en-GB"/>
        </w:rPr>
        <w:t>&lt;/NumAm&gt;</w:t>
      </w:r>
    </w:p>
    <w:p w14:paraId="20CB7AE6" w14:textId="77777777" w:rsidR="00BF7ACA" w:rsidRPr="00BF7ACA" w:rsidRDefault="00BF7ACA" w:rsidP="00BF7ACA">
      <w:pPr>
        <w:pStyle w:val="NormalBold"/>
        <w:rPr>
          <w:lang w:val="en-GB"/>
        </w:rPr>
      </w:pPr>
      <w:r w:rsidRPr="00BF7ACA">
        <w:rPr>
          <w:rStyle w:val="HideTWBExt"/>
          <w:b w:val="0"/>
          <w:lang w:val="en-GB"/>
        </w:rPr>
        <w:t>&lt;RepeatBlock-By&gt;&lt;Members&gt;</w:t>
      </w:r>
      <w:r w:rsidRPr="00BF7ACA">
        <w:rPr>
          <w:lang w:val="en-GB"/>
        </w:rPr>
        <w:t>Isabelle Thomas, Jean-Paul Denanot, Vincent Peillon</w:t>
      </w:r>
      <w:r w:rsidRPr="00BF7ACA">
        <w:rPr>
          <w:rStyle w:val="HideTWBExt"/>
          <w:b w:val="0"/>
          <w:lang w:val="en-GB"/>
        </w:rPr>
        <w:t>&lt;/Members&gt;</w:t>
      </w:r>
    </w:p>
    <w:p w14:paraId="3936966F" w14:textId="77777777" w:rsidR="00BF7ACA" w:rsidRPr="00E502E5" w:rsidRDefault="00BF7ACA" w:rsidP="00BF7ACA">
      <w:r w:rsidRPr="00E502E5">
        <w:rPr>
          <w:rStyle w:val="HideTWBExt"/>
        </w:rPr>
        <w:t>&lt;/RepeatBlock-By&gt;</w:t>
      </w:r>
    </w:p>
    <w:p w14:paraId="7E35E1BC"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7421D916" w14:textId="77777777" w:rsidR="00BF7ACA" w:rsidRPr="00E502E5" w:rsidRDefault="00BF7ACA" w:rsidP="00BF7ACA">
      <w:pPr>
        <w:pStyle w:val="NormalBold"/>
      </w:pPr>
      <w:r w:rsidRPr="00E502E5">
        <w:rPr>
          <w:rStyle w:val="HideTWBExt"/>
          <w:b w:val="0"/>
        </w:rPr>
        <w:t>&lt;Article&gt;</w:t>
      </w:r>
      <w:r w:rsidRPr="00E502E5">
        <w:t>Visa 1</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6E1BCC64" w14:textId="77777777" w:rsidTr="007924BE">
        <w:trPr>
          <w:jc w:val="center"/>
        </w:trPr>
        <w:tc>
          <w:tcPr>
            <w:tcW w:w="9752" w:type="dxa"/>
            <w:gridSpan w:val="2"/>
          </w:tcPr>
          <w:p w14:paraId="5192217E" w14:textId="77777777" w:rsidR="00BF7ACA" w:rsidRPr="00E502E5" w:rsidRDefault="00BF7ACA" w:rsidP="007924BE">
            <w:pPr>
              <w:keepNext/>
            </w:pPr>
          </w:p>
        </w:tc>
      </w:tr>
      <w:tr w:rsidR="00BF7ACA" w:rsidRPr="00E502E5" w14:paraId="1111F3F1" w14:textId="77777777" w:rsidTr="007924BE">
        <w:trPr>
          <w:jc w:val="center"/>
        </w:trPr>
        <w:tc>
          <w:tcPr>
            <w:tcW w:w="4876" w:type="dxa"/>
            <w:hideMark/>
          </w:tcPr>
          <w:p w14:paraId="3B7D0E91" w14:textId="77777777" w:rsidR="00BF7ACA" w:rsidRPr="00E502E5" w:rsidRDefault="00BF7ACA" w:rsidP="007924BE">
            <w:pPr>
              <w:pStyle w:val="ColumnHeading"/>
              <w:keepNext/>
            </w:pPr>
            <w:r w:rsidRPr="00E502E5">
              <w:t>Texte proposé par la Commission</w:t>
            </w:r>
          </w:p>
        </w:tc>
        <w:tc>
          <w:tcPr>
            <w:tcW w:w="4876" w:type="dxa"/>
            <w:hideMark/>
          </w:tcPr>
          <w:p w14:paraId="47A49C6E" w14:textId="77777777" w:rsidR="00BF7ACA" w:rsidRPr="00E502E5" w:rsidRDefault="00BF7ACA" w:rsidP="007924BE">
            <w:pPr>
              <w:pStyle w:val="ColumnHeading"/>
              <w:keepNext/>
            </w:pPr>
            <w:r w:rsidRPr="00E502E5">
              <w:t>Amendement</w:t>
            </w:r>
          </w:p>
        </w:tc>
      </w:tr>
      <w:tr w:rsidR="00BF7ACA" w:rsidRPr="00E502E5" w14:paraId="72C07717" w14:textId="77777777" w:rsidTr="007924BE">
        <w:trPr>
          <w:jc w:val="center"/>
        </w:trPr>
        <w:tc>
          <w:tcPr>
            <w:tcW w:w="4876" w:type="dxa"/>
            <w:hideMark/>
          </w:tcPr>
          <w:p w14:paraId="78C81F11" w14:textId="77777777" w:rsidR="00BF7ACA" w:rsidRPr="00E502E5" w:rsidRDefault="00BF7ACA" w:rsidP="007924BE">
            <w:pPr>
              <w:pStyle w:val="Normal6"/>
            </w:pPr>
            <w:r w:rsidRPr="00E502E5">
              <w:t>vu le traité sur le fonctionnement de l</w:t>
            </w:r>
            <w:r>
              <w:t>’</w:t>
            </w:r>
            <w:r w:rsidRPr="00E502E5">
              <w:t>Union europ</w:t>
            </w:r>
            <w:r>
              <w:t>éenne, et notamment son article </w:t>
            </w:r>
            <w:r w:rsidRPr="00E502E5">
              <w:t>20</w:t>
            </w:r>
            <w:r>
              <w:t>9, paragraphe 1, et son article 212, paragraphe </w:t>
            </w:r>
            <w:r w:rsidRPr="00E502E5">
              <w:t>2,</w:t>
            </w:r>
          </w:p>
        </w:tc>
        <w:tc>
          <w:tcPr>
            <w:tcW w:w="4876" w:type="dxa"/>
            <w:hideMark/>
          </w:tcPr>
          <w:p w14:paraId="305CCA0F" w14:textId="77777777" w:rsidR="00BF7ACA" w:rsidRPr="00E502E5" w:rsidRDefault="00BF7ACA" w:rsidP="007924BE">
            <w:pPr>
              <w:pStyle w:val="Normal6"/>
              <w:rPr>
                <w:szCs w:val="24"/>
              </w:rPr>
            </w:pPr>
            <w:r w:rsidRPr="00E502E5">
              <w:t>vu le traité sur le fonctionnement de l</w:t>
            </w:r>
            <w:r>
              <w:t>’</w:t>
            </w:r>
            <w:r w:rsidRPr="00E502E5">
              <w:t>Union europ</w:t>
            </w:r>
            <w:r>
              <w:t>éenne, et notamment son article </w:t>
            </w:r>
            <w:r w:rsidRPr="00E502E5">
              <w:rPr>
                <w:b/>
                <w:i/>
              </w:rPr>
              <w:t>208, son article</w:t>
            </w:r>
            <w:r>
              <w:t> </w:t>
            </w:r>
            <w:r w:rsidRPr="00E502E5">
              <w:t>20</w:t>
            </w:r>
            <w:r>
              <w:t>9, paragraphe 1, et son article 212, paragraphe </w:t>
            </w:r>
            <w:r w:rsidRPr="00E502E5">
              <w:t>2,</w:t>
            </w:r>
          </w:p>
        </w:tc>
      </w:tr>
    </w:tbl>
    <w:p w14:paraId="5CA59ECC" w14:textId="77777777" w:rsidR="00BF7ACA" w:rsidRPr="00BF7ACA" w:rsidRDefault="00BF7ACA" w:rsidP="00BF7ACA">
      <w:pPr>
        <w:pStyle w:val="Olang"/>
        <w:rPr>
          <w:noProof w:val="0"/>
          <w:szCs w:val="24"/>
          <w:lang w:val="en-GB"/>
        </w:rPr>
      </w:pPr>
      <w:r w:rsidRPr="00BF7ACA">
        <w:rPr>
          <w:noProof w:val="0"/>
          <w:lang w:val="en-GB"/>
        </w:rPr>
        <w:t xml:space="preserve">Or. </w:t>
      </w:r>
      <w:r w:rsidRPr="00BF7ACA">
        <w:rPr>
          <w:rStyle w:val="HideTWBExt"/>
          <w:noProof w:val="0"/>
          <w:lang w:val="en-GB"/>
        </w:rPr>
        <w:t>&lt;Original&gt;</w:t>
      </w:r>
      <w:r w:rsidRPr="00BF7ACA">
        <w:rPr>
          <w:rStyle w:val="HideTWBInt"/>
          <w:noProof w:val="0"/>
          <w:lang w:val="en-GB"/>
        </w:rPr>
        <w:t>{FR}</w:t>
      </w:r>
      <w:r w:rsidRPr="00BF7ACA">
        <w:rPr>
          <w:noProof w:val="0"/>
          <w:lang w:val="en-GB"/>
        </w:rPr>
        <w:t>fr</w:t>
      </w:r>
      <w:r w:rsidRPr="00BF7ACA">
        <w:rPr>
          <w:rStyle w:val="HideTWBExt"/>
          <w:noProof w:val="0"/>
          <w:lang w:val="en-GB"/>
        </w:rPr>
        <w:t>&lt;/Original&gt;</w:t>
      </w:r>
    </w:p>
    <w:p w14:paraId="58C9D23F" w14:textId="77777777" w:rsidR="00BF7ACA" w:rsidRPr="00BF7ACA" w:rsidRDefault="00BF7ACA" w:rsidP="00BF7ACA">
      <w:pPr>
        <w:rPr>
          <w:lang w:val="en-GB"/>
        </w:rPr>
      </w:pPr>
      <w:r w:rsidRPr="00BF7ACA">
        <w:rPr>
          <w:rStyle w:val="HideTWBExt"/>
          <w:lang w:val="en-GB"/>
        </w:rPr>
        <w:t>&lt;/Amend&gt;</w:t>
      </w:r>
    </w:p>
    <w:p w14:paraId="1100ED7D" w14:textId="77777777"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74</w:t>
      </w:r>
      <w:r w:rsidRPr="00627C55">
        <w:rPr>
          <w:rStyle w:val="HideTWBExt"/>
          <w:b w:val="0"/>
          <w:lang w:val="en-GB"/>
        </w:rPr>
        <w:t>&lt;/NumAm&gt;</w:t>
      </w:r>
    </w:p>
    <w:p w14:paraId="6BA37C92" w14:textId="77777777"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Eleni Theocharous</w:t>
      </w:r>
      <w:r w:rsidRPr="00627C55">
        <w:rPr>
          <w:rStyle w:val="HideTWBExt"/>
          <w:b w:val="0"/>
          <w:lang w:val="en-GB"/>
        </w:rPr>
        <w:t>&lt;/Members&gt;</w:t>
      </w:r>
    </w:p>
    <w:p w14:paraId="79EED4A9" w14:textId="77777777" w:rsidR="00BF7ACA" w:rsidRPr="005A5903" w:rsidRDefault="00BF7ACA" w:rsidP="00BF7ACA">
      <w:r>
        <w:rPr>
          <w:rStyle w:val="HideTWBExt"/>
        </w:rPr>
        <w:t>&lt;/RepeatBlock-By&gt;</w:t>
      </w:r>
    </w:p>
    <w:p w14:paraId="5A615FB0"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64A0CC5C" w14:textId="77777777" w:rsidR="00BF7ACA" w:rsidRPr="005A5903" w:rsidRDefault="00BF7ACA" w:rsidP="00BF7ACA">
      <w:pPr>
        <w:pStyle w:val="NormalBold"/>
      </w:pPr>
      <w:r>
        <w:rPr>
          <w:rStyle w:val="HideTWBExt"/>
          <w:b w:val="0"/>
        </w:rPr>
        <w:t>&lt;Article&gt;</w:t>
      </w:r>
      <w:r w:rsidRPr="0019144F">
        <w:t>Considérant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5816B960" w14:textId="77777777" w:rsidTr="007924BE">
        <w:trPr>
          <w:jc w:val="center"/>
        </w:trPr>
        <w:tc>
          <w:tcPr>
            <w:tcW w:w="9752" w:type="dxa"/>
            <w:gridSpan w:val="2"/>
          </w:tcPr>
          <w:p w14:paraId="07CCD512" w14:textId="77777777" w:rsidR="00BF7ACA" w:rsidRPr="005A5903" w:rsidRDefault="00BF7ACA" w:rsidP="007924BE">
            <w:pPr>
              <w:keepNext/>
            </w:pPr>
          </w:p>
        </w:tc>
      </w:tr>
      <w:tr w:rsidR="00BF7ACA" w:rsidRPr="005A5903" w14:paraId="3A2539DA" w14:textId="77777777" w:rsidTr="007924BE">
        <w:trPr>
          <w:jc w:val="center"/>
        </w:trPr>
        <w:tc>
          <w:tcPr>
            <w:tcW w:w="4876" w:type="dxa"/>
            <w:hideMark/>
          </w:tcPr>
          <w:p w14:paraId="7AD28DA9" w14:textId="77777777" w:rsidR="00BF7ACA" w:rsidRPr="0019144F" w:rsidRDefault="00BF7ACA" w:rsidP="007924BE">
            <w:pPr>
              <w:pStyle w:val="ColumnHeading"/>
              <w:keepNext/>
            </w:pPr>
            <w:r w:rsidRPr="0019144F">
              <w:t>Texte proposé par la Commission</w:t>
            </w:r>
          </w:p>
        </w:tc>
        <w:tc>
          <w:tcPr>
            <w:tcW w:w="4876" w:type="dxa"/>
            <w:hideMark/>
          </w:tcPr>
          <w:p w14:paraId="7A917AE9" w14:textId="77777777" w:rsidR="00BF7ACA" w:rsidRPr="0019144F" w:rsidRDefault="00BF7ACA" w:rsidP="007924BE">
            <w:pPr>
              <w:pStyle w:val="ColumnHeading"/>
              <w:keepNext/>
            </w:pPr>
            <w:r w:rsidRPr="0019144F">
              <w:t>Amendement</w:t>
            </w:r>
          </w:p>
        </w:tc>
      </w:tr>
      <w:tr w:rsidR="00BF7ACA" w:rsidRPr="005A5903" w14:paraId="4DA5D59E" w14:textId="77777777" w:rsidTr="007924BE">
        <w:trPr>
          <w:jc w:val="center"/>
        </w:trPr>
        <w:tc>
          <w:tcPr>
            <w:tcW w:w="4876" w:type="dxa"/>
            <w:hideMark/>
          </w:tcPr>
          <w:p w14:paraId="412927C1" w14:textId="77777777" w:rsidR="00BF7ACA" w:rsidRPr="0019144F" w:rsidRDefault="00BF7ACA" w:rsidP="007924BE">
            <w:pPr>
              <w:pStyle w:val="Normal6"/>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 xml:space="preserve">horizon 2030 des Nations unies ainsi que les engagements pris dans le cadre de la politique européenne de voisinage révisée et, partant, de lutter contre les </w:t>
            </w:r>
            <w:r w:rsidRPr="0019144F">
              <w:rPr>
                <w:b/>
                <w:i/>
              </w:rPr>
              <w:t>causes profondes</w:t>
            </w:r>
            <w:r w:rsidRPr="0019144F">
              <w:t xml:space="preserve"> de la </w:t>
            </w:r>
            <w:r w:rsidRPr="0019144F">
              <w:rPr>
                <w:b/>
                <w:i/>
              </w:rPr>
              <w:t>migration</w:t>
            </w:r>
            <w:r w:rsidRPr="0019144F">
              <w:t>. Il devrait également contribuer à la mise en œuvre de l</w:t>
            </w:r>
            <w:r>
              <w:t>’</w:t>
            </w:r>
            <w:r w:rsidRPr="0019144F">
              <w:t>accord de Paris sur le changement climatique (COP 21).</w:t>
            </w:r>
          </w:p>
        </w:tc>
        <w:tc>
          <w:tcPr>
            <w:tcW w:w="4876" w:type="dxa"/>
            <w:hideMark/>
          </w:tcPr>
          <w:p w14:paraId="62E6DC7F" w14:textId="77777777" w:rsidR="00BF7ACA" w:rsidRPr="0019144F" w:rsidRDefault="00BF7ACA" w:rsidP="007924BE">
            <w:pPr>
              <w:pStyle w:val="Normal6"/>
              <w:rPr>
                <w:szCs w:val="24"/>
              </w:rPr>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 des Nations unies</w:t>
            </w:r>
            <w:r w:rsidRPr="0019144F">
              <w:rPr>
                <w:b/>
                <w:i/>
              </w:rPr>
              <w:t>, notamment l</w:t>
            </w:r>
            <w:r>
              <w:rPr>
                <w:b/>
                <w:i/>
              </w:rPr>
              <w:t>’</w:t>
            </w:r>
            <w:r w:rsidRPr="0019144F">
              <w:rPr>
                <w:b/>
                <w:i/>
              </w:rPr>
              <w:t>éradication de la pauvreté,</w:t>
            </w:r>
            <w:r w:rsidRPr="0019144F">
              <w:t xml:space="preserve"> ainsi que les engagements pris dans le cadre de la politique européenne de voisinage révisée et</w:t>
            </w:r>
            <w:r w:rsidRPr="0019144F">
              <w:rPr>
                <w:b/>
                <w:i/>
              </w:rPr>
              <w:t xml:space="preserve"> le nouveau cadre de partenariat avec les pays tiers dans le cadre de l</w:t>
            </w:r>
            <w:r>
              <w:rPr>
                <w:b/>
                <w:i/>
              </w:rPr>
              <w:t>’</w:t>
            </w:r>
            <w:r w:rsidRPr="0019144F">
              <w:rPr>
                <w:b/>
                <w:i/>
              </w:rPr>
              <w:t>Agenda européen en matière de migration et</w:t>
            </w:r>
            <w:r w:rsidRPr="0019144F">
              <w:t xml:space="preserve">, partant, de lutter contre les </w:t>
            </w:r>
            <w:r w:rsidRPr="0019144F">
              <w:rPr>
                <w:b/>
                <w:i/>
              </w:rPr>
              <w:t>pressions migratoires trouvant leur origine dans la pauvreté, les conflits, l</w:t>
            </w:r>
            <w:r>
              <w:rPr>
                <w:b/>
                <w:i/>
              </w:rPr>
              <w:t>’</w:t>
            </w:r>
            <w:r w:rsidRPr="0019144F">
              <w:rPr>
                <w:b/>
                <w:i/>
              </w:rPr>
              <w:t>instabilité, le sous-développement, l</w:t>
            </w:r>
            <w:r>
              <w:rPr>
                <w:b/>
                <w:i/>
              </w:rPr>
              <w:t>’</w:t>
            </w:r>
            <w:r w:rsidRPr="0019144F">
              <w:rPr>
                <w:b/>
                <w:i/>
              </w:rPr>
              <w:t>inégalité et les violations des droits</w:t>
            </w:r>
            <w:r w:rsidRPr="0019144F">
              <w:t xml:space="preserve"> de </w:t>
            </w:r>
            <w:r w:rsidRPr="0019144F">
              <w:rPr>
                <w:b/>
                <w:i/>
              </w:rPr>
              <w:t>l</w:t>
            </w:r>
            <w:r>
              <w:rPr>
                <w:b/>
                <w:i/>
              </w:rPr>
              <w:t>’</w:t>
            </w:r>
            <w:r w:rsidRPr="0019144F">
              <w:rPr>
                <w:b/>
                <w:i/>
              </w:rPr>
              <w:t xml:space="preserve">homme, </w:t>
            </w:r>
            <w:r w:rsidRPr="0019144F">
              <w:t xml:space="preserve">la </w:t>
            </w:r>
            <w:r w:rsidRPr="0019144F">
              <w:rPr>
                <w:b/>
                <w:i/>
              </w:rPr>
              <w:t>croissance démographique, l</w:t>
            </w:r>
            <w:r>
              <w:rPr>
                <w:b/>
                <w:i/>
              </w:rPr>
              <w:t>’</w:t>
            </w:r>
            <w:r w:rsidRPr="0019144F">
              <w:rPr>
                <w:b/>
                <w:i/>
              </w:rPr>
              <w:t>absence d</w:t>
            </w:r>
            <w:r>
              <w:rPr>
                <w:b/>
                <w:i/>
              </w:rPr>
              <w:t>’</w:t>
            </w:r>
            <w:r w:rsidRPr="0019144F">
              <w:rPr>
                <w:b/>
                <w:i/>
              </w:rPr>
              <w:t>emplois et de perspectives économiques ainsi que dans le changement climatique</w:t>
            </w:r>
            <w:r w:rsidRPr="0019144F">
              <w:t>. Il devrait également contribuer à la mise en œuvre de l</w:t>
            </w:r>
            <w:r>
              <w:t>’</w:t>
            </w:r>
            <w:r w:rsidRPr="0019144F">
              <w:t>accord de Paris sur le changement climatique (COP 21).</w:t>
            </w:r>
          </w:p>
        </w:tc>
      </w:tr>
    </w:tbl>
    <w:p w14:paraId="6E00F44C" w14:textId="77777777" w:rsidR="00BF7ACA" w:rsidRPr="00627C55" w:rsidRDefault="00BF7ACA" w:rsidP="00BF7ACA">
      <w:pPr>
        <w:pStyle w:val="Olang"/>
        <w:rPr>
          <w:noProof w:val="0"/>
          <w:szCs w:val="24"/>
          <w:lang w:val="en-GB"/>
        </w:rPr>
      </w:pPr>
      <w:r w:rsidRPr="00627C55">
        <w:rPr>
          <w:noProof w:val="0"/>
          <w:lang w:val="en-GB"/>
        </w:rPr>
        <w:t xml:space="preserve">Or. </w:t>
      </w:r>
      <w:r w:rsidRPr="00627C55">
        <w:rPr>
          <w:rStyle w:val="HideTWBExt"/>
          <w:noProof w:val="0"/>
          <w:lang w:val="en-GB"/>
        </w:rPr>
        <w:t>&lt;Original&gt;</w:t>
      </w:r>
      <w:r w:rsidRPr="00627C55">
        <w:rPr>
          <w:rStyle w:val="HideTWBInt"/>
          <w:noProof w:val="0"/>
          <w:lang w:val="en-GB"/>
        </w:rPr>
        <w:t>{EN}</w:t>
      </w:r>
      <w:r w:rsidRPr="00627C55">
        <w:rPr>
          <w:noProof w:val="0"/>
          <w:lang w:val="en-GB"/>
        </w:rPr>
        <w:t>en</w:t>
      </w:r>
      <w:r w:rsidRPr="00627C55">
        <w:rPr>
          <w:rStyle w:val="HideTWBExt"/>
          <w:noProof w:val="0"/>
          <w:lang w:val="en-GB"/>
        </w:rPr>
        <w:t>&lt;/Original&gt;</w:t>
      </w:r>
    </w:p>
    <w:p w14:paraId="35A90903" w14:textId="77777777" w:rsidR="00BF7ACA" w:rsidRPr="00627C55" w:rsidRDefault="00BF7ACA" w:rsidP="00BF7ACA">
      <w:pPr>
        <w:rPr>
          <w:lang w:val="en-GB"/>
        </w:rPr>
      </w:pPr>
      <w:r w:rsidRPr="00627C55">
        <w:rPr>
          <w:rStyle w:val="HideTWBExt"/>
          <w:lang w:val="en-GB"/>
        </w:rPr>
        <w:t>&lt;/Amend&gt;</w:t>
      </w:r>
    </w:p>
    <w:p w14:paraId="7D28CB8D" w14:textId="77777777"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75</w:t>
      </w:r>
      <w:r w:rsidRPr="00627C55">
        <w:rPr>
          <w:rStyle w:val="HideTWBExt"/>
          <w:b w:val="0"/>
          <w:lang w:val="en-GB"/>
        </w:rPr>
        <w:t>&lt;/NumAm&gt;</w:t>
      </w:r>
    </w:p>
    <w:p w14:paraId="2115CC59" w14:textId="77777777"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Eduard Kukan</w:t>
      </w:r>
      <w:r w:rsidRPr="00627C55">
        <w:rPr>
          <w:rStyle w:val="HideTWBExt"/>
          <w:b w:val="0"/>
          <w:lang w:val="en-GB"/>
        </w:rPr>
        <w:t>&lt;/Members&gt;</w:t>
      </w:r>
    </w:p>
    <w:p w14:paraId="5C4D2A01" w14:textId="77777777" w:rsidR="00BF7ACA" w:rsidRPr="005A5903" w:rsidRDefault="00BF7ACA" w:rsidP="00BF7ACA">
      <w:r>
        <w:rPr>
          <w:rStyle w:val="HideTWBExt"/>
        </w:rPr>
        <w:t>&lt;/RepeatBlock-By&gt;</w:t>
      </w:r>
    </w:p>
    <w:p w14:paraId="175140A2"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23293948" w14:textId="77777777" w:rsidR="00BF7ACA" w:rsidRPr="005A5903" w:rsidRDefault="00BF7ACA" w:rsidP="00BF7ACA">
      <w:pPr>
        <w:pStyle w:val="NormalBold"/>
      </w:pPr>
      <w:r>
        <w:rPr>
          <w:rStyle w:val="HideTWBExt"/>
          <w:b w:val="0"/>
        </w:rPr>
        <w:t>&lt;Article&gt;</w:t>
      </w:r>
      <w:r w:rsidRPr="0019144F">
        <w:t>Considérant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0215925D" w14:textId="77777777" w:rsidTr="007924BE">
        <w:trPr>
          <w:jc w:val="center"/>
        </w:trPr>
        <w:tc>
          <w:tcPr>
            <w:tcW w:w="9752" w:type="dxa"/>
            <w:gridSpan w:val="2"/>
          </w:tcPr>
          <w:p w14:paraId="7F873BFF" w14:textId="77777777" w:rsidR="00BF7ACA" w:rsidRPr="005A5903" w:rsidRDefault="00BF7ACA" w:rsidP="007924BE">
            <w:pPr>
              <w:keepNext/>
            </w:pPr>
          </w:p>
        </w:tc>
      </w:tr>
      <w:tr w:rsidR="00BF7ACA" w:rsidRPr="005A5903" w14:paraId="23237CFA" w14:textId="77777777" w:rsidTr="007924BE">
        <w:trPr>
          <w:jc w:val="center"/>
        </w:trPr>
        <w:tc>
          <w:tcPr>
            <w:tcW w:w="4876" w:type="dxa"/>
            <w:hideMark/>
          </w:tcPr>
          <w:p w14:paraId="109C9C7B" w14:textId="77777777" w:rsidR="00BF7ACA" w:rsidRPr="0019144F" w:rsidRDefault="00BF7ACA" w:rsidP="007924BE">
            <w:pPr>
              <w:pStyle w:val="ColumnHeading"/>
              <w:keepNext/>
            </w:pPr>
            <w:r w:rsidRPr="0019144F">
              <w:t>Texte proposé par la Commission</w:t>
            </w:r>
          </w:p>
        </w:tc>
        <w:tc>
          <w:tcPr>
            <w:tcW w:w="4876" w:type="dxa"/>
            <w:hideMark/>
          </w:tcPr>
          <w:p w14:paraId="632BD1FB" w14:textId="77777777" w:rsidR="00BF7ACA" w:rsidRPr="0019144F" w:rsidRDefault="00BF7ACA" w:rsidP="007924BE">
            <w:pPr>
              <w:pStyle w:val="ColumnHeading"/>
              <w:keepNext/>
            </w:pPr>
            <w:r w:rsidRPr="0019144F">
              <w:t>Amendement</w:t>
            </w:r>
          </w:p>
        </w:tc>
      </w:tr>
      <w:tr w:rsidR="00BF7ACA" w:rsidRPr="005A5903" w14:paraId="2F39333D" w14:textId="77777777" w:rsidTr="007924BE">
        <w:trPr>
          <w:jc w:val="center"/>
        </w:trPr>
        <w:tc>
          <w:tcPr>
            <w:tcW w:w="4876" w:type="dxa"/>
            <w:hideMark/>
          </w:tcPr>
          <w:p w14:paraId="237E40CA" w14:textId="77777777" w:rsidR="00BF7ACA" w:rsidRPr="0019144F" w:rsidRDefault="00BF7ACA" w:rsidP="007924BE">
            <w:pPr>
              <w:pStyle w:val="Normal6"/>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 des Nations unies ainsi que les engagements pris dans le cadre de la politique européenne de voisinage révisée et, partant, de lutter contre les causes profondes de la migration. Il devrait également contribuer à la mise en œuvre de l</w:t>
            </w:r>
            <w:r>
              <w:t>’</w:t>
            </w:r>
            <w:r w:rsidRPr="0019144F">
              <w:t>accord de Paris sur le changement climatique (COP 21).</w:t>
            </w:r>
          </w:p>
        </w:tc>
        <w:tc>
          <w:tcPr>
            <w:tcW w:w="4876" w:type="dxa"/>
            <w:hideMark/>
          </w:tcPr>
          <w:p w14:paraId="3D88412D" w14:textId="77777777" w:rsidR="00BF7ACA" w:rsidRPr="0019144F" w:rsidRDefault="00BF7ACA" w:rsidP="007924BE">
            <w:pPr>
              <w:pStyle w:val="Normal6"/>
              <w:rPr>
                <w:szCs w:val="24"/>
              </w:rPr>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 des Nations unies</w:t>
            </w:r>
            <w:r w:rsidRPr="0019144F">
              <w:rPr>
                <w:b/>
                <w:i/>
              </w:rPr>
              <w:t>, notamment l</w:t>
            </w:r>
            <w:r>
              <w:rPr>
                <w:b/>
                <w:i/>
              </w:rPr>
              <w:t>’</w:t>
            </w:r>
            <w:r w:rsidRPr="0019144F">
              <w:rPr>
                <w:b/>
                <w:i/>
              </w:rPr>
              <w:t>éradication de la pauvreté,</w:t>
            </w:r>
            <w:r w:rsidRPr="0019144F">
              <w:t xml:space="preserve"> ainsi que les engagements pris dans le cadre de la politique européenne de voisinage révisée et</w:t>
            </w:r>
            <w:r w:rsidRPr="0019144F">
              <w:rPr>
                <w:b/>
                <w:i/>
              </w:rPr>
              <w:t xml:space="preserve"> le nouveau cadre de partenariat avec les pays tiers dans le cadre de l</w:t>
            </w:r>
            <w:r>
              <w:rPr>
                <w:b/>
                <w:i/>
              </w:rPr>
              <w:t>’</w:t>
            </w:r>
            <w:r w:rsidRPr="0019144F">
              <w:rPr>
                <w:b/>
                <w:i/>
              </w:rPr>
              <w:t>Agenda européen en matière de migration et</w:t>
            </w:r>
            <w:r w:rsidRPr="0019144F">
              <w:t>, partant, de lutter contre les causes profondes de la migration</w:t>
            </w:r>
            <w:r w:rsidRPr="0019144F">
              <w:rPr>
                <w:b/>
                <w:i/>
              </w:rPr>
              <w:t xml:space="preserve"> et les pressions migratoires trouvant leur origine dans la pauvreté, le sous-développement, l</w:t>
            </w:r>
            <w:r>
              <w:rPr>
                <w:b/>
                <w:i/>
              </w:rPr>
              <w:t>’</w:t>
            </w:r>
            <w:r w:rsidRPr="0019144F">
              <w:rPr>
                <w:b/>
                <w:i/>
              </w:rPr>
              <w:t>inégalité, la croissance démographique, l</w:t>
            </w:r>
            <w:r>
              <w:rPr>
                <w:b/>
                <w:i/>
              </w:rPr>
              <w:t>’</w:t>
            </w:r>
            <w:r w:rsidRPr="0019144F">
              <w:rPr>
                <w:b/>
                <w:i/>
              </w:rPr>
              <w:t>absence d</w:t>
            </w:r>
            <w:r>
              <w:rPr>
                <w:b/>
                <w:i/>
              </w:rPr>
              <w:t>’</w:t>
            </w:r>
            <w:r w:rsidRPr="0019144F">
              <w:rPr>
                <w:b/>
                <w:i/>
              </w:rPr>
              <w:t>emplois et de perspectives économiques ainsi que dans le changement climatique</w:t>
            </w:r>
            <w:r w:rsidRPr="0019144F">
              <w:t>. Il devrait également contribuer à la mise en œuvre de l</w:t>
            </w:r>
            <w:r>
              <w:t>’</w:t>
            </w:r>
            <w:r w:rsidRPr="0019144F">
              <w:t>accord de Paris sur le changement climatique (COP 21).</w:t>
            </w:r>
          </w:p>
        </w:tc>
      </w:tr>
    </w:tbl>
    <w:p w14:paraId="406F8779" w14:textId="77777777" w:rsidR="00BF7ACA" w:rsidRPr="00627C55" w:rsidRDefault="00BF7ACA" w:rsidP="00BF7ACA">
      <w:pPr>
        <w:pStyle w:val="Olang"/>
        <w:rPr>
          <w:noProof w:val="0"/>
          <w:szCs w:val="24"/>
          <w:lang w:val="en-GB"/>
        </w:rPr>
      </w:pPr>
      <w:r w:rsidRPr="00627C55">
        <w:rPr>
          <w:noProof w:val="0"/>
          <w:lang w:val="en-GB"/>
        </w:rPr>
        <w:t xml:space="preserve">Or. </w:t>
      </w:r>
      <w:r w:rsidRPr="00627C55">
        <w:rPr>
          <w:rStyle w:val="HideTWBExt"/>
          <w:noProof w:val="0"/>
          <w:lang w:val="en-GB"/>
        </w:rPr>
        <w:t>&lt;Original&gt;</w:t>
      </w:r>
      <w:r w:rsidRPr="00627C55">
        <w:rPr>
          <w:rStyle w:val="HideTWBInt"/>
          <w:noProof w:val="0"/>
          <w:lang w:val="en-GB"/>
        </w:rPr>
        <w:t>{EN}</w:t>
      </w:r>
      <w:r w:rsidRPr="00627C55">
        <w:rPr>
          <w:noProof w:val="0"/>
          <w:lang w:val="en-GB"/>
        </w:rPr>
        <w:t>en</w:t>
      </w:r>
      <w:r w:rsidRPr="00627C55">
        <w:rPr>
          <w:rStyle w:val="HideTWBExt"/>
          <w:noProof w:val="0"/>
          <w:lang w:val="en-GB"/>
        </w:rPr>
        <w:t>&lt;/Original&gt;</w:t>
      </w:r>
    </w:p>
    <w:p w14:paraId="11ACFE68" w14:textId="77777777" w:rsidR="00BF7ACA" w:rsidRPr="00627C55" w:rsidRDefault="00BF7ACA" w:rsidP="00BF7ACA">
      <w:pPr>
        <w:rPr>
          <w:lang w:val="en-GB"/>
        </w:rPr>
      </w:pPr>
      <w:r w:rsidRPr="00627C55">
        <w:rPr>
          <w:rStyle w:val="HideTWBExt"/>
          <w:lang w:val="en-GB"/>
        </w:rPr>
        <w:t>&lt;/Amend&gt;</w:t>
      </w:r>
    </w:p>
    <w:p w14:paraId="157EA9EC" w14:textId="77777777"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76</w:t>
      </w:r>
      <w:r w:rsidRPr="00627C55">
        <w:rPr>
          <w:rStyle w:val="HideTWBExt"/>
          <w:b w:val="0"/>
          <w:lang w:val="en-GB"/>
        </w:rPr>
        <w:t>&lt;/NumAm&gt;</w:t>
      </w:r>
    </w:p>
    <w:p w14:paraId="374987AB" w14:textId="77777777"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Marietje Schaake</w:t>
      </w:r>
      <w:r w:rsidRPr="00627C55">
        <w:rPr>
          <w:rStyle w:val="HideTWBExt"/>
          <w:b w:val="0"/>
          <w:lang w:val="en-GB"/>
        </w:rPr>
        <w:t>&lt;/Members&gt;</w:t>
      </w:r>
    </w:p>
    <w:p w14:paraId="1AE68929" w14:textId="77777777" w:rsidR="00BF7ACA" w:rsidRPr="005A5903" w:rsidRDefault="00BF7ACA" w:rsidP="00BF7ACA">
      <w:r>
        <w:rPr>
          <w:rStyle w:val="HideTWBExt"/>
        </w:rPr>
        <w:t>&lt;/RepeatBlock-By&gt;</w:t>
      </w:r>
    </w:p>
    <w:p w14:paraId="19289BCD"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45EDB9E6" w14:textId="77777777" w:rsidR="00BF7ACA" w:rsidRPr="005A5903" w:rsidRDefault="00BF7ACA" w:rsidP="00BF7ACA">
      <w:pPr>
        <w:pStyle w:val="NormalBold"/>
      </w:pPr>
      <w:r>
        <w:rPr>
          <w:rStyle w:val="HideTWBExt"/>
          <w:b w:val="0"/>
        </w:rPr>
        <w:t>&lt;Article&gt;</w:t>
      </w:r>
      <w:r w:rsidRPr="0019144F">
        <w:t>Considérant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72F4F232" w14:textId="77777777" w:rsidTr="007924BE">
        <w:trPr>
          <w:jc w:val="center"/>
        </w:trPr>
        <w:tc>
          <w:tcPr>
            <w:tcW w:w="9752" w:type="dxa"/>
            <w:gridSpan w:val="2"/>
          </w:tcPr>
          <w:p w14:paraId="4C018FC2" w14:textId="77777777" w:rsidR="00BF7ACA" w:rsidRPr="005A5903" w:rsidRDefault="00BF7ACA" w:rsidP="007924BE">
            <w:pPr>
              <w:keepNext/>
            </w:pPr>
          </w:p>
        </w:tc>
      </w:tr>
      <w:tr w:rsidR="00BF7ACA" w:rsidRPr="005A5903" w14:paraId="7E549304" w14:textId="77777777" w:rsidTr="007924BE">
        <w:trPr>
          <w:jc w:val="center"/>
        </w:trPr>
        <w:tc>
          <w:tcPr>
            <w:tcW w:w="4876" w:type="dxa"/>
            <w:hideMark/>
          </w:tcPr>
          <w:p w14:paraId="39FC5782" w14:textId="77777777" w:rsidR="00BF7ACA" w:rsidRPr="0019144F" w:rsidRDefault="00BF7ACA" w:rsidP="007924BE">
            <w:pPr>
              <w:pStyle w:val="ColumnHeading"/>
              <w:keepNext/>
            </w:pPr>
            <w:r w:rsidRPr="0019144F">
              <w:t>Texte proposé par la Commission</w:t>
            </w:r>
          </w:p>
        </w:tc>
        <w:tc>
          <w:tcPr>
            <w:tcW w:w="4876" w:type="dxa"/>
            <w:hideMark/>
          </w:tcPr>
          <w:p w14:paraId="20B5ED12" w14:textId="77777777" w:rsidR="00BF7ACA" w:rsidRPr="0019144F" w:rsidRDefault="00BF7ACA" w:rsidP="007924BE">
            <w:pPr>
              <w:pStyle w:val="ColumnHeading"/>
              <w:keepNext/>
            </w:pPr>
            <w:r w:rsidRPr="0019144F">
              <w:t>Amendement</w:t>
            </w:r>
          </w:p>
        </w:tc>
      </w:tr>
      <w:tr w:rsidR="00BF7ACA" w:rsidRPr="005A5903" w14:paraId="21F55CB1" w14:textId="77777777" w:rsidTr="007924BE">
        <w:trPr>
          <w:jc w:val="center"/>
        </w:trPr>
        <w:tc>
          <w:tcPr>
            <w:tcW w:w="4876" w:type="dxa"/>
            <w:hideMark/>
          </w:tcPr>
          <w:p w14:paraId="0D990B99" w14:textId="77777777" w:rsidR="00BF7ACA" w:rsidRPr="0019144F" w:rsidRDefault="00BF7ACA" w:rsidP="007924BE">
            <w:pPr>
              <w:pStyle w:val="Normal6"/>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 xml:space="preserve">UE, dans un premier temps, </w:t>
            </w:r>
            <w:r w:rsidRPr="0019144F">
              <w:rPr>
                <w:b/>
                <w:i/>
              </w:rPr>
              <w:t>dans le but</w:t>
            </w:r>
            <w:r w:rsidRPr="0019144F">
              <w:t xml:space="preserve"> de promouvoir les objectifs de développement durable du programme de développement durable à l</w:t>
            </w:r>
            <w:r>
              <w:t>’</w:t>
            </w:r>
            <w:r w:rsidRPr="0019144F">
              <w:t>horizon 2030 des Nations unies ainsi que les engagements pris dans le cadre de la politique européenne de voisinage révisée et</w:t>
            </w:r>
            <w:r w:rsidRPr="0019144F">
              <w:rPr>
                <w:b/>
                <w:i/>
              </w:rPr>
              <w:t>, partant,</w:t>
            </w:r>
            <w:r w:rsidRPr="0019144F">
              <w:t xml:space="preserve"> de lutter contre les causes</w:t>
            </w:r>
            <w:r w:rsidRPr="0019144F">
              <w:rPr>
                <w:b/>
                <w:i/>
              </w:rPr>
              <w:t xml:space="preserve"> profondes</w:t>
            </w:r>
            <w:r w:rsidRPr="0019144F">
              <w:t xml:space="preserve"> de la migration. Il devrait également contribuer à la mise en œuvre de l</w:t>
            </w:r>
            <w:r>
              <w:t>’</w:t>
            </w:r>
            <w:r w:rsidRPr="0019144F">
              <w:t>accord de Paris sur le changement climatique (COP 21).</w:t>
            </w:r>
          </w:p>
        </w:tc>
        <w:tc>
          <w:tcPr>
            <w:tcW w:w="4876" w:type="dxa"/>
            <w:hideMark/>
          </w:tcPr>
          <w:p w14:paraId="435EABE6" w14:textId="77777777" w:rsidR="00BF7ACA" w:rsidRPr="0019144F" w:rsidRDefault="00BF7ACA" w:rsidP="007924BE">
            <w:pPr>
              <w:pStyle w:val="Normal6"/>
              <w:rPr>
                <w:szCs w:val="24"/>
              </w:rPr>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 xml:space="preserve">UE, dans un premier temps, </w:t>
            </w:r>
            <w:r w:rsidRPr="0019144F">
              <w:rPr>
                <w:b/>
                <w:i/>
              </w:rPr>
              <w:t>et</w:t>
            </w:r>
            <w:r w:rsidRPr="0019144F">
              <w:t xml:space="preserve"> de promouvoir les objectifs de développement durable du programme de développement durable à l</w:t>
            </w:r>
            <w:r>
              <w:t>’</w:t>
            </w:r>
            <w:r w:rsidRPr="0019144F">
              <w:t>horizon 2030 des Nations unies ainsi que les engagements pris dans le cadre de la politique européenne de voisinage révisée</w:t>
            </w:r>
            <w:r w:rsidRPr="0019144F">
              <w:rPr>
                <w:b/>
                <w:i/>
              </w:rPr>
              <w:t>. Investir en Afrique</w:t>
            </w:r>
            <w:r w:rsidRPr="0019144F">
              <w:t xml:space="preserve"> et</w:t>
            </w:r>
            <w:r w:rsidRPr="0019144F">
              <w:rPr>
                <w:b/>
                <w:i/>
              </w:rPr>
              <w:t xml:space="preserve"> dans le voisinage</w:t>
            </w:r>
            <w:r w:rsidRPr="0019144F">
              <w:t xml:space="preserve"> de </w:t>
            </w:r>
            <w:r w:rsidRPr="0019144F">
              <w:rPr>
                <w:b/>
                <w:i/>
              </w:rPr>
              <w:t>l</w:t>
            </w:r>
            <w:r>
              <w:rPr>
                <w:b/>
                <w:i/>
              </w:rPr>
              <w:t>’</w:t>
            </w:r>
            <w:r w:rsidRPr="0019144F">
              <w:rPr>
                <w:b/>
                <w:i/>
              </w:rPr>
              <w:t xml:space="preserve">Union européenne contribuera à </w:t>
            </w:r>
            <w:r w:rsidRPr="0019144F">
              <w:t>lutter contre les causes de la migration</w:t>
            </w:r>
            <w:r w:rsidRPr="0019144F">
              <w:rPr>
                <w:b/>
                <w:i/>
              </w:rPr>
              <w:t xml:space="preserve"> que sont la pauvreté, le sous-développement, l</w:t>
            </w:r>
            <w:r>
              <w:rPr>
                <w:b/>
                <w:i/>
              </w:rPr>
              <w:t>’</w:t>
            </w:r>
            <w:r w:rsidRPr="0019144F">
              <w:rPr>
                <w:b/>
                <w:i/>
              </w:rPr>
              <w:t>inégalité, l</w:t>
            </w:r>
            <w:r>
              <w:rPr>
                <w:b/>
                <w:i/>
              </w:rPr>
              <w:t>’</w:t>
            </w:r>
            <w:r w:rsidRPr="0019144F">
              <w:rPr>
                <w:b/>
                <w:i/>
              </w:rPr>
              <w:t>instabilité, la croissance démographique, l</w:t>
            </w:r>
            <w:r>
              <w:rPr>
                <w:b/>
                <w:i/>
              </w:rPr>
              <w:t>’</w:t>
            </w:r>
            <w:r w:rsidRPr="0019144F">
              <w:rPr>
                <w:b/>
                <w:i/>
              </w:rPr>
              <w:t>absence d</w:t>
            </w:r>
            <w:r>
              <w:rPr>
                <w:b/>
                <w:i/>
              </w:rPr>
              <w:t>’</w:t>
            </w:r>
            <w:r w:rsidRPr="0019144F">
              <w:rPr>
                <w:b/>
                <w:i/>
              </w:rPr>
              <w:t>emplois ou d</w:t>
            </w:r>
            <w:r>
              <w:rPr>
                <w:b/>
                <w:i/>
              </w:rPr>
              <w:t>’</w:t>
            </w:r>
            <w:r w:rsidRPr="0019144F">
              <w:rPr>
                <w:b/>
                <w:i/>
              </w:rPr>
              <w:t>opportunités économiques, et le changement climatique</w:t>
            </w:r>
            <w:r w:rsidRPr="0019144F">
              <w:t>. Il devrait également contribuer à la mise en œuvre de l</w:t>
            </w:r>
            <w:r>
              <w:t>’</w:t>
            </w:r>
            <w:r w:rsidRPr="0019144F">
              <w:t>accord de Paris sur le changement climatique (COP 21).</w:t>
            </w:r>
          </w:p>
        </w:tc>
      </w:tr>
    </w:tbl>
    <w:p w14:paraId="5CF1A660" w14:textId="77777777" w:rsidR="00BF7ACA" w:rsidRPr="00627C55" w:rsidRDefault="00BF7ACA" w:rsidP="00BF7ACA">
      <w:pPr>
        <w:pStyle w:val="Olang"/>
        <w:rPr>
          <w:noProof w:val="0"/>
          <w:szCs w:val="24"/>
          <w:lang w:val="en-GB"/>
        </w:rPr>
      </w:pPr>
      <w:r w:rsidRPr="00627C55">
        <w:rPr>
          <w:noProof w:val="0"/>
          <w:lang w:val="en-GB"/>
        </w:rPr>
        <w:t xml:space="preserve">Or. </w:t>
      </w:r>
      <w:r w:rsidRPr="00627C55">
        <w:rPr>
          <w:rStyle w:val="HideTWBExt"/>
          <w:noProof w:val="0"/>
          <w:lang w:val="en-GB"/>
        </w:rPr>
        <w:t>&lt;Original&gt;</w:t>
      </w:r>
      <w:r w:rsidRPr="00627C55">
        <w:rPr>
          <w:rStyle w:val="HideTWBInt"/>
          <w:noProof w:val="0"/>
          <w:lang w:val="en-GB"/>
        </w:rPr>
        <w:t>{EN}</w:t>
      </w:r>
      <w:r w:rsidRPr="00627C55">
        <w:rPr>
          <w:noProof w:val="0"/>
          <w:lang w:val="en-GB"/>
        </w:rPr>
        <w:t>en</w:t>
      </w:r>
      <w:r w:rsidRPr="00627C55">
        <w:rPr>
          <w:rStyle w:val="HideTWBExt"/>
          <w:noProof w:val="0"/>
          <w:lang w:val="en-GB"/>
        </w:rPr>
        <w:t>&lt;/Original&gt;</w:t>
      </w:r>
    </w:p>
    <w:p w14:paraId="3D8893EE" w14:textId="77777777" w:rsidR="00BF7ACA" w:rsidRPr="00627C55" w:rsidRDefault="00BF7ACA" w:rsidP="00BF7ACA">
      <w:pPr>
        <w:rPr>
          <w:lang w:val="en-GB"/>
        </w:rPr>
      </w:pPr>
      <w:r w:rsidRPr="00627C55">
        <w:rPr>
          <w:rStyle w:val="HideTWBExt"/>
          <w:lang w:val="en-GB"/>
        </w:rPr>
        <w:t>&lt;/Amend&gt;</w:t>
      </w:r>
    </w:p>
    <w:p w14:paraId="5ABC1D25" w14:textId="77777777"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77</w:t>
      </w:r>
      <w:r w:rsidRPr="00627C55">
        <w:rPr>
          <w:rStyle w:val="HideTWBExt"/>
          <w:b w:val="0"/>
          <w:lang w:val="en-GB"/>
        </w:rPr>
        <w:t>&lt;/NumAm&gt;</w:t>
      </w:r>
    </w:p>
    <w:p w14:paraId="7DB70222" w14:textId="77777777"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Doru-Claudian Frunzulică, Eider Gardiazabal Rubial, Soraya Post</w:t>
      </w:r>
      <w:r w:rsidRPr="00627C55">
        <w:rPr>
          <w:rStyle w:val="HideTWBExt"/>
          <w:b w:val="0"/>
          <w:lang w:val="en-GB"/>
        </w:rPr>
        <w:t>&lt;/Members&gt;</w:t>
      </w:r>
    </w:p>
    <w:p w14:paraId="70D9CF8E" w14:textId="77777777" w:rsidR="00BF7ACA" w:rsidRPr="00BF7ACA" w:rsidRDefault="00BF7ACA" w:rsidP="00BF7ACA">
      <w:pPr>
        <w:rPr>
          <w:lang w:val="en-GB"/>
        </w:rPr>
      </w:pPr>
      <w:r w:rsidRPr="00BF7ACA">
        <w:rPr>
          <w:rStyle w:val="HideTWBExt"/>
          <w:lang w:val="en-GB"/>
        </w:rPr>
        <w:t>&lt;/RepeatBlock-By&gt;</w:t>
      </w:r>
    </w:p>
    <w:p w14:paraId="6EFC6881"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644208AF" w14:textId="77777777" w:rsidR="00BF7ACA" w:rsidRPr="005A5903" w:rsidRDefault="00BF7ACA" w:rsidP="00BF7ACA">
      <w:pPr>
        <w:pStyle w:val="NormalBold"/>
      </w:pPr>
      <w:r>
        <w:rPr>
          <w:rStyle w:val="HideTWBExt"/>
          <w:b w:val="0"/>
        </w:rPr>
        <w:t>&lt;Article&gt;</w:t>
      </w:r>
      <w:r w:rsidRPr="0019144F">
        <w:t>Considérant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371449D5" w14:textId="77777777" w:rsidTr="007924BE">
        <w:trPr>
          <w:jc w:val="center"/>
        </w:trPr>
        <w:tc>
          <w:tcPr>
            <w:tcW w:w="9752" w:type="dxa"/>
            <w:gridSpan w:val="2"/>
          </w:tcPr>
          <w:p w14:paraId="54540A19" w14:textId="77777777" w:rsidR="00BF7ACA" w:rsidRPr="005A5903" w:rsidRDefault="00BF7ACA" w:rsidP="007924BE">
            <w:pPr>
              <w:keepNext/>
            </w:pPr>
          </w:p>
        </w:tc>
      </w:tr>
      <w:tr w:rsidR="00BF7ACA" w:rsidRPr="005A5903" w14:paraId="68711A8F" w14:textId="77777777" w:rsidTr="007924BE">
        <w:trPr>
          <w:jc w:val="center"/>
        </w:trPr>
        <w:tc>
          <w:tcPr>
            <w:tcW w:w="4876" w:type="dxa"/>
            <w:hideMark/>
          </w:tcPr>
          <w:p w14:paraId="206147AC" w14:textId="77777777" w:rsidR="00BF7ACA" w:rsidRPr="0019144F" w:rsidRDefault="00BF7ACA" w:rsidP="007924BE">
            <w:pPr>
              <w:pStyle w:val="ColumnHeading"/>
              <w:keepNext/>
            </w:pPr>
            <w:r w:rsidRPr="0019144F">
              <w:t>Texte proposé par la Commission</w:t>
            </w:r>
          </w:p>
        </w:tc>
        <w:tc>
          <w:tcPr>
            <w:tcW w:w="4876" w:type="dxa"/>
            <w:hideMark/>
          </w:tcPr>
          <w:p w14:paraId="4F075C69" w14:textId="77777777" w:rsidR="00BF7ACA" w:rsidRPr="0019144F" w:rsidRDefault="00BF7ACA" w:rsidP="007924BE">
            <w:pPr>
              <w:pStyle w:val="ColumnHeading"/>
              <w:keepNext/>
            </w:pPr>
            <w:r w:rsidRPr="0019144F">
              <w:t>Amendement</w:t>
            </w:r>
          </w:p>
        </w:tc>
      </w:tr>
      <w:tr w:rsidR="00BF7ACA" w:rsidRPr="005A5903" w14:paraId="5669E807" w14:textId="77777777" w:rsidTr="007924BE">
        <w:trPr>
          <w:jc w:val="center"/>
        </w:trPr>
        <w:tc>
          <w:tcPr>
            <w:tcW w:w="4876" w:type="dxa"/>
            <w:hideMark/>
          </w:tcPr>
          <w:p w14:paraId="5614C7CC" w14:textId="77777777" w:rsidR="00BF7ACA" w:rsidRPr="0019144F" w:rsidRDefault="00BF7ACA" w:rsidP="007924BE">
            <w:pPr>
              <w:pStyle w:val="Normal6"/>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 xml:space="preserve">horizon 2030 des Nations unies ainsi que les engagements pris dans le cadre de la politique européenne de voisinage révisée et, partant, de lutter contre les </w:t>
            </w:r>
            <w:r w:rsidRPr="0019144F">
              <w:rPr>
                <w:b/>
                <w:i/>
              </w:rPr>
              <w:t>causes profondes de</w:t>
            </w:r>
            <w:r w:rsidRPr="0019144F">
              <w:t xml:space="preserve"> la </w:t>
            </w:r>
            <w:r w:rsidRPr="0019144F">
              <w:rPr>
                <w:b/>
                <w:i/>
              </w:rPr>
              <w:t>migration</w:t>
            </w:r>
            <w:r w:rsidRPr="0019144F">
              <w:t>. Il devrait également contribuer à la mise en œuvre de l</w:t>
            </w:r>
            <w:r>
              <w:t>’</w:t>
            </w:r>
            <w:r w:rsidRPr="0019144F">
              <w:t>accord de Paris sur le changement climatique (COP 21).</w:t>
            </w:r>
          </w:p>
        </w:tc>
        <w:tc>
          <w:tcPr>
            <w:tcW w:w="4876" w:type="dxa"/>
            <w:hideMark/>
          </w:tcPr>
          <w:p w14:paraId="7641D3DE" w14:textId="77777777" w:rsidR="00BF7ACA" w:rsidRPr="0019144F" w:rsidRDefault="00BF7ACA" w:rsidP="007924BE">
            <w:pPr>
              <w:pStyle w:val="Normal6"/>
              <w:rPr>
                <w:szCs w:val="24"/>
              </w:rPr>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 des Nations unies</w:t>
            </w:r>
            <w:r w:rsidRPr="0019144F">
              <w:rPr>
                <w:b/>
                <w:i/>
              </w:rPr>
              <w:t>, notamment l</w:t>
            </w:r>
            <w:r>
              <w:rPr>
                <w:b/>
                <w:i/>
              </w:rPr>
              <w:t>’</w:t>
            </w:r>
            <w:r w:rsidRPr="0019144F">
              <w:rPr>
                <w:b/>
                <w:i/>
              </w:rPr>
              <w:t>éradication de la pauvreté,</w:t>
            </w:r>
            <w:r w:rsidRPr="0019144F">
              <w:t xml:space="preserve"> ainsi que les engagements pris dans le cadre de la politique européenne de voisinage révisée et, partant, de lutter contre les </w:t>
            </w:r>
            <w:r w:rsidRPr="0019144F">
              <w:rPr>
                <w:b/>
                <w:i/>
              </w:rPr>
              <w:t>pressions migratoires trouvant leur origine dans</w:t>
            </w:r>
            <w:r w:rsidRPr="0019144F">
              <w:t xml:space="preserve"> la </w:t>
            </w:r>
            <w:r w:rsidRPr="0019144F">
              <w:rPr>
                <w:b/>
                <w:i/>
              </w:rPr>
              <w:t>pauvreté, le sous-développement, l</w:t>
            </w:r>
            <w:r>
              <w:rPr>
                <w:b/>
                <w:i/>
              </w:rPr>
              <w:t>’</w:t>
            </w:r>
            <w:r w:rsidRPr="0019144F">
              <w:rPr>
                <w:b/>
                <w:i/>
              </w:rPr>
              <w:t>inégalité, la croissance démographique, l</w:t>
            </w:r>
            <w:r>
              <w:rPr>
                <w:b/>
                <w:i/>
              </w:rPr>
              <w:t>’</w:t>
            </w:r>
            <w:r w:rsidRPr="0019144F">
              <w:rPr>
                <w:b/>
                <w:i/>
              </w:rPr>
              <w:t>absence d</w:t>
            </w:r>
            <w:r>
              <w:rPr>
                <w:b/>
                <w:i/>
              </w:rPr>
              <w:t>’</w:t>
            </w:r>
            <w:r w:rsidRPr="0019144F">
              <w:rPr>
                <w:b/>
                <w:i/>
              </w:rPr>
              <w:t>emplois et de perspectives économiques ainsi que dans le changement climatique</w:t>
            </w:r>
            <w:r w:rsidRPr="0019144F">
              <w:t>. Il devrait également contribuer à la mise en œuvre de l</w:t>
            </w:r>
            <w:r>
              <w:t>’</w:t>
            </w:r>
            <w:r w:rsidRPr="0019144F">
              <w:t>accord de Paris sur le changement climatique (COP 21).</w:t>
            </w:r>
          </w:p>
        </w:tc>
      </w:tr>
    </w:tbl>
    <w:p w14:paraId="37F74277"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3BD949E" w14:textId="77777777" w:rsidR="00BF7ACA" w:rsidRPr="00BF7ACA" w:rsidRDefault="00BF7ACA" w:rsidP="00BF7ACA">
      <w:r w:rsidRPr="00BF7ACA">
        <w:rPr>
          <w:rStyle w:val="HideTWBExt"/>
        </w:rPr>
        <w:t>&lt;/Amend&gt;</w:t>
      </w:r>
    </w:p>
    <w:p w14:paraId="4CE5C072"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78</w:t>
      </w:r>
      <w:r w:rsidRPr="00BF7ACA">
        <w:rPr>
          <w:rStyle w:val="HideTWBExt"/>
          <w:b w:val="0"/>
        </w:rPr>
        <w:t>&lt;/NumAm&gt;</w:t>
      </w:r>
    </w:p>
    <w:p w14:paraId="2514C429"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28B61E34" w14:textId="77777777" w:rsidR="00BF7ACA" w:rsidRPr="005A5903" w:rsidRDefault="00BF7ACA" w:rsidP="00BF7ACA">
      <w:r>
        <w:rPr>
          <w:rStyle w:val="HideTWBExt"/>
        </w:rPr>
        <w:t>&lt;/RepeatBlock-By&gt;</w:t>
      </w:r>
    </w:p>
    <w:p w14:paraId="6DB18B67"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4F3DD871" w14:textId="77777777" w:rsidR="00BF7ACA" w:rsidRPr="005A5903" w:rsidRDefault="00BF7ACA" w:rsidP="00BF7ACA">
      <w:pPr>
        <w:pStyle w:val="NormalBold"/>
      </w:pPr>
      <w:r>
        <w:rPr>
          <w:rStyle w:val="HideTWBExt"/>
          <w:b w:val="0"/>
        </w:rPr>
        <w:t>&lt;Article&gt;</w:t>
      </w:r>
      <w:r w:rsidRPr="0019144F">
        <w:t>Considérant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68D9BAF2" w14:textId="77777777" w:rsidTr="007924BE">
        <w:trPr>
          <w:jc w:val="center"/>
        </w:trPr>
        <w:tc>
          <w:tcPr>
            <w:tcW w:w="9752" w:type="dxa"/>
            <w:gridSpan w:val="2"/>
          </w:tcPr>
          <w:p w14:paraId="12A541CB" w14:textId="77777777" w:rsidR="00BF7ACA" w:rsidRPr="005A5903" w:rsidRDefault="00BF7ACA" w:rsidP="007924BE">
            <w:pPr>
              <w:keepNext/>
            </w:pPr>
          </w:p>
        </w:tc>
      </w:tr>
      <w:tr w:rsidR="00BF7ACA" w:rsidRPr="005A5903" w14:paraId="14641D45" w14:textId="77777777" w:rsidTr="007924BE">
        <w:trPr>
          <w:jc w:val="center"/>
        </w:trPr>
        <w:tc>
          <w:tcPr>
            <w:tcW w:w="4876" w:type="dxa"/>
            <w:hideMark/>
          </w:tcPr>
          <w:p w14:paraId="03E5CA95" w14:textId="77777777" w:rsidR="00BF7ACA" w:rsidRPr="0019144F" w:rsidRDefault="00BF7ACA" w:rsidP="007924BE">
            <w:pPr>
              <w:pStyle w:val="ColumnHeading"/>
              <w:keepNext/>
            </w:pPr>
            <w:r w:rsidRPr="0019144F">
              <w:t>Texte proposé par la Commission</w:t>
            </w:r>
          </w:p>
        </w:tc>
        <w:tc>
          <w:tcPr>
            <w:tcW w:w="4876" w:type="dxa"/>
            <w:hideMark/>
          </w:tcPr>
          <w:p w14:paraId="2199627D" w14:textId="77777777" w:rsidR="00BF7ACA" w:rsidRPr="0019144F" w:rsidRDefault="00BF7ACA" w:rsidP="007924BE">
            <w:pPr>
              <w:pStyle w:val="ColumnHeading"/>
              <w:keepNext/>
            </w:pPr>
            <w:r w:rsidRPr="0019144F">
              <w:t>Amendement</w:t>
            </w:r>
          </w:p>
        </w:tc>
      </w:tr>
      <w:tr w:rsidR="00BF7ACA" w:rsidRPr="005A5903" w14:paraId="5B40F72F" w14:textId="77777777" w:rsidTr="007924BE">
        <w:trPr>
          <w:jc w:val="center"/>
        </w:trPr>
        <w:tc>
          <w:tcPr>
            <w:tcW w:w="4876" w:type="dxa"/>
            <w:hideMark/>
          </w:tcPr>
          <w:p w14:paraId="5FC39AF5" w14:textId="77777777" w:rsidR="00BF7ACA" w:rsidRPr="0019144F" w:rsidRDefault="00BF7ACA" w:rsidP="007924BE">
            <w:pPr>
              <w:pStyle w:val="Normal6"/>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 des Nations unies</w:t>
            </w:r>
            <w:r w:rsidRPr="0019144F">
              <w:rPr>
                <w:b/>
                <w:i/>
              </w:rPr>
              <w:t xml:space="preserve"> ainsi que les engagements pris dans le cadre de la politique européenne de voisinage révisée et, partant, de lutter contre</w:t>
            </w:r>
            <w:r w:rsidRPr="0019144F">
              <w:t xml:space="preserve"> les </w:t>
            </w:r>
            <w:r w:rsidRPr="0019144F">
              <w:rPr>
                <w:b/>
                <w:i/>
              </w:rPr>
              <w:t>causes profondes de la migration</w:t>
            </w:r>
            <w:r w:rsidRPr="0019144F">
              <w:t>. Il devrait également contribuer à la mise en œuvre de l</w:t>
            </w:r>
            <w:r>
              <w:t>’</w:t>
            </w:r>
            <w:r w:rsidRPr="0019144F">
              <w:t>accord de Paris sur le changement climatique (COP 21).</w:t>
            </w:r>
          </w:p>
        </w:tc>
        <w:tc>
          <w:tcPr>
            <w:tcW w:w="4876" w:type="dxa"/>
            <w:hideMark/>
          </w:tcPr>
          <w:p w14:paraId="6E1CA05D" w14:textId="77777777" w:rsidR="00BF7ACA" w:rsidRPr="0019144F" w:rsidRDefault="00BF7ACA" w:rsidP="007924BE">
            <w:pPr>
              <w:pStyle w:val="Normal6"/>
              <w:rPr>
                <w:szCs w:val="24"/>
              </w:rPr>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 des Nations unies</w:t>
            </w:r>
            <w:r w:rsidRPr="0019144F">
              <w:rPr>
                <w:b/>
                <w:i/>
              </w:rPr>
              <w:t>, et principalement l</w:t>
            </w:r>
            <w:r>
              <w:rPr>
                <w:b/>
                <w:i/>
              </w:rPr>
              <w:t>’</w:t>
            </w:r>
            <w:r w:rsidRPr="0019144F">
              <w:rPr>
                <w:b/>
                <w:i/>
              </w:rPr>
              <w:t>élimination de la pauvreté et la réduction des inégalités, conformément aux principes d</w:t>
            </w:r>
            <w:r>
              <w:rPr>
                <w:b/>
                <w:i/>
              </w:rPr>
              <w:t>’</w:t>
            </w:r>
            <w:r w:rsidRPr="0019144F">
              <w:rPr>
                <w:b/>
                <w:i/>
              </w:rPr>
              <w:t>efficacité du développement acceptés au niveau international (appropriation, alignement sur</w:t>
            </w:r>
            <w:r w:rsidRPr="0019144F">
              <w:t xml:space="preserve"> les </w:t>
            </w:r>
            <w:r w:rsidRPr="0019144F">
              <w:rPr>
                <w:b/>
                <w:i/>
              </w:rPr>
              <w:t>stratégies nationales, harmonisation, responsabilité démocratique et résultats)</w:t>
            </w:r>
            <w:r w:rsidRPr="0019144F">
              <w:t>. Il devrait également contribuer à la mise en œuvre de l</w:t>
            </w:r>
            <w:r>
              <w:t>’</w:t>
            </w:r>
            <w:r w:rsidRPr="0019144F">
              <w:t xml:space="preserve">accord de Paris sur le changement climatique (COP 21). </w:t>
            </w:r>
            <w:r w:rsidRPr="0019144F">
              <w:rPr>
                <w:b/>
                <w:i/>
              </w:rPr>
              <w:t>L</w:t>
            </w:r>
            <w:r>
              <w:rPr>
                <w:b/>
                <w:i/>
              </w:rPr>
              <w:t>’</w:t>
            </w:r>
            <w:r w:rsidRPr="0019144F">
              <w:rPr>
                <w:b/>
                <w:i/>
              </w:rPr>
              <w:t>investissement extérieur de l</w:t>
            </w:r>
            <w:r>
              <w:rPr>
                <w:b/>
                <w:i/>
              </w:rPr>
              <w:t>’</w:t>
            </w:r>
            <w:r w:rsidRPr="0019144F">
              <w:rPr>
                <w:b/>
                <w:i/>
              </w:rPr>
              <w:t>Union devrait se concentrer sur les personnes les plus démunies et les zones les plus touchées par le changement climatique, ou susceptibles de l</w:t>
            </w:r>
            <w:r>
              <w:rPr>
                <w:b/>
                <w:i/>
              </w:rPr>
              <w:t>’</w:t>
            </w:r>
            <w:r w:rsidRPr="0019144F">
              <w:rPr>
                <w:b/>
                <w:i/>
              </w:rPr>
              <w:t>être.</w:t>
            </w:r>
          </w:p>
        </w:tc>
      </w:tr>
    </w:tbl>
    <w:p w14:paraId="6657B963"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E6FF9B5" w14:textId="77777777" w:rsidR="00BF7ACA" w:rsidRPr="00BF7ACA" w:rsidRDefault="00BF7ACA" w:rsidP="00BF7ACA">
      <w:r w:rsidRPr="00BF7ACA">
        <w:rPr>
          <w:rStyle w:val="HideTWBExt"/>
        </w:rPr>
        <w:t>&lt;/Amend&gt;</w:t>
      </w:r>
    </w:p>
    <w:p w14:paraId="168709C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79</w:t>
      </w:r>
      <w:r w:rsidRPr="00BF7ACA">
        <w:rPr>
          <w:rStyle w:val="HideTWBExt"/>
          <w:b w:val="0"/>
        </w:rPr>
        <w:t>&lt;/NumAm&gt;</w:t>
      </w:r>
    </w:p>
    <w:p w14:paraId="558EF2C8"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Ilhan Kyuchyuk, Nedzhmi Ali, Hilde Vautmans, Jozo Radoš, Marielle de Sarnez</w:t>
      </w:r>
      <w:r w:rsidRPr="00BF7ACA">
        <w:rPr>
          <w:rStyle w:val="HideTWBExt"/>
          <w:b w:val="0"/>
        </w:rPr>
        <w:t>&lt;/Members&gt;</w:t>
      </w:r>
    </w:p>
    <w:p w14:paraId="6804B42D" w14:textId="77777777" w:rsidR="00BF7ACA" w:rsidRPr="005A5903" w:rsidRDefault="00BF7ACA" w:rsidP="00BF7ACA">
      <w:r>
        <w:rPr>
          <w:rStyle w:val="HideTWBExt"/>
        </w:rPr>
        <w:t>&lt;/RepeatBlock-By&gt;</w:t>
      </w:r>
    </w:p>
    <w:p w14:paraId="1781142B"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4DEF65B9" w14:textId="77777777" w:rsidR="00BF7ACA" w:rsidRPr="005A5903" w:rsidRDefault="00BF7ACA" w:rsidP="00BF7ACA">
      <w:pPr>
        <w:pStyle w:val="NormalBold"/>
      </w:pPr>
      <w:r>
        <w:rPr>
          <w:rStyle w:val="HideTWBExt"/>
          <w:b w:val="0"/>
        </w:rPr>
        <w:t>&lt;Article&gt;</w:t>
      </w:r>
      <w:r w:rsidRPr="0019144F">
        <w:t>Considérant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4BABE96C" w14:textId="77777777" w:rsidTr="007924BE">
        <w:trPr>
          <w:jc w:val="center"/>
        </w:trPr>
        <w:tc>
          <w:tcPr>
            <w:tcW w:w="9752" w:type="dxa"/>
            <w:gridSpan w:val="2"/>
          </w:tcPr>
          <w:p w14:paraId="741E5B92" w14:textId="77777777" w:rsidR="00BF7ACA" w:rsidRPr="005A5903" w:rsidRDefault="00BF7ACA" w:rsidP="007924BE">
            <w:pPr>
              <w:keepNext/>
            </w:pPr>
          </w:p>
        </w:tc>
      </w:tr>
      <w:tr w:rsidR="00BF7ACA" w:rsidRPr="005A5903" w14:paraId="6332DA5C" w14:textId="77777777" w:rsidTr="007924BE">
        <w:trPr>
          <w:jc w:val="center"/>
        </w:trPr>
        <w:tc>
          <w:tcPr>
            <w:tcW w:w="4876" w:type="dxa"/>
            <w:hideMark/>
          </w:tcPr>
          <w:p w14:paraId="1D26B7F7" w14:textId="77777777" w:rsidR="00BF7ACA" w:rsidRPr="0019144F" w:rsidRDefault="00BF7ACA" w:rsidP="007924BE">
            <w:pPr>
              <w:pStyle w:val="ColumnHeading"/>
              <w:keepNext/>
            </w:pPr>
            <w:r w:rsidRPr="0019144F">
              <w:t>Texte proposé par la Commission</w:t>
            </w:r>
          </w:p>
        </w:tc>
        <w:tc>
          <w:tcPr>
            <w:tcW w:w="4876" w:type="dxa"/>
            <w:hideMark/>
          </w:tcPr>
          <w:p w14:paraId="716C4F80" w14:textId="77777777" w:rsidR="00BF7ACA" w:rsidRPr="0019144F" w:rsidRDefault="00BF7ACA" w:rsidP="007924BE">
            <w:pPr>
              <w:pStyle w:val="ColumnHeading"/>
              <w:keepNext/>
            </w:pPr>
            <w:r w:rsidRPr="0019144F">
              <w:t>Amendement</w:t>
            </w:r>
          </w:p>
        </w:tc>
      </w:tr>
      <w:tr w:rsidR="00BF7ACA" w:rsidRPr="005A5903" w14:paraId="28EBFA23" w14:textId="77777777" w:rsidTr="007924BE">
        <w:trPr>
          <w:jc w:val="center"/>
        </w:trPr>
        <w:tc>
          <w:tcPr>
            <w:tcW w:w="4876" w:type="dxa"/>
            <w:hideMark/>
          </w:tcPr>
          <w:p w14:paraId="30EFD4D0" w14:textId="77777777" w:rsidR="00BF7ACA" w:rsidRPr="0019144F" w:rsidRDefault="00BF7ACA" w:rsidP="007924BE">
            <w:pPr>
              <w:pStyle w:val="Normal6"/>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 des Nations unies ainsi que les engagements pris dans le cadre de la politique européenne de voisinage révisée</w:t>
            </w:r>
            <w:r w:rsidRPr="0019144F">
              <w:rPr>
                <w:b/>
                <w:i/>
              </w:rPr>
              <w:t xml:space="preserve"> et, partant, de lutter contre les causes profondes de la migration</w:t>
            </w:r>
            <w:r w:rsidRPr="0019144F">
              <w:t>. Il devrait également contribuer à la mise en œuvre de l</w:t>
            </w:r>
            <w:r>
              <w:t>’</w:t>
            </w:r>
            <w:r w:rsidRPr="0019144F">
              <w:t>accord de Paris sur le changement climatique (COP 21).</w:t>
            </w:r>
          </w:p>
        </w:tc>
        <w:tc>
          <w:tcPr>
            <w:tcW w:w="4876" w:type="dxa"/>
            <w:hideMark/>
          </w:tcPr>
          <w:p w14:paraId="7BC3FDC9" w14:textId="77777777" w:rsidR="00BF7ACA" w:rsidRPr="0019144F" w:rsidRDefault="00BF7ACA" w:rsidP="007924BE">
            <w:pPr>
              <w:pStyle w:val="Normal6"/>
              <w:rPr>
                <w:szCs w:val="24"/>
              </w:rPr>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 des Nations unies</w:t>
            </w:r>
            <w:r w:rsidRPr="0019144F">
              <w:rPr>
                <w:b/>
                <w:i/>
              </w:rPr>
              <w:t>, notamment l</w:t>
            </w:r>
            <w:r>
              <w:rPr>
                <w:b/>
                <w:i/>
              </w:rPr>
              <w:t>’</w:t>
            </w:r>
            <w:r w:rsidRPr="0019144F">
              <w:rPr>
                <w:b/>
                <w:i/>
              </w:rPr>
              <w:t>éradication de la pauvreté et la réduction des inégalités,</w:t>
            </w:r>
            <w:r w:rsidRPr="0019144F">
              <w:t xml:space="preserve"> ainsi que les engagements pris dans le cadre de la politique européenne de voisinage révisée. Il devrait également contribuer à la mise en œuvre de l</w:t>
            </w:r>
            <w:r>
              <w:t>’</w:t>
            </w:r>
            <w:r w:rsidRPr="0019144F">
              <w:t>accord de Paris sur le changement climatique (COP 21)</w:t>
            </w:r>
            <w:r w:rsidRPr="0019144F">
              <w:rPr>
                <w:b/>
                <w:i/>
              </w:rPr>
              <w:t xml:space="preserve"> et prévoir en particulier des mesures de protection contre les effets du changement climatique et de résilience au changement climatique dans tous les investissements et opérations de financement</w:t>
            </w:r>
            <w:r w:rsidRPr="0019144F">
              <w:t>.</w:t>
            </w:r>
          </w:p>
        </w:tc>
      </w:tr>
    </w:tbl>
    <w:p w14:paraId="7FE7DCC3"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D0D330D" w14:textId="77777777" w:rsidR="00BF7ACA" w:rsidRPr="00BF7ACA" w:rsidRDefault="00BF7ACA" w:rsidP="00BF7ACA">
      <w:r w:rsidRPr="00BF7ACA">
        <w:rPr>
          <w:rStyle w:val="HideTWBExt"/>
        </w:rPr>
        <w:t>&lt;/Amend&gt;</w:t>
      </w:r>
    </w:p>
    <w:p w14:paraId="113C95D4"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80</w:t>
      </w:r>
      <w:r w:rsidRPr="00BF7ACA">
        <w:rPr>
          <w:rStyle w:val="HideTWBExt"/>
          <w:b w:val="0"/>
        </w:rPr>
        <w:t>&lt;/NumAm&gt;</w:t>
      </w:r>
    </w:p>
    <w:p w14:paraId="5C4C8EED" w14:textId="77777777"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14:paraId="0013FAAF" w14:textId="77777777" w:rsidR="00BF7ACA" w:rsidRPr="00E502E5" w:rsidRDefault="00BF7ACA" w:rsidP="00BF7ACA">
      <w:r>
        <w:rPr>
          <w:rStyle w:val="HideTWBExt"/>
        </w:rPr>
        <w:t>&lt;/RepeatBlock-By&gt;</w:t>
      </w:r>
    </w:p>
    <w:p w14:paraId="1984C439" w14:textId="77777777"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14:paraId="15687E7A" w14:textId="77777777" w:rsidR="00BF7ACA" w:rsidRPr="00E502E5" w:rsidRDefault="00BF7ACA" w:rsidP="00BF7ACA">
      <w:pPr>
        <w:pStyle w:val="NormalBold"/>
      </w:pPr>
      <w:r>
        <w:rPr>
          <w:rStyle w:val="HideTWBExt"/>
          <w:b w:val="0"/>
        </w:rPr>
        <w:t>&lt;Article&gt;</w:t>
      </w:r>
      <w:r w:rsidRPr="002E43F3">
        <w:t>Considérant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045B9D47" w14:textId="77777777" w:rsidTr="007924BE">
        <w:trPr>
          <w:jc w:val="center"/>
        </w:trPr>
        <w:tc>
          <w:tcPr>
            <w:tcW w:w="9752" w:type="dxa"/>
            <w:gridSpan w:val="2"/>
          </w:tcPr>
          <w:p w14:paraId="64C8BF31" w14:textId="77777777" w:rsidR="00BF7ACA" w:rsidRPr="00E502E5" w:rsidRDefault="00BF7ACA" w:rsidP="007924BE">
            <w:pPr>
              <w:keepNext/>
            </w:pPr>
          </w:p>
        </w:tc>
      </w:tr>
      <w:tr w:rsidR="00BF7ACA" w:rsidRPr="00E502E5" w14:paraId="2BCCC3B3" w14:textId="77777777" w:rsidTr="007924BE">
        <w:trPr>
          <w:jc w:val="center"/>
        </w:trPr>
        <w:tc>
          <w:tcPr>
            <w:tcW w:w="4876" w:type="dxa"/>
            <w:hideMark/>
          </w:tcPr>
          <w:p w14:paraId="49AD7253" w14:textId="77777777" w:rsidR="00BF7ACA" w:rsidRPr="002E43F3" w:rsidRDefault="00BF7ACA" w:rsidP="007924BE">
            <w:pPr>
              <w:pStyle w:val="ColumnHeading"/>
              <w:keepNext/>
            </w:pPr>
            <w:r w:rsidRPr="002E43F3">
              <w:t>Texte proposé par la Commission</w:t>
            </w:r>
          </w:p>
        </w:tc>
        <w:tc>
          <w:tcPr>
            <w:tcW w:w="4876" w:type="dxa"/>
            <w:hideMark/>
          </w:tcPr>
          <w:p w14:paraId="1E07C993" w14:textId="77777777" w:rsidR="00BF7ACA" w:rsidRPr="002E43F3" w:rsidRDefault="00BF7ACA" w:rsidP="007924BE">
            <w:pPr>
              <w:pStyle w:val="ColumnHeading"/>
              <w:keepNext/>
            </w:pPr>
            <w:r w:rsidRPr="002E43F3">
              <w:t>Amendement</w:t>
            </w:r>
          </w:p>
        </w:tc>
      </w:tr>
      <w:tr w:rsidR="00BF7ACA" w:rsidRPr="00E502E5" w14:paraId="01BBBD57" w14:textId="77777777" w:rsidTr="007924BE">
        <w:trPr>
          <w:jc w:val="center"/>
        </w:trPr>
        <w:tc>
          <w:tcPr>
            <w:tcW w:w="4876" w:type="dxa"/>
            <w:hideMark/>
          </w:tcPr>
          <w:p w14:paraId="697C85D0" w14:textId="77777777" w:rsidR="00BF7ACA" w:rsidRPr="002E43F3" w:rsidRDefault="00BF7ACA" w:rsidP="007924BE">
            <w:pPr>
              <w:pStyle w:val="Normal6"/>
            </w:pPr>
            <w:r w:rsidRPr="002E43F3">
              <w:t>(1)</w:t>
            </w:r>
            <w:r>
              <w:tab/>
            </w:r>
            <w:r>
              <w:rPr>
                <w:b/>
                <w:i/>
              </w:rPr>
              <w:t>L’ambitieux</w:t>
            </w:r>
            <w:r>
              <w:t xml:space="preserve"> plan d’investissement extérieur (PIE) de l’Union </w:t>
            </w:r>
            <w:r>
              <w:rPr>
                <w:b/>
                <w:i/>
              </w:rPr>
              <w:t>est nécessaire pour soutenir les</w:t>
            </w:r>
            <w:r>
              <w:t xml:space="preserve"> investissements en Afrique et dans les pays du voisinage de l’UE, dans un premier temps, </w:t>
            </w:r>
            <w:r>
              <w:rPr>
                <w:b/>
                <w:i/>
              </w:rPr>
              <w:t xml:space="preserve">dans le but de promouvoir les objectifs de développement durable du programme de développement durable à l’horizon 2030 des Nations unies </w:t>
            </w:r>
            <w:r>
              <w:t xml:space="preserve">ainsi que les engagements pris dans le cadre de la politique européenne de voisinage </w:t>
            </w:r>
            <w:r>
              <w:rPr>
                <w:b/>
                <w:i/>
              </w:rPr>
              <w:t>révisée et, partant,</w:t>
            </w:r>
            <w:r>
              <w:t xml:space="preserve"> de lutter contre les causes </w:t>
            </w:r>
            <w:r>
              <w:rPr>
                <w:b/>
                <w:i/>
              </w:rPr>
              <w:t xml:space="preserve">profondes </w:t>
            </w:r>
            <w:r>
              <w:t>de la migration.</w:t>
            </w:r>
            <w:r w:rsidRPr="002E43F3">
              <w:t xml:space="preserve"> Il devrait également contribuer à la mise en œuvre de l</w:t>
            </w:r>
            <w:r>
              <w:t>’</w:t>
            </w:r>
            <w:r w:rsidRPr="002E43F3">
              <w:t>accord de Paris sur le changement climatique (COP 21).</w:t>
            </w:r>
          </w:p>
        </w:tc>
        <w:tc>
          <w:tcPr>
            <w:tcW w:w="4876" w:type="dxa"/>
            <w:hideMark/>
          </w:tcPr>
          <w:p w14:paraId="692669F5" w14:textId="77777777" w:rsidR="00BF7ACA" w:rsidRPr="002E43F3" w:rsidRDefault="00BF7ACA" w:rsidP="007924BE">
            <w:pPr>
              <w:pStyle w:val="Normal6"/>
              <w:rPr>
                <w:szCs w:val="24"/>
              </w:rPr>
            </w:pPr>
            <w:r w:rsidRPr="002E43F3">
              <w:t>(1)</w:t>
            </w:r>
            <w:r>
              <w:tab/>
            </w:r>
            <w:r>
              <w:rPr>
                <w:b/>
                <w:i/>
              </w:rPr>
              <w:t>Le</w:t>
            </w:r>
            <w:r>
              <w:t xml:space="preserve"> plan d’investissement extérieur (PIE) de l’Union </w:t>
            </w:r>
            <w:r>
              <w:rPr>
                <w:b/>
                <w:i/>
              </w:rPr>
              <w:t>comprend des</w:t>
            </w:r>
            <w:r>
              <w:t xml:space="preserve"> investissements en Afrique et dans les pays du voisinage de l’UE, dans un premier temps, ainsi que les engagements pris dans le cadre de la politique européenne de voisinage </w:t>
            </w:r>
            <w:r>
              <w:rPr>
                <w:b/>
                <w:i/>
              </w:rPr>
              <w:t>afin</w:t>
            </w:r>
            <w:r>
              <w:t xml:space="preserve"> de lutter contre les causes de la migration</w:t>
            </w:r>
            <w:r>
              <w:rPr>
                <w:b/>
                <w:i/>
              </w:rPr>
              <w:t xml:space="preserve"> et les flux migratoires massifs auxquels l’Europe est confrontée</w:t>
            </w:r>
            <w:r>
              <w:t>.</w:t>
            </w:r>
            <w:r w:rsidRPr="002E43F3">
              <w:t xml:space="preserve"> Il devrait également contribuer à la mise en œuvre de l</w:t>
            </w:r>
            <w:r>
              <w:t>’</w:t>
            </w:r>
            <w:r w:rsidRPr="002E43F3">
              <w:t>accord de Paris sur le changement climatique (COP 21).</w:t>
            </w:r>
          </w:p>
        </w:tc>
      </w:tr>
    </w:tbl>
    <w:p w14:paraId="1A5B643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{IT}</w:t>
      </w:r>
      <w:r w:rsidRPr="00BF7ACA">
        <w:rPr>
          <w:noProof w:val="0"/>
        </w:rPr>
        <w:t>it</w:t>
      </w:r>
      <w:r w:rsidRPr="00BF7ACA">
        <w:rPr>
          <w:rStyle w:val="HideTWBExt"/>
          <w:noProof w:val="0"/>
        </w:rPr>
        <w:t>&lt;/Original&gt;</w:t>
      </w:r>
    </w:p>
    <w:p w14:paraId="3F202889" w14:textId="77777777" w:rsidR="00BF7ACA" w:rsidRPr="00BF7ACA" w:rsidRDefault="00BF7ACA" w:rsidP="00BF7ACA">
      <w:r w:rsidRPr="00BF7ACA">
        <w:rPr>
          <w:rStyle w:val="HideTWBExt"/>
        </w:rPr>
        <w:t>&lt;/Amend&gt;</w:t>
      </w:r>
    </w:p>
    <w:p w14:paraId="5531F89A"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81</w:t>
      </w:r>
      <w:r w:rsidRPr="00E502E5">
        <w:rPr>
          <w:rStyle w:val="HideTWBExt"/>
          <w:b w:val="0"/>
        </w:rPr>
        <w:t>&lt;/NumAm&gt;</w:t>
      </w:r>
    </w:p>
    <w:p w14:paraId="791B0AA7" w14:textId="77777777" w:rsidR="00BF7ACA" w:rsidRPr="00E502E5" w:rsidRDefault="00BF7ACA" w:rsidP="00BF7ACA">
      <w:pPr>
        <w:pStyle w:val="NormalBold"/>
      </w:pPr>
      <w:r w:rsidRPr="00E502E5">
        <w:rPr>
          <w:rStyle w:val="HideTWBExt"/>
          <w:b w:val="0"/>
        </w:rPr>
        <w:t>&lt;RepeatBlock-By&gt;&lt;Members&gt;</w:t>
      </w:r>
      <w:r w:rsidRPr="00E502E5">
        <w:t>Jean-Luc Schaffhauser</w:t>
      </w:r>
      <w:r w:rsidRPr="00E502E5">
        <w:rPr>
          <w:rStyle w:val="HideTWBExt"/>
          <w:b w:val="0"/>
        </w:rPr>
        <w:t>&lt;/Members&gt;</w:t>
      </w:r>
    </w:p>
    <w:p w14:paraId="1D74994A" w14:textId="77777777" w:rsidR="00BF7ACA" w:rsidRPr="00E502E5" w:rsidRDefault="00BF7ACA" w:rsidP="00BF7ACA">
      <w:r w:rsidRPr="00E502E5">
        <w:rPr>
          <w:rStyle w:val="HideTWBExt"/>
        </w:rPr>
        <w:t>&lt;/RepeatBlock-By&gt;</w:t>
      </w:r>
    </w:p>
    <w:p w14:paraId="1D295FA9"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57479D93" w14:textId="77777777" w:rsidR="00BF7ACA" w:rsidRPr="00E502E5" w:rsidRDefault="00BF7ACA" w:rsidP="00BF7ACA">
      <w:pPr>
        <w:pStyle w:val="NormalBold"/>
      </w:pPr>
      <w:r w:rsidRPr="00E502E5">
        <w:rPr>
          <w:rStyle w:val="HideTWBExt"/>
          <w:b w:val="0"/>
        </w:rPr>
        <w:t>&lt;Article&gt;</w:t>
      </w:r>
      <w:r w:rsidRPr="00E502E5">
        <w:t>Considérant 1</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30813936" w14:textId="77777777" w:rsidTr="007924BE">
        <w:trPr>
          <w:jc w:val="center"/>
        </w:trPr>
        <w:tc>
          <w:tcPr>
            <w:tcW w:w="9752" w:type="dxa"/>
            <w:gridSpan w:val="2"/>
          </w:tcPr>
          <w:p w14:paraId="7174FFAB" w14:textId="77777777" w:rsidR="00BF7ACA" w:rsidRPr="00E502E5" w:rsidRDefault="00BF7ACA" w:rsidP="007924BE">
            <w:pPr>
              <w:keepNext/>
            </w:pPr>
          </w:p>
        </w:tc>
      </w:tr>
      <w:tr w:rsidR="00BF7ACA" w:rsidRPr="00E502E5" w14:paraId="697718D8" w14:textId="77777777" w:rsidTr="007924BE">
        <w:trPr>
          <w:jc w:val="center"/>
        </w:trPr>
        <w:tc>
          <w:tcPr>
            <w:tcW w:w="4876" w:type="dxa"/>
            <w:hideMark/>
          </w:tcPr>
          <w:p w14:paraId="687C8A48" w14:textId="77777777" w:rsidR="00BF7ACA" w:rsidRPr="00E502E5" w:rsidRDefault="00BF7ACA" w:rsidP="007924BE">
            <w:pPr>
              <w:pStyle w:val="ColumnHeading"/>
              <w:keepNext/>
            </w:pPr>
            <w:r w:rsidRPr="00E502E5">
              <w:t>Texte proposé par la Commission</w:t>
            </w:r>
          </w:p>
        </w:tc>
        <w:tc>
          <w:tcPr>
            <w:tcW w:w="4876" w:type="dxa"/>
            <w:hideMark/>
          </w:tcPr>
          <w:p w14:paraId="0CD1D8CE" w14:textId="77777777" w:rsidR="00BF7ACA" w:rsidRPr="00E502E5" w:rsidRDefault="00BF7ACA" w:rsidP="007924BE">
            <w:pPr>
              <w:pStyle w:val="ColumnHeading"/>
              <w:keepNext/>
            </w:pPr>
            <w:r w:rsidRPr="00E502E5">
              <w:t>Amendement</w:t>
            </w:r>
          </w:p>
        </w:tc>
      </w:tr>
      <w:tr w:rsidR="00BF7ACA" w:rsidRPr="00E502E5" w14:paraId="2553B680" w14:textId="77777777" w:rsidTr="007924BE">
        <w:trPr>
          <w:jc w:val="center"/>
        </w:trPr>
        <w:tc>
          <w:tcPr>
            <w:tcW w:w="4876" w:type="dxa"/>
            <w:hideMark/>
          </w:tcPr>
          <w:p w14:paraId="190117A6" w14:textId="77777777" w:rsidR="00BF7ACA" w:rsidRPr="00E502E5" w:rsidRDefault="00BF7ACA" w:rsidP="007924BE">
            <w:pPr>
              <w:pStyle w:val="Normal6"/>
            </w:pPr>
            <w:r w:rsidRPr="00E502E5">
              <w:t>(1)</w:t>
            </w:r>
            <w:r w:rsidRPr="00E502E5">
              <w:tab/>
              <w:t>L</w:t>
            </w:r>
            <w:r>
              <w:t>’</w:t>
            </w:r>
            <w:r w:rsidRPr="00E502E5">
              <w:t>ambitieux plan d</w:t>
            </w:r>
            <w:r>
              <w:t>’</w:t>
            </w:r>
            <w:r w:rsidRPr="00E502E5">
              <w:t xml:space="preserve">investissement extérieur (PIE) </w:t>
            </w:r>
            <w:r w:rsidRPr="00E502E5">
              <w:rPr>
                <w:b/>
                <w:i/>
              </w:rPr>
              <w:t>de l</w:t>
            </w:r>
            <w:r>
              <w:rPr>
                <w:b/>
                <w:i/>
              </w:rPr>
              <w:t>’</w:t>
            </w:r>
            <w:r w:rsidRPr="00E502E5">
              <w:rPr>
                <w:b/>
                <w:i/>
              </w:rPr>
              <w:t>Union est nécessaire pour</w:t>
            </w:r>
            <w:r w:rsidRPr="00E502E5">
              <w:t xml:space="preserve"> soutenir les investissements en Afrique et dans les pays du voisinage de l</w:t>
            </w:r>
            <w:r>
              <w:t>’</w:t>
            </w:r>
            <w:r w:rsidRPr="00E502E5">
              <w:t>UE, dans un premier temps, dans le but de promouvoir les objectifs de développement durable du programme de développement durable à l</w:t>
            </w:r>
            <w:r>
              <w:t>’</w:t>
            </w:r>
            <w:r w:rsidRPr="00E502E5">
              <w:t xml:space="preserve">horizon 2030 des Nations unies </w:t>
            </w:r>
            <w:r w:rsidRPr="00E502E5">
              <w:rPr>
                <w:b/>
                <w:i/>
              </w:rPr>
              <w:t>ainsi que les engagements pris dans le cadre de la politique européenne de voisinage révisée et, partant, de lutter contre les causes profondes de la migration</w:t>
            </w:r>
            <w:r w:rsidRPr="00E502E5">
              <w:t>. Il devrait également contribuer à la mise en œuvre de l</w:t>
            </w:r>
            <w:r>
              <w:t>’</w:t>
            </w:r>
            <w:r w:rsidRPr="00E502E5">
              <w:t>accord de Paris su</w:t>
            </w:r>
            <w:r>
              <w:t>r le changement climatique (COP </w:t>
            </w:r>
            <w:r w:rsidRPr="00E502E5">
              <w:t>21).</w:t>
            </w:r>
          </w:p>
        </w:tc>
        <w:tc>
          <w:tcPr>
            <w:tcW w:w="4876" w:type="dxa"/>
            <w:hideMark/>
          </w:tcPr>
          <w:p w14:paraId="59F4F479" w14:textId="77777777" w:rsidR="00BF7ACA" w:rsidRPr="00E502E5" w:rsidRDefault="00BF7ACA" w:rsidP="007924BE">
            <w:pPr>
              <w:pStyle w:val="Normal6"/>
              <w:rPr>
                <w:szCs w:val="24"/>
              </w:rPr>
            </w:pPr>
            <w:r w:rsidRPr="00E502E5">
              <w:t>(1)</w:t>
            </w:r>
            <w:r w:rsidRPr="00E502E5">
              <w:tab/>
              <w:t>L</w:t>
            </w:r>
            <w:r>
              <w:t>’</w:t>
            </w:r>
            <w:r w:rsidRPr="00E502E5">
              <w:t>ambitieux plan d</w:t>
            </w:r>
            <w:r>
              <w:t>’</w:t>
            </w:r>
            <w:r w:rsidRPr="00E502E5">
              <w:t xml:space="preserve">investissement extérieur (PIE) </w:t>
            </w:r>
            <w:r w:rsidRPr="00E502E5">
              <w:rPr>
                <w:b/>
                <w:i/>
              </w:rPr>
              <w:t xml:space="preserve">des </w:t>
            </w:r>
            <w:r>
              <w:rPr>
                <w:b/>
                <w:i/>
              </w:rPr>
              <w:t>É</w:t>
            </w:r>
            <w:r w:rsidRPr="00E502E5">
              <w:rPr>
                <w:b/>
                <w:i/>
              </w:rPr>
              <w:t>tats membres est une possibilité de</w:t>
            </w:r>
            <w:r w:rsidRPr="00E502E5">
              <w:t xml:space="preserve"> soutenir les investissements en Afrique et dans les pays du voisinage de l</w:t>
            </w:r>
            <w:r>
              <w:t>’</w:t>
            </w:r>
            <w:r w:rsidRPr="00E502E5">
              <w:t>UE, dans un premier temps, dans le but de promouvoir les objectifs de développement durable du programme de développement durable à l</w:t>
            </w:r>
            <w:r>
              <w:t>’</w:t>
            </w:r>
            <w:r w:rsidRPr="00E502E5">
              <w:t>horizon 2030 des Nations unies. Il devrait également contribuer à la mise en œuvre de l</w:t>
            </w:r>
            <w:r>
              <w:t>’</w:t>
            </w:r>
            <w:r w:rsidRPr="00E502E5">
              <w:t>accord de Paris sur le changement climatique (COP</w:t>
            </w:r>
            <w:r>
              <w:t> </w:t>
            </w:r>
            <w:r w:rsidRPr="00E502E5">
              <w:t>21).</w:t>
            </w:r>
          </w:p>
        </w:tc>
      </w:tr>
    </w:tbl>
    <w:p w14:paraId="178D1F99"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1C01F4EB" w14:textId="77777777" w:rsidR="00BF7ACA" w:rsidRPr="00E502E5" w:rsidRDefault="00BF7ACA" w:rsidP="00BF7ACA">
      <w:r w:rsidRPr="00E502E5">
        <w:rPr>
          <w:rStyle w:val="HideTWBExt"/>
        </w:rPr>
        <w:t>&lt;/Amend&gt;</w:t>
      </w:r>
    </w:p>
    <w:p w14:paraId="4E37ED3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82</w:t>
      </w:r>
      <w:r w:rsidRPr="00BF7ACA">
        <w:rPr>
          <w:rStyle w:val="HideTWBExt"/>
          <w:b w:val="0"/>
        </w:rPr>
        <w:t>&lt;/NumAm&gt;</w:t>
      </w:r>
    </w:p>
    <w:p w14:paraId="52939D6F"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040B9859" w14:textId="77777777" w:rsidR="00BF7ACA" w:rsidRPr="005A5903" w:rsidRDefault="00BF7ACA" w:rsidP="00BF7ACA">
      <w:r>
        <w:rPr>
          <w:rStyle w:val="HideTWBExt"/>
        </w:rPr>
        <w:t>&lt;/RepeatBlock-By&gt;</w:t>
      </w:r>
    </w:p>
    <w:p w14:paraId="4BE04CD2"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76F000DB" w14:textId="77777777" w:rsidR="00BF7ACA" w:rsidRPr="005A5903" w:rsidRDefault="00BF7ACA" w:rsidP="00BF7ACA">
      <w:pPr>
        <w:pStyle w:val="NormalBold"/>
      </w:pPr>
      <w:r>
        <w:rPr>
          <w:rStyle w:val="HideTWBExt"/>
          <w:b w:val="0"/>
        </w:rPr>
        <w:t>&lt;Article&gt;</w:t>
      </w:r>
      <w:r w:rsidRPr="0019144F">
        <w:t>Considérant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5B674A73" w14:textId="77777777" w:rsidTr="007924BE">
        <w:trPr>
          <w:jc w:val="center"/>
        </w:trPr>
        <w:tc>
          <w:tcPr>
            <w:tcW w:w="9752" w:type="dxa"/>
            <w:gridSpan w:val="2"/>
          </w:tcPr>
          <w:p w14:paraId="705DD953" w14:textId="77777777" w:rsidR="00BF7ACA" w:rsidRPr="005A5903" w:rsidRDefault="00BF7ACA" w:rsidP="007924BE">
            <w:pPr>
              <w:keepNext/>
            </w:pPr>
          </w:p>
        </w:tc>
      </w:tr>
      <w:tr w:rsidR="00BF7ACA" w:rsidRPr="005A5903" w14:paraId="09ED660F" w14:textId="77777777" w:rsidTr="007924BE">
        <w:trPr>
          <w:jc w:val="center"/>
        </w:trPr>
        <w:tc>
          <w:tcPr>
            <w:tcW w:w="4876" w:type="dxa"/>
            <w:hideMark/>
          </w:tcPr>
          <w:p w14:paraId="249FFD03" w14:textId="77777777" w:rsidR="00BF7ACA" w:rsidRPr="0019144F" w:rsidRDefault="00BF7ACA" w:rsidP="007924BE">
            <w:pPr>
              <w:pStyle w:val="ColumnHeading"/>
              <w:keepNext/>
            </w:pPr>
            <w:r w:rsidRPr="0019144F">
              <w:t>Texte proposé par la Commission</w:t>
            </w:r>
          </w:p>
        </w:tc>
        <w:tc>
          <w:tcPr>
            <w:tcW w:w="4876" w:type="dxa"/>
            <w:hideMark/>
          </w:tcPr>
          <w:p w14:paraId="28BA30C3" w14:textId="77777777" w:rsidR="00BF7ACA" w:rsidRPr="0019144F" w:rsidRDefault="00BF7ACA" w:rsidP="007924BE">
            <w:pPr>
              <w:pStyle w:val="ColumnHeading"/>
              <w:keepNext/>
            </w:pPr>
            <w:r w:rsidRPr="0019144F">
              <w:t>Amendement</w:t>
            </w:r>
          </w:p>
        </w:tc>
      </w:tr>
      <w:tr w:rsidR="00BF7ACA" w:rsidRPr="005A5903" w14:paraId="07730B9F" w14:textId="77777777" w:rsidTr="007924BE">
        <w:trPr>
          <w:jc w:val="center"/>
        </w:trPr>
        <w:tc>
          <w:tcPr>
            <w:tcW w:w="4876" w:type="dxa"/>
            <w:hideMark/>
          </w:tcPr>
          <w:p w14:paraId="73711048" w14:textId="77777777" w:rsidR="00BF7ACA" w:rsidRPr="0019144F" w:rsidRDefault="00BF7ACA" w:rsidP="007924BE">
            <w:pPr>
              <w:pStyle w:val="Normal6"/>
            </w:pPr>
            <w:r w:rsidRPr="0019144F">
              <w:t>(1)</w:t>
            </w:r>
            <w:r>
              <w:tab/>
            </w:r>
            <w:r w:rsidRPr="0019144F">
              <w:t>L</w:t>
            </w:r>
            <w:r>
              <w:t>’</w:t>
            </w:r>
            <w:r w:rsidRPr="0019144F">
              <w:t>ambitieux plan d</w:t>
            </w:r>
            <w:r>
              <w:t>’</w:t>
            </w:r>
            <w:r w:rsidRPr="0019144F">
              <w:t>investissement extérieur (PIE) de l</w:t>
            </w:r>
            <w:r>
              <w:t>’</w:t>
            </w:r>
            <w:r w:rsidRPr="0019144F">
              <w:t xml:space="preserve">Union </w:t>
            </w:r>
            <w:r w:rsidRPr="0019144F">
              <w:rPr>
                <w:b/>
                <w:i/>
              </w:rPr>
              <w:t>est nécessaire pour</w:t>
            </w:r>
            <w:r w:rsidRPr="0019144F">
              <w:t xml:space="preserve">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w:t>
            </w:r>
            <w:r w:rsidRPr="0019144F">
              <w:rPr>
                <w:b/>
                <w:i/>
              </w:rPr>
              <w:t xml:space="preserve"> des Nations unies ainsi que les engagements pris dans le cadre de la politique européenne de voisinage révisée et, partant, de lutter contre les causes profondes de la migration</w:t>
            </w:r>
            <w:r w:rsidRPr="0019144F">
              <w:t>. Il devrait également contribuer à la mise en œuvre de l</w:t>
            </w:r>
            <w:r>
              <w:t>’</w:t>
            </w:r>
            <w:r w:rsidRPr="0019144F">
              <w:t>accord de Paris sur le changement climatique (COP 21).</w:t>
            </w:r>
          </w:p>
        </w:tc>
        <w:tc>
          <w:tcPr>
            <w:tcW w:w="4876" w:type="dxa"/>
            <w:hideMark/>
          </w:tcPr>
          <w:p w14:paraId="538A9B42" w14:textId="77777777" w:rsidR="00BF7ACA" w:rsidRPr="0019144F" w:rsidRDefault="00BF7ACA" w:rsidP="007924BE">
            <w:pPr>
              <w:pStyle w:val="Normal6"/>
              <w:rPr>
                <w:szCs w:val="24"/>
              </w:rPr>
            </w:pPr>
            <w:r w:rsidRPr="0019144F">
              <w:t>(1)</w:t>
            </w:r>
            <w:r>
              <w:tab/>
            </w:r>
            <w:r w:rsidRPr="0019144F">
              <w:t>L</w:t>
            </w:r>
            <w:r>
              <w:t>’</w:t>
            </w:r>
            <w:r w:rsidRPr="0019144F">
              <w:t>ambitieux plan d</w:t>
            </w:r>
            <w:r>
              <w:t>’</w:t>
            </w:r>
            <w:r w:rsidRPr="0019144F">
              <w:t>investissement extérieur (PIE) de l</w:t>
            </w:r>
            <w:r>
              <w:t>’</w:t>
            </w:r>
            <w:r w:rsidRPr="0019144F">
              <w:t xml:space="preserve">Union </w:t>
            </w:r>
            <w:r w:rsidRPr="0019144F">
              <w:rPr>
                <w:b/>
                <w:i/>
              </w:rPr>
              <w:t>vise à</w:t>
            </w:r>
            <w:r w:rsidRPr="0019144F">
              <w:t xml:space="preserve">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 Il devrait également contribuer à la mise en œuvre de l</w:t>
            </w:r>
            <w:r>
              <w:t>’</w:t>
            </w:r>
            <w:r w:rsidRPr="0019144F">
              <w:t>accord de Paris sur le changement climatique (COP 21).</w:t>
            </w:r>
          </w:p>
        </w:tc>
      </w:tr>
    </w:tbl>
    <w:p w14:paraId="639181A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0284BB8" w14:textId="77777777" w:rsidR="00BF7ACA" w:rsidRPr="00BF7ACA" w:rsidRDefault="00BF7ACA" w:rsidP="00BF7ACA">
      <w:r w:rsidRPr="00BF7ACA">
        <w:rPr>
          <w:rStyle w:val="HideTWBExt"/>
        </w:rPr>
        <w:t>&lt;/Amend&gt;</w:t>
      </w:r>
    </w:p>
    <w:p w14:paraId="687F3627"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83</w:t>
      </w:r>
      <w:r w:rsidRPr="00BF7ACA">
        <w:rPr>
          <w:rStyle w:val="HideTWBExt"/>
          <w:b w:val="0"/>
        </w:rPr>
        <w:t>&lt;/NumAm&gt;</w:t>
      </w:r>
    </w:p>
    <w:p w14:paraId="734D54BA" w14:textId="77777777"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14:paraId="78B8463F" w14:textId="77777777" w:rsidR="00BF7ACA" w:rsidRPr="005A5903" w:rsidRDefault="00BF7ACA" w:rsidP="00BF7ACA">
      <w:r>
        <w:rPr>
          <w:rStyle w:val="HideTWBExt"/>
        </w:rPr>
        <w:t>&lt;/RepeatBlock-By&gt;</w:t>
      </w:r>
    </w:p>
    <w:p w14:paraId="506BE7A1"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56A1F85C" w14:textId="77777777" w:rsidR="00BF7ACA" w:rsidRPr="005A5903" w:rsidRDefault="00BF7ACA" w:rsidP="00BF7ACA">
      <w:pPr>
        <w:pStyle w:val="NormalBold"/>
      </w:pPr>
      <w:r>
        <w:rPr>
          <w:rStyle w:val="HideTWBExt"/>
          <w:b w:val="0"/>
        </w:rPr>
        <w:t>&lt;Article&gt;</w:t>
      </w:r>
      <w:r w:rsidRPr="0019144F">
        <w:t>Considérant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08C9B00F" w14:textId="77777777" w:rsidTr="007924BE">
        <w:trPr>
          <w:jc w:val="center"/>
        </w:trPr>
        <w:tc>
          <w:tcPr>
            <w:tcW w:w="9752" w:type="dxa"/>
            <w:gridSpan w:val="2"/>
          </w:tcPr>
          <w:p w14:paraId="1EC1B857" w14:textId="77777777" w:rsidR="00BF7ACA" w:rsidRPr="005A5903" w:rsidRDefault="00BF7ACA" w:rsidP="007924BE">
            <w:pPr>
              <w:keepNext/>
            </w:pPr>
          </w:p>
        </w:tc>
      </w:tr>
      <w:tr w:rsidR="00BF7ACA" w:rsidRPr="005A5903" w14:paraId="7E355601" w14:textId="77777777" w:rsidTr="007924BE">
        <w:trPr>
          <w:jc w:val="center"/>
        </w:trPr>
        <w:tc>
          <w:tcPr>
            <w:tcW w:w="4876" w:type="dxa"/>
            <w:hideMark/>
          </w:tcPr>
          <w:p w14:paraId="3C73E9BE" w14:textId="77777777" w:rsidR="00BF7ACA" w:rsidRPr="0019144F" w:rsidRDefault="00BF7ACA" w:rsidP="007924BE">
            <w:pPr>
              <w:pStyle w:val="ColumnHeading"/>
              <w:keepNext/>
            </w:pPr>
            <w:r w:rsidRPr="0019144F">
              <w:t>Texte proposé par la Commission</w:t>
            </w:r>
          </w:p>
        </w:tc>
        <w:tc>
          <w:tcPr>
            <w:tcW w:w="4876" w:type="dxa"/>
            <w:hideMark/>
          </w:tcPr>
          <w:p w14:paraId="45DB0400" w14:textId="77777777" w:rsidR="00BF7ACA" w:rsidRPr="0019144F" w:rsidRDefault="00BF7ACA" w:rsidP="007924BE">
            <w:pPr>
              <w:pStyle w:val="ColumnHeading"/>
              <w:keepNext/>
            </w:pPr>
            <w:r w:rsidRPr="0019144F">
              <w:t>Amendement</w:t>
            </w:r>
          </w:p>
        </w:tc>
      </w:tr>
      <w:tr w:rsidR="00BF7ACA" w:rsidRPr="005A5903" w14:paraId="15BDBEC6" w14:textId="77777777" w:rsidTr="007924BE">
        <w:trPr>
          <w:jc w:val="center"/>
        </w:trPr>
        <w:tc>
          <w:tcPr>
            <w:tcW w:w="4876" w:type="dxa"/>
            <w:hideMark/>
          </w:tcPr>
          <w:p w14:paraId="5F3154AE" w14:textId="77777777" w:rsidR="00BF7ACA" w:rsidRPr="0019144F" w:rsidRDefault="00BF7ACA" w:rsidP="007924BE">
            <w:pPr>
              <w:pStyle w:val="Normal6"/>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 xml:space="preserve">UE, dans un premier temps, dans le but de </w:t>
            </w:r>
            <w:r w:rsidRPr="0019144F">
              <w:rPr>
                <w:b/>
                <w:i/>
              </w:rPr>
              <w:t>promouvoir les</w:t>
            </w:r>
            <w:r w:rsidRPr="0019144F">
              <w:t xml:space="preserve"> objectifs de développement durable du programme de développement durable à l</w:t>
            </w:r>
            <w:r>
              <w:t>’</w:t>
            </w:r>
            <w:r w:rsidRPr="0019144F">
              <w:t>horizon 2030 des Nations unies ainsi que les engagements pris dans le cadre de la politique européenne de voisinage révisée et, partant, de lutter contre les causes profondes de la migration. Il devrait également contribuer à la mise en œuvre de l</w:t>
            </w:r>
            <w:r>
              <w:t>’</w:t>
            </w:r>
            <w:r w:rsidRPr="0019144F">
              <w:t>accord de Paris sur le changement climatique (COP 21).</w:t>
            </w:r>
          </w:p>
        </w:tc>
        <w:tc>
          <w:tcPr>
            <w:tcW w:w="4876" w:type="dxa"/>
            <w:hideMark/>
          </w:tcPr>
          <w:p w14:paraId="028A7BD8" w14:textId="77777777" w:rsidR="00BF7ACA" w:rsidRPr="0019144F" w:rsidRDefault="00BF7ACA" w:rsidP="007924BE">
            <w:pPr>
              <w:pStyle w:val="Normal6"/>
              <w:rPr>
                <w:szCs w:val="24"/>
              </w:rPr>
            </w:pPr>
            <w:r w:rsidRPr="0019144F">
              <w:t>(1)</w:t>
            </w:r>
            <w:r>
              <w:tab/>
            </w:r>
            <w:r w:rsidRPr="0019144F">
              <w:t>L</w:t>
            </w:r>
            <w:r>
              <w:t>’</w:t>
            </w:r>
            <w:r w:rsidRPr="0019144F">
              <w:t>ambitieux plan d</w:t>
            </w:r>
            <w:r>
              <w:t>’</w:t>
            </w:r>
            <w:r w:rsidRPr="0019144F">
              <w:t>investissement extérieur (PIE) de l</w:t>
            </w:r>
            <w:r>
              <w:t>’</w:t>
            </w:r>
            <w:r w:rsidRPr="0019144F">
              <w:t xml:space="preserve">Union est nécessaire pour </w:t>
            </w:r>
            <w:r w:rsidRPr="0019144F">
              <w:rPr>
                <w:b/>
                <w:i/>
              </w:rPr>
              <w:t xml:space="preserve">concevoir, orienter et </w:t>
            </w:r>
            <w:r w:rsidRPr="0019144F">
              <w:t>soutenir les investissements en Afrique et dans les pays du voisinage de l</w:t>
            </w:r>
            <w:r>
              <w:t>’</w:t>
            </w:r>
            <w:r w:rsidRPr="0019144F">
              <w:t xml:space="preserve">UE, dans un premier temps, dans le but de </w:t>
            </w:r>
            <w:r w:rsidRPr="0019144F">
              <w:rPr>
                <w:b/>
                <w:i/>
              </w:rPr>
              <w:t>contribuer à la réalisation des</w:t>
            </w:r>
            <w:r w:rsidRPr="0019144F">
              <w:t xml:space="preserve"> objectifs de développement durable du programme de développement durable à l</w:t>
            </w:r>
            <w:r>
              <w:t>’</w:t>
            </w:r>
            <w:r w:rsidRPr="0019144F">
              <w:t>horizon 2030 des Nations unies ainsi que les engagements pris dans le cadre de la politique européenne de voisinage révisée et, partant, de lutter contre les causes profondes de la migration. Il devrait également contribuer à la mise en œuvre de l</w:t>
            </w:r>
            <w:r>
              <w:t>’</w:t>
            </w:r>
            <w:r w:rsidRPr="0019144F">
              <w:t>accord de Paris sur le changement climatique (COP 21).</w:t>
            </w:r>
          </w:p>
        </w:tc>
      </w:tr>
    </w:tbl>
    <w:p w14:paraId="2B4C7957"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FD7CD0F" w14:textId="77777777" w:rsidR="00BF7ACA" w:rsidRPr="00BF7ACA" w:rsidRDefault="00BF7ACA" w:rsidP="00BF7ACA">
      <w:r w:rsidRPr="00BF7ACA">
        <w:rPr>
          <w:rStyle w:val="HideTWBExt"/>
        </w:rPr>
        <w:t>&lt;/Amend&gt;</w:t>
      </w:r>
    </w:p>
    <w:p w14:paraId="7AFB1D8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84</w:t>
      </w:r>
      <w:r w:rsidRPr="00BF7ACA">
        <w:rPr>
          <w:rStyle w:val="HideTWBExt"/>
          <w:b w:val="0"/>
        </w:rPr>
        <w:t>&lt;/NumAm&gt;</w:t>
      </w:r>
    </w:p>
    <w:p w14:paraId="0EA7C664"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Ilhan Kyuchyuk, Nedzhmi Ali, Jozo Radoš, Paavo Väyrynen, Marielle de Sarnez</w:t>
      </w:r>
      <w:r w:rsidRPr="00BF7ACA">
        <w:rPr>
          <w:rStyle w:val="HideTWBExt"/>
          <w:b w:val="0"/>
        </w:rPr>
        <w:t>&lt;/Members&gt;</w:t>
      </w:r>
    </w:p>
    <w:p w14:paraId="5572ACCA" w14:textId="77777777" w:rsidR="00BF7ACA" w:rsidRPr="005A5903" w:rsidRDefault="00BF7ACA" w:rsidP="00BF7ACA">
      <w:r>
        <w:rPr>
          <w:rStyle w:val="HideTWBExt"/>
        </w:rPr>
        <w:t>&lt;/RepeatBlock-By&gt;</w:t>
      </w:r>
    </w:p>
    <w:p w14:paraId="2B5B9FA5"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750843BF" w14:textId="77777777" w:rsidR="00BF7ACA" w:rsidRPr="005A5903" w:rsidRDefault="00BF7ACA" w:rsidP="00BF7ACA">
      <w:pPr>
        <w:pStyle w:val="NormalBold"/>
      </w:pPr>
      <w:r>
        <w:rPr>
          <w:rStyle w:val="HideTWBExt"/>
          <w:b w:val="0"/>
        </w:rPr>
        <w:t>&lt;Article&gt;</w:t>
      </w:r>
      <w:r w:rsidRPr="0019144F">
        <w:t>Considérant 1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1ECD47AE" w14:textId="77777777" w:rsidTr="007924BE">
        <w:trPr>
          <w:jc w:val="center"/>
        </w:trPr>
        <w:tc>
          <w:tcPr>
            <w:tcW w:w="9752" w:type="dxa"/>
            <w:gridSpan w:val="2"/>
          </w:tcPr>
          <w:p w14:paraId="591BE92D" w14:textId="77777777" w:rsidR="00BF7ACA" w:rsidRPr="005A5903" w:rsidRDefault="00BF7ACA" w:rsidP="007924BE">
            <w:pPr>
              <w:keepNext/>
            </w:pPr>
          </w:p>
        </w:tc>
      </w:tr>
      <w:tr w:rsidR="00BF7ACA" w:rsidRPr="005A5903" w14:paraId="4448C9ED" w14:textId="77777777" w:rsidTr="007924BE">
        <w:trPr>
          <w:jc w:val="center"/>
        </w:trPr>
        <w:tc>
          <w:tcPr>
            <w:tcW w:w="4876" w:type="dxa"/>
            <w:hideMark/>
          </w:tcPr>
          <w:p w14:paraId="44439A01" w14:textId="77777777" w:rsidR="00BF7ACA" w:rsidRPr="0019144F" w:rsidRDefault="00BF7ACA" w:rsidP="007924BE">
            <w:pPr>
              <w:pStyle w:val="ColumnHeading"/>
              <w:keepNext/>
            </w:pPr>
            <w:r w:rsidRPr="0019144F">
              <w:t>Texte proposé par la Commission</w:t>
            </w:r>
          </w:p>
        </w:tc>
        <w:tc>
          <w:tcPr>
            <w:tcW w:w="4876" w:type="dxa"/>
            <w:hideMark/>
          </w:tcPr>
          <w:p w14:paraId="7077F040" w14:textId="77777777" w:rsidR="00BF7ACA" w:rsidRPr="0019144F" w:rsidRDefault="00BF7ACA" w:rsidP="007924BE">
            <w:pPr>
              <w:pStyle w:val="ColumnHeading"/>
              <w:keepNext/>
            </w:pPr>
            <w:r w:rsidRPr="0019144F">
              <w:t>Amendement</w:t>
            </w:r>
          </w:p>
        </w:tc>
      </w:tr>
      <w:tr w:rsidR="00BF7ACA" w:rsidRPr="005A5903" w14:paraId="48DE178F" w14:textId="77777777" w:rsidTr="007924BE">
        <w:trPr>
          <w:jc w:val="center"/>
        </w:trPr>
        <w:tc>
          <w:tcPr>
            <w:tcW w:w="4876" w:type="dxa"/>
          </w:tcPr>
          <w:p w14:paraId="37775A8C" w14:textId="77777777" w:rsidR="00BF7ACA" w:rsidRPr="0019144F" w:rsidRDefault="00BF7ACA" w:rsidP="007924BE">
            <w:pPr>
              <w:pStyle w:val="Normal6"/>
            </w:pPr>
          </w:p>
        </w:tc>
        <w:tc>
          <w:tcPr>
            <w:tcW w:w="4876" w:type="dxa"/>
            <w:hideMark/>
          </w:tcPr>
          <w:p w14:paraId="78D97157" w14:textId="77777777" w:rsidR="00BF7ACA" w:rsidRPr="0019144F" w:rsidRDefault="00BF7ACA" w:rsidP="007924BE">
            <w:pPr>
              <w:pStyle w:val="Normal6"/>
              <w:rPr>
                <w:szCs w:val="24"/>
              </w:rPr>
            </w:pPr>
            <w:r w:rsidRPr="0019144F">
              <w:rPr>
                <w:b/>
                <w:i/>
              </w:rPr>
              <w:t>(1 bis)</w:t>
            </w:r>
            <w:r>
              <w:tab/>
            </w:r>
            <w:r w:rsidRPr="0019144F">
              <w:rPr>
                <w:b/>
                <w:i/>
              </w:rPr>
              <w:t>Les investissements au titre du FEDD devraient être axés sur le soutien aux microentreprises et aux PME de pays en développement, afin de créer des emplois décents, durables et ouverts à tous, d</w:t>
            </w:r>
            <w:r>
              <w:rPr>
                <w:b/>
                <w:i/>
              </w:rPr>
              <w:t>’</w:t>
            </w:r>
            <w:r w:rsidRPr="0019144F">
              <w:rPr>
                <w:b/>
                <w:i/>
              </w:rPr>
              <w:t>offrir des débouchés économiques aux femmes et aux jeunes, et d</w:t>
            </w:r>
            <w:r>
              <w:rPr>
                <w:b/>
                <w:i/>
              </w:rPr>
              <w:t>’</w:t>
            </w:r>
            <w:r w:rsidRPr="0019144F">
              <w:rPr>
                <w:b/>
                <w:i/>
              </w:rPr>
              <w:t>entreprendre une transition équitable vers une économie verte et circulaire.</w:t>
            </w:r>
          </w:p>
        </w:tc>
      </w:tr>
    </w:tbl>
    <w:p w14:paraId="0B3A93A8"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13F4B2D" w14:textId="77777777" w:rsidR="00BF7ACA" w:rsidRPr="00BF7ACA" w:rsidRDefault="00BF7ACA" w:rsidP="00BF7ACA">
      <w:r w:rsidRPr="00BF7ACA">
        <w:rPr>
          <w:rStyle w:val="HideTWBExt"/>
        </w:rPr>
        <w:t>&lt;/Amend&gt;</w:t>
      </w:r>
    </w:p>
    <w:p w14:paraId="456D9AC7"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85</w:t>
      </w:r>
      <w:r w:rsidRPr="00BF7ACA">
        <w:rPr>
          <w:rStyle w:val="HideTWBExt"/>
          <w:b w:val="0"/>
        </w:rPr>
        <w:t>&lt;/NumAm&gt;</w:t>
      </w:r>
    </w:p>
    <w:p w14:paraId="18D791B2" w14:textId="77777777"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14:paraId="20FD257E" w14:textId="77777777" w:rsidR="00BF7ACA" w:rsidRPr="00E502E5" w:rsidRDefault="00BF7ACA" w:rsidP="00BF7ACA">
      <w:r>
        <w:rPr>
          <w:rStyle w:val="HideTWBExt"/>
        </w:rPr>
        <w:t>&lt;/RepeatBlock-By&gt;</w:t>
      </w:r>
    </w:p>
    <w:p w14:paraId="2A9425B8" w14:textId="77777777"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14:paraId="1077E09C" w14:textId="77777777" w:rsidR="00BF7ACA" w:rsidRPr="00E502E5" w:rsidRDefault="00BF7ACA" w:rsidP="00BF7ACA">
      <w:pPr>
        <w:pStyle w:val="NormalBold"/>
      </w:pPr>
      <w:r>
        <w:rPr>
          <w:rStyle w:val="HideTWBExt"/>
          <w:b w:val="0"/>
        </w:rPr>
        <w:t>&lt;Article&gt;</w:t>
      </w:r>
      <w:r w:rsidRPr="002E43F3">
        <w:t>Considérant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5FE6F003" w14:textId="77777777" w:rsidTr="007924BE">
        <w:trPr>
          <w:jc w:val="center"/>
        </w:trPr>
        <w:tc>
          <w:tcPr>
            <w:tcW w:w="9752" w:type="dxa"/>
            <w:gridSpan w:val="2"/>
          </w:tcPr>
          <w:p w14:paraId="61F06F33" w14:textId="77777777" w:rsidR="00BF7ACA" w:rsidRPr="00E502E5" w:rsidRDefault="00BF7ACA" w:rsidP="007924BE">
            <w:pPr>
              <w:keepNext/>
            </w:pPr>
          </w:p>
        </w:tc>
      </w:tr>
      <w:tr w:rsidR="00BF7ACA" w:rsidRPr="00E502E5" w14:paraId="46A6E55E" w14:textId="77777777" w:rsidTr="007924BE">
        <w:trPr>
          <w:jc w:val="center"/>
        </w:trPr>
        <w:tc>
          <w:tcPr>
            <w:tcW w:w="4876" w:type="dxa"/>
            <w:hideMark/>
          </w:tcPr>
          <w:p w14:paraId="39927FED" w14:textId="77777777" w:rsidR="00BF7ACA" w:rsidRPr="002E43F3" w:rsidRDefault="00BF7ACA" w:rsidP="007924BE">
            <w:pPr>
              <w:pStyle w:val="ColumnHeading"/>
              <w:keepNext/>
            </w:pPr>
            <w:r w:rsidRPr="002E43F3">
              <w:t>Texte proposé par la Commission</w:t>
            </w:r>
          </w:p>
        </w:tc>
        <w:tc>
          <w:tcPr>
            <w:tcW w:w="4876" w:type="dxa"/>
            <w:hideMark/>
          </w:tcPr>
          <w:p w14:paraId="444282F6" w14:textId="77777777" w:rsidR="00BF7ACA" w:rsidRPr="002E43F3" w:rsidRDefault="00BF7ACA" w:rsidP="007924BE">
            <w:pPr>
              <w:pStyle w:val="ColumnHeading"/>
              <w:keepNext/>
            </w:pPr>
            <w:r w:rsidRPr="002E43F3">
              <w:t>Amendement</w:t>
            </w:r>
          </w:p>
        </w:tc>
      </w:tr>
      <w:tr w:rsidR="00BF7ACA" w:rsidRPr="00E502E5" w14:paraId="6576D999" w14:textId="77777777" w:rsidTr="007924BE">
        <w:trPr>
          <w:jc w:val="center"/>
        </w:trPr>
        <w:tc>
          <w:tcPr>
            <w:tcW w:w="4876" w:type="dxa"/>
            <w:hideMark/>
          </w:tcPr>
          <w:p w14:paraId="0BBA245D" w14:textId="77777777" w:rsidR="00BF7ACA" w:rsidRPr="002E43F3" w:rsidRDefault="00BF7ACA" w:rsidP="007924BE">
            <w:pPr>
              <w:pStyle w:val="Normal6"/>
            </w:pPr>
            <w:r w:rsidRPr="002E43F3">
              <w:t>(2)</w:t>
            </w:r>
            <w:r>
              <w:tab/>
            </w:r>
            <w:r w:rsidRPr="002E43F3">
              <w:t>Le PIE devrait intégrer l</w:t>
            </w:r>
            <w:r>
              <w:t>’</w:t>
            </w:r>
            <w:r w:rsidRPr="002E43F3">
              <w:t>engagement de l</w:t>
            </w:r>
            <w:r>
              <w:t>’</w:t>
            </w:r>
            <w:r w:rsidRPr="002E43F3">
              <w:t>Union dans le cadre du programme d</w:t>
            </w:r>
            <w:r>
              <w:t>’</w:t>
            </w:r>
            <w:r w:rsidRPr="002E43F3">
              <w:t>action d</w:t>
            </w:r>
            <w:r>
              <w:t>’</w:t>
            </w:r>
            <w:r w:rsidRPr="002E43F3">
              <w:t xml:space="preserve">Addis-Abeba sur le financement du développement. </w:t>
            </w:r>
            <w:r w:rsidRPr="002E43F3">
              <w:rPr>
                <w:b/>
                <w:i/>
              </w:rPr>
              <w:t>Il devrait également permettre aux investisseurs européens</w:t>
            </w:r>
            <w:r w:rsidRPr="002E43F3">
              <w:t xml:space="preserve"> et </w:t>
            </w:r>
            <w:r w:rsidRPr="002E43F3">
              <w:rPr>
                <w:b/>
                <w:i/>
              </w:rPr>
              <w:t>aux entreprises privées</w:t>
            </w:r>
            <w:r w:rsidRPr="002E43F3">
              <w:t xml:space="preserve">, </w:t>
            </w:r>
            <w:r w:rsidRPr="002E43F3">
              <w:rPr>
                <w:b/>
                <w:i/>
              </w:rPr>
              <w:t>y compris aux petites et moyennes entreprises</w:t>
            </w:r>
            <w:r w:rsidRPr="002E43F3">
              <w:t xml:space="preserve">, de </w:t>
            </w:r>
            <w:r w:rsidRPr="002E43F3">
              <w:rPr>
                <w:b/>
                <w:i/>
              </w:rPr>
              <w:t>participer plus efficacement au développement durable dans</w:t>
            </w:r>
            <w:r w:rsidRPr="002E43F3">
              <w:t xml:space="preserve"> les </w:t>
            </w:r>
            <w:r w:rsidRPr="002E43F3">
              <w:rPr>
                <w:b/>
                <w:i/>
              </w:rPr>
              <w:t>pays partenaires</w:t>
            </w:r>
            <w:r w:rsidRPr="002E43F3">
              <w:t>.</w:t>
            </w:r>
          </w:p>
        </w:tc>
        <w:tc>
          <w:tcPr>
            <w:tcW w:w="4876" w:type="dxa"/>
            <w:hideMark/>
          </w:tcPr>
          <w:p w14:paraId="7F11B5C2" w14:textId="77777777" w:rsidR="00BF7ACA" w:rsidRPr="002E43F3" w:rsidRDefault="00BF7ACA" w:rsidP="007924BE">
            <w:pPr>
              <w:pStyle w:val="Normal6"/>
              <w:rPr>
                <w:szCs w:val="24"/>
              </w:rPr>
            </w:pPr>
            <w:r w:rsidRPr="002E43F3">
              <w:t>(2)</w:t>
            </w:r>
            <w:r>
              <w:tab/>
            </w:r>
            <w:r w:rsidRPr="002E43F3">
              <w:t>Le PIE devrait intégrer l</w:t>
            </w:r>
            <w:r>
              <w:t>’</w:t>
            </w:r>
            <w:r w:rsidRPr="002E43F3">
              <w:t>engagement de l</w:t>
            </w:r>
            <w:r>
              <w:t>’</w:t>
            </w:r>
            <w:r w:rsidRPr="002E43F3">
              <w:t>Union dans le cadre du programme d</w:t>
            </w:r>
            <w:r>
              <w:t>’</w:t>
            </w:r>
            <w:r w:rsidRPr="002E43F3">
              <w:t>action d</w:t>
            </w:r>
            <w:r>
              <w:t>’</w:t>
            </w:r>
            <w:r w:rsidRPr="002E43F3">
              <w:t xml:space="preserve">Addis-Abeba sur le financement du développement. </w:t>
            </w:r>
            <w:r w:rsidRPr="002E43F3">
              <w:rPr>
                <w:b/>
                <w:i/>
              </w:rPr>
              <w:t>Les investissements européens pourront être plus efficaces, plus efficients</w:t>
            </w:r>
            <w:r w:rsidRPr="002E43F3">
              <w:t xml:space="preserve"> et </w:t>
            </w:r>
            <w:r w:rsidRPr="002E43F3">
              <w:rPr>
                <w:b/>
                <w:i/>
              </w:rPr>
              <w:t>plus transparents</w:t>
            </w:r>
            <w:r w:rsidRPr="002E43F3">
              <w:t xml:space="preserve">, </w:t>
            </w:r>
            <w:r w:rsidRPr="002E43F3">
              <w:rPr>
                <w:b/>
                <w:i/>
              </w:rPr>
              <w:t>et contribuer au développement durable des pays concernés</w:t>
            </w:r>
            <w:r w:rsidRPr="002E43F3">
              <w:t xml:space="preserve">, </w:t>
            </w:r>
            <w:r w:rsidRPr="002E43F3">
              <w:rPr>
                <w:b/>
                <w:i/>
              </w:rPr>
              <w:t>uniquement si les</w:t>
            </w:r>
            <w:r>
              <w:rPr>
                <w:b/>
                <w:i/>
              </w:rPr>
              <w:t xml:space="preserve"> 193 </w:t>
            </w:r>
            <w:r w:rsidRPr="002E43F3">
              <w:rPr>
                <w:b/>
                <w:i/>
              </w:rPr>
              <w:t xml:space="preserve">États membres </w:t>
            </w:r>
            <w:r w:rsidRPr="002E43F3">
              <w:t xml:space="preserve">de </w:t>
            </w:r>
            <w:r w:rsidRPr="002E43F3">
              <w:rPr>
                <w:b/>
                <w:i/>
              </w:rPr>
              <w:t>l</w:t>
            </w:r>
            <w:r>
              <w:rPr>
                <w:b/>
                <w:i/>
              </w:rPr>
              <w:t>’</w:t>
            </w:r>
            <w:r w:rsidRPr="002E43F3">
              <w:rPr>
                <w:b/>
                <w:i/>
              </w:rPr>
              <w:t>ONU qui sont parties à l</w:t>
            </w:r>
            <w:r>
              <w:rPr>
                <w:b/>
                <w:i/>
              </w:rPr>
              <w:t>’</w:t>
            </w:r>
            <w:r w:rsidRPr="002E43F3">
              <w:rPr>
                <w:b/>
                <w:i/>
              </w:rPr>
              <w:t>accord respectent</w:t>
            </w:r>
            <w:r w:rsidRPr="002E43F3">
              <w:t xml:space="preserve"> les </w:t>
            </w:r>
            <w:r w:rsidRPr="002E43F3">
              <w:rPr>
                <w:b/>
                <w:i/>
              </w:rPr>
              <w:t>engagements en matière de lutte contre la fraude fiscale, la corruption et le blanchiment de flux financiers illicites</w:t>
            </w:r>
            <w:r w:rsidRPr="002E43F3">
              <w:t>.</w:t>
            </w:r>
          </w:p>
        </w:tc>
      </w:tr>
    </w:tbl>
    <w:p w14:paraId="1B86A1D2" w14:textId="77777777"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&lt;Original&gt;</w:t>
      </w:r>
      <w:r w:rsidRPr="000C3237">
        <w:rPr>
          <w:rStyle w:val="HideTWBInt"/>
          <w:noProof w:val="0"/>
          <w:lang w:val="en-GB"/>
        </w:rPr>
        <w:t>{IT}</w:t>
      </w:r>
      <w:r w:rsidRPr="000C3237">
        <w:rPr>
          <w:noProof w:val="0"/>
          <w:lang w:val="en-GB"/>
        </w:rPr>
        <w:t>it</w:t>
      </w:r>
      <w:r w:rsidRPr="000C3237">
        <w:rPr>
          <w:rStyle w:val="HideTWBExt"/>
          <w:noProof w:val="0"/>
          <w:lang w:val="en-GB"/>
        </w:rPr>
        <w:t>&lt;/Original&gt;</w:t>
      </w:r>
    </w:p>
    <w:p w14:paraId="16FAA399" w14:textId="77777777" w:rsidR="00BF7ACA" w:rsidRPr="000C3237" w:rsidRDefault="00BF7ACA" w:rsidP="00BF7ACA">
      <w:pPr>
        <w:rPr>
          <w:lang w:val="en-GB"/>
        </w:rPr>
      </w:pPr>
      <w:r w:rsidRPr="000C3237">
        <w:rPr>
          <w:rStyle w:val="HideTWBExt"/>
          <w:lang w:val="en-GB"/>
        </w:rPr>
        <w:t>&lt;/Amend&gt;</w:t>
      </w:r>
    </w:p>
    <w:p w14:paraId="61289B4E" w14:textId="77777777"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86</w:t>
      </w:r>
      <w:r w:rsidRPr="00627C55">
        <w:rPr>
          <w:rStyle w:val="HideTWBExt"/>
          <w:b w:val="0"/>
          <w:lang w:val="en-GB"/>
        </w:rPr>
        <w:t>&lt;/NumAm&gt;</w:t>
      </w:r>
    </w:p>
    <w:p w14:paraId="6DDAD7F9" w14:textId="77777777"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Sabine Lösing</w:t>
      </w:r>
      <w:r w:rsidRPr="00627C55">
        <w:rPr>
          <w:rStyle w:val="HideTWBExt"/>
          <w:b w:val="0"/>
          <w:lang w:val="en-GB"/>
        </w:rPr>
        <w:t>&lt;/Members&gt;</w:t>
      </w:r>
    </w:p>
    <w:p w14:paraId="7F9C6716" w14:textId="77777777" w:rsidR="00BF7ACA" w:rsidRPr="00BF7ACA" w:rsidRDefault="00BF7ACA" w:rsidP="00BF7ACA">
      <w:pPr>
        <w:rPr>
          <w:lang w:val="en-GB"/>
        </w:rPr>
      </w:pPr>
      <w:r w:rsidRPr="00BF7ACA">
        <w:rPr>
          <w:rStyle w:val="HideTWBExt"/>
          <w:lang w:val="en-GB"/>
        </w:rPr>
        <w:t>&lt;/RepeatBlock-By&gt;</w:t>
      </w:r>
    </w:p>
    <w:p w14:paraId="2E2BAC1B"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5C765E0D" w14:textId="77777777" w:rsidR="00BF7ACA" w:rsidRPr="005A5903" w:rsidRDefault="00BF7ACA" w:rsidP="00BF7ACA">
      <w:pPr>
        <w:pStyle w:val="NormalBold"/>
      </w:pPr>
      <w:r>
        <w:rPr>
          <w:rStyle w:val="HideTWBExt"/>
          <w:b w:val="0"/>
        </w:rPr>
        <w:t>&lt;Article&gt;</w:t>
      </w:r>
      <w:r w:rsidRPr="0019144F">
        <w:t>Considérant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4084EB75" w14:textId="77777777" w:rsidTr="007924BE">
        <w:trPr>
          <w:jc w:val="center"/>
        </w:trPr>
        <w:tc>
          <w:tcPr>
            <w:tcW w:w="9752" w:type="dxa"/>
            <w:gridSpan w:val="2"/>
          </w:tcPr>
          <w:p w14:paraId="4402F52F" w14:textId="77777777" w:rsidR="00BF7ACA" w:rsidRPr="005A5903" w:rsidRDefault="00BF7ACA" w:rsidP="007924BE">
            <w:pPr>
              <w:keepNext/>
            </w:pPr>
          </w:p>
        </w:tc>
      </w:tr>
      <w:tr w:rsidR="00BF7ACA" w:rsidRPr="005A5903" w14:paraId="5851B82D" w14:textId="77777777" w:rsidTr="007924BE">
        <w:trPr>
          <w:jc w:val="center"/>
        </w:trPr>
        <w:tc>
          <w:tcPr>
            <w:tcW w:w="4876" w:type="dxa"/>
            <w:hideMark/>
          </w:tcPr>
          <w:p w14:paraId="4649CA1C" w14:textId="77777777" w:rsidR="00BF7ACA" w:rsidRPr="0019144F" w:rsidRDefault="00BF7ACA" w:rsidP="007924BE">
            <w:pPr>
              <w:pStyle w:val="ColumnHeading"/>
              <w:keepNext/>
            </w:pPr>
            <w:r w:rsidRPr="0019144F">
              <w:t>Texte proposé par la Commission</w:t>
            </w:r>
          </w:p>
        </w:tc>
        <w:tc>
          <w:tcPr>
            <w:tcW w:w="4876" w:type="dxa"/>
            <w:hideMark/>
          </w:tcPr>
          <w:p w14:paraId="17DB6F83" w14:textId="77777777" w:rsidR="00BF7ACA" w:rsidRPr="0019144F" w:rsidRDefault="00BF7ACA" w:rsidP="007924BE">
            <w:pPr>
              <w:pStyle w:val="ColumnHeading"/>
              <w:keepNext/>
            </w:pPr>
            <w:r w:rsidRPr="0019144F">
              <w:t>Amendement</w:t>
            </w:r>
          </w:p>
        </w:tc>
      </w:tr>
      <w:tr w:rsidR="00BF7ACA" w:rsidRPr="005A5903" w14:paraId="722D2786" w14:textId="77777777" w:rsidTr="007924BE">
        <w:trPr>
          <w:jc w:val="center"/>
        </w:trPr>
        <w:tc>
          <w:tcPr>
            <w:tcW w:w="4876" w:type="dxa"/>
            <w:hideMark/>
          </w:tcPr>
          <w:p w14:paraId="52136A0B" w14:textId="77777777" w:rsidR="00BF7ACA" w:rsidRPr="0019144F" w:rsidRDefault="00BF7ACA" w:rsidP="007924BE">
            <w:pPr>
              <w:pStyle w:val="Normal6"/>
            </w:pPr>
            <w:r w:rsidRPr="0019144F">
              <w:t>(2)</w:t>
            </w:r>
            <w:r>
              <w:tab/>
            </w:r>
            <w:r w:rsidRPr="0019144F">
              <w:t>Le PIE devrait intégrer l</w:t>
            </w:r>
            <w:r>
              <w:t>’</w:t>
            </w:r>
            <w:r w:rsidRPr="0019144F">
              <w:t>engagement de l</w:t>
            </w:r>
            <w:r>
              <w:t>’</w:t>
            </w:r>
            <w:r w:rsidRPr="0019144F">
              <w:t>Union dans le cadre du programme d</w:t>
            </w:r>
            <w:r>
              <w:t>’</w:t>
            </w:r>
            <w:r w:rsidRPr="0019144F">
              <w:t>action d</w:t>
            </w:r>
            <w:r>
              <w:t>’</w:t>
            </w:r>
            <w:r w:rsidRPr="0019144F">
              <w:t>Addis-Abeba sur le financement du développement. Il devrait également permettre aux investisseurs européens et aux entreprises privées, y compris aux petites et moyennes entreprises, de participer plus efficacement au développement durable dans les pays partenaires.</w:t>
            </w:r>
          </w:p>
        </w:tc>
        <w:tc>
          <w:tcPr>
            <w:tcW w:w="4876" w:type="dxa"/>
            <w:hideMark/>
          </w:tcPr>
          <w:p w14:paraId="4DD7FDB7" w14:textId="77777777" w:rsidR="00BF7ACA" w:rsidRPr="0019144F" w:rsidRDefault="00BF7ACA" w:rsidP="007924BE">
            <w:pPr>
              <w:pStyle w:val="Normal6"/>
              <w:rPr>
                <w:szCs w:val="24"/>
              </w:rPr>
            </w:pPr>
            <w:r w:rsidRPr="0019144F">
              <w:t>(2)</w:t>
            </w:r>
            <w:r>
              <w:tab/>
            </w:r>
            <w:r w:rsidRPr="0019144F">
              <w:t>Le PIE devrait intégrer l</w:t>
            </w:r>
            <w:r>
              <w:t>’</w:t>
            </w:r>
            <w:r w:rsidRPr="0019144F">
              <w:t>engagement de l</w:t>
            </w:r>
            <w:r>
              <w:t>’</w:t>
            </w:r>
            <w:r w:rsidRPr="0019144F">
              <w:t>Union dans le cadre du programme d</w:t>
            </w:r>
            <w:r>
              <w:t>’</w:t>
            </w:r>
            <w:r w:rsidRPr="0019144F">
              <w:t>action d</w:t>
            </w:r>
            <w:r>
              <w:t>’</w:t>
            </w:r>
            <w:r w:rsidRPr="0019144F">
              <w:t>Addis-Abeba sur le financement du développement. Il devrait également permettre aux investisseurs européens et aux entreprises privées, y compris aux petites et moyennes entreprises, de participer plus efficacement au développement durable dans les pays partenaires</w:t>
            </w:r>
            <w:r w:rsidRPr="0019144F">
              <w:rPr>
                <w:b/>
                <w:i/>
              </w:rPr>
              <w:t>, en contenant des références, des conditions et des dispositions claires en vue de favoriser le développement socio-économique et le secteur privé local dans les pays partenaires, priorité absolue</w:t>
            </w:r>
            <w:r w:rsidRPr="0019144F">
              <w:t>.</w:t>
            </w:r>
          </w:p>
        </w:tc>
      </w:tr>
    </w:tbl>
    <w:p w14:paraId="49523BE9" w14:textId="77777777"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14:paraId="72D139C6" w14:textId="77777777" w:rsidR="00BF7ACA" w:rsidRPr="00BF7ACA" w:rsidRDefault="00BF7ACA" w:rsidP="00BF7ACA">
      <w:pPr>
        <w:rPr>
          <w:lang w:val="nl-NL"/>
        </w:rPr>
      </w:pPr>
      <w:r w:rsidRPr="00BF7ACA">
        <w:rPr>
          <w:rStyle w:val="HideTWBExt"/>
          <w:lang w:val="nl-NL"/>
        </w:rPr>
        <w:t>&lt;/Amend&gt;</w:t>
      </w:r>
    </w:p>
    <w:p w14:paraId="6EB945FC" w14:textId="77777777"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87</w:t>
      </w:r>
      <w:r w:rsidRPr="00BF7ACA">
        <w:rPr>
          <w:rStyle w:val="HideTWBExt"/>
          <w:b w:val="0"/>
          <w:lang w:val="nl-NL"/>
        </w:rPr>
        <w:t>&lt;/NumAm&gt;</w:t>
      </w:r>
    </w:p>
    <w:p w14:paraId="54BED32D" w14:textId="77777777"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14:paraId="37B83E4A" w14:textId="77777777" w:rsidR="00BF7ACA" w:rsidRPr="00BF7ACA" w:rsidRDefault="00BF7ACA" w:rsidP="00BF7ACA">
      <w:pPr>
        <w:rPr>
          <w:lang w:val="nl-NL"/>
        </w:rPr>
      </w:pPr>
      <w:r w:rsidRPr="00BF7ACA">
        <w:rPr>
          <w:rStyle w:val="HideTWBExt"/>
          <w:lang w:val="nl-NL"/>
        </w:rPr>
        <w:t>&lt;/RepeatBlock-By&gt;</w:t>
      </w:r>
    </w:p>
    <w:p w14:paraId="323A67AA"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05A7A2E1" w14:textId="77777777" w:rsidR="00BF7ACA" w:rsidRPr="005A5903" w:rsidRDefault="00BF7ACA" w:rsidP="00BF7ACA">
      <w:pPr>
        <w:pStyle w:val="NormalBold"/>
      </w:pPr>
      <w:r>
        <w:rPr>
          <w:rStyle w:val="HideTWBExt"/>
          <w:b w:val="0"/>
        </w:rPr>
        <w:t>&lt;Article&gt;</w:t>
      </w:r>
      <w:r w:rsidRPr="0019144F">
        <w:t>Considérant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6DA21C74" w14:textId="77777777" w:rsidTr="007924BE">
        <w:trPr>
          <w:jc w:val="center"/>
        </w:trPr>
        <w:tc>
          <w:tcPr>
            <w:tcW w:w="9752" w:type="dxa"/>
            <w:gridSpan w:val="2"/>
          </w:tcPr>
          <w:p w14:paraId="0B20351C" w14:textId="77777777" w:rsidR="00BF7ACA" w:rsidRPr="005A5903" w:rsidRDefault="00BF7ACA" w:rsidP="007924BE">
            <w:pPr>
              <w:keepNext/>
            </w:pPr>
          </w:p>
        </w:tc>
      </w:tr>
      <w:tr w:rsidR="00BF7ACA" w:rsidRPr="005A5903" w14:paraId="0AD6D116" w14:textId="77777777" w:rsidTr="007924BE">
        <w:trPr>
          <w:jc w:val="center"/>
        </w:trPr>
        <w:tc>
          <w:tcPr>
            <w:tcW w:w="4876" w:type="dxa"/>
            <w:hideMark/>
          </w:tcPr>
          <w:p w14:paraId="7F2A9190" w14:textId="77777777" w:rsidR="00BF7ACA" w:rsidRPr="0019144F" w:rsidRDefault="00BF7ACA" w:rsidP="007924BE">
            <w:pPr>
              <w:pStyle w:val="ColumnHeading"/>
              <w:keepNext/>
            </w:pPr>
            <w:r w:rsidRPr="0019144F">
              <w:t>Texte proposé par la Commission</w:t>
            </w:r>
          </w:p>
        </w:tc>
        <w:tc>
          <w:tcPr>
            <w:tcW w:w="4876" w:type="dxa"/>
            <w:hideMark/>
          </w:tcPr>
          <w:p w14:paraId="1F1F323B" w14:textId="77777777" w:rsidR="00BF7ACA" w:rsidRPr="0019144F" w:rsidRDefault="00BF7ACA" w:rsidP="007924BE">
            <w:pPr>
              <w:pStyle w:val="ColumnHeading"/>
              <w:keepNext/>
            </w:pPr>
            <w:r w:rsidRPr="0019144F">
              <w:t>Amendement</w:t>
            </w:r>
          </w:p>
        </w:tc>
      </w:tr>
      <w:tr w:rsidR="00BF7ACA" w:rsidRPr="005A5903" w14:paraId="29D59878" w14:textId="77777777" w:rsidTr="007924BE">
        <w:trPr>
          <w:jc w:val="center"/>
        </w:trPr>
        <w:tc>
          <w:tcPr>
            <w:tcW w:w="4876" w:type="dxa"/>
            <w:hideMark/>
          </w:tcPr>
          <w:p w14:paraId="6E1FEFB0" w14:textId="77777777" w:rsidR="00BF7ACA" w:rsidRPr="0019144F" w:rsidRDefault="00BF7ACA" w:rsidP="007924BE">
            <w:pPr>
              <w:pStyle w:val="Normal6"/>
            </w:pPr>
            <w:r w:rsidRPr="0019144F">
              <w:t>(2)</w:t>
            </w:r>
            <w:r>
              <w:tab/>
            </w:r>
            <w:r w:rsidRPr="0019144F">
              <w:t>Le PIE devrait intégrer l</w:t>
            </w:r>
            <w:r>
              <w:t>’</w:t>
            </w:r>
            <w:r w:rsidRPr="0019144F">
              <w:t>engagement de l</w:t>
            </w:r>
            <w:r>
              <w:t>’</w:t>
            </w:r>
            <w:r w:rsidRPr="0019144F">
              <w:t>Union dans le cadre du programme d</w:t>
            </w:r>
            <w:r>
              <w:t>’</w:t>
            </w:r>
            <w:r w:rsidRPr="0019144F">
              <w:t>action d</w:t>
            </w:r>
            <w:r>
              <w:t>’</w:t>
            </w:r>
            <w:r w:rsidRPr="0019144F">
              <w:t>Addis-Abeba sur le financement du développement. Il devrait également permettre aux investisseurs européens et aux entreprises privées, y compris aux petites et moyennes entreprises, de participer plus efficacement au développement durable dans les pays partenaires.</w:t>
            </w:r>
          </w:p>
        </w:tc>
        <w:tc>
          <w:tcPr>
            <w:tcW w:w="4876" w:type="dxa"/>
            <w:hideMark/>
          </w:tcPr>
          <w:p w14:paraId="5A3B23B4" w14:textId="77777777" w:rsidR="00BF7ACA" w:rsidRPr="0019144F" w:rsidRDefault="00BF7ACA" w:rsidP="007924BE">
            <w:pPr>
              <w:pStyle w:val="Normal6"/>
              <w:rPr>
                <w:szCs w:val="24"/>
              </w:rPr>
            </w:pPr>
            <w:r w:rsidRPr="0019144F">
              <w:t>(2)</w:t>
            </w:r>
            <w:r>
              <w:tab/>
            </w:r>
            <w:r w:rsidRPr="0019144F">
              <w:t>Le PIE devrait intégrer l</w:t>
            </w:r>
            <w:r>
              <w:t>’</w:t>
            </w:r>
            <w:r w:rsidRPr="0019144F">
              <w:t>engagement de l</w:t>
            </w:r>
            <w:r>
              <w:t>’</w:t>
            </w:r>
            <w:r w:rsidRPr="0019144F">
              <w:t>Union dans le cadre du programme d</w:t>
            </w:r>
            <w:r>
              <w:t>’</w:t>
            </w:r>
            <w:r w:rsidRPr="0019144F">
              <w:t>action d</w:t>
            </w:r>
            <w:r>
              <w:t>’</w:t>
            </w:r>
            <w:r w:rsidRPr="0019144F">
              <w:t>Addis-Abeba sur le financement du développement</w:t>
            </w:r>
            <w:r w:rsidRPr="0019144F">
              <w:rPr>
                <w:b/>
                <w:i/>
              </w:rPr>
              <w:t>, tout en garantissant que les investissements réalisés sont conformes à l</w:t>
            </w:r>
            <w:r>
              <w:rPr>
                <w:b/>
                <w:i/>
              </w:rPr>
              <w:t>’</w:t>
            </w:r>
            <w:r w:rsidRPr="0019144F">
              <w:rPr>
                <w:b/>
                <w:i/>
              </w:rPr>
              <w:t>article 208 du traité sur le fonctionnement de l</w:t>
            </w:r>
            <w:r>
              <w:rPr>
                <w:b/>
                <w:i/>
              </w:rPr>
              <w:t>’</w:t>
            </w:r>
            <w:r w:rsidRPr="0019144F">
              <w:rPr>
                <w:b/>
                <w:i/>
              </w:rPr>
              <w:t>Union européenne (traité FUE)</w:t>
            </w:r>
            <w:r w:rsidRPr="0019144F">
              <w:t>. Il devrait également permettre aux investisseurs européens et aux entreprises privées, y compris aux petites et moyennes entreprises, de participer plus efficacement au développement durable dans les pays partenaires.</w:t>
            </w:r>
          </w:p>
        </w:tc>
      </w:tr>
    </w:tbl>
    <w:p w14:paraId="0246F28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6D33B6C" w14:textId="77777777" w:rsidR="00BF7ACA" w:rsidRPr="00BF7ACA" w:rsidRDefault="00BF7ACA" w:rsidP="00BF7ACA">
      <w:r w:rsidRPr="00BF7ACA">
        <w:rPr>
          <w:rStyle w:val="HideTWBExt"/>
        </w:rPr>
        <w:t>&lt;/Amend&gt;</w:t>
      </w:r>
    </w:p>
    <w:p w14:paraId="5DBB20D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88</w:t>
      </w:r>
      <w:r w:rsidRPr="00BF7ACA">
        <w:rPr>
          <w:rStyle w:val="HideTWBExt"/>
          <w:b w:val="0"/>
        </w:rPr>
        <w:t>&lt;/NumAm&gt;</w:t>
      </w:r>
    </w:p>
    <w:p w14:paraId="6EE6D727"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28D8DC38" w14:textId="77777777" w:rsidR="00BF7ACA" w:rsidRPr="005A5903" w:rsidRDefault="00BF7ACA" w:rsidP="00BF7ACA">
      <w:r>
        <w:rPr>
          <w:rStyle w:val="HideTWBExt"/>
        </w:rPr>
        <w:t>&lt;/RepeatBlock-By&gt;</w:t>
      </w:r>
    </w:p>
    <w:p w14:paraId="22851D4C"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67C1B4FD" w14:textId="77777777" w:rsidR="00BF7ACA" w:rsidRPr="005A5903" w:rsidRDefault="00BF7ACA" w:rsidP="00BF7ACA">
      <w:pPr>
        <w:pStyle w:val="NormalBold"/>
      </w:pPr>
      <w:r>
        <w:rPr>
          <w:rStyle w:val="HideTWBExt"/>
          <w:b w:val="0"/>
        </w:rPr>
        <w:t>&lt;Article&gt;</w:t>
      </w:r>
      <w:r w:rsidRPr="0019144F">
        <w:t>Considérant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4D32E3A4" w14:textId="77777777" w:rsidTr="007924BE">
        <w:trPr>
          <w:jc w:val="center"/>
        </w:trPr>
        <w:tc>
          <w:tcPr>
            <w:tcW w:w="9752" w:type="dxa"/>
            <w:gridSpan w:val="2"/>
          </w:tcPr>
          <w:p w14:paraId="0D493996" w14:textId="77777777" w:rsidR="00BF7ACA" w:rsidRPr="005A5903" w:rsidRDefault="00BF7ACA" w:rsidP="007924BE">
            <w:pPr>
              <w:keepNext/>
            </w:pPr>
          </w:p>
        </w:tc>
      </w:tr>
      <w:tr w:rsidR="00BF7ACA" w:rsidRPr="005A5903" w14:paraId="69943C44" w14:textId="77777777" w:rsidTr="007924BE">
        <w:trPr>
          <w:jc w:val="center"/>
        </w:trPr>
        <w:tc>
          <w:tcPr>
            <w:tcW w:w="4876" w:type="dxa"/>
            <w:hideMark/>
          </w:tcPr>
          <w:p w14:paraId="3453F49A" w14:textId="77777777" w:rsidR="00BF7ACA" w:rsidRPr="0019144F" w:rsidRDefault="00BF7ACA" w:rsidP="007924BE">
            <w:pPr>
              <w:pStyle w:val="ColumnHeading"/>
              <w:keepNext/>
            </w:pPr>
            <w:r w:rsidRPr="0019144F">
              <w:t>Texte proposé par la Commission</w:t>
            </w:r>
          </w:p>
        </w:tc>
        <w:tc>
          <w:tcPr>
            <w:tcW w:w="4876" w:type="dxa"/>
            <w:hideMark/>
          </w:tcPr>
          <w:p w14:paraId="13DB929D" w14:textId="77777777" w:rsidR="00BF7ACA" w:rsidRPr="0019144F" w:rsidRDefault="00BF7ACA" w:rsidP="007924BE">
            <w:pPr>
              <w:pStyle w:val="ColumnHeading"/>
              <w:keepNext/>
            </w:pPr>
            <w:r w:rsidRPr="0019144F">
              <w:t>Amendement</w:t>
            </w:r>
          </w:p>
        </w:tc>
      </w:tr>
      <w:tr w:rsidR="00BF7ACA" w:rsidRPr="005A5903" w14:paraId="6CC773ED" w14:textId="77777777" w:rsidTr="007924BE">
        <w:trPr>
          <w:jc w:val="center"/>
        </w:trPr>
        <w:tc>
          <w:tcPr>
            <w:tcW w:w="4876" w:type="dxa"/>
            <w:hideMark/>
          </w:tcPr>
          <w:p w14:paraId="76D8F57C" w14:textId="77777777" w:rsidR="00BF7ACA" w:rsidRPr="0019144F" w:rsidRDefault="00BF7ACA" w:rsidP="007924BE">
            <w:pPr>
              <w:pStyle w:val="Normal6"/>
            </w:pPr>
            <w:r w:rsidRPr="0019144F">
              <w:t>(2)</w:t>
            </w:r>
            <w:r>
              <w:tab/>
            </w:r>
            <w:r w:rsidRPr="0019144F">
              <w:t>Le PIE devrait intégrer l</w:t>
            </w:r>
            <w:r>
              <w:t>’</w:t>
            </w:r>
            <w:r w:rsidRPr="0019144F">
              <w:t>engagement de l</w:t>
            </w:r>
            <w:r>
              <w:t>’</w:t>
            </w:r>
            <w:r w:rsidRPr="0019144F">
              <w:t>Union dans le cadre du programme d</w:t>
            </w:r>
            <w:r>
              <w:t>’</w:t>
            </w:r>
            <w:r w:rsidRPr="0019144F">
              <w:t>action d</w:t>
            </w:r>
            <w:r>
              <w:t>’</w:t>
            </w:r>
            <w:r w:rsidRPr="0019144F">
              <w:t xml:space="preserve">Addis-Abeba sur le financement du développement. Il devrait </w:t>
            </w:r>
            <w:r w:rsidRPr="0019144F">
              <w:rPr>
                <w:b/>
                <w:i/>
              </w:rPr>
              <w:t xml:space="preserve">également </w:t>
            </w:r>
            <w:r w:rsidRPr="0019144F">
              <w:t>permettre aux investisseurs</w:t>
            </w:r>
            <w:r w:rsidRPr="0019144F">
              <w:rPr>
                <w:b/>
                <w:i/>
              </w:rPr>
              <w:t xml:space="preserve"> européens</w:t>
            </w:r>
            <w:r w:rsidRPr="0019144F">
              <w:t xml:space="preserve"> et aux entreprises privées, y compris aux petites et moyennes entreprises, de participer plus efficacement au développement durable dans les pays partenaires.</w:t>
            </w:r>
          </w:p>
        </w:tc>
        <w:tc>
          <w:tcPr>
            <w:tcW w:w="4876" w:type="dxa"/>
            <w:hideMark/>
          </w:tcPr>
          <w:p w14:paraId="7C4E8EC1" w14:textId="77777777" w:rsidR="00BF7ACA" w:rsidRPr="0019144F" w:rsidRDefault="00BF7ACA" w:rsidP="007924BE">
            <w:pPr>
              <w:pStyle w:val="Normal6"/>
              <w:rPr>
                <w:szCs w:val="24"/>
              </w:rPr>
            </w:pPr>
            <w:r w:rsidRPr="0019144F">
              <w:t>(2)</w:t>
            </w:r>
            <w:r>
              <w:tab/>
            </w:r>
            <w:r w:rsidRPr="0019144F">
              <w:t>Le PIE devrait intégrer l</w:t>
            </w:r>
            <w:r>
              <w:t>’</w:t>
            </w:r>
            <w:r w:rsidRPr="0019144F">
              <w:t>engagement de l</w:t>
            </w:r>
            <w:r>
              <w:t>’</w:t>
            </w:r>
            <w:r w:rsidRPr="0019144F">
              <w:t>Union dans le cadre du programme d</w:t>
            </w:r>
            <w:r>
              <w:t>’</w:t>
            </w:r>
            <w:r w:rsidRPr="0019144F">
              <w:t>action d</w:t>
            </w:r>
            <w:r>
              <w:t>’</w:t>
            </w:r>
            <w:r w:rsidRPr="0019144F">
              <w:t>Addis-Abeba sur le financement du développement. Il devrait permettre aux investisseurs et aux entreprises privées, y compris aux petites et moyennes entreprises, de participer plus efficacement au développement durable dans les pays partenaires</w:t>
            </w:r>
            <w:r w:rsidRPr="0019144F">
              <w:rPr>
                <w:b/>
                <w:i/>
              </w:rPr>
              <w:t>, conformément aux politiques de développement et de voisinage de l</w:t>
            </w:r>
            <w:r>
              <w:rPr>
                <w:b/>
                <w:i/>
              </w:rPr>
              <w:t>’</w:t>
            </w:r>
            <w:r w:rsidRPr="0019144F">
              <w:rPr>
                <w:b/>
                <w:i/>
              </w:rPr>
              <w:t>Union</w:t>
            </w:r>
            <w:r w:rsidRPr="0019144F">
              <w:t>.</w:t>
            </w:r>
          </w:p>
        </w:tc>
      </w:tr>
    </w:tbl>
    <w:p w14:paraId="3AB74801"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4522069" w14:textId="77777777" w:rsidR="00BF7ACA" w:rsidRPr="00BF7ACA" w:rsidRDefault="00BF7ACA" w:rsidP="00BF7ACA">
      <w:r w:rsidRPr="00BF7ACA">
        <w:rPr>
          <w:rStyle w:val="HideTWBExt"/>
        </w:rPr>
        <w:t>&lt;/Amend&gt;</w:t>
      </w:r>
    </w:p>
    <w:p w14:paraId="52E99CB6"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89</w:t>
      </w:r>
      <w:r w:rsidRPr="00BF7ACA">
        <w:rPr>
          <w:rStyle w:val="HideTWBExt"/>
          <w:b w:val="0"/>
        </w:rPr>
        <w:t>&lt;/NumAm&gt;</w:t>
      </w:r>
    </w:p>
    <w:p w14:paraId="672DC8A8" w14:textId="77777777"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14:paraId="6277CD5D" w14:textId="77777777" w:rsidR="00BF7ACA" w:rsidRPr="005A5903" w:rsidRDefault="00BF7ACA" w:rsidP="00BF7ACA">
      <w:r>
        <w:rPr>
          <w:rStyle w:val="HideTWBExt"/>
        </w:rPr>
        <w:t>&lt;/RepeatBlock-By&gt;</w:t>
      </w:r>
    </w:p>
    <w:p w14:paraId="290E5E0D"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273AD677" w14:textId="77777777" w:rsidR="00BF7ACA" w:rsidRPr="005A5903" w:rsidRDefault="00BF7ACA" w:rsidP="00BF7ACA">
      <w:pPr>
        <w:pStyle w:val="NormalBold"/>
      </w:pPr>
      <w:r>
        <w:rPr>
          <w:rStyle w:val="HideTWBExt"/>
          <w:b w:val="0"/>
        </w:rPr>
        <w:t>&lt;Article&gt;</w:t>
      </w:r>
      <w:r w:rsidRPr="0019144F">
        <w:t>Considérant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687C32EF" w14:textId="77777777" w:rsidTr="007924BE">
        <w:trPr>
          <w:jc w:val="center"/>
        </w:trPr>
        <w:tc>
          <w:tcPr>
            <w:tcW w:w="9752" w:type="dxa"/>
            <w:gridSpan w:val="2"/>
          </w:tcPr>
          <w:p w14:paraId="1742607C" w14:textId="77777777" w:rsidR="00BF7ACA" w:rsidRPr="005A5903" w:rsidRDefault="00BF7ACA" w:rsidP="007924BE">
            <w:pPr>
              <w:keepNext/>
            </w:pPr>
          </w:p>
        </w:tc>
      </w:tr>
      <w:tr w:rsidR="00BF7ACA" w:rsidRPr="005A5903" w14:paraId="59244267" w14:textId="77777777" w:rsidTr="007924BE">
        <w:trPr>
          <w:jc w:val="center"/>
        </w:trPr>
        <w:tc>
          <w:tcPr>
            <w:tcW w:w="4876" w:type="dxa"/>
            <w:hideMark/>
          </w:tcPr>
          <w:p w14:paraId="7FBAFC5F" w14:textId="77777777" w:rsidR="00BF7ACA" w:rsidRPr="0019144F" w:rsidRDefault="00BF7ACA" w:rsidP="007924BE">
            <w:pPr>
              <w:pStyle w:val="ColumnHeading"/>
              <w:keepNext/>
            </w:pPr>
            <w:r w:rsidRPr="0019144F">
              <w:t>Texte proposé par la Commission</w:t>
            </w:r>
          </w:p>
        </w:tc>
        <w:tc>
          <w:tcPr>
            <w:tcW w:w="4876" w:type="dxa"/>
            <w:hideMark/>
          </w:tcPr>
          <w:p w14:paraId="4370CAE3" w14:textId="77777777" w:rsidR="00BF7ACA" w:rsidRPr="0019144F" w:rsidRDefault="00BF7ACA" w:rsidP="007924BE">
            <w:pPr>
              <w:pStyle w:val="ColumnHeading"/>
              <w:keepNext/>
            </w:pPr>
            <w:r w:rsidRPr="0019144F">
              <w:t>Amendement</w:t>
            </w:r>
          </w:p>
        </w:tc>
      </w:tr>
      <w:tr w:rsidR="00BF7ACA" w:rsidRPr="005A5903" w14:paraId="6AC232CC" w14:textId="77777777" w:rsidTr="007924BE">
        <w:trPr>
          <w:jc w:val="center"/>
        </w:trPr>
        <w:tc>
          <w:tcPr>
            <w:tcW w:w="4876" w:type="dxa"/>
            <w:hideMark/>
          </w:tcPr>
          <w:p w14:paraId="5F143E63" w14:textId="77777777" w:rsidR="00BF7ACA" w:rsidRPr="0019144F" w:rsidRDefault="00BF7ACA" w:rsidP="007924BE">
            <w:pPr>
              <w:pStyle w:val="Normal6"/>
            </w:pPr>
            <w:r w:rsidRPr="0019144F">
              <w:t>(2)</w:t>
            </w:r>
            <w:r>
              <w:tab/>
            </w:r>
            <w:r w:rsidRPr="0019144F">
              <w:t>Le PIE devrait intégrer l</w:t>
            </w:r>
            <w:r>
              <w:t>’</w:t>
            </w:r>
            <w:r w:rsidRPr="0019144F">
              <w:t>engagement de l</w:t>
            </w:r>
            <w:r>
              <w:t>’</w:t>
            </w:r>
            <w:r w:rsidRPr="0019144F">
              <w:t>Union dans le cadre du programme d</w:t>
            </w:r>
            <w:r>
              <w:t>’</w:t>
            </w:r>
            <w:r w:rsidRPr="0019144F">
              <w:t>action d</w:t>
            </w:r>
            <w:r>
              <w:t>’</w:t>
            </w:r>
            <w:r w:rsidRPr="0019144F">
              <w:t>Addis-Abeba sur le financement du développement. Il devrait également permettre aux investisseurs européens et aux entreprises privées, y compris aux petites et moyennes entreprises, de participer plus efficacement au développement durable dans les pays partenaires.</w:t>
            </w:r>
          </w:p>
        </w:tc>
        <w:tc>
          <w:tcPr>
            <w:tcW w:w="4876" w:type="dxa"/>
            <w:hideMark/>
          </w:tcPr>
          <w:p w14:paraId="26AA350E" w14:textId="77777777" w:rsidR="00BF7ACA" w:rsidRPr="0019144F" w:rsidRDefault="00BF7ACA" w:rsidP="007924BE">
            <w:pPr>
              <w:pStyle w:val="Normal6"/>
              <w:rPr>
                <w:szCs w:val="24"/>
              </w:rPr>
            </w:pPr>
            <w:r w:rsidRPr="0019144F">
              <w:t>(2)</w:t>
            </w:r>
            <w:r>
              <w:tab/>
            </w:r>
            <w:r w:rsidRPr="0019144F">
              <w:t>Le PIE devrait intégrer l</w:t>
            </w:r>
            <w:r>
              <w:t>’</w:t>
            </w:r>
            <w:r w:rsidRPr="0019144F">
              <w:t>engagement de l</w:t>
            </w:r>
            <w:r>
              <w:t>’</w:t>
            </w:r>
            <w:r w:rsidRPr="0019144F">
              <w:t>Union dans le cadre du programme d</w:t>
            </w:r>
            <w:r>
              <w:t>’</w:t>
            </w:r>
            <w:r w:rsidRPr="0019144F">
              <w:t>action d</w:t>
            </w:r>
            <w:r>
              <w:t>’</w:t>
            </w:r>
            <w:r w:rsidRPr="0019144F">
              <w:t xml:space="preserve">Addis-Abeba sur le financement du développement. Il devrait également permettre aux investisseurs européens et aux entreprises privées, y compris aux </w:t>
            </w:r>
            <w:r w:rsidRPr="0019144F">
              <w:rPr>
                <w:b/>
                <w:i/>
              </w:rPr>
              <w:t xml:space="preserve">microentreprises et aux </w:t>
            </w:r>
            <w:r w:rsidRPr="0019144F">
              <w:t>petites et moyennes entreprises, de participer plus efficacement au développement durable dans les pays partenaires.</w:t>
            </w:r>
          </w:p>
        </w:tc>
      </w:tr>
    </w:tbl>
    <w:p w14:paraId="3723BEB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1581698" w14:textId="77777777" w:rsidR="00BF7ACA" w:rsidRPr="00BF7ACA" w:rsidRDefault="00BF7ACA" w:rsidP="00BF7ACA">
      <w:r w:rsidRPr="00BF7ACA">
        <w:rPr>
          <w:rStyle w:val="HideTWBExt"/>
        </w:rPr>
        <w:t>&lt;/Amend&gt;</w:t>
      </w:r>
    </w:p>
    <w:p w14:paraId="66DE57F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90</w:t>
      </w:r>
      <w:r w:rsidRPr="00BF7ACA">
        <w:rPr>
          <w:rStyle w:val="HideTWBExt"/>
          <w:b w:val="0"/>
        </w:rPr>
        <w:t>&lt;/NumAm&gt;</w:t>
      </w:r>
    </w:p>
    <w:p w14:paraId="7AE1B449" w14:textId="77777777" w:rsidR="00BF7ACA" w:rsidRPr="00BF7ACA" w:rsidRDefault="00BF7ACA" w:rsidP="00BF7ACA">
      <w:pPr>
        <w:pStyle w:val="NormalBold"/>
      </w:pPr>
      <w:r w:rsidRPr="00BF7ACA">
        <w:rPr>
          <w:rStyle w:val="HideTWBExt"/>
          <w:b w:val="0"/>
        </w:rPr>
        <w:t>&lt;RepeatBlock-By&gt;&lt;Members&gt;</w:t>
      </w:r>
      <w:r w:rsidRPr="00BF7ACA">
        <w:t>Pina Picierno, Nicola Caputo</w:t>
      </w:r>
      <w:r w:rsidRPr="00BF7ACA">
        <w:rPr>
          <w:rStyle w:val="HideTWBExt"/>
          <w:b w:val="0"/>
        </w:rPr>
        <w:t>&lt;/Members&gt;</w:t>
      </w:r>
    </w:p>
    <w:p w14:paraId="3FCE43A3" w14:textId="77777777" w:rsidR="00BF7ACA" w:rsidRPr="00BF7ACA" w:rsidRDefault="00BF7ACA" w:rsidP="00BF7ACA">
      <w:r w:rsidRPr="00BF7ACA">
        <w:rPr>
          <w:rStyle w:val="HideTWBExt"/>
        </w:rPr>
        <w:t>&lt;/RepeatBlock-By&gt;</w:t>
      </w:r>
    </w:p>
    <w:p w14:paraId="6705AC70" w14:textId="77777777"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14:paraId="5FB537ED" w14:textId="77777777" w:rsidR="00BF7ACA" w:rsidRPr="00E502E5" w:rsidRDefault="00BF7ACA" w:rsidP="00BF7ACA">
      <w:pPr>
        <w:pStyle w:val="NormalBold"/>
      </w:pPr>
      <w:r>
        <w:rPr>
          <w:rStyle w:val="HideTWBExt"/>
          <w:b w:val="0"/>
        </w:rPr>
        <w:t>&lt;Article&gt;</w:t>
      </w:r>
      <w:r w:rsidRPr="002E43F3">
        <w:t>Considérant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238A68CF" w14:textId="77777777" w:rsidTr="007924BE">
        <w:trPr>
          <w:jc w:val="center"/>
        </w:trPr>
        <w:tc>
          <w:tcPr>
            <w:tcW w:w="9752" w:type="dxa"/>
            <w:gridSpan w:val="2"/>
          </w:tcPr>
          <w:p w14:paraId="462F66E0" w14:textId="77777777" w:rsidR="00BF7ACA" w:rsidRPr="00E502E5" w:rsidRDefault="00BF7ACA" w:rsidP="007924BE">
            <w:pPr>
              <w:keepNext/>
            </w:pPr>
          </w:p>
        </w:tc>
      </w:tr>
      <w:tr w:rsidR="00BF7ACA" w:rsidRPr="00E502E5" w14:paraId="60A0F544" w14:textId="77777777" w:rsidTr="007924BE">
        <w:trPr>
          <w:jc w:val="center"/>
        </w:trPr>
        <w:tc>
          <w:tcPr>
            <w:tcW w:w="4876" w:type="dxa"/>
            <w:hideMark/>
          </w:tcPr>
          <w:p w14:paraId="0FE380FA" w14:textId="77777777" w:rsidR="00BF7ACA" w:rsidRPr="002E43F3" w:rsidRDefault="00BF7ACA" w:rsidP="007924BE">
            <w:pPr>
              <w:pStyle w:val="ColumnHeading"/>
              <w:keepNext/>
            </w:pPr>
            <w:r w:rsidRPr="002E43F3">
              <w:t>Texte proposé par la Commission</w:t>
            </w:r>
          </w:p>
        </w:tc>
        <w:tc>
          <w:tcPr>
            <w:tcW w:w="4876" w:type="dxa"/>
            <w:hideMark/>
          </w:tcPr>
          <w:p w14:paraId="25D7BE01" w14:textId="77777777" w:rsidR="00BF7ACA" w:rsidRPr="002E43F3" w:rsidRDefault="00BF7ACA" w:rsidP="007924BE">
            <w:pPr>
              <w:pStyle w:val="ColumnHeading"/>
              <w:keepNext/>
            </w:pPr>
            <w:r w:rsidRPr="002E43F3">
              <w:t>Amendement</w:t>
            </w:r>
          </w:p>
        </w:tc>
      </w:tr>
      <w:tr w:rsidR="00BF7ACA" w:rsidRPr="00E502E5" w14:paraId="29A82CCB" w14:textId="77777777" w:rsidTr="007924BE">
        <w:trPr>
          <w:jc w:val="center"/>
        </w:trPr>
        <w:tc>
          <w:tcPr>
            <w:tcW w:w="4876" w:type="dxa"/>
            <w:hideMark/>
          </w:tcPr>
          <w:p w14:paraId="19EE27CB" w14:textId="77777777" w:rsidR="00BF7ACA" w:rsidRPr="002E43F3" w:rsidRDefault="00BF7ACA" w:rsidP="007924BE">
            <w:pPr>
              <w:pStyle w:val="Normal6"/>
            </w:pPr>
            <w:r w:rsidRPr="002E43F3">
              <w:t>(2)</w:t>
            </w:r>
            <w:r>
              <w:tab/>
            </w:r>
            <w:r w:rsidRPr="002E43F3">
              <w:t>Le PIE devrait intégrer l</w:t>
            </w:r>
            <w:r>
              <w:t>’</w:t>
            </w:r>
            <w:r w:rsidRPr="002E43F3">
              <w:t>engagement de l</w:t>
            </w:r>
            <w:r>
              <w:t>’</w:t>
            </w:r>
            <w:r w:rsidRPr="002E43F3">
              <w:t>Union dans le cadre du programme d</w:t>
            </w:r>
            <w:r>
              <w:t>’</w:t>
            </w:r>
            <w:r w:rsidRPr="002E43F3">
              <w:t>action d</w:t>
            </w:r>
            <w:r>
              <w:t>’</w:t>
            </w:r>
            <w:r w:rsidRPr="002E43F3">
              <w:t xml:space="preserve">Addis-Abeba sur le financement du développement. Il devrait également permettre aux investisseurs européens et aux entreprises privées, </w:t>
            </w:r>
            <w:r w:rsidRPr="002E43F3">
              <w:rPr>
                <w:b/>
                <w:i/>
              </w:rPr>
              <w:t>y compris</w:t>
            </w:r>
            <w:r w:rsidRPr="002E43F3">
              <w:t xml:space="preserve"> aux petites et moyennes entreprises, de participer plus efficacement au développement durable dans les pays partenaires.</w:t>
            </w:r>
          </w:p>
        </w:tc>
        <w:tc>
          <w:tcPr>
            <w:tcW w:w="4876" w:type="dxa"/>
            <w:hideMark/>
          </w:tcPr>
          <w:p w14:paraId="60795469" w14:textId="77777777" w:rsidR="00BF7ACA" w:rsidRPr="002E43F3" w:rsidRDefault="00BF7ACA" w:rsidP="007924BE">
            <w:pPr>
              <w:pStyle w:val="Normal6"/>
              <w:rPr>
                <w:szCs w:val="24"/>
              </w:rPr>
            </w:pPr>
            <w:r w:rsidRPr="002E43F3">
              <w:t>(2)</w:t>
            </w:r>
            <w:r>
              <w:tab/>
            </w:r>
            <w:r w:rsidRPr="002E43F3">
              <w:t>Le PIE devrait intégrer l</w:t>
            </w:r>
            <w:r>
              <w:t>’</w:t>
            </w:r>
            <w:r w:rsidRPr="002E43F3">
              <w:t>engagement de l</w:t>
            </w:r>
            <w:r>
              <w:t>’</w:t>
            </w:r>
            <w:r w:rsidRPr="002E43F3">
              <w:t>Union dans le cadre du programme d</w:t>
            </w:r>
            <w:r>
              <w:t>’</w:t>
            </w:r>
            <w:r w:rsidRPr="002E43F3">
              <w:t>action d</w:t>
            </w:r>
            <w:r>
              <w:t>’</w:t>
            </w:r>
            <w:r w:rsidRPr="002E43F3">
              <w:t xml:space="preserve">Addis-Abeba sur le financement du développement. Il devrait également permettre aux investisseurs européens et aux entreprises privées, </w:t>
            </w:r>
            <w:r w:rsidRPr="002E43F3">
              <w:rPr>
                <w:b/>
                <w:i/>
              </w:rPr>
              <w:t>en particulier</w:t>
            </w:r>
            <w:r w:rsidRPr="002E43F3">
              <w:t xml:space="preserve"> aux petites et moyennes entreprises, de participer plus efficacement au développement durable dans les pays partenaires.</w:t>
            </w:r>
          </w:p>
        </w:tc>
      </w:tr>
    </w:tbl>
    <w:p w14:paraId="33CB29C2" w14:textId="77777777"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&lt;Original&gt;</w:t>
      </w:r>
      <w:r w:rsidRPr="000C3237">
        <w:rPr>
          <w:rStyle w:val="HideTWBInt"/>
          <w:noProof w:val="0"/>
          <w:lang w:val="en-GB"/>
        </w:rPr>
        <w:t>{IT}</w:t>
      </w:r>
      <w:r w:rsidRPr="000C3237">
        <w:rPr>
          <w:noProof w:val="0"/>
          <w:lang w:val="en-GB"/>
        </w:rPr>
        <w:t>it</w:t>
      </w:r>
      <w:r w:rsidRPr="000C3237">
        <w:rPr>
          <w:rStyle w:val="HideTWBExt"/>
          <w:noProof w:val="0"/>
          <w:lang w:val="en-GB"/>
        </w:rPr>
        <w:t>&lt;/Original&gt;</w:t>
      </w:r>
    </w:p>
    <w:p w14:paraId="140DD24B" w14:textId="77777777" w:rsidR="00BF7ACA" w:rsidRPr="000C3237" w:rsidRDefault="00BF7ACA" w:rsidP="00BF7ACA">
      <w:pPr>
        <w:rPr>
          <w:lang w:val="en-GB"/>
        </w:rPr>
      </w:pPr>
      <w:r w:rsidRPr="000C3237">
        <w:rPr>
          <w:rStyle w:val="HideTWBExt"/>
          <w:lang w:val="en-GB"/>
        </w:rPr>
        <w:t>&lt;/Amend&gt;</w:t>
      </w:r>
    </w:p>
    <w:p w14:paraId="11E68858" w14:textId="77777777"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91</w:t>
      </w:r>
      <w:r w:rsidRPr="000C3237">
        <w:rPr>
          <w:rStyle w:val="HideTWBExt"/>
          <w:b w:val="0"/>
          <w:lang w:val="en-GB"/>
        </w:rPr>
        <w:t>&lt;/NumAm&gt;</w:t>
      </w:r>
    </w:p>
    <w:p w14:paraId="54094719" w14:textId="77777777"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Fabio Massimo Castaldo, Ignazio Corrao, Marco Valli</w:t>
      </w:r>
      <w:r w:rsidRPr="000C3237">
        <w:rPr>
          <w:rStyle w:val="HideTWBExt"/>
          <w:b w:val="0"/>
          <w:lang w:val="en-GB"/>
        </w:rPr>
        <w:t>&lt;/Members&gt;</w:t>
      </w:r>
    </w:p>
    <w:p w14:paraId="02F96D97" w14:textId="77777777" w:rsidR="00BF7ACA" w:rsidRPr="000C3237" w:rsidRDefault="00BF7ACA" w:rsidP="00BF7ACA">
      <w:pPr>
        <w:rPr>
          <w:lang w:val="en-GB"/>
        </w:rPr>
      </w:pPr>
      <w:r w:rsidRPr="000C3237">
        <w:rPr>
          <w:rStyle w:val="HideTWBExt"/>
          <w:lang w:val="en-GB"/>
        </w:rPr>
        <w:t>&lt;/RepeatBlock-By&gt;</w:t>
      </w:r>
    </w:p>
    <w:p w14:paraId="35EDF5B9" w14:textId="77777777" w:rsidR="00BF7ACA" w:rsidRPr="000C3237" w:rsidRDefault="00BF7ACA" w:rsidP="00BF7ACA">
      <w:pPr>
        <w:pStyle w:val="NormalBold"/>
        <w:keepNext/>
        <w:rPr>
          <w:lang w:val="en-GB"/>
        </w:rPr>
      </w:pPr>
      <w:r w:rsidRPr="000C3237">
        <w:rPr>
          <w:rStyle w:val="HideTWBExt"/>
          <w:b w:val="0"/>
          <w:lang w:val="en-GB"/>
        </w:rPr>
        <w:t>&lt;DocAmend&gt;</w:t>
      </w:r>
      <w:r w:rsidRPr="000C3237">
        <w:rPr>
          <w:lang w:val="en-GB"/>
        </w:rPr>
        <w:t>Proposition de règlement</w:t>
      </w:r>
      <w:r w:rsidRPr="000C3237">
        <w:rPr>
          <w:rStyle w:val="HideTWBExt"/>
          <w:b w:val="0"/>
          <w:lang w:val="en-GB"/>
        </w:rPr>
        <w:t>&lt;/DocAmend&gt;</w:t>
      </w:r>
    </w:p>
    <w:p w14:paraId="04F89913" w14:textId="77777777" w:rsidR="00BF7ACA" w:rsidRPr="00E502E5" w:rsidRDefault="00BF7ACA" w:rsidP="00BF7ACA">
      <w:pPr>
        <w:pStyle w:val="NormalBold"/>
      </w:pPr>
      <w:r>
        <w:rPr>
          <w:rStyle w:val="HideTWBExt"/>
          <w:b w:val="0"/>
        </w:rPr>
        <w:t>&lt;Article&gt;</w:t>
      </w:r>
      <w:r w:rsidRPr="002E43F3">
        <w:t>Considérant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5321D544" w14:textId="77777777" w:rsidTr="007924BE">
        <w:trPr>
          <w:jc w:val="center"/>
        </w:trPr>
        <w:tc>
          <w:tcPr>
            <w:tcW w:w="9752" w:type="dxa"/>
            <w:gridSpan w:val="2"/>
          </w:tcPr>
          <w:p w14:paraId="5015105E" w14:textId="77777777" w:rsidR="00BF7ACA" w:rsidRPr="00E502E5" w:rsidRDefault="00BF7ACA" w:rsidP="007924BE">
            <w:pPr>
              <w:keepNext/>
            </w:pPr>
          </w:p>
        </w:tc>
      </w:tr>
      <w:tr w:rsidR="00BF7ACA" w:rsidRPr="00E502E5" w14:paraId="16039D21" w14:textId="77777777" w:rsidTr="007924BE">
        <w:trPr>
          <w:jc w:val="center"/>
        </w:trPr>
        <w:tc>
          <w:tcPr>
            <w:tcW w:w="4876" w:type="dxa"/>
            <w:hideMark/>
          </w:tcPr>
          <w:p w14:paraId="53FF79DA" w14:textId="77777777" w:rsidR="00BF7ACA" w:rsidRPr="002E43F3" w:rsidRDefault="00BF7ACA" w:rsidP="007924BE">
            <w:pPr>
              <w:pStyle w:val="ColumnHeading"/>
              <w:keepNext/>
            </w:pPr>
            <w:r w:rsidRPr="002E43F3">
              <w:t>Texte proposé par la Commission</w:t>
            </w:r>
          </w:p>
        </w:tc>
        <w:tc>
          <w:tcPr>
            <w:tcW w:w="4876" w:type="dxa"/>
            <w:hideMark/>
          </w:tcPr>
          <w:p w14:paraId="0AF28C78" w14:textId="77777777" w:rsidR="00BF7ACA" w:rsidRPr="002E43F3" w:rsidRDefault="00BF7ACA" w:rsidP="007924BE">
            <w:pPr>
              <w:pStyle w:val="ColumnHeading"/>
              <w:keepNext/>
            </w:pPr>
            <w:r w:rsidRPr="002E43F3">
              <w:t>Amendement</w:t>
            </w:r>
          </w:p>
        </w:tc>
      </w:tr>
      <w:tr w:rsidR="00BF7ACA" w:rsidRPr="00E502E5" w14:paraId="1B9283D2" w14:textId="77777777" w:rsidTr="007924BE">
        <w:trPr>
          <w:jc w:val="center"/>
        </w:trPr>
        <w:tc>
          <w:tcPr>
            <w:tcW w:w="4876" w:type="dxa"/>
            <w:hideMark/>
          </w:tcPr>
          <w:p w14:paraId="23AFC40C" w14:textId="77777777" w:rsidR="00BF7ACA" w:rsidRPr="002E43F3" w:rsidRDefault="00BF7ACA" w:rsidP="007924BE">
            <w:pPr>
              <w:pStyle w:val="Normal6"/>
            </w:pPr>
            <w:r w:rsidRPr="002E43F3">
              <w:t>(2)</w:t>
            </w:r>
            <w:r>
              <w:tab/>
            </w:r>
            <w:r w:rsidRPr="002E43F3">
              <w:t>Le PIE devrait intégrer l</w:t>
            </w:r>
            <w:r>
              <w:t>’</w:t>
            </w:r>
            <w:r w:rsidRPr="002E43F3">
              <w:t>engagement de l</w:t>
            </w:r>
            <w:r>
              <w:t>’</w:t>
            </w:r>
            <w:r w:rsidRPr="002E43F3">
              <w:t>Union dans le cadre du programme d</w:t>
            </w:r>
            <w:r>
              <w:t>’</w:t>
            </w:r>
            <w:r w:rsidRPr="002E43F3">
              <w:t>action d</w:t>
            </w:r>
            <w:r>
              <w:t>’</w:t>
            </w:r>
            <w:r w:rsidRPr="002E43F3">
              <w:t xml:space="preserve">Addis-Abeba sur le financement du développement. Il devrait également permettre aux investisseurs européens et aux entreprises privées, </w:t>
            </w:r>
            <w:r w:rsidRPr="002E43F3">
              <w:rPr>
                <w:b/>
                <w:i/>
              </w:rPr>
              <w:t>y compris</w:t>
            </w:r>
            <w:r w:rsidRPr="002E43F3">
              <w:t xml:space="preserve"> aux petites et moyennes entreprises, de participer plus efficacement au développement durable dans les pays partenaires.</w:t>
            </w:r>
          </w:p>
        </w:tc>
        <w:tc>
          <w:tcPr>
            <w:tcW w:w="4876" w:type="dxa"/>
            <w:hideMark/>
          </w:tcPr>
          <w:p w14:paraId="2900B7A8" w14:textId="77777777" w:rsidR="00BF7ACA" w:rsidRPr="002E43F3" w:rsidRDefault="00BF7ACA" w:rsidP="007924BE">
            <w:pPr>
              <w:pStyle w:val="Normal6"/>
              <w:rPr>
                <w:szCs w:val="24"/>
              </w:rPr>
            </w:pPr>
            <w:r w:rsidRPr="002E43F3">
              <w:t>(2)</w:t>
            </w:r>
            <w:r>
              <w:tab/>
            </w:r>
            <w:r w:rsidRPr="002E43F3">
              <w:t>Le PIE devrait intégrer l</w:t>
            </w:r>
            <w:r>
              <w:t>’</w:t>
            </w:r>
            <w:r w:rsidRPr="002E43F3">
              <w:t>engagement de l</w:t>
            </w:r>
            <w:r>
              <w:t>’</w:t>
            </w:r>
            <w:r w:rsidRPr="002E43F3">
              <w:t>Union dans le cadre du programme d</w:t>
            </w:r>
            <w:r>
              <w:t>’</w:t>
            </w:r>
            <w:r w:rsidRPr="002E43F3">
              <w:t>action d</w:t>
            </w:r>
            <w:r>
              <w:t>’</w:t>
            </w:r>
            <w:r w:rsidRPr="002E43F3">
              <w:t xml:space="preserve">Addis-Abeba sur le financement du développement. Il devrait également permettre aux investisseurs européens et aux entreprises privées, </w:t>
            </w:r>
            <w:r w:rsidRPr="002E43F3">
              <w:rPr>
                <w:b/>
                <w:i/>
              </w:rPr>
              <w:t>en particulier</w:t>
            </w:r>
            <w:r w:rsidRPr="002E43F3">
              <w:t xml:space="preserve"> aux petites et moyennes entreprises, de participer plus efficacement au développement durable dans les pays partenaires.</w:t>
            </w:r>
          </w:p>
        </w:tc>
      </w:tr>
    </w:tbl>
    <w:p w14:paraId="5ED7D652"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{IT}</w:t>
      </w:r>
      <w:r w:rsidRPr="00BF7ACA">
        <w:rPr>
          <w:noProof w:val="0"/>
        </w:rPr>
        <w:t>it</w:t>
      </w:r>
      <w:r w:rsidRPr="00BF7ACA">
        <w:rPr>
          <w:rStyle w:val="HideTWBExt"/>
          <w:noProof w:val="0"/>
        </w:rPr>
        <w:t>&lt;/Original&gt;</w:t>
      </w:r>
    </w:p>
    <w:p w14:paraId="1945E920" w14:textId="77777777" w:rsidR="00BF7ACA" w:rsidRPr="00BF7ACA" w:rsidRDefault="00BF7ACA" w:rsidP="00BF7ACA">
      <w:r w:rsidRPr="00BF7ACA">
        <w:rPr>
          <w:rStyle w:val="HideTWBExt"/>
        </w:rPr>
        <w:t>&lt;/Amend&gt;</w:t>
      </w:r>
    </w:p>
    <w:p w14:paraId="10701C7E"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92</w:t>
      </w:r>
      <w:r w:rsidRPr="00BF7ACA">
        <w:rPr>
          <w:rStyle w:val="HideTWBExt"/>
          <w:b w:val="0"/>
        </w:rPr>
        <w:t>&lt;/NumAm&gt;</w:t>
      </w:r>
    </w:p>
    <w:p w14:paraId="3801CDEA" w14:textId="77777777"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14:paraId="38455011" w14:textId="77777777" w:rsidR="00BF7ACA" w:rsidRPr="005A5903" w:rsidRDefault="00BF7ACA" w:rsidP="00BF7ACA">
      <w:r>
        <w:rPr>
          <w:rStyle w:val="HideTWBExt"/>
        </w:rPr>
        <w:t>&lt;/RepeatBlock-By&gt;</w:t>
      </w:r>
    </w:p>
    <w:p w14:paraId="561D6FA5"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4250F41E" w14:textId="77777777" w:rsidR="00BF7ACA" w:rsidRPr="005A5903" w:rsidRDefault="00BF7ACA" w:rsidP="00BF7ACA">
      <w:pPr>
        <w:pStyle w:val="NormalBold"/>
      </w:pPr>
      <w:r>
        <w:rPr>
          <w:rStyle w:val="HideTWBExt"/>
          <w:b w:val="0"/>
        </w:rPr>
        <w:t>&lt;Article&gt;</w:t>
      </w:r>
      <w:r w:rsidRPr="0019144F">
        <w:t>Considérant 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65E90871" w14:textId="77777777" w:rsidTr="007924BE">
        <w:trPr>
          <w:jc w:val="center"/>
        </w:trPr>
        <w:tc>
          <w:tcPr>
            <w:tcW w:w="9752" w:type="dxa"/>
            <w:gridSpan w:val="2"/>
          </w:tcPr>
          <w:p w14:paraId="36B2014F" w14:textId="77777777" w:rsidR="00BF7ACA" w:rsidRPr="005A5903" w:rsidRDefault="00BF7ACA" w:rsidP="007924BE">
            <w:pPr>
              <w:keepNext/>
            </w:pPr>
          </w:p>
        </w:tc>
      </w:tr>
      <w:tr w:rsidR="00BF7ACA" w:rsidRPr="005A5903" w14:paraId="26C70182" w14:textId="77777777" w:rsidTr="007924BE">
        <w:trPr>
          <w:jc w:val="center"/>
        </w:trPr>
        <w:tc>
          <w:tcPr>
            <w:tcW w:w="4876" w:type="dxa"/>
            <w:hideMark/>
          </w:tcPr>
          <w:p w14:paraId="37F5C19A" w14:textId="77777777" w:rsidR="00BF7ACA" w:rsidRPr="0019144F" w:rsidRDefault="00BF7ACA" w:rsidP="007924BE">
            <w:pPr>
              <w:pStyle w:val="ColumnHeading"/>
              <w:keepNext/>
            </w:pPr>
            <w:r w:rsidRPr="0019144F">
              <w:t>Texte proposé par la Commission</w:t>
            </w:r>
          </w:p>
        </w:tc>
        <w:tc>
          <w:tcPr>
            <w:tcW w:w="4876" w:type="dxa"/>
            <w:hideMark/>
          </w:tcPr>
          <w:p w14:paraId="6A10EFA8" w14:textId="77777777" w:rsidR="00BF7ACA" w:rsidRPr="0019144F" w:rsidRDefault="00BF7ACA" w:rsidP="007924BE">
            <w:pPr>
              <w:pStyle w:val="ColumnHeading"/>
              <w:keepNext/>
            </w:pPr>
            <w:r w:rsidRPr="0019144F">
              <w:t>Amendement</w:t>
            </w:r>
          </w:p>
        </w:tc>
      </w:tr>
      <w:tr w:rsidR="00BF7ACA" w:rsidRPr="005A5903" w14:paraId="49C47038" w14:textId="77777777" w:rsidTr="007924BE">
        <w:trPr>
          <w:jc w:val="center"/>
        </w:trPr>
        <w:tc>
          <w:tcPr>
            <w:tcW w:w="4876" w:type="dxa"/>
          </w:tcPr>
          <w:p w14:paraId="3B91AD45" w14:textId="77777777" w:rsidR="00BF7ACA" w:rsidRPr="0019144F" w:rsidRDefault="00BF7ACA" w:rsidP="007924BE">
            <w:pPr>
              <w:pStyle w:val="Normal6"/>
            </w:pPr>
          </w:p>
        </w:tc>
        <w:tc>
          <w:tcPr>
            <w:tcW w:w="4876" w:type="dxa"/>
            <w:hideMark/>
          </w:tcPr>
          <w:p w14:paraId="5EB1101F" w14:textId="77777777" w:rsidR="00BF7ACA" w:rsidRPr="0019144F" w:rsidRDefault="00BF7ACA" w:rsidP="007924BE">
            <w:pPr>
              <w:pStyle w:val="Normal6"/>
              <w:rPr>
                <w:szCs w:val="24"/>
              </w:rPr>
            </w:pPr>
            <w:r w:rsidRPr="0019144F">
              <w:rPr>
                <w:b/>
                <w:i/>
              </w:rPr>
              <w:t>(2 bis)</w:t>
            </w:r>
            <w:r>
              <w:tab/>
            </w:r>
            <w:r w:rsidRPr="0019144F">
              <w:rPr>
                <w:b/>
                <w:i/>
              </w:rPr>
              <w:t>Le FEDD devrait contribuer à la réalisation du programme de développement durable à l</w:t>
            </w:r>
            <w:r>
              <w:rPr>
                <w:b/>
                <w:i/>
              </w:rPr>
              <w:t>’</w:t>
            </w:r>
            <w:r w:rsidRPr="0019144F">
              <w:rPr>
                <w:b/>
                <w:i/>
              </w:rPr>
              <w:t>horizon 2030 des Nations unies, qui signale que les migrations internationales constituent une réalité pluridimensionnelle qui a une grande importance pour le développement des pays d</w:t>
            </w:r>
            <w:r>
              <w:rPr>
                <w:b/>
                <w:i/>
              </w:rPr>
              <w:t>’</w:t>
            </w:r>
            <w:r w:rsidRPr="0019144F">
              <w:rPr>
                <w:b/>
                <w:i/>
              </w:rPr>
              <w:t>origine, de transit et de destination et qui appelle des réponses cohérentes et globales, tout en soulignant que les migrants sont susceptibles de contribuer à une croissance inclusive et au développement durable.</w:t>
            </w:r>
          </w:p>
        </w:tc>
      </w:tr>
    </w:tbl>
    <w:p w14:paraId="1011F0F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B55ADF7" w14:textId="77777777" w:rsidR="00BF7ACA" w:rsidRPr="00BF7ACA" w:rsidRDefault="00BF7ACA" w:rsidP="00BF7ACA">
      <w:r w:rsidRPr="00BF7ACA">
        <w:rPr>
          <w:rStyle w:val="HideTWBExt"/>
        </w:rPr>
        <w:t>&lt;/Amend&gt;</w:t>
      </w:r>
    </w:p>
    <w:p w14:paraId="6D9224A0"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93</w:t>
      </w:r>
      <w:r w:rsidRPr="00E502E5">
        <w:rPr>
          <w:rStyle w:val="HideTWBExt"/>
          <w:b w:val="0"/>
        </w:rPr>
        <w:t>&lt;/NumAm&gt;</w:t>
      </w:r>
    </w:p>
    <w:p w14:paraId="1A940BEF" w14:textId="77777777" w:rsidR="00BF7ACA" w:rsidRPr="00E502E5" w:rsidRDefault="00BF7ACA" w:rsidP="00BF7ACA">
      <w:pPr>
        <w:pStyle w:val="NormalBold"/>
      </w:pPr>
      <w:r w:rsidRPr="00E502E5">
        <w:rPr>
          <w:rStyle w:val="HideTWBExt"/>
          <w:b w:val="0"/>
        </w:rPr>
        <w:t>&lt;RepeatBlock-By&gt;&lt;Members&gt;</w:t>
      </w:r>
      <w:r w:rsidRPr="00E502E5">
        <w:t>Jean-Luc Schaffhauser</w:t>
      </w:r>
      <w:r w:rsidRPr="00E502E5">
        <w:rPr>
          <w:rStyle w:val="HideTWBExt"/>
          <w:b w:val="0"/>
        </w:rPr>
        <w:t>&lt;/Members&gt;</w:t>
      </w:r>
    </w:p>
    <w:p w14:paraId="3C9A8267" w14:textId="77777777" w:rsidR="00BF7ACA" w:rsidRPr="00E502E5" w:rsidRDefault="00BF7ACA" w:rsidP="00BF7ACA">
      <w:r w:rsidRPr="00E502E5">
        <w:rPr>
          <w:rStyle w:val="HideTWBExt"/>
        </w:rPr>
        <w:t>&lt;/RepeatBlock-By&gt;</w:t>
      </w:r>
    </w:p>
    <w:p w14:paraId="0E897433"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4A3B86A5" w14:textId="77777777" w:rsidR="00BF7ACA" w:rsidRPr="00E502E5" w:rsidRDefault="00BF7ACA" w:rsidP="00BF7ACA">
      <w:pPr>
        <w:pStyle w:val="NormalBold"/>
      </w:pPr>
      <w:r w:rsidRPr="00E502E5">
        <w:rPr>
          <w:rStyle w:val="HideTWBExt"/>
          <w:b w:val="0"/>
        </w:rPr>
        <w:t>&lt;Article&gt;</w:t>
      </w:r>
      <w:r w:rsidRPr="00E502E5">
        <w:t>Considérant 3</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3DE36322" w14:textId="77777777" w:rsidTr="007924BE">
        <w:trPr>
          <w:jc w:val="center"/>
        </w:trPr>
        <w:tc>
          <w:tcPr>
            <w:tcW w:w="9752" w:type="dxa"/>
            <w:gridSpan w:val="2"/>
          </w:tcPr>
          <w:p w14:paraId="68A931AB" w14:textId="77777777" w:rsidR="00BF7ACA" w:rsidRPr="00E502E5" w:rsidRDefault="00BF7ACA" w:rsidP="007924BE">
            <w:pPr>
              <w:keepNext/>
            </w:pPr>
          </w:p>
        </w:tc>
      </w:tr>
      <w:tr w:rsidR="00BF7ACA" w:rsidRPr="00E502E5" w14:paraId="77E59AA4" w14:textId="77777777" w:rsidTr="007924BE">
        <w:trPr>
          <w:jc w:val="center"/>
        </w:trPr>
        <w:tc>
          <w:tcPr>
            <w:tcW w:w="4876" w:type="dxa"/>
            <w:hideMark/>
          </w:tcPr>
          <w:p w14:paraId="575EEC69" w14:textId="77777777" w:rsidR="00BF7ACA" w:rsidRPr="00E502E5" w:rsidRDefault="00BF7ACA" w:rsidP="007924BE">
            <w:pPr>
              <w:pStyle w:val="ColumnHeading"/>
              <w:keepNext/>
            </w:pPr>
            <w:r w:rsidRPr="00E502E5">
              <w:t>Texte proposé par la Commission</w:t>
            </w:r>
          </w:p>
        </w:tc>
        <w:tc>
          <w:tcPr>
            <w:tcW w:w="4876" w:type="dxa"/>
            <w:hideMark/>
          </w:tcPr>
          <w:p w14:paraId="6FA068E9" w14:textId="77777777" w:rsidR="00BF7ACA" w:rsidRPr="00E502E5" w:rsidRDefault="00BF7ACA" w:rsidP="007924BE">
            <w:pPr>
              <w:pStyle w:val="ColumnHeading"/>
              <w:keepNext/>
            </w:pPr>
            <w:r w:rsidRPr="00E502E5">
              <w:t>Amendement</w:t>
            </w:r>
          </w:p>
        </w:tc>
      </w:tr>
      <w:tr w:rsidR="00BF7ACA" w:rsidRPr="00E502E5" w14:paraId="0CF7F038" w14:textId="77777777" w:rsidTr="007924BE">
        <w:trPr>
          <w:jc w:val="center"/>
        </w:trPr>
        <w:tc>
          <w:tcPr>
            <w:tcW w:w="4876" w:type="dxa"/>
            <w:hideMark/>
          </w:tcPr>
          <w:p w14:paraId="3E6A8A47" w14:textId="77777777" w:rsidR="00BF7ACA" w:rsidRPr="00E502E5" w:rsidRDefault="00BF7ACA" w:rsidP="007924BE">
            <w:pPr>
              <w:pStyle w:val="Normal6"/>
            </w:pPr>
            <w:r w:rsidRPr="00E502E5">
              <w:rPr>
                <w:b/>
                <w:i/>
              </w:rPr>
              <w:t>(3)</w:t>
            </w:r>
            <w:r w:rsidRPr="00E502E5">
              <w:tab/>
            </w:r>
            <w:r w:rsidRPr="00E502E5">
              <w:rPr>
                <w:b/>
                <w:i/>
              </w:rPr>
              <w:t>Cette approche est également conforme à la stratégie globale de l</w:t>
            </w:r>
            <w:r>
              <w:rPr>
                <w:b/>
                <w:i/>
              </w:rPr>
              <w:t>’</w:t>
            </w:r>
            <w:r w:rsidRPr="00E502E5">
              <w:rPr>
                <w:b/>
                <w:i/>
              </w:rPr>
              <w:t>UE concernant les questions de politique étrangère et de sécurité, qui intègre des enjeux tels que la migration et la résilience dans la politique étrangère générale de l</w:t>
            </w:r>
            <w:r>
              <w:rPr>
                <w:b/>
                <w:i/>
              </w:rPr>
              <w:t>’</w:t>
            </w:r>
            <w:r w:rsidRPr="00E502E5">
              <w:rPr>
                <w:b/>
                <w:i/>
              </w:rPr>
              <w:t>UE, ce qui garantit la cohérence et les synergies avec la politique européenne de développement et la politique européenne de voisinage.</w:t>
            </w:r>
          </w:p>
        </w:tc>
        <w:tc>
          <w:tcPr>
            <w:tcW w:w="4876" w:type="dxa"/>
            <w:hideMark/>
          </w:tcPr>
          <w:p w14:paraId="184793A5" w14:textId="77777777" w:rsidR="00BF7ACA" w:rsidRPr="00E502E5" w:rsidRDefault="00BF7ACA" w:rsidP="007924BE">
            <w:pPr>
              <w:pStyle w:val="Normal6"/>
              <w:rPr>
                <w:szCs w:val="24"/>
              </w:rPr>
            </w:pPr>
            <w:r w:rsidRPr="00E502E5">
              <w:rPr>
                <w:b/>
                <w:i/>
              </w:rPr>
              <w:t>supprimé</w:t>
            </w:r>
          </w:p>
        </w:tc>
      </w:tr>
    </w:tbl>
    <w:p w14:paraId="1EC74E91"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5F1DC952" w14:textId="77777777" w:rsidR="00BF7ACA" w:rsidRPr="00E502E5" w:rsidRDefault="00BF7ACA" w:rsidP="00BF7ACA">
      <w:r w:rsidRPr="00E502E5">
        <w:rPr>
          <w:rStyle w:val="HideTWBExt"/>
        </w:rPr>
        <w:t>&lt;/Amend&gt;</w:t>
      </w:r>
    </w:p>
    <w:p w14:paraId="38D12605" w14:textId="77777777"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94</w:t>
      </w:r>
      <w:r w:rsidRPr="00627C55">
        <w:rPr>
          <w:rStyle w:val="HideTWBExt"/>
          <w:b w:val="0"/>
          <w:lang w:val="en-GB"/>
        </w:rPr>
        <w:t>&lt;/NumAm&gt;</w:t>
      </w:r>
    </w:p>
    <w:p w14:paraId="4AAC5AFE" w14:textId="77777777"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Xabier Benito Ziluaga, Lola Sánchez Caldentey, Miguel Urbán Crespo, Stelios Kouloglou</w:t>
      </w:r>
      <w:r w:rsidRPr="00627C55">
        <w:rPr>
          <w:rStyle w:val="HideTWBExt"/>
          <w:b w:val="0"/>
          <w:lang w:val="en-GB"/>
        </w:rPr>
        <w:t>&lt;/Members&gt;</w:t>
      </w:r>
    </w:p>
    <w:p w14:paraId="512B9F8F" w14:textId="77777777" w:rsidR="00BF7ACA" w:rsidRPr="00BF7ACA" w:rsidRDefault="00BF7ACA" w:rsidP="00BF7ACA">
      <w:pPr>
        <w:rPr>
          <w:lang w:val="en-GB"/>
        </w:rPr>
      </w:pPr>
      <w:r w:rsidRPr="00BF7ACA">
        <w:rPr>
          <w:rStyle w:val="HideTWBExt"/>
          <w:lang w:val="en-GB"/>
        </w:rPr>
        <w:t>&lt;/RepeatBlock-By&gt;</w:t>
      </w:r>
    </w:p>
    <w:p w14:paraId="11951043"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1E9D8F9E" w14:textId="77777777" w:rsidR="00BF7ACA" w:rsidRPr="005A5903" w:rsidRDefault="00BF7ACA" w:rsidP="00BF7ACA">
      <w:pPr>
        <w:pStyle w:val="NormalBold"/>
      </w:pPr>
      <w:r>
        <w:rPr>
          <w:rStyle w:val="HideTWBExt"/>
          <w:b w:val="0"/>
        </w:rPr>
        <w:t>&lt;Article&gt;</w:t>
      </w:r>
      <w:r w:rsidRPr="0019144F">
        <w:t>Considérant 3</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6BC52058" w14:textId="77777777" w:rsidTr="007924BE">
        <w:trPr>
          <w:jc w:val="center"/>
        </w:trPr>
        <w:tc>
          <w:tcPr>
            <w:tcW w:w="9752" w:type="dxa"/>
            <w:gridSpan w:val="2"/>
          </w:tcPr>
          <w:p w14:paraId="1D9B597F" w14:textId="77777777" w:rsidR="00BF7ACA" w:rsidRPr="005A5903" w:rsidRDefault="00BF7ACA" w:rsidP="007924BE">
            <w:pPr>
              <w:keepNext/>
            </w:pPr>
          </w:p>
        </w:tc>
      </w:tr>
      <w:tr w:rsidR="00BF7ACA" w:rsidRPr="005A5903" w14:paraId="28020140" w14:textId="77777777" w:rsidTr="007924BE">
        <w:trPr>
          <w:jc w:val="center"/>
        </w:trPr>
        <w:tc>
          <w:tcPr>
            <w:tcW w:w="4876" w:type="dxa"/>
            <w:hideMark/>
          </w:tcPr>
          <w:p w14:paraId="0476CD8D" w14:textId="77777777" w:rsidR="00BF7ACA" w:rsidRPr="0019144F" w:rsidRDefault="00BF7ACA" w:rsidP="007924BE">
            <w:pPr>
              <w:pStyle w:val="ColumnHeading"/>
              <w:keepNext/>
            </w:pPr>
            <w:r w:rsidRPr="0019144F">
              <w:t>Texte proposé par la Commission</w:t>
            </w:r>
          </w:p>
        </w:tc>
        <w:tc>
          <w:tcPr>
            <w:tcW w:w="4876" w:type="dxa"/>
            <w:hideMark/>
          </w:tcPr>
          <w:p w14:paraId="5CB85E2E" w14:textId="77777777" w:rsidR="00BF7ACA" w:rsidRPr="0019144F" w:rsidRDefault="00BF7ACA" w:rsidP="007924BE">
            <w:pPr>
              <w:pStyle w:val="ColumnHeading"/>
              <w:keepNext/>
            </w:pPr>
            <w:r w:rsidRPr="0019144F">
              <w:t>Amendement</w:t>
            </w:r>
          </w:p>
        </w:tc>
      </w:tr>
      <w:tr w:rsidR="00BF7ACA" w:rsidRPr="005A5903" w14:paraId="0427D804" w14:textId="77777777" w:rsidTr="007924BE">
        <w:trPr>
          <w:jc w:val="center"/>
        </w:trPr>
        <w:tc>
          <w:tcPr>
            <w:tcW w:w="4876" w:type="dxa"/>
            <w:hideMark/>
          </w:tcPr>
          <w:p w14:paraId="6FF6B55C" w14:textId="77777777" w:rsidR="00BF7ACA" w:rsidRPr="0019144F" w:rsidRDefault="00BF7ACA" w:rsidP="007924BE">
            <w:pPr>
              <w:pStyle w:val="Normal6"/>
            </w:pPr>
            <w:r w:rsidRPr="0019144F">
              <w:rPr>
                <w:b/>
                <w:i/>
              </w:rPr>
              <w:t>(3)</w:t>
            </w:r>
            <w:r>
              <w:tab/>
            </w:r>
            <w:r w:rsidRPr="0019144F">
              <w:rPr>
                <w:b/>
                <w:i/>
              </w:rPr>
              <w:t>Cette approche est également conforme à la stratégie globale de l</w:t>
            </w:r>
            <w:r>
              <w:rPr>
                <w:b/>
                <w:i/>
              </w:rPr>
              <w:t>’</w:t>
            </w:r>
            <w:r w:rsidRPr="0019144F">
              <w:rPr>
                <w:b/>
                <w:i/>
              </w:rPr>
              <w:t>UE concernant les questions de politique étrangère et de sécurité, qui intègre des enjeux tels que la migration et la résilience dans la politique étrangère générale de l</w:t>
            </w:r>
            <w:r>
              <w:rPr>
                <w:b/>
                <w:i/>
              </w:rPr>
              <w:t>’</w:t>
            </w:r>
            <w:r w:rsidRPr="0019144F">
              <w:rPr>
                <w:b/>
                <w:i/>
              </w:rPr>
              <w:t>UE, ce qui garantit la cohérence et les synergies avec la politique européenne de développement et la politique européenne de voisinage.</w:t>
            </w:r>
          </w:p>
        </w:tc>
        <w:tc>
          <w:tcPr>
            <w:tcW w:w="4876" w:type="dxa"/>
            <w:hideMark/>
          </w:tcPr>
          <w:p w14:paraId="669884B4" w14:textId="77777777" w:rsidR="00BF7ACA" w:rsidRPr="0019144F" w:rsidRDefault="00BF7ACA" w:rsidP="007924BE">
            <w:pPr>
              <w:pStyle w:val="Normal6"/>
              <w:rPr>
                <w:szCs w:val="24"/>
              </w:rPr>
            </w:pPr>
            <w:r w:rsidRPr="0019144F">
              <w:rPr>
                <w:b/>
                <w:i/>
              </w:rPr>
              <w:t>supprimé</w:t>
            </w:r>
          </w:p>
        </w:tc>
      </w:tr>
    </w:tbl>
    <w:p w14:paraId="0796D724" w14:textId="77777777" w:rsidR="00BF7ACA" w:rsidRPr="005A5903" w:rsidRDefault="00BF7ACA" w:rsidP="00BF7ACA">
      <w:pPr>
        <w:pStyle w:val="Olang"/>
        <w:rPr>
          <w:noProof w:val="0"/>
          <w:szCs w:val="24"/>
        </w:rPr>
      </w:pPr>
      <w:r w:rsidRPr="0019144F">
        <w:rPr>
          <w:noProof w:val="0"/>
        </w:rPr>
        <w:t xml:space="preserve">Or. </w:t>
      </w:r>
      <w:r w:rsidRPr="00004DC1">
        <w:rPr>
          <w:rStyle w:val="HideTWBExt"/>
          <w:noProof w:val="0"/>
        </w:rPr>
        <w:t>&lt;Original&gt;</w:t>
      </w:r>
      <w:r w:rsidRPr="00004DC1">
        <w:rPr>
          <w:rStyle w:val="HideTWBInt"/>
          <w:noProof w:val="0"/>
        </w:rPr>
        <w:t>{EN}</w:t>
      </w:r>
      <w:r w:rsidRPr="0019144F">
        <w:rPr>
          <w:noProof w:val="0"/>
        </w:rPr>
        <w:t>en</w:t>
      </w:r>
      <w:r w:rsidRPr="00004DC1">
        <w:rPr>
          <w:rStyle w:val="HideTWBExt"/>
          <w:noProof w:val="0"/>
        </w:rPr>
        <w:t>&lt;/Original&gt;</w:t>
      </w:r>
    </w:p>
    <w:p w14:paraId="40C830B5" w14:textId="77777777" w:rsidR="00BF7ACA" w:rsidRPr="005A5903" w:rsidRDefault="00BF7ACA" w:rsidP="00BF7ACA">
      <w:r>
        <w:rPr>
          <w:rStyle w:val="HideTWBExt"/>
        </w:rPr>
        <w:t>&lt;/Amend&gt;</w:t>
      </w:r>
    </w:p>
    <w:p w14:paraId="29DE7EC7" w14:textId="77777777" w:rsidR="00BF7ACA" w:rsidRPr="005A5903" w:rsidRDefault="00BF7ACA" w:rsidP="00BF7ACA">
      <w:pPr>
        <w:pStyle w:val="AMNumberTabs"/>
        <w:keepNext/>
      </w:pPr>
      <w:r>
        <w:rPr>
          <w:rStyle w:val="HideTWBExt"/>
          <w:b w:val="0"/>
        </w:rPr>
        <w:t>&lt;Amend&gt;</w:t>
      </w:r>
      <w:r w:rsidRPr="0019144F">
        <w:t>Amendement</w:t>
      </w:r>
      <w:r>
        <w:tab/>
      </w:r>
      <w:r>
        <w:tab/>
      </w:r>
      <w:r>
        <w:rPr>
          <w:rStyle w:val="HideTWBExt"/>
          <w:b w:val="0"/>
        </w:rPr>
        <w:t>&lt;NumAm&gt;</w:t>
      </w:r>
      <w:r w:rsidRPr="0019144F">
        <w:t>95</w:t>
      </w:r>
      <w:r>
        <w:rPr>
          <w:rStyle w:val="HideTWBExt"/>
          <w:b w:val="0"/>
        </w:rPr>
        <w:t>&lt;/NumAm&gt;</w:t>
      </w:r>
    </w:p>
    <w:p w14:paraId="57B256EF" w14:textId="77777777" w:rsidR="00BF7ACA" w:rsidRPr="00BF7ACA" w:rsidRDefault="00BF7ACA" w:rsidP="00BF7ACA">
      <w:pPr>
        <w:pStyle w:val="NormalBold"/>
        <w:rPr>
          <w:lang w:val="pt-PT"/>
        </w:rPr>
      </w:pPr>
      <w:r w:rsidRPr="00BF7ACA">
        <w:rPr>
          <w:rStyle w:val="HideTWBExt"/>
          <w:b w:val="0"/>
          <w:lang w:val="pt-PT"/>
        </w:rPr>
        <w:t>&lt;RepeatBlock-By&gt;&lt;Members&gt;</w:t>
      </w:r>
      <w:r w:rsidRPr="00BF7ACA">
        <w:rPr>
          <w:lang w:val="pt-PT"/>
        </w:rPr>
        <w:t>Heidi Hautala, Maria Heubuch, Judith Sargentini</w:t>
      </w:r>
      <w:r w:rsidRPr="00BF7ACA">
        <w:rPr>
          <w:rStyle w:val="HideTWBExt"/>
          <w:b w:val="0"/>
          <w:lang w:val="pt-PT"/>
        </w:rPr>
        <w:t>&lt;/Members&gt;</w:t>
      </w:r>
    </w:p>
    <w:p w14:paraId="6FBDE2F7" w14:textId="77777777" w:rsidR="00BF7ACA" w:rsidRPr="00BF7ACA" w:rsidRDefault="00BF7ACA" w:rsidP="00BF7ACA">
      <w:pPr>
        <w:rPr>
          <w:lang w:val="pt-PT"/>
        </w:rPr>
      </w:pPr>
      <w:r w:rsidRPr="00BF7ACA">
        <w:rPr>
          <w:rStyle w:val="HideTWBExt"/>
          <w:lang w:val="pt-PT"/>
        </w:rPr>
        <w:t>&lt;/RepeatBlock-By&gt;</w:t>
      </w:r>
    </w:p>
    <w:p w14:paraId="62B91D42"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72A44CCF" w14:textId="77777777" w:rsidR="00BF7ACA" w:rsidRPr="005A5903" w:rsidRDefault="00BF7ACA" w:rsidP="00BF7ACA">
      <w:pPr>
        <w:pStyle w:val="NormalBold"/>
      </w:pPr>
      <w:r>
        <w:rPr>
          <w:rStyle w:val="HideTWBExt"/>
          <w:b w:val="0"/>
        </w:rPr>
        <w:t>&lt;Article&gt;</w:t>
      </w:r>
      <w:r w:rsidRPr="0019144F">
        <w:t>Considérant 3</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02088B61" w14:textId="77777777" w:rsidTr="007924BE">
        <w:trPr>
          <w:jc w:val="center"/>
        </w:trPr>
        <w:tc>
          <w:tcPr>
            <w:tcW w:w="9752" w:type="dxa"/>
            <w:gridSpan w:val="2"/>
          </w:tcPr>
          <w:p w14:paraId="24238741" w14:textId="77777777" w:rsidR="00BF7ACA" w:rsidRPr="005A5903" w:rsidRDefault="00BF7ACA" w:rsidP="007924BE">
            <w:pPr>
              <w:keepNext/>
            </w:pPr>
          </w:p>
        </w:tc>
      </w:tr>
      <w:tr w:rsidR="00BF7ACA" w:rsidRPr="005A5903" w14:paraId="7D0EA06A" w14:textId="77777777" w:rsidTr="007924BE">
        <w:trPr>
          <w:jc w:val="center"/>
        </w:trPr>
        <w:tc>
          <w:tcPr>
            <w:tcW w:w="4876" w:type="dxa"/>
            <w:hideMark/>
          </w:tcPr>
          <w:p w14:paraId="1CD7B5A6" w14:textId="77777777" w:rsidR="00BF7ACA" w:rsidRPr="0019144F" w:rsidRDefault="00BF7ACA" w:rsidP="007924BE">
            <w:pPr>
              <w:pStyle w:val="ColumnHeading"/>
              <w:keepNext/>
            </w:pPr>
            <w:r w:rsidRPr="0019144F">
              <w:t>Texte proposé par la Commission</w:t>
            </w:r>
          </w:p>
        </w:tc>
        <w:tc>
          <w:tcPr>
            <w:tcW w:w="4876" w:type="dxa"/>
            <w:hideMark/>
          </w:tcPr>
          <w:p w14:paraId="1A6057A2" w14:textId="77777777" w:rsidR="00BF7ACA" w:rsidRPr="0019144F" w:rsidRDefault="00BF7ACA" w:rsidP="007924BE">
            <w:pPr>
              <w:pStyle w:val="ColumnHeading"/>
              <w:keepNext/>
            </w:pPr>
            <w:r w:rsidRPr="0019144F">
              <w:t>Amendement</w:t>
            </w:r>
          </w:p>
        </w:tc>
      </w:tr>
      <w:tr w:rsidR="00BF7ACA" w:rsidRPr="005A5903" w14:paraId="187FE3FF" w14:textId="77777777" w:rsidTr="007924BE">
        <w:trPr>
          <w:jc w:val="center"/>
        </w:trPr>
        <w:tc>
          <w:tcPr>
            <w:tcW w:w="4876" w:type="dxa"/>
            <w:hideMark/>
          </w:tcPr>
          <w:p w14:paraId="352CF60C" w14:textId="77777777" w:rsidR="00BF7ACA" w:rsidRPr="0019144F" w:rsidRDefault="00BF7ACA" w:rsidP="007924BE">
            <w:pPr>
              <w:pStyle w:val="Normal6"/>
            </w:pPr>
            <w:r w:rsidRPr="0019144F">
              <w:rPr>
                <w:b/>
                <w:i/>
              </w:rPr>
              <w:t>(3)</w:t>
            </w:r>
            <w:r>
              <w:tab/>
            </w:r>
            <w:r w:rsidRPr="0019144F">
              <w:rPr>
                <w:b/>
                <w:i/>
              </w:rPr>
              <w:t>Cette approche est également conforme à la stratégie globale de l</w:t>
            </w:r>
            <w:r>
              <w:rPr>
                <w:b/>
                <w:i/>
              </w:rPr>
              <w:t>’</w:t>
            </w:r>
            <w:r w:rsidRPr="0019144F">
              <w:rPr>
                <w:b/>
                <w:i/>
              </w:rPr>
              <w:t>UE concernant les questions de politique étrangère et de sécurité, qui intègre des enjeux tels que la migration et la résilience dans la politique étrangère générale de l</w:t>
            </w:r>
            <w:r>
              <w:rPr>
                <w:b/>
                <w:i/>
              </w:rPr>
              <w:t>’</w:t>
            </w:r>
            <w:r w:rsidRPr="0019144F">
              <w:rPr>
                <w:b/>
                <w:i/>
              </w:rPr>
              <w:t>UE, ce qui garantit la cohérence et les synergies avec la politique européenne de développement et la politique européenne de voisinage.</w:t>
            </w:r>
          </w:p>
        </w:tc>
        <w:tc>
          <w:tcPr>
            <w:tcW w:w="4876" w:type="dxa"/>
            <w:hideMark/>
          </w:tcPr>
          <w:p w14:paraId="18E807CC" w14:textId="77777777" w:rsidR="00BF7ACA" w:rsidRPr="0019144F" w:rsidRDefault="00BF7ACA" w:rsidP="007924BE">
            <w:pPr>
              <w:pStyle w:val="Normal6"/>
              <w:rPr>
                <w:szCs w:val="24"/>
              </w:rPr>
            </w:pPr>
            <w:r w:rsidRPr="0019144F">
              <w:rPr>
                <w:b/>
                <w:i/>
              </w:rPr>
              <w:t>supprimé</w:t>
            </w:r>
          </w:p>
        </w:tc>
      </w:tr>
    </w:tbl>
    <w:p w14:paraId="7D5A5AAA" w14:textId="77777777" w:rsidR="00BF7ACA" w:rsidRPr="005A5903" w:rsidRDefault="00BF7ACA" w:rsidP="00BF7ACA">
      <w:pPr>
        <w:pStyle w:val="Olang"/>
        <w:rPr>
          <w:noProof w:val="0"/>
          <w:szCs w:val="24"/>
        </w:rPr>
      </w:pPr>
      <w:r w:rsidRPr="0019144F">
        <w:rPr>
          <w:noProof w:val="0"/>
        </w:rPr>
        <w:t xml:space="preserve">Or. </w:t>
      </w:r>
      <w:r w:rsidRPr="00004DC1">
        <w:rPr>
          <w:rStyle w:val="HideTWBExt"/>
          <w:noProof w:val="0"/>
        </w:rPr>
        <w:t>&lt;Original&gt;</w:t>
      </w:r>
      <w:r w:rsidRPr="00004DC1">
        <w:rPr>
          <w:rStyle w:val="HideTWBInt"/>
          <w:noProof w:val="0"/>
        </w:rPr>
        <w:t>{EN}</w:t>
      </w:r>
      <w:r w:rsidRPr="0019144F">
        <w:rPr>
          <w:noProof w:val="0"/>
        </w:rPr>
        <w:t>en</w:t>
      </w:r>
      <w:r w:rsidRPr="00004DC1">
        <w:rPr>
          <w:rStyle w:val="HideTWBExt"/>
          <w:noProof w:val="0"/>
        </w:rPr>
        <w:t>&lt;/Original&gt;</w:t>
      </w:r>
    </w:p>
    <w:p w14:paraId="0E553255" w14:textId="77777777" w:rsidR="00BF7ACA" w:rsidRPr="005A5903" w:rsidRDefault="00BF7ACA" w:rsidP="00BF7ACA">
      <w:r>
        <w:rPr>
          <w:rStyle w:val="HideTWBExt"/>
        </w:rPr>
        <w:t>&lt;/Amend&gt;</w:t>
      </w:r>
    </w:p>
    <w:p w14:paraId="31577761" w14:textId="77777777" w:rsidR="00BF7ACA" w:rsidRPr="005A5903" w:rsidRDefault="00BF7ACA" w:rsidP="00BF7ACA">
      <w:pPr>
        <w:pStyle w:val="AMNumberTabs"/>
        <w:keepNext/>
      </w:pPr>
      <w:r>
        <w:rPr>
          <w:rStyle w:val="HideTWBExt"/>
          <w:b w:val="0"/>
        </w:rPr>
        <w:t>&lt;Amend&gt;</w:t>
      </w:r>
      <w:r w:rsidRPr="0019144F">
        <w:t>Amendement</w:t>
      </w:r>
      <w:r>
        <w:tab/>
      </w:r>
      <w:r>
        <w:tab/>
      </w:r>
      <w:r>
        <w:rPr>
          <w:rStyle w:val="HideTWBExt"/>
          <w:b w:val="0"/>
        </w:rPr>
        <w:t>&lt;NumAm&gt;</w:t>
      </w:r>
      <w:r w:rsidRPr="0019144F">
        <w:t>96</w:t>
      </w:r>
      <w:r>
        <w:rPr>
          <w:rStyle w:val="HideTWBExt"/>
          <w:b w:val="0"/>
        </w:rPr>
        <w:t>&lt;/NumAm&gt;</w:t>
      </w:r>
    </w:p>
    <w:p w14:paraId="038B93E4" w14:textId="77777777"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Marietje Schaake</w:t>
      </w:r>
      <w:r w:rsidRPr="00627C55">
        <w:rPr>
          <w:rStyle w:val="HideTWBExt"/>
          <w:b w:val="0"/>
          <w:lang w:val="en-GB"/>
        </w:rPr>
        <w:t>&lt;/Members&gt;</w:t>
      </w:r>
    </w:p>
    <w:p w14:paraId="1CB54887" w14:textId="77777777" w:rsidR="00BF7ACA" w:rsidRPr="005A5903" w:rsidRDefault="00BF7ACA" w:rsidP="00BF7ACA">
      <w:r>
        <w:rPr>
          <w:rStyle w:val="HideTWBExt"/>
        </w:rPr>
        <w:t>&lt;/RepeatBlock-By&gt;</w:t>
      </w:r>
    </w:p>
    <w:p w14:paraId="71AC2D72"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75585669" w14:textId="77777777" w:rsidR="00BF7ACA" w:rsidRPr="005A5903" w:rsidRDefault="00BF7ACA" w:rsidP="00BF7ACA">
      <w:pPr>
        <w:pStyle w:val="NormalBold"/>
      </w:pPr>
      <w:r>
        <w:rPr>
          <w:rStyle w:val="HideTWBExt"/>
          <w:b w:val="0"/>
        </w:rPr>
        <w:t>&lt;Article&gt;</w:t>
      </w:r>
      <w:r w:rsidRPr="0019144F">
        <w:t>Considérant 3</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3CF87252" w14:textId="77777777" w:rsidTr="007924BE">
        <w:trPr>
          <w:jc w:val="center"/>
        </w:trPr>
        <w:tc>
          <w:tcPr>
            <w:tcW w:w="9752" w:type="dxa"/>
            <w:gridSpan w:val="2"/>
          </w:tcPr>
          <w:p w14:paraId="58F7FED7" w14:textId="77777777" w:rsidR="00BF7ACA" w:rsidRPr="005A5903" w:rsidRDefault="00BF7ACA" w:rsidP="007924BE">
            <w:pPr>
              <w:keepNext/>
            </w:pPr>
          </w:p>
        </w:tc>
      </w:tr>
      <w:tr w:rsidR="00BF7ACA" w:rsidRPr="005A5903" w14:paraId="69204AB3" w14:textId="77777777" w:rsidTr="007924BE">
        <w:trPr>
          <w:jc w:val="center"/>
        </w:trPr>
        <w:tc>
          <w:tcPr>
            <w:tcW w:w="4876" w:type="dxa"/>
            <w:hideMark/>
          </w:tcPr>
          <w:p w14:paraId="22468311" w14:textId="77777777" w:rsidR="00BF7ACA" w:rsidRPr="0019144F" w:rsidRDefault="00BF7ACA" w:rsidP="007924BE">
            <w:pPr>
              <w:pStyle w:val="ColumnHeading"/>
              <w:keepNext/>
            </w:pPr>
            <w:r w:rsidRPr="0019144F">
              <w:t>Texte proposé par la Commission</w:t>
            </w:r>
          </w:p>
        </w:tc>
        <w:tc>
          <w:tcPr>
            <w:tcW w:w="4876" w:type="dxa"/>
            <w:hideMark/>
          </w:tcPr>
          <w:p w14:paraId="061EDD66" w14:textId="77777777" w:rsidR="00BF7ACA" w:rsidRPr="0019144F" w:rsidRDefault="00BF7ACA" w:rsidP="007924BE">
            <w:pPr>
              <w:pStyle w:val="ColumnHeading"/>
              <w:keepNext/>
            </w:pPr>
            <w:r w:rsidRPr="0019144F">
              <w:t>Amendement</w:t>
            </w:r>
          </w:p>
        </w:tc>
      </w:tr>
      <w:tr w:rsidR="00BF7ACA" w:rsidRPr="005A5903" w14:paraId="2CCA7540" w14:textId="77777777" w:rsidTr="007924BE">
        <w:trPr>
          <w:jc w:val="center"/>
        </w:trPr>
        <w:tc>
          <w:tcPr>
            <w:tcW w:w="4876" w:type="dxa"/>
            <w:hideMark/>
          </w:tcPr>
          <w:p w14:paraId="16DE9B28" w14:textId="77777777" w:rsidR="00BF7ACA" w:rsidRPr="0019144F" w:rsidRDefault="00BF7ACA" w:rsidP="007924BE">
            <w:pPr>
              <w:pStyle w:val="Normal6"/>
            </w:pPr>
            <w:r w:rsidRPr="0019144F">
              <w:t>(3)</w:t>
            </w:r>
            <w:r>
              <w:tab/>
            </w:r>
            <w:r w:rsidRPr="0019144F">
              <w:t>Cette approche est également conforme à la stratégie globale de l</w:t>
            </w:r>
            <w:r>
              <w:t>’</w:t>
            </w:r>
            <w:r w:rsidRPr="0019144F">
              <w:t xml:space="preserve">UE concernant les questions de politique étrangère et de sécurité, qui </w:t>
            </w:r>
            <w:r w:rsidRPr="0019144F">
              <w:rPr>
                <w:b/>
                <w:i/>
              </w:rPr>
              <w:t>intègre des enjeux tels que la migration et la résilience dans</w:t>
            </w:r>
            <w:r w:rsidRPr="0019144F">
              <w:t xml:space="preserve"> la politique étrangère</w:t>
            </w:r>
            <w:r w:rsidRPr="0019144F">
              <w:rPr>
                <w:b/>
                <w:i/>
              </w:rPr>
              <w:t xml:space="preserve"> générale</w:t>
            </w:r>
            <w:r w:rsidRPr="0019144F">
              <w:t xml:space="preserve"> de l</w:t>
            </w:r>
            <w:r>
              <w:t>’</w:t>
            </w:r>
            <w:r w:rsidRPr="0019144F">
              <w:t>UE</w:t>
            </w:r>
            <w:r w:rsidRPr="0019144F">
              <w:rPr>
                <w:b/>
                <w:i/>
              </w:rPr>
              <w:t>, ce qui garantit</w:t>
            </w:r>
            <w:r w:rsidRPr="0019144F">
              <w:t xml:space="preserve"> la cohérence et les synergies avec la politique européenne de développement et la politique européenne de voisinage.</w:t>
            </w:r>
          </w:p>
        </w:tc>
        <w:tc>
          <w:tcPr>
            <w:tcW w:w="4876" w:type="dxa"/>
            <w:hideMark/>
          </w:tcPr>
          <w:p w14:paraId="74F3171C" w14:textId="77777777" w:rsidR="00BF7ACA" w:rsidRPr="0019144F" w:rsidRDefault="00BF7ACA" w:rsidP="007924BE">
            <w:pPr>
              <w:pStyle w:val="Normal6"/>
              <w:rPr>
                <w:szCs w:val="24"/>
              </w:rPr>
            </w:pPr>
            <w:r w:rsidRPr="0019144F">
              <w:t>(3)</w:t>
            </w:r>
            <w:r>
              <w:tab/>
            </w:r>
            <w:r w:rsidRPr="0019144F">
              <w:t>Cette approche est également conforme à la stratégie globale de l</w:t>
            </w:r>
            <w:r>
              <w:t>’</w:t>
            </w:r>
            <w:r w:rsidRPr="0019144F">
              <w:t xml:space="preserve">UE concernant les questions de politique étrangère et de sécurité, qui </w:t>
            </w:r>
            <w:r w:rsidRPr="0019144F">
              <w:rPr>
                <w:b/>
                <w:i/>
              </w:rPr>
              <w:t>essaye de favoriser une approche intégrée face aux enjeux de</w:t>
            </w:r>
            <w:r w:rsidRPr="0019144F">
              <w:t xml:space="preserve"> la politique étrangère de l</w:t>
            </w:r>
            <w:r>
              <w:t>’</w:t>
            </w:r>
            <w:r w:rsidRPr="0019144F">
              <w:t>UE</w:t>
            </w:r>
            <w:r w:rsidRPr="0019144F">
              <w:rPr>
                <w:b/>
                <w:i/>
              </w:rPr>
              <w:t xml:space="preserve"> et de garantir</w:t>
            </w:r>
            <w:r w:rsidRPr="0019144F">
              <w:t xml:space="preserve"> la cohérence et les synergies avec la politique européenne de développement et la politique européenne de voisinage.</w:t>
            </w:r>
          </w:p>
        </w:tc>
      </w:tr>
    </w:tbl>
    <w:p w14:paraId="6E00D743"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14F1C54" w14:textId="77777777" w:rsidR="00BF7ACA" w:rsidRPr="00BF7ACA" w:rsidRDefault="00BF7ACA" w:rsidP="00BF7ACA">
      <w:r w:rsidRPr="00BF7ACA">
        <w:rPr>
          <w:rStyle w:val="HideTWBExt"/>
        </w:rPr>
        <w:t>&lt;/Amend&gt;</w:t>
      </w:r>
    </w:p>
    <w:p w14:paraId="4B9539BA"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97</w:t>
      </w:r>
      <w:r w:rsidRPr="00BF7ACA">
        <w:rPr>
          <w:rStyle w:val="HideTWBExt"/>
          <w:b w:val="0"/>
        </w:rPr>
        <w:t>&lt;/NumAm&gt;</w:t>
      </w:r>
    </w:p>
    <w:p w14:paraId="36D47B99"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Marielle de Sarnez, Nedzhmi Ali</w:t>
      </w:r>
      <w:r w:rsidRPr="00BF7ACA">
        <w:rPr>
          <w:rStyle w:val="HideTWBExt"/>
          <w:b w:val="0"/>
        </w:rPr>
        <w:t>&lt;/Members&gt;</w:t>
      </w:r>
    </w:p>
    <w:p w14:paraId="10966D0F" w14:textId="77777777" w:rsidR="00BF7ACA" w:rsidRPr="005A5903" w:rsidRDefault="00BF7ACA" w:rsidP="00BF7ACA">
      <w:r>
        <w:rPr>
          <w:rStyle w:val="HideTWBExt"/>
        </w:rPr>
        <w:t>&lt;/RepeatBlock-By&gt;</w:t>
      </w:r>
    </w:p>
    <w:p w14:paraId="75E28F12"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0F978F57" w14:textId="77777777" w:rsidR="00BF7ACA" w:rsidRPr="005A5903" w:rsidRDefault="00BF7ACA" w:rsidP="00BF7ACA">
      <w:pPr>
        <w:pStyle w:val="NormalBold"/>
      </w:pPr>
      <w:r>
        <w:rPr>
          <w:rStyle w:val="HideTWBExt"/>
          <w:b w:val="0"/>
        </w:rPr>
        <w:t>&lt;Article&gt;</w:t>
      </w:r>
      <w:r w:rsidRPr="0019144F">
        <w:t>Considérant 3</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1BC747BF" w14:textId="77777777" w:rsidTr="007924BE">
        <w:trPr>
          <w:jc w:val="center"/>
        </w:trPr>
        <w:tc>
          <w:tcPr>
            <w:tcW w:w="9752" w:type="dxa"/>
            <w:gridSpan w:val="2"/>
          </w:tcPr>
          <w:p w14:paraId="4462C25D" w14:textId="77777777" w:rsidR="00BF7ACA" w:rsidRPr="005A5903" w:rsidRDefault="00BF7ACA" w:rsidP="007924BE">
            <w:pPr>
              <w:keepNext/>
            </w:pPr>
          </w:p>
        </w:tc>
      </w:tr>
      <w:tr w:rsidR="00BF7ACA" w:rsidRPr="005A5903" w14:paraId="002BC8E2" w14:textId="77777777" w:rsidTr="007924BE">
        <w:trPr>
          <w:jc w:val="center"/>
        </w:trPr>
        <w:tc>
          <w:tcPr>
            <w:tcW w:w="4876" w:type="dxa"/>
            <w:hideMark/>
          </w:tcPr>
          <w:p w14:paraId="47183BAF" w14:textId="77777777" w:rsidR="00BF7ACA" w:rsidRPr="0019144F" w:rsidRDefault="00BF7ACA" w:rsidP="007924BE">
            <w:pPr>
              <w:pStyle w:val="ColumnHeading"/>
              <w:keepNext/>
            </w:pPr>
            <w:r w:rsidRPr="0019144F">
              <w:t>Texte proposé par la Commission</w:t>
            </w:r>
          </w:p>
        </w:tc>
        <w:tc>
          <w:tcPr>
            <w:tcW w:w="4876" w:type="dxa"/>
            <w:hideMark/>
          </w:tcPr>
          <w:p w14:paraId="07B6857D" w14:textId="77777777" w:rsidR="00BF7ACA" w:rsidRPr="0019144F" w:rsidRDefault="00BF7ACA" w:rsidP="007924BE">
            <w:pPr>
              <w:pStyle w:val="ColumnHeading"/>
              <w:keepNext/>
            </w:pPr>
            <w:r w:rsidRPr="0019144F">
              <w:t>Amendement</w:t>
            </w:r>
          </w:p>
        </w:tc>
      </w:tr>
      <w:tr w:rsidR="00BF7ACA" w:rsidRPr="005A5903" w14:paraId="5CCFF9C0" w14:textId="77777777" w:rsidTr="007924BE">
        <w:trPr>
          <w:jc w:val="center"/>
        </w:trPr>
        <w:tc>
          <w:tcPr>
            <w:tcW w:w="4876" w:type="dxa"/>
            <w:hideMark/>
          </w:tcPr>
          <w:p w14:paraId="2AC6299F" w14:textId="77777777" w:rsidR="00BF7ACA" w:rsidRPr="0019144F" w:rsidRDefault="00BF7ACA" w:rsidP="007924BE">
            <w:pPr>
              <w:pStyle w:val="Normal6"/>
            </w:pPr>
            <w:r w:rsidRPr="0019144F">
              <w:t>(3)</w:t>
            </w:r>
            <w:r>
              <w:tab/>
            </w:r>
            <w:r w:rsidRPr="0019144F">
              <w:t>Cette approche est également conforme à la stratégie globale de l</w:t>
            </w:r>
            <w:r>
              <w:t>’</w:t>
            </w:r>
            <w:r w:rsidRPr="0019144F">
              <w:t>UE concernant les questions de politique étrangère et de sécurité, qui intègre des enjeux tels que la migration et la résilience dans la politique étrangère générale de l</w:t>
            </w:r>
            <w:r>
              <w:t>’</w:t>
            </w:r>
            <w:r w:rsidRPr="0019144F">
              <w:t xml:space="preserve">UE, ce qui </w:t>
            </w:r>
            <w:r w:rsidRPr="0019144F">
              <w:rPr>
                <w:b/>
                <w:i/>
              </w:rPr>
              <w:t>garantit</w:t>
            </w:r>
            <w:r w:rsidRPr="0019144F">
              <w:t xml:space="preserve"> la cohérence et les synergies avec la politique européenne de développement et la politique européenne de voisinage.</w:t>
            </w:r>
          </w:p>
        </w:tc>
        <w:tc>
          <w:tcPr>
            <w:tcW w:w="4876" w:type="dxa"/>
            <w:hideMark/>
          </w:tcPr>
          <w:p w14:paraId="0F376FFD" w14:textId="77777777" w:rsidR="00BF7ACA" w:rsidRPr="0019144F" w:rsidRDefault="00BF7ACA" w:rsidP="007924BE">
            <w:pPr>
              <w:pStyle w:val="Normal6"/>
              <w:rPr>
                <w:szCs w:val="24"/>
              </w:rPr>
            </w:pPr>
            <w:r w:rsidRPr="0019144F">
              <w:t>(3)</w:t>
            </w:r>
            <w:r>
              <w:tab/>
            </w:r>
            <w:r w:rsidRPr="0019144F">
              <w:t>Cette approche est également conforme à la stratégie globale de l</w:t>
            </w:r>
            <w:r>
              <w:t>’</w:t>
            </w:r>
            <w:r w:rsidRPr="0019144F">
              <w:t>UE concernant les questions de politique étrangère et de sécurité, qui intègre des enjeux tels que la migration et la résilience dans la politique étrangère générale de l</w:t>
            </w:r>
            <w:r>
              <w:t>’</w:t>
            </w:r>
            <w:r w:rsidRPr="0019144F">
              <w:t xml:space="preserve">UE, ce qui </w:t>
            </w:r>
            <w:r w:rsidRPr="0019144F">
              <w:rPr>
                <w:b/>
                <w:i/>
              </w:rPr>
              <w:t>assure</w:t>
            </w:r>
            <w:r w:rsidRPr="0019144F">
              <w:t xml:space="preserve"> la cohérence </w:t>
            </w:r>
            <w:r w:rsidRPr="0019144F">
              <w:rPr>
                <w:b/>
                <w:i/>
              </w:rPr>
              <w:t xml:space="preserve">de la politique extérieure avec les objectifs de la politique de développement </w:t>
            </w:r>
            <w:r w:rsidRPr="0019144F">
              <w:t>et</w:t>
            </w:r>
            <w:r w:rsidRPr="0019144F">
              <w:rPr>
                <w:b/>
                <w:i/>
              </w:rPr>
              <w:t xml:space="preserve"> garantit</w:t>
            </w:r>
            <w:r w:rsidRPr="0019144F">
              <w:t xml:space="preserve"> les synergies avec la politique européenne de développement et la politique européenne de voisinage.</w:t>
            </w:r>
            <w:r w:rsidRPr="0019144F">
              <w:rPr>
                <w:b/>
                <w:i/>
              </w:rPr>
              <w:t xml:space="preserve"> Cette approche est aussi conforme à la charte des droits fondamentaux de l</w:t>
            </w:r>
            <w:r>
              <w:rPr>
                <w:b/>
                <w:i/>
              </w:rPr>
              <w:t>’</w:t>
            </w:r>
            <w:r w:rsidRPr="0019144F">
              <w:rPr>
                <w:b/>
                <w:i/>
              </w:rPr>
              <w:t>Union européenne et au droit international relatif aux droits de l</w:t>
            </w:r>
            <w:r>
              <w:rPr>
                <w:b/>
                <w:i/>
              </w:rPr>
              <w:t>’</w:t>
            </w:r>
            <w:r w:rsidRPr="0019144F">
              <w:rPr>
                <w:b/>
                <w:i/>
              </w:rPr>
              <w:t>homme, ce qui garantit qu</w:t>
            </w:r>
            <w:r>
              <w:rPr>
                <w:b/>
                <w:i/>
              </w:rPr>
              <w:t>’</w:t>
            </w:r>
            <w:r w:rsidRPr="0019144F">
              <w:rPr>
                <w:b/>
                <w:i/>
              </w:rPr>
              <w:t>elle est axée sur les droits de l</w:t>
            </w:r>
            <w:r>
              <w:rPr>
                <w:b/>
                <w:i/>
              </w:rPr>
              <w:t>’</w:t>
            </w:r>
            <w:r w:rsidRPr="0019144F">
              <w:rPr>
                <w:b/>
                <w:i/>
              </w:rPr>
              <w:t>homme tout en abordant le problème des déplacements forcés et de la migration irrégulière.</w:t>
            </w:r>
          </w:p>
        </w:tc>
      </w:tr>
    </w:tbl>
    <w:p w14:paraId="31AD277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AD015F0" w14:textId="77777777" w:rsidR="00BF7ACA" w:rsidRPr="00BF7ACA" w:rsidRDefault="00BF7ACA" w:rsidP="00BF7ACA">
      <w:r w:rsidRPr="00BF7ACA">
        <w:rPr>
          <w:rStyle w:val="HideTWBExt"/>
        </w:rPr>
        <w:t>&lt;/Amend&gt;</w:t>
      </w:r>
    </w:p>
    <w:p w14:paraId="474CFB9E"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98</w:t>
      </w:r>
      <w:r w:rsidRPr="00BF7ACA">
        <w:rPr>
          <w:rStyle w:val="HideTWBExt"/>
          <w:b w:val="0"/>
        </w:rPr>
        <w:t>&lt;/NumAm&gt;</w:t>
      </w:r>
    </w:p>
    <w:p w14:paraId="6F5DB056" w14:textId="77777777"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14:paraId="7842B5FF" w14:textId="77777777" w:rsidR="00BF7ACA" w:rsidRPr="005A5903" w:rsidRDefault="00BF7ACA" w:rsidP="00BF7ACA">
      <w:r>
        <w:rPr>
          <w:rStyle w:val="HideTWBExt"/>
        </w:rPr>
        <w:t>&lt;/RepeatBlock-By&gt;</w:t>
      </w:r>
    </w:p>
    <w:p w14:paraId="324CE110"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4A62EC2B" w14:textId="77777777" w:rsidR="00BF7ACA" w:rsidRPr="005A5903" w:rsidRDefault="00BF7ACA" w:rsidP="00BF7ACA">
      <w:pPr>
        <w:pStyle w:val="NormalBold"/>
      </w:pPr>
      <w:r>
        <w:rPr>
          <w:rStyle w:val="HideTWBExt"/>
          <w:b w:val="0"/>
        </w:rPr>
        <w:t>&lt;Article&gt;</w:t>
      </w:r>
      <w:r w:rsidRPr="0019144F">
        <w:t>Considérant 3</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512A370C" w14:textId="77777777" w:rsidTr="007924BE">
        <w:trPr>
          <w:jc w:val="center"/>
        </w:trPr>
        <w:tc>
          <w:tcPr>
            <w:tcW w:w="9752" w:type="dxa"/>
            <w:gridSpan w:val="2"/>
          </w:tcPr>
          <w:p w14:paraId="500B00CA" w14:textId="77777777" w:rsidR="00BF7ACA" w:rsidRPr="005A5903" w:rsidRDefault="00BF7ACA" w:rsidP="007924BE">
            <w:pPr>
              <w:keepNext/>
            </w:pPr>
          </w:p>
        </w:tc>
      </w:tr>
      <w:tr w:rsidR="00BF7ACA" w:rsidRPr="005A5903" w14:paraId="552B0031" w14:textId="77777777" w:rsidTr="007924BE">
        <w:trPr>
          <w:jc w:val="center"/>
        </w:trPr>
        <w:tc>
          <w:tcPr>
            <w:tcW w:w="4876" w:type="dxa"/>
            <w:hideMark/>
          </w:tcPr>
          <w:p w14:paraId="5B8EB640" w14:textId="77777777" w:rsidR="00BF7ACA" w:rsidRPr="0019144F" w:rsidRDefault="00BF7ACA" w:rsidP="007924BE">
            <w:pPr>
              <w:pStyle w:val="ColumnHeading"/>
              <w:keepNext/>
            </w:pPr>
            <w:r w:rsidRPr="0019144F">
              <w:t>Texte proposé par la Commission</w:t>
            </w:r>
          </w:p>
        </w:tc>
        <w:tc>
          <w:tcPr>
            <w:tcW w:w="4876" w:type="dxa"/>
            <w:hideMark/>
          </w:tcPr>
          <w:p w14:paraId="0CF2AEDD" w14:textId="77777777" w:rsidR="00BF7ACA" w:rsidRPr="0019144F" w:rsidRDefault="00BF7ACA" w:rsidP="007924BE">
            <w:pPr>
              <w:pStyle w:val="ColumnHeading"/>
              <w:keepNext/>
            </w:pPr>
            <w:r w:rsidRPr="0019144F">
              <w:t>Amendement</w:t>
            </w:r>
          </w:p>
        </w:tc>
      </w:tr>
      <w:tr w:rsidR="00BF7ACA" w:rsidRPr="005A5903" w14:paraId="5AB215EE" w14:textId="77777777" w:rsidTr="007924BE">
        <w:trPr>
          <w:jc w:val="center"/>
        </w:trPr>
        <w:tc>
          <w:tcPr>
            <w:tcW w:w="4876" w:type="dxa"/>
            <w:hideMark/>
          </w:tcPr>
          <w:p w14:paraId="6DB34292" w14:textId="77777777" w:rsidR="00BF7ACA" w:rsidRPr="0019144F" w:rsidRDefault="00BF7ACA" w:rsidP="007924BE">
            <w:pPr>
              <w:pStyle w:val="Normal6"/>
            </w:pPr>
            <w:r w:rsidRPr="0019144F">
              <w:t>(3)</w:t>
            </w:r>
            <w:r>
              <w:tab/>
            </w:r>
            <w:r w:rsidRPr="0019144F">
              <w:t>Cette approche est également conforme à la stratégie globale de l</w:t>
            </w:r>
            <w:r>
              <w:t>’</w:t>
            </w:r>
            <w:r w:rsidRPr="0019144F">
              <w:t>UE concernant les questions de politique étrangère et de sécurité, qui intègre des enjeux tels que la migration et la résilience dans la politique étrangère générale de l</w:t>
            </w:r>
            <w:r>
              <w:t>’</w:t>
            </w:r>
            <w:r w:rsidRPr="0019144F">
              <w:t>UE, ce qui garantit la cohérence et les synergies avec la politique européenne de développement et la politique européenne de voisinage.</w:t>
            </w:r>
          </w:p>
        </w:tc>
        <w:tc>
          <w:tcPr>
            <w:tcW w:w="4876" w:type="dxa"/>
            <w:hideMark/>
          </w:tcPr>
          <w:p w14:paraId="110DD507" w14:textId="77777777" w:rsidR="00BF7ACA" w:rsidRPr="0019144F" w:rsidRDefault="00BF7ACA" w:rsidP="007924BE">
            <w:pPr>
              <w:pStyle w:val="Normal6"/>
              <w:rPr>
                <w:szCs w:val="24"/>
              </w:rPr>
            </w:pPr>
            <w:r w:rsidRPr="0019144F">
              <w:t>(3)</w:t>
            </w:r>
            <w:r>
              <w:tab/>
            </w:r>
            <w:r w:rsidRPr="0019144F">
              <w:t>Cette approche est également conforme à la stratégie globale de l</w:t>
            </w:r>
            <w:r>
              <w:t>’</w:t>
            </w:r>
            <w:r w:rsidRPr="0019144F">
              <w:t>UE concernant les questions de politique étrangère et de sécurité, qui intègre des enjeux tels que la migration et la résilience dans la politique étrangère générale de l</w:t>
            </w:r>
            <w:r>
              <w:t>’</w:t>
            </w:r>
            <w:r w:rsidRPr="0019144F">
              <w:t xml:space="preserve">UE, ce qui garantit la </w:t>
            </w:r>
            <w:r w:rsidRPr="0019144F">
              <w:rPr>
                <w:b/>
                <w:i/>
              </w:rPr>
              <w:t xml:space="preserve">pleine </w:t>
            </w:r>
            <w:r w:rsidRPr="0019144F">
              <w:t>cohérence et les synergies avec la politique européenne de développement et la politique européenne de voisinage.</w:t>
            </w:r>
          </w:p>
        </w:tc>
      </w:tr>
    </w:tbl>
    <w:p w14:paraId="7D0021A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916F2FC" w14:textId="77777777" w:rsidR="00BF7ACA" w:rsidRPr="00BF7ACA" w:rsidRDefault="00BF7ACA" w:rsidP="00BF7ACA">
      <w:r w:rsidRPr="00BF7ACA">
        <w:rPr>
          <w:rStyle w:val="HideTWBExt"/>
        </w:rPr>
        <w:t>&lt;/Amend&gt;</w:t>
      </w:r>
    </w:p>
    <w:p w14:paraId="16F428EB"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99</w:t>
      </w:r>
      <w:r w:rsidRPr="00E502E5">
        <w:rPr>
          <w:rStyle w:val="HideTWBExt"/>
          <w:b w:val="0"/>
        </w:rPr>
        <w:t>&lt;/NumAm&gt;</w:t>
      </w:r>
    </w:p>
    <w:p w14:paraId="2FD27A0B" w14:textId="77777777" w:rsidR="00BF7ACA" w:rsidRPr="00E502E5" w:rsidRDefault="00BF7ACA" w:rsidP="00BF7ACA">
      <w:pPr>
        <w:pStyle w:val="NormalBold"/>
      </w:pPr>
      <w:r w:rsidRPr="00E502E5">
        <w:rPr>
          <w:rStyle w:val="HideTWBExt"/>
          <w:b w:val="0"/>
        </w:rPr>
        <w:t>&lt;RepeatBlock-By&gt;&lt;Members&gt;</w:t>
      </w:r>
      <w:r w:rsidRPr="00E502E5">
        <w:t>Jean-Luc Schaffhauser</w:t>
      </w:r>
      <w:r w:rsidRPr="00E502E5">
        <w:rPr>
          <w:rStyle w:val="HideTWBExt"/>
          <w:b w:val="0"/>
        </w:rPr>
        <w:t>&lt;/Members&gt;</w:t>
      </w:r>
    </w:p>
    <w:p w14:paraId="38A0B417" w14:textId="77777777" w:rsidR="00BF7ACA" w:rsidRPr="00E502E5" w:rsidRDefault="00BF7ACA" w:rsidP="00BF7ACA">
      <w:r w:rsidRPr="00E502E5">
        <w:rPr>
          <w:rStyle w:val="HideTWBExt"/>
        </w:rPr>
        <w:t>&lt;/RepeatBlock-By&gt;</w:t>
      </w:r>
    </w:p>
    <w:p w14:paraId="0829A3C3"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407C154E" w14:textId="77777777" w:rsidR="00BF7ACA" w:rsidRPr="00E502E5" w:rsidRDefault="00BF7ACA" w:rsidP="00BF7ACA">
      <w:pPr>
        <w:pStyle w:val="NormalBold"/>
      </w:pPr>
      <w:r w:rsidRPr="00E502E5">
        <w:rPr>
          <w:rStyle w:val="HideTWBExt"/>
          <w:b w:val="0"/>
        </w:rPr>
        <w:t>&lt;Article&gt;</w:t>
      </w:r>
      <w:r w:rsidRPr="00E502E5">
        <w:t>Considérant 4</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7E5EBAEA" w14:textId="77777777" w:rsidTr="007924BE">
        <w:trPr>
          <w:jc w:val="center"/>
        </w:trPr>
        <w:tc>
          <w:tcPr>
            <w:tcW w:w="9752" w:type="dxa"/>
            <w:gridSpan w:val="2"/>
          </w:tcPr>
          <w:p w14:paraId="734A2447" w14:textId="77777777" w:rsidR="00BF7ACA" w:rsidRPr="00E502E5" w:rsidRDefault="00BF7ACA" w:rsidP="007924BE">
            <w:pPr>
              <w:keepNext/>
            </w:pPr>
          </w:p>
        </w:tc>
      </w:tr>
      <w:tr w:rsidR="00BF7ACA" w:rsidRPr="00E502E5" w14:paraId="4622F724" w14:textId="77777777" w:rsidTr="007924BE">
        <w:trPr>
          <w:jc w:val="center"/>
        </w:trPr>
        <w:tc>
          <w:tcPr>
            <w:tcW w:w="4876" w:type="dxa"/>
            <w:hideMark/>
          </w:tcPr>
          <w:p w14:paraId="13359E6B" w14:textId="77777777" w:rsidR="00BF7ACA" w:rsidRPr="00E502E5" w:rsidRDefault="00BF7ACA" w:rsidP="007924BE">
            <w:pPr>
              <w:pStyle w:val="ColumnHeading"/>
              <w:keepNext/>
            </w:pPr>
            <w:r w:rsidRPr="00E502E5">
              <w:t>Texte proposé par la Commission</w:t>
            </w:r>
          </w:p>
        </w:tc>
        <w:tc>
          <w:tcPr>
            <w:tcW w:w="4876" w:type="dxa"/>
            <w:hideMark/>
          </w:tcPr>
          <w:p w14:paraId="0B0B28A5" w14:textId="77777777" w:rsidR="00BF7ACA" w:rsidRPr="00E502E5" w:rsidRDefault="00BF7ACA" w:rsidP="007924BE">
            <w:pPr>
              <w:pStyle w:val="ColumnHeading"/>
              <w:keepNext/>
            </w:pPr>
            <w:r w:rsidRPr="00E502E5">
              <w:t>Amendement</w:t>
            </w:r>
          </w:p>
        </w:tc>
      </w:tr>
      <w:tr w:rsidR="00BF7ACA" w:rsidRPr="00E502E5" w14:paraId="1BA3D35B" w14:textId="77777777" w:rsidTr="007924BE">
        <w:trPr>
          <w:jc w:val="center"/>
        </w:trPr>
        <w:tc>
          <w:tcPr>
            <w:tcW w:w="4876" w:type="dxa"/>
            <w:hideMark/>
          </w:tcPr>
          <w:p w14:paraId="466FF892" w14:textId="77777777" w:rsidR="00BF7ACA" w:rsidRPr="00E502E5" w:rsidRDefault="00BF7ACA" w:rsidP="007924BE">
            <w:pPr>
              <w:pStyle w:val="Normal6"/>
            </w:pPr>
            <w:r w:rsidRPr="00E502E5">
              <w:rPr>
                <w:b/>
                <w:i/>
              </w:rPr>
              <w:t>(4)</w:t>
            </w:r>
            <w:r w:rsidRPr="00E502E5">
              <w:tab/>
            </w:r>
            <w:r w:rsidRPr="00E502E5">
              <w:rPr>
                <w:b/>
                <w:i/>
              </w:rPr>
              <w:t>Le PIE devrait fournir un dispositif financier intégré pour le financement d</w:t>
            </w:r>
            <w:r>
              <w:rPr>
                <w:b/>
                <w:i/>
              </w:rPr>
              <w:t>’</w:t>
            </w:r>
            <w:r w:rsidRPr="00E502E5">
              <w:rPr>
                <w:b/>
                <w:i/>
              </w:rPr>
              <w:t>investissements dans les pays d</w:t>
            </w:r>
            <w:r>
              <w:rPr>
                <w:b/>
                <w:i/>
              </w:rPr>
              <w:t>’</w:t>
            </w:r>
            <w:r w:rsidRPr="00E502E5">
              <w:rPr>
                <w:b/>
                <w:i/>
              </w:rPr>
              <w:t>Afrique qui sont signataires de l</w:t>
            </w:r>
            <w:r>
              <w:rPr>
                <w:b/>
                <w:i/>
              </w:rPr>
              <w:t>’</w:t>
            </w:r>
            <w:r w:rsidRPr="00E502E5">
              <w:rPr>
                <w:b/>
                <w:i/>
              </w:rPr>
              <w:t>accord de partenariat entre les membres du groupe des États d</w:t>
            </w:r>
            <w:r>
              <w:rPr>
                <w:b/>
                <w:i/>
              </w:rPr>
              <w:t>’</w:t>
            </w:r>
            <w:r w:rsidRPr="00E502E5">
              <w:rPr>
                <w:b/>
                <w:i/>
              </w:rPr>
              <w:t>Afrique, des Caraïbes et du Pacifique, d</w:t>
            </w:r>
            <w:r>
              <w:rPr>
                <w:b/>
                <w:i/>
              </w:rPr>
              <w:t>’</w:t>
            </w:r>
            <w:r w:rsidRPr="00E502E5">
              <w:rPr>
                <w:b/>
                <w:i/>
              </w:rPr>
              <w:t>une part, et la Communauté européenne et ses États membres, d</w:t>
            </w:r>
            <w:r>
              <w:rPr>
                <w:b/>
                <w:i/>
              </w:rPr>
              <w:t>’</w:t>
            </w:r>
            <w:r w:rsidRPr="00E502E5">
              <w:rPr>
                <w:b/>
                <w:i/>
              </w:rPr>
              <w:t>au</w:t>
            </w:r>
            <w:r>
              <w:rPr>
                <w:b/>
                <w:i/>
              </w:rPr>
              <w:t>tre part, signé à Cotonou le 23 </w:t>
            </w:r>
            <w:r w:rsidRPr="00E502E5">
              <w:rPr>
                <w:b/>
                <w:i/>
              </w:rPr>
              <w:t>juin 2000</w:t>
            </w:r>
            <w:r w:rsidRPr="00E502E5">
              <w:rPr>
                <w:b/>
                <w:i/>
                <w:vertAlign w:val="superscript"/>
              </w:rPr>
              <w:t>22</w:t>
            </w:r>
            <w:r w:rsidRPr="00E502E5">
              <w:t>,</w:t>
            </w:r>
            <w:r w:rsidRPr="00E502E5">
              <w:rPr>
                <w:b/>
                <w:i/>
              </w:rPr>
              <w:t xml:space="preserve"> ainsi que dans les pays du voisinage, dans un premier temps. Cela permettra de créer des possibilités de croissance et d</w:t>
            </w:r>
            <w:r>
              <w:rPr>
                <w:b/>
                <w:i/>
              </w:rPr>
              <w:t>’</w:t>
            </w:r>
            <w:r w:rsidRPr="00E502E5">
              <w:rPr>
                <w:b/>
                <w:i/>
              </w:rPr>
              <w:t>emploi, d</w:t>
            </w:r>
            <w:r>
              <w:rPr>
                <w:b/>
                <w:i/>
              </w:rPr>
              <w:t>’</w:t>
            </w:r>
            <w:r w:rsidRPr="00E502E5">
              <w:rPr>
                <w:b/>
                <w:i/>
              </w:rPr>
              <w:t>exploiter au mieux l</w:t>
            </w:r>
            <w:r>
              <w:rPr>
                <w:b/>
                <w:i/>
              </w:rPr>
              <w:t>’</w:t>
            </w:r>
            <w:r w:rsidRPr="00E502E5">
              <w:rPr>
                <w:b/>
                <w:i/>
              </w:rPr>
              <w:t>additionnalité, de favoriser la fourniture de produits innovants et d</w:t>
            </w:r>
            <w:r>
              <w:rPr>
                <w:b/>
                <w:i/>
              </w:rPr>
              <w:t>’</w:t>
            </w:r>
            <w:r w:rsidRPr="00E502E5">
              <w:rPr>
                <w:b/>
                <w:i/>
              </w:rPr>
              <w:t>attirer des financements privés.</w:t>
            </w:r>
          </w:p>
        </w:tc>
        <w:tc>
          <w:tcPr>
            <w:tcW w:w="4876" w:type="dxa"/>
            <w:hideMark/>
          </w:tcPr>
          <w:p w14:paraId="509FC05F" w14:textId="77777777" w:rsidR="00BF7ACA" w:rsidRPr="00E502E5" w:rsidRDefault="00BF7ACA" w:rsidP="007924BE">
            <w:pPr>
              <w:pStyle w:val="Normal6"/>
              <w:rPr>
                <w:szCs w:val="24"/>
              </w:rPr>
            </w:pPr>
            <w:r w:rsidRPr="00E502E5">
              <w:rPr>
                <w:b/>
                <w:i/>
              </w:rPr>
              <w:t>supprimé</w:t>
            </w:r>
          </w:p>
        </w:tc>
      </w:tr>
      <w:tr w:rsidR="00BF7ACA" w:rsidRPr="00E502E5" w14:paraId="40183353" w14:textId="77777777" w:rsidTr="007924BE">
        <w:trPr>
          <w:jc w:val="center"/>
        </w:trPr>
        <w:tc>
          <w:tcPr>
            <w:tcW w:w="4876" w:type="dxa"/>
            <w:hideMark/>
          </w:tcPr>
          <w:p w14:paraId="76F0118A" w14:textId="77777777" w:rsidR="00BF7ACA" w:rsidRPr="00E502E5" w:rsidRDefault="00BF7ACA" w:rsidP="007924BE">
            <w:pPr>
              <w:pStyle w:val="Normal6"/>
            </w:pPr>
            <w:r w:rsidRPr="00E502E5">
              <w:rPr>
                <w:b/>
                <w:i/>
              </w:rPr>
              <w:t>__________________</w:t>
            </w:r>
          </w:p>
        </w:tc>
        <w:tc>
          <w:tcPr>
            <w:tcW w:w="4876" w:type="dxa"/>
          </w:tcPr>
          <w:p w14:paraId="72DDBFE9" w14:textId="77777777" w:rsidR="00BF7ACA" w:rsidRPr="00E502E5" w:rsidRDefault="00BF7ACA" w:rsidP="007924BE">
            <w:pPr>
              <w:pStyle w:val="Normal6"/>
              <w:rPr>
                <w:szCs w:val="24"/>
              </w:rPr>
            </w:pPr>
          </w:p>
        </w:tc>
      </w:tr>
      <w:tr w:rsidR="00BF7ACA" w:rsidRPr="00E502E5" w14:paraId="4812CAF3" w14:textId="77777777" w:rsidTr="007924BE">
        <w:trPr>
          <w:jc w:val="center"/>
        </w:trPr>
        <w:tc>
          <w:tcPr>
            <w:tcW w:w="4876" w:type="dxa"/>
            <w:hideMark/>
          </w:tcPr>
          <w:p w14:paraId="7B75BD5B" w14:textId="77777777" w:rsidR="00BF7ACA" w:rsidRPr="00E502E5" w:rsidRDefault="00BF7ACA" w:rsidP="007924BE">
            <w:pPr>
              <w:pStyle w:val="Normal6"/>
            </w:pPr>
            <w:r w:rsidRPr="00E502E5">
              <w:rPr>
                <w:b/>
                <w:i/>
                <w:vertAlign w:val="superscript"/>
              </w:rPr>
              <w:t>22</w:t>
            </w:r>
            <w:r w:rsidRPr="00E502E5">
              <w:t xml:space="preserve"> </w:t>
            </w:r>
            <w:r w:rsidRPr="00E502E5">
              <w:rPr>
                <w:b/>
                <w:i/>
              </w:rPr>
              <w:t>JO L 317 du 15.12.2000. Accord modifié en dernier lieu au JO L 287 du 4.11.2010.</w:t>
            </w:r>
          </w:p>
        </w:tc>
        <w:tc>
          <w:tcPr>
            <w:tcW w:w="4876" w:type="dxa"/>
          </w:tcPr>
          <w:p w14:paraId="6EEE53D3" w14:textId="77777777" w:rsidR="00BF7ACA" w:rsidRPr="00E502E5" w:rsidRDefault="00BF7ACA" w:rsidP="007924BE">
            <w:pPr>
              <w:pStyle w:val="Normal6"/>
              <w:rPr>
                <w:szCs w:val="24"/>
              </w:rPr>
            </w:pPr>
          </w:p>
        </w:tc>
      </w:tr>
    </w:tbl>
    <w:p w14:paraId="1400AB84"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78C09541" w14:textId="77777777" w:rsidR="00BF7ACA" w:rsidRPr="00E502E5" w:rsidRDefault="00BF7ACA" w:rsidP="00BF7ACA">
      <w:r w:rsidRPr="00E502E5">
        <w:rPr>
          <w:rStyle w:val="HideTWBExt"/>
        </w:rPr>
        <w:t>&lt;/Amend&gt;</w:t>
      </w:r>
    </w:p>
    <w:p w14:paraId="207973EC"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100</w:t>
      </w:r>
      <w:r w:rsidRPr="00BF7ACA">
        <w:rPr>
          <w:rStyle w:val="HideTWBExt"/>
          <w:b w:val="0"/>
        </w:rPr>
        <w:t>&lt;/NumAm&gt;</w:t>
      </w:r>
    </w:p>
    <w:p w14:paraId="6E60E6F8" w14:textId="77777777"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14:paraId="1689A7D1" w14:textId="77777777" w:rsidR="00BF7ACA" w:rsidRPr="005A5903" w:rsidRDefault="00BF7ACA" w:rsidP="00BF7ACA">
      <w:r>
        <w:rPr>
          <w:rStyle w:val="HideTWBExt"/>
        </w:rPr>
        <w:t>&lt;/RepeatBlock-By&gt;</w:t>
      </w:r>
    </w:p>
    <w:p w14:paraId="39F7A9CF"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6D3A3C78" w14:textId="77777777" w:rsidR="00BF7ACA" w:rsidRPr="005A5903" w:rsidRDefault="00BF7ACA" w:rsidP="00BF7ACA">
      <w:pPr>
        <w:pStyle w:val="NormalBold"/>
      </w:pPr>
      <w:r>
        <w:rPr>
          <w:rStyle w:val="HideTWBExt"/>
          <w:b w:val="0"/>
        </w:rPr>
        <w:t>&lt;Article&gt;</w:t>
      </w:r>
      <w:r w:rsidRPr="0019144F">
        <w:t>Considérant 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107D93D9" w14:textId="77777777" w:rsidTr="007924BE">
        <w:trPr>
          <w:jc w:val="center"/>
        </w:trPr>
        <w:tc>
          <w:tcPr>
            <w:tcW w:w="9752" w:type="dxa"/>
            <w:gridSpan w:val="2"/>
          </w:tcPr>
          <w:p w14:paraId="6E2EB25D" w14:textId="77777777" w:rsidR="00BF7ACA" w:rsidRPr="005A5903" w:rsidRDefault="00BF7ACA" w:rsidP="007924BE">
            <w:pPr>
              <w:keepNext/>
            </w:pPr>
          </w:p>
        </w:tc>
      </w:tr>
      <w:tr w:rsidR="00BF7ACA" w:rsidRPr="005A5903" w14:paraId="704A9ECE" w14:textId="77777777" w:rsidTr="007924BE">
        <w:trPr>
          <w:jc w:val="center"/>
        </w:trPr>
        <w:tc>
          <w:tcPr>
            <w:tcW w:w="4876" w:type="dxa"/>
            <w:hideMark/>
          </w:tcPr>
          <w:p w14:paraId="3C9D9B43" w14:textId="77777777" w:rsidR="00BF7ACA" w:rsidRPr="0019144F" w:rsidRDefault="00BF7ACA" w:rsidP="007924BE">
            <w:pPr>
              <w:pStyle w:val="ColumnHeading"/>
              <w:keepNext/>
            </w:pPr>
            <w:r w:rsidRPr="0019144F">
              <w:t>Texte proposé par la Commission</w:t>
            </w:r>
          </w:p>
        </w:tc>
        <w:tc>
          <w:tcPr>
            <w:tcW w:w="4876" w:type="dxa"/>
            <w:hideMark/>
          </w:tcPr>
          <w:p w14:paraId="055A325C" w14:textId="77777777" w:rsidR="00BF7ACA" w:rsidRPr="0019144F" w:rsidRDefault="00BF7ACA" w:rsidP="007924BE">
            <w:pPr>
              <w:pStyle w:val="ColumnHeading"/>
              <w:keepNext/>
            </w:pPr>
            <w:r w:rsidRPr="0019144F">
              <w:t>Amendement</w:t>
            </w:r>
          </w:p>
        </w:tc>
      </w:tr>
      <w:tr w:rsidR="00BF7ACA" w:rsidRPr="005A5903" w14:paraId="4D6C1802" w14:textId="77777777" w:rsidTr="007924BE">
        <w:trPr>
          <w:jc w:val="center"/>
        </w:trPr>
        <w:tc>
          <w:tcPr>
            <w:tcW w:w="4876" w:type="dxa"/>
            <w:hideMark/>
          </w:tcPr>
          <w:p w14:paraId="79BB2531" w14:textId="77777777" w:rsidR="00BF7ACA" w:rsidRPr="0019144F" w:rsidRDefault="00BF7ACA" w:rsidP="007924BE">
            <w:pPr>
              <w:pStyle w:val="Normal6"/>
            </w:pPr>
            <w:r w:rsidRPr="0019144F">
              <w:t>(4)</w:t>
            </w:r>
            <w:r>
              <w:tab/>
            </w:r>
            <w:r w:rsidRPr="00627C55">
              <w:t>Le</w:t>
            </w:r>
            <w:r w:rsidRPr="0019144F">
              <w:t xml:space="preserve"> PIE devrait fournir un dispositif financier intégré pour </w:t>
            </w:r>
            <w:r w:rsidRPr="0019144F">
              <w:rPr>
                <w:b/>
                <w:i/>
              </w:rPr>
              <w:t>le financement d</w:t>
            </w:r>
            <w:r>
              <w:rPr>
                <w:b/>
                <w:i/>
              </w:rPr>
              <w:t>’</w:t>
            </w:r>
            <w:r w:rsidRPr="0019144F">
              <w:rPr>
                <w:b/>
                <w:i/>
              </w:rPr>
              <w:t>investissements dans les pays d</w:t>
            </w:r>
            <w:r>
              <w:rPr>
                <w:b/>
                <w:i/>
              </w:rPr>
              <w:t>’</w:t>
            </w:r>
            <w:r w:rsidRPr="0019144F">
              <w:rPr>
                <w:b/>
                <w:i/>
              </w:rPr>
              <w:t>Afrique qui sont signataires de l</w:t>
            </w:r>
            <w:r>
              <w:rPr>
                <w:b/>
                <w:i/>
              </w:rPr>
              <w:t>’</w:t>
            </w:r>
            <w:r w:rsidRPr="0019144F">
              <w:rPr>
                <w:b/>
                <w:i/>
              </w:rPr>
              <w:t>accord de partenariat entre les membres du groupe des États d</w:t>
            </w:r>
            <w:r>
              <w:rPr>
                <w:b/>
                <w:i/>
              </w:rPr>
              <w:t>’</w:t>
            </w:r>
            <w:r w:rsidRPr="0019144F">
              <w:rPr>
                <w:b/>
                <w:i/>
              </w:rPr>
              <w:t>Afrique, des Caraïbes et du Pacifique, d</w:t>
            </w:r>
            <w:r>
              <w:rPr>
                <w:b/>
                <w:i/>
              </w:rPr>
              <w:t>’</w:t>
            </w:r>
            <w:r w:rsidRPr="0019144F">
              <w:rPr>
                <w:b/>
                <w:i/>
              </w:rPr>
              <w:t>une part, et la Communauté européenne et ses États membres, d</w:t>
            </w:r>
            <w:r>
              <w:rPr>
                <w:b/>
                <w:i/>
              </w:rPr>
              <w:t>’</w:t>
            </w:r>
            <w:r w:rsidRPr="0019144F">
              <w:rPr>
                <w:b/>
                <w:i/>
              </w:rPr>
              <w:t>autre part, signé à Cotonou le 23 juin 2000</w:t>
            </w:r>
            <w:r w:rsidRPr="0019144F">
              <w:rPr>
                <w:b/>
                <w:i/>
                <w:vertAlign w:val="superscript"/>
              </w:rPr>
              <w:t>22</w:t>
            </w:r>
            <w:r w:rsidRPr="0019144F">
              <w:rPr>
                <w:b/>
                <w:i/>
              </w:rPr>
              <w:t>, ainsi que dans les pays du voisinage, dans un premier temps. Cela permettra de créer des possibilités de croissance et d</w:t>
            </w:r>
            <w:r>
              <w:rPr>
                <w:b/>
                <w:i/>
              </w:rPr>
              <w:t>’</w:t>
            </w:r>
            <w:r w:rsidRPr="0019144F">
              <w:rPr>
                <w:b/>
                <w:i/>
              </w:rPr>
              <w:t>emploi, d</w:t>
            </w:r>
            <w:r>
              <w:rPr>
                <w:b/>
                <w:i/>
              </w:rPr>
              <w:t>’</w:t>
            </w:r>
            <w:r w:rsidRPr="0019144F">
              <w:rPr>
                <w:b/>
                <w:i/>
              </w:rPr>
              <w:t>exploiter au mieux l</w:t>
            </w:r>
            <w:r>
              <w:rPr>
                <w:b/>
                <w:i/>
              </w:rPr>
              <w:t>’</w:t>
            </w:r>
            <w:r w:rsidRPr="0019144F">
              <w:rPr>
                <w:b/>
                <w:i/>
              </w:rPr>
              <w:t>additionnalité, de favoriser la fourniture de produits innovants et d</w:t>
            </w:r>
            <w:r>
              <w:rPr>
                <w:b/>
                <w:i/>
              </w:rPr>
              <w:t>’</w:t>
            </w:r>
            <w:r w:rsidRPr="0019144F">
              <w:rPr>
                <w:b/>
                <w:i/>
              </w:rPr>
              <w:t>attirer des</w:t>
            </w:r>
            <w:r w:rsidRPr="0019144F">
              <w:t xml:space="preserve"> financements privés.</w:t>
            </w:r>
          </w:p>
        </w:tc>
        <w:tc>
          <w:tcPr>
            <w:tcW w:w="4876" w:type="dxa"/>
            <w:hideMark/>
          </w:tcPr>
          <w:p w14:paraId="1B8EB96C" w14:textId="77777777" w:rsidR="00BF7ACA" w:rsidRPr="0019144F" w:rsidRDefault="00BF7ACA" w:rsidP="007924BE">
            <w:pPr>
              <w:pStyle w:val="Normal6"/>
              <w:rPr>
                <w:szCs w:val="24"/>
              </w:rPr>
            </w:pPr>
            <w:r w:rsidRPr="0019144F">
              <w:t>(4)</w:t>
            </w:r>
            <w:r>
              <w:tab/>
            </w:r>
            <w:r w:rsidRPr="00627C55">
              <w:t>Le</w:t>
            </w:r>
            <w:r>
              <w:rPr>
                <w:b/>
                <w:i/>
              </w:rPr>
              <w:t xml:space="preserve"> fonds européen pour le développement durable (FEDD), en tant que partie du</w:t>
            </w:r>
            <w:r>
              <w:t xml:space="preserve"> PIE</w:t>
            </w:r>
            <w:r>
              <w:rPr>
                <w:b/>
                <w:i/>
              </w:rPr>
              <w:t>,</w:t>
            </w:r>
            <w:r>
              <w:t xml:space="preserve"> devrait fournir un dispositif financier intégré pour </w:t>
            </w:r>
            <w:r>
              <w:rPr>
                <w:b/>
                <w:i/>
              </w:rPr>
              <w:t>financer et attirer les investissements qui favorisent un développement économique et social inclusif et durable et renforcent la résilience socio-économique des pays partenaires tout en exploitant au mieux l’additionnalité, en remédiant aux insuffisances du marché et aux situations d’investissement qui ne sont pas optimales, et en attirant les</w:t>
            </w:r>
            <w:r>
              <w:t xml:space="preserve"> financements privés.</w:t>
            </w:r>
            <w:r w:rsidRPr="0019144F">
              <w:rPr>
                <w:b/>
                <w:i/>
              </w:rPr>
              <w:t xml:space="preserve"> Les opérations du FEDD devraient être clairement distinctes, et complémentaires, des autres aides, notamment des opérations relatives au mandat extérieur de la Banque européenne d</w:t>
            </w:r>
            <w:r>
              <w:rPr>
                <w:b/>
                <w:i/>
              </w:rPr>
              <w:t>’</w:t>
            </w:r>
            <w:r w:rsidRPr="0019144F">
              <w:rPr>
                <w:b/>
                <w:i/>
              </w:rPr>
              <w:t>investissement (BEI), l</w:t>
            </w:r>
            <w:r>
              <w:rPr>
                <w:b/>
                <w:i/>
              </w:rPr>
              <w:t>’</w:t>
            </w:r>
            <w:r w:rsidRPr="0019144F">
              <w:rPr>
                <w:b/>
                <w:i/>
              </w:rPr>
              <w:t>initiative «Résilience économique» et la facilité d</w:t>
            </w:r>
            <w:r>
              <w:rPr>
                <w:b/>
                <w:i/>
              </w:rPr>
              <w:t>’</w:t>
            </w:r>
            <w:r w:rsidRPr="0019144F">
              <w:rPr>
                <w:b/>
                <w:i/>
              </w:rPr>
              <w:t>investissement pour les pays ACP. Les opérations de la garantie FEDD devraient également être complémentaires des activités déjà menées par d</w:t>
            </w:r>
            <w:r>
              <w:rPr>
                <w:b/>
                <w:i/>
              </w:rPr>
              <w:t>’</w:t>
            </w:r>
            <w:r w:rsidRPr="0019144F">
              <w:rPr>
                <w:b/>
                <w:i/>
              </w:rPr>
              <w:t>autres institutions financières éligibles et couvrir les lacunes en matière d</w:t>
            </w:r>
            <w:r>
              <w:rPr>
                <w:b/>
                <w:i/>
              </w:rPr>
              <w:t>’</w:t>
            </w:r>
            <w:r w:rsidRPr="0019144F">
              <w:rPr>
                <w:b/>
                <w:i/>
              </w:rPr>
              <w:t>investissement que ces institutions ne sont actuellement pas en mesure de combler.</w:t>
            </w:r>
          </w:p>
        </w:tc>
      </w:tr>
      <w:tr w:rsidR="00BF7ACA" w:rsidRPr="005A5903" w14:paraId="6C0322F7" w14:textId="77777777" w:rsidTr="007924BE">
        <w:trPr>
          <w:jc w:val="center"/>
        </w:trPr>
        <w:tc>
          <w:tcPr>
            <w:tcW w:w="4876" w:type="dxa"/>
            <w:hideMark/>
          </w:tcPr>
          <w:p w14:paraId="46E1F246" w14:textId="77777777" w:rsidR="00BF7ACA" w:rsidRPr="0019144F" w:rsidRDefault="00BF7ACA" w:rsidP="007924BE">
            <w:pPr>
              <w:pStyle w:val="Normal6"/>
            </w:pPr>
            <w:r w:rsidRPr="0019144F">
              <w:t>__________________</w:t>
            </w:r>
          </w:p>
        </w:tc>
        <w:tc>
          <w:tcPr>
            <w:tcW w:w="4876" w:type="dxa"/>
          </w:tcPr>
          <w:p w14:paraId="65183055" w14:textId="77777777" w:rsidR="00BF7ACA" w:rsidRPr="0019144F" w:rsidRDefault="00BF7ACA" w:rsidP="007924BE">
            <w:pPr>
              <w:pStyle w:val="Normal6"/>
              <w:rPr>
                <w:szCs w:val="24"/>
              </w:rPr>
            </w:pPr>
          </w:p>
        </w:tc>
      </w:tr>
      <w:tr w:rsidR="00BF7ACA" w:rsidRPr="005A5903" w14:paraId="54891982" w14:textId="77777777" w:rsidTr="007924BE">
        <w:trPr>
          <w:jc w:val="center"/>
        </w:trPr>
        <w:tc>
          <w:tcPr>
            <w:tcW w:w="4876" w:type="dxa"/>
            <w:hideMark/>
          </w:tcPr>
          <w:p w14:paraId="4F6141C2" w14:textId="77777777" w:rsidR="00BF7ACA" w:rsidRPr="0019144F" w:rsidRDefault="00BF7ACA" w:rsidP="007924BE">
            <w:pPr>
              <w:pStyle w:val="Normal6"/>
            </w:pPr>
            <w:r w:rsidRPr="0019144F">
              <w:rPr>
                <w:b/>
                <w:i/>
                <w:vertAlign w:val="superscript"/>
              </w:rPr>
              <w:t>22</w:t>
            </w:r>
            <w:r w:rsidRPr="0019144F">
              <w:t xml:space="preserve"> </w:t>
            </w:r>
            <w:r w:rsidRPr="0019144F">
              <w:rPr>
                <w:b/>
                <w:i/>
              </w:rPr>
              <w:t>JO L 317 du 15.12.2000. Accord modifié en dernier lieu au JO L 287 du 4.11.2010.</w:t>
            </w:r>
          </w:p>
        </w:tc>
        <w:tc>
          <w:tcPr>
            <w:tcW w:w="4876" w:type="dxa"/>
          </w:tcPr>
          <w:p w14:paraId="61249C32" w14:textId="77777777" w:rsidR="00BF7ACA" w:rsidRPr="0019144F" w:rsidRDefault="00BF7ACA" w:rsidP="007924BE">
            <w:pPr>
              <w:pStyle w:val="Normal6"/>
              <w:rPr>
                <w:szCs w:val="24"/>
              </w:rPr>
            </w:pPr>
          </w:p>
        </w:tc>
      </w:tr>
    </w:tbl>
    <w:p w14:paraId="2AA466EC"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00D2549" w14:textId="77777777" w:rsidR="00BF7ACA" w:rsidRPr="00BF7ACA" w:rsidRDefault="00BF7ACA" w:rsidP="00BF7ACA">
      <w:r w:rsidRPr="00BF7ACA">
        <w:rPr>
          <w:rStyle w:val="HideTWBExt"/>
        </w:rPr>
        <w:t>&lt;/Amend&gt;</w:t>
      </w:r>
    </w:p>
    <w:p w14:paraId="478C1BCF"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101</w:t>
      </w:r>
      <w:r w:rsidRPr="00BF7ACA">
        <w:rPr>
          <w:rStyle w:val="HideTWBExt"/>
          <w:b w:val="0"/>
        </w:rPr>
        <w:t>&lt;/NumAm&gt;</w:t>
      </w:r>
    </w:p>
    <w:p w14:paraId="6513A771"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3E0B92B0" w14:textId="77777777" w:rsidR="00BF7ACA" w:rsidRPr="005A5903" w:rsidRDefault="00BF7ACA" w:rsidP="00BF7ACA">
      <w:r>
        <w:rPr>
          <w:rStyle w:val="HideTWBExt"/>
        </w:rPr>
        <w:t>&lt;/RepeatBlock-By&gt;</w:t>
      </w:r>
    </w:p>
    <w:p w14:paraId="5D072E58"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7789DFF3" w14:textId="77777777" w:rsidR="00BF7ACA" w:rsidRPr="005A5903" w:rsidRDefault="00BF7ACA" w:rsidP="00BF7ACA">
      <w:pPr>
        <w:pStyle w:val="NormalBold"/>
      </w:pPr>
      <w:r>
        <w:rPr>
          <w:rStyle w:val="HideTWBExt"/>
          <w:b w:val="0"/>
        </w:rPr>
        <w:t>&lt;Article&gt;</w:t>
      </w:r>
      <w:r w:rsidRPr="0019144F">
        <w:t>Considérant 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56086C92" w14:textId="77777777" w:rsidTr="007924BE">
        <w:trPr>
          <w:jc w:val="center"/>
        </w:trPr>
        <w:tc>
          <w:tcPr>
            <w:tcW w:w="9752" w:type="dxa"/>
            <w:gridSpan w:val="2"/>
          </w:tcPr>
          <w:p w14:paraId="7F616263" w14:textId="77777777" w:rsidR="00BF7ACA" w:rsidRPr="005A5903" w:rsidRDefault="00BF7ACA" w:rsidP="007924BE">
            <w:pPr>
              <w:keepNext/>
            </w:pPr>
          </w:p>
        </w:tc>
      </w:tr>
      <w:tr w:rsidR="00BF7ACA" w:rsidRPr="005A5903" w14:paraId="63616499" w14:textId="77777777" w:rsidTr="007924BE">
        <w:trPr>
          <w:jc w:val="center"/>
        </w:trPr>
        <w:tc>
          <w:tcPr>
            <w:tcW w:w="4876" w:type="dxa"/>
            <w:hideMark/>
          </w:tcPr>
          <w:p w14:paraId="1C39F994" w14:textId="77777777" w:rsidR="00BF7ACA" w:rsidRPr="0019144F" w:rsidRDefault="00BF7ACA" w:rsidP="007924BE">
            <w:pPr>
              <w:pStyle w:val="ColumnHeading"/>
              <w:keepNext/>
            </w:pPr>
            <w:r w:rsidRPr="0019144F">
              <w:t>Texte proposé par la Commission</w:t>
            </w:r>
          </w:p>
        </w:tc>
        <w:tc>
          <w:tcPr>
            <w:tcW w:w="4876" w:type="dxa"/>
            <w:hideMark/>
          </w:tcPr>
          <w:p w14:paraId="772862C0" w14:textId="77777777" w:rsidR="00BF7ACA" w:rsidRPr="0019144F" w:rsidRDefault="00BF7ACA" w:rsidP="007924BE">
            <w:pPr>
              <w:pStyle w:val="ColumnHeading"/>
              <w:keepNext/>
            </w:pPr>
            <w:r w:rsidRPr="0019144F">
              <w:t>Amendement</w:t>
            </w:r>
          </w:p>
        </w:tc>
      </w:tr>
      <w:tr w:rsidR="00BF7ACA" w:rsidRPr="005A5903" w14:paraId="1AE891D5" w14:textId="77777777" w:rsidTr="007924BE">
        <w:trPr>
          <w:jc w:val="center"/>
        </w:trPr>
        <w:tc>
          <w:tcPr>
            <w:tcW w:w="4876" w:type="dxa"/>
            <w:hideMark/>
          </w:tcPr>
          <w:p w14:paraId="2A5D1D5F" w14:textId="77777777" w:rsidR="00BF7ACA" w:rsidRPr="0019144F" w:rsidRDefault="00BF7ACA" w:rsidP="007924BE">
            <w:pPr>
              <w:pStyle w:val="Normal6"/>
            </w:pPr>
            <w:r w:rsidRPr="0019144F">
              <w:t>(4)</w:t>
            </w:r>
            <w:r>
              <w:tab/>
            </w:r>
            <w:r w:rsidRPr="0019144F">
              <w:t xml:space="preserve">Le </w:t>
            </w:r>
            <w:r w:rsidRPr="0019144F">
              <w:rPr>
                <w:b/>
                <w:i/>
              </w:rPr>
              <w:t>PIE</w:t>
            </w:r>
            <w:r w:rsidRPr="0019144F">
              <w:t xml:space="preserve"> devrait </w:t>
            </w:r>
            <w:r w:rsidRPr="0019144F">
              <w:rPr>
                <w:b/>
                <w:i/>
              </w:rPr>
              <w:t>fournir un dispositif financier intégré pour le financement d</w:t>
            </w:r>
            <w:r>
              <w:rPr>
                <w:b/>
                <w:i/>
              </w:rPr>
              <w:t>’</w:t>
            </w:r>
            <w:r w:rsidRPr="0019144F">
              <w:rPr>
                <w:b/>
                <w:i/>
              </w:rPr>
              <w:t>investissements dans les pays d</w:t>
            </w:r>
            <w:r>
              <w:rPr>
                <w:b/>
                <w:i/>
              </w:rPr>
              <w:t>’</w:t>
            </w:r>
            <w:r w:rsidRPr="0019144F">
              <w:rPr>
                <w:b/>
                <w:i/>
              </w:rPr>
              <w:t>Afrique qui sont signataires de l</w:t>
            </w:r>
            <w:r>
              <w:rPr>
                <w:b/>
                <w:i/>
              </w:rPr>
              <w:t>’</w:t>
            </w:r>
            <w:r w:rsidRPr="0019144F">
              <w:rPr>
                <w:b/>
                <w:i/>
              </w:rPr>
              <w:t>accord de partenariat entre les membres du groupe des États d</w:t>
            </w:r>
            <w:r>
              <w:rPr>
                <w:b/>
                <w:i/>
              </w:rPr>
              <w:t>’</w:t>
            </w:r>
            <w:r w:rsidRPr="0019144F">
              <w:rPr>
                <w:b/>
                <w:i/>
              </w:rPr>
              <w:t>Afrique, des Caraïbes et du Pacifique, d</w:t>
            </w:r>
            <w:r>
              <w:rPr>
                <w:b/>
                <w:i/>
              </w:rPr>
              <w:t>’</w:t>
            </w:r>
            <w:r w:rsidRPr="0019144F">
              <w:rPr>
                <w:b/>
                <w:i/>
              </w:rPr>
              <w:t>une part, et la Communauté européenne et ses États membres, d</w:t>
            </w:r>
            <w:r>
              <w:rPr>
                <w:b/>
                <w:i/>
              </w:rPr>
              <w:t>’</w:t>
            </w:r>
            <w:r w:rsidRPr="0019144F">
              <w:rPr>
                <w:b/>
                <w:i/>
              </w:rPr>
              <w:t>autre part, signé à Cotonou le 23 juin 2000</w:t>
            </w:r>
            <w:r w:rsidRPr="00627C55">
              <w:rPr>
                <w:b/>
                <w:i/>
                <w:vertAlign w:val="superscript"/>
              </w:rPr>
              <w:t>22</w:t>
            </w:r>
            <w:r w:rsidRPr="0019144F">
              <w:rPr>
                <w:b/>
                <w:i/>
              </w:rPr>
              <w:t>, ainsi que dans les pays du voisinage, dans un premier temps. Cela permettra de créer des possibilités de croissance et d</w:t>
            </w:r>
            <w:r>
              <w:rPr>
                <w:b/>
                <w:i/>
              </w:rPr>
              <w:t>’</w:t>
            </w:r>
            <w:r w:rsidRPr="0019144F">
              <w:rPr>
                <w:b/>
                <w:i/>
              </w:rPr>
              <w:t>emploi, d</w:t>
            </w:r>
            <w:r>
              <w:rPr>
                <w:b/>
                <w:i/>
              </w:rPr>
              <w:t>’</w:t>
            </w:r>
            <w:r w:rsidRPr="0019144F">
              <w:rPr>
                <w:b/>
                <w:i/>
              </w:rPr>
              <w:t>exploiter au mieux l</w:t>
            </w:r>
            <w:r>
              <w:rPr>
                <w:b/>
                <w:i/>
              </w:rPr>
              <w:t>’</w:t>
            </w:r>
            <w:r w:rsidRPr="0019144F">
              <w:rPr>
                <w:b/>
                <w:i/>
              </w:rPr>
              <w:t>additionnalité, de favoriser la fourniture de produits innovants et d</w:t>
            </w:r>
            <w:r>
              <w:rPr>
                <w:b/>
                <w:i/>
              </w:rPr>
              <w:t>’</w:t>
            </w:r>
            <w:r w:rsidRPr="0019144F">
              <w:rPr>
                <w:b/>
                <w:i/>
              </w:rPr>
              <w:t>attirer des financements privés</w:t>
            </w:r>
            <w:r w:rsidRPr="0019144F">
              <w:t>.</w:t>
            </w:r>
          </w:p>
        </w:tc>
        <w:tc>
          <w:tcPr>
            <w:tcW w:w="4876" w:type="dxa"/>
            <w:hideMark/>
          </w:tcPr>
          <w:p w14:paraId="513C8C8B" w14:textId="77777777" w:rsidR="00BF7ACA" w:rsidRPr="0019144F" w:rsidRDefault="00BF7ACA" w:rsidP="007924BE">
            <w:pPr>
              <w:pStyle w:val="Normal6"/>
              <w:rPr>
                <w:szCs w:val="24"/>
              </w:rPr>
            </w:pPr>
            <w:r w:rsidRPr="0019144F">
              <w:t>(4)</w:t>
            </w:r>
            <w:r>
              <w:tab/>
            </w:r>
            <w:r w:rsidRPr="0019144F">
              <w:t xml:space="preserve">Le </w:t>
            </w:r>
            <w:r w:rsidRPr="0019144F">
              <w:rPr>
                <w:b/>
                <w:i/>
              </w:rPr>
              <w:t>FEDD</w:t>
            </w:r>
            <w:r w:rsidRPr="0019144F">
              <w:t xml:space="preserve"> devrait </w:t>
            </w:r>
            <w:r w:rsidRPr="0019144F">
              <w:rPr>
                <w:b/>
                <w:i/>
              </w:rPr>
              <w:t>encourager la création d</w:t>
            </w:r>
            <w:r>
              <w:rPr>
                <w:b/>
                <w:i/>
              </w:rPr>
              <w:t>’</w:t>
            </w:r>
            <w:r w:rsidRPr="0019144F">
              <w:rPr>
                <w:b/>
                <w:i/>
              </w:rPr>
              <w:t>emplois décents et les perspectives économiques durables et équitables pour tous, en accordant une attention particulière aux jeunes ainsi qu</w:t>
            </w:r>
            <w:r>
              <w:rPr>
                <w:b/>
                <w:i/>
              </w:rPr>
              <w:t>’</w:t>
            </w:r>
            <w:r w:rsidRPr="0019144F">
              <w:rPr>
                <w:b/>
                <w:i/>
              </w:rPr>
              <w:t>à l</w:t>
            </w:r>
            <w:r>
              <w:rPr>
                <w:b/>
                <w:i/>
              </w:rPr>
              <w:t>’</w:t>
            </w:r>
            <w:r w:rsidRPr="0019144F">
              <w:rPr>
                <w:b/>
                <w:i/>
              </w:rPr>
              <w:t>avancée de l</w:t>
            </w:r>
            <w:r>
              <w:rPr>
                <w:b/>
                <w:i/>
              </w:rPr>
              <w:t>’</w:t>
            </w:r>
            <w:r w:rsidRPr="0019144F">
              <w:rPr>
                <w:b/>
                <w:i/>
              </w:rPr>
              <w:t>égalité entre les sexes et de l</w:t>
            </w:r>
            <w:r>
              <w:rPr>
                <w:b/>
                <w:i/>
              </w:rPr>
              <w:t>’</w:t>
            </w:r>
            <w:r w:rsidRPr="0019144F">
              <w:rPr>
                <w:b/>
                <w:i/>
              </w:rPr>
              <w:t>autonomisation des femmes, conformément au plan d</w:t>
            </w:r>
            <w:r>
              <w:rPr>
                <w:b/>
                <w:i/>
              </w:rPr>
              <w:t>’</w:t>
            </w:r>
            <w:r w:rsidRPr="0019144F">
              <w:rPr>
                <w:b/>
                <w:i/>
              </w:rPr>
              <w:t>action de l</w:t>
            </w:r>
            <w:r>
              <w:rPr>
                <w:b/>
                <w:i/>
              </w:rPr>
              <w:t>’</w:t>
            </w:r>
            <w:r w:rsidRPr="0019144F">
              <w:rPr>
                <w:b/>
                <w:i/>
              </w:rPr>
              <w:t>Union sur l</w:t>
            </w:r>
            <w:r>
              <w:rPr>
                <w:b/>
                <w:i/>
              </w:rPr>
              <w:t>’</w:t>
            </w:r>
            <w:r w:rsidRPr="0019144F">
              <w:rPr>
                <w:b/>
                <w:i/>
              </w:rPr>
              <w:t>égalité des sexes pour la période 2016-2020, tout en consolidant l</w:t>
            </w:r>
            <w:r>
              <w:rPr>
                <w:b/>
                <w:i/>
              </w:rPr>
              <w:t>’</w:t>
            </w:r>
            <w:r w:rsidRPr="0019144F">
              <w:rPr>
                <w:b/>
                <w:i/>
              </w:rPr>
              <w:t>état de droit, la bonne gouvernance, les droits de l</w:t>
            </w:r>
            <w:r>
              <w:rPr>
                <w:b/>
                <w:i/>
              </w:rPr>
              <w:t>’</w:t>
            </w:r>
            <w:r w:rsidRPr="0019144F">
              <w:rPr>
                <w:b/>
                <w:i/>
              </w:rPr>
              <w:t>homme et le respect du principe d</w:t>
            </w:r>
            <w:r>
              <w:rPr>
                <w:b/>
                <w:i/>
              </w:rPr>
              <w:t>’</w:t>
            </w:r>
            <w:r w:rsidRPr="0019144F">
              <w:rPr>
                <w:b/>
                <w:i/>
              </w:rPr>
              <w:t>accès équitable aux ressources naturelles et d</w:t>
            </w:r>
            <w:r>
              <w:rPr>
                <w:b/>
                <w:i/>
              </w:rPr>
              <w:t>’</w:t>
            </w:r>
            <w:r w:rsidRPr="0019144F">
              <w:rPr>
                <w:b/>
                <w:i/>
              </w:rPr>
              <w:t>utilisation de ces ressources dans chaque pays</w:t>
            </w:r>
            <w:r w:rsidRPr="0019144F">
              <w:t>.</w:t>
            </w:r>
          </w:p>
        </w:tc>
      </w:tr>
      <w:tr w:rsidR="00BF7ACA" w:rsidRPr="005A5903" w14:paraId="5F7C738E" w14:textId="77777777" w:rsidTr="007924BE">
        <w:trPr>
          <w:jc w:val="center"/>
        </w:trPr>
        <w:tc>
          <w:tcPr>
            <w:tcW w:w="4876" w:type="dxa"/>
            <w:hideMark/>
          </w:tcPr>
          <w:p w14:paraId="672F49FB" w14:textId="77777777" w:rsidR="00BF7ACA" w:rsidRPr="0019144F" w:rsidRDefault="00BF7ACA" w:rsidP="007924BE">
            <w:pPr>
              <w:pStyle w:val="Normal6"/>
            </w:pPr>
            <w:r w:rsidRPr="0019144F">
              <w:t>__________________</w:t>
            </w:r>
          </w:p>
        </w:tc>
        <w:tc>
          <w:tcPr>
            <w:tcW w:w="4876" w:type="dxa"/>
            <w:hideMark/>
          </w:tcPr>
          <w:p w14:paraId="1C360577" w14:textId="77777777" w:rsidR="00BF7ACA" w:rsidRPr="0019144F" w:rsidRDefault="00BF7ACA" w:rsidP="007924BE">
            <w:pPr>
              <w:pStyle w:val="Normal6"/>
              <w:rPr>
                <w:szCs w:val="24"/>
              </w:rPr>
            </w:pPr>
            <w:r w:rsidRPr="0019144F">
              <w:t>__________________</w:t>
            </w:r>
          </w:p>
        </w:tc>
      </w:tr>
      <w:tr w:rsidR="00BF7ACA" w:rsidRPr="005A5903" w14:paraId="37B77A17" w14:textId="77777777" w:rsidTr="007924BE">
        <w:trPr>
          <w:jc w:val="center"/>
        </w:trPr>
        <w:tc>
          <w:tcPr>
            <w:tcW w:w="4876" w:type="dxa"/>
            <w:hideMark/>
          </w:tcPr>
          <w:p w14:paraId="4469F9CF" w14:textId="77777777" w:rsidR="00BF7ACA" w:rsidRPr="0019144F" w:rsidRDefault="00BF7ACA" w:rsidP="007924BE">
            <w:pPr>
              <w:pStyle w:val="Normal6"/>
            </w:pPr>
            <w:r w:rsidRPr="0019144F">
              <w:rPr>
                <w:vertAlign w:val="superscript"/>
              </w:rPr>
              <w:t>22</w:t>
            </w:r>
            <w:r w:rsidRPr="0019144F">
              <w:t xml:space="preserve"> JO L 317 du 15.12.2000. Accord modifié en dernier lieu au JO L 287 du 4.11.2010.</w:t>
            </w:r>
          </w:p>
        </w:tc>
        <w:tc>
          <w:tcPr>
            <w:tcW w:w="4876" w:type="dxa"/>
            <w:hideMark/>
          </w:tcPr>
          <w:p w14:paraId="30A15144" w14:textId="77777777" w:rsidR="00BF7ACA" w:rsidRPr="0019144F" w:rsidRDefault="00BF7ACA" w:rsidP="007924BE">
            <w:pPr>
              <w:pStyle w:val="Normal6"/>
              <w:rPr>
                <w:szCs w:val="24"/>
              </w:rPr>
            </w:pPr>
            <w:r w:rsidRPr="0019144F">
              <w:rPr>
                <w:vertAlign w:val="superscript"/>
              </w:rPr>
              <w:t>22</w:t>
            </w:r>
            <w:r w:rsidRPr="0019144F">
              <w:t xml:space="preserve"> JO L 317 du 15.12.2000. Accord modifié en dernier lieu au JO L 287 du 4.11.2010.</w:t>
            </w:r>
          </w:p>
        </w:tc>
      </w:tr>
    </w:tbl>
    <w:p w14:paraId="14D39CC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532184C" w14:textId="77777777" w:rsidR="00BF7ACA" w:rsidRPr="00BF7ACA" w:rsidRDefault="00BF7ACA" w:rsidP="00BF7ACA">
      <w:r w:rsidRPr="00BF7ACA">
        <w:rPr>
          <w:rStyle w:val="HideTWBExt"/>
        </w:rPr>
        <w:t>&lt;/Amend&gt;</w:t>
      </w:r>
    </w:p>
    <w:p w14:paraId="2E0522D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102</w:t>
      </w:r>
      <w:r w:rsidRPr="00BF7ACA">
        <w:rPr>
          <w:rStyle w:val="HideTWBExt"/>
          <w:b w:val="0"/>
        </w:rPr>
        <w:t>&lt;/NumAm&gt;</w:t>
      </w:r>
    </w:p>
    <w:p w14:paraId="1616F285"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09628C52" w14:textId="77777777" w:rsidR="00BF7ACA" w:rsidRPr="005A5903" w:rsidRDefault="00BF7ACA" w:rsidP="00BF7ACA">
      <w:r>
        <w:rPr>
          <w:rStyle w:val="HideTWBExt"/>
        </w:rPr>
        <w:t>&lt;/RepeatBlock-By&gt;</w:t>
      </w:r>
    </w:p>
    <w:p w14:paraId="24ADDB84"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3CCB137F" w14:textId="77777777" w:rsidR="00BF7ACA" w:rsidRPr="005A5903" w:rsidRDefault="00BF7ACA" w:rsidP="00BF7ACA">
      <w:pPr>
        <w:pStyle w:val="NormalBold"/>
      </w:pPr>
      <w:r>
        <w:rPr>
          <w:rStyle w:val="HideTWBExt"/>
          <w:b w:val="0"/>
        </w:rPr>
        <w:t>&lt;Article&gt;</w:t>
      </w:r>
      <w:r w:rsidRPr="0019144F">
        <w:t>Considérant 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054D0004" w14:textId="77777777" w:rsidTr="007924BE">
        <w:trPr>
          <w:jc w:val="center"/>
        </w:trPr>
        <w:tc>
          <w:tcPr>
            <w:tcW w:w="9752" w:type="dxa"/>
            <w:gridSpan w:val="2"/>
          </w:tcPr>
          <w:p w14:paraId="55B7BFFC" w14:textId="77777777" w:rsidR="00BF7ACA" w:rsidRPr="005A5903" w:rsidRDefault="00BF7ACA" w:rsidP="007924BE">
            <w:pPr>
              <w:keepNext/>
            </w:pPr>
          </w:p>
        </w:tc>
      </w:tr>
      <w:tr w:rsidR="00BF7ACA" w:rsidRPr="005A5903" w14:paraId="7E170484" w14:textId="77777777" w:rsidTr="007924BE">
        <w:trPr>
          <w:jc w:val="center"/>
        </w:trPr>
        <w:tc>
          <w:tcPr>
            <w:tcW w:w="4876" w:type="dxa"/>
            <w:hideMark/>
          </w:tcPr>
          <w:p w14:paraId="76064848" w14:textId="77777777" w:rsidR="00BF7ACA" w:rsidRPr="0019144F" w:rsidRDefault="00BF7ACA" w:rsidP="007924BE">
            <w:pPr>
              <w:pStyle w:val="ColumnHeading"/>
              <w:keepNext/>
            </w:pPr>
            <w:r w:rsidRPr="0019144F">
              <w:t>Texte proposé par la Commission</w:t>
            </w:r>
          </w:p>
        </w:tc>
        <w:tc>
          <w:tcPr>
            <w:tcW w:w="4876" w:type="dxa"/>
            <w:hideMark/>
          </w:tcPr>
          <w:p w14:paraId="6A0FE026" w14:textId="77777777" w:rsidR="00BF7ACA" w:rsidRPr="0019144F" w:rsidRDefault="00BF7ACA" w:rsidP="007924BE">
            <w:pPr>
              <w:pStyle w:val="ColumnHeading"/>
              <w:keepNext/>
            </w:pPr>
            <w:r w:rsidRPr="0019144F">
              <w:t>Amendement</w:t>
            </w:r>
          </w:p>
        </w:tc>
      </w:tr>
      <w:tr w:rsidR="00BF7ACA" w:rsidRPr="005A5903" w14:paraId="70B580E1" w14:textId="77777777" w:rsidTr="007924BE">
        <w:trPr>
          <w:jc w:val="center"/>
        </w:trPr>
        <w:tc>
          <w:tcPr>
            <w:tcW w:w="4876" w:type="dxa"/>
            <w:hideMark/>
          </w:tcPr>
          <w:p w14:paraId="54153FAD" w14:textId="77777777" w:rsidR="00BF7ACA" w:rsidRPr="0019144F" w:rsidRDefault="00BF7ACA" w:rsidP="007924BE">
            <w:pPr>
              <w:pStyle w:val="Normal6"/>
            </w:pPr>
            <w:r w:rsidRPr="0019144F">
              <w:t>(4)</w:t>
            </w:r>
            <w:r>
              <w:tab/>
            </w:r>
            <w:r w:rsidRPr="0019144F">
              <w:t>Le PIE devrait fournir un dispositif financier intégré pour le financement d</w:t>
            </w:r>
            <w:r>
              <w:t>’</w:t>
            </w:r>
            <w:r w:rsidRPr="0019144F">
              <w:t>investissements dans les pays d</w:t>
            </w:r>
            <w:r>
              <w:t>’</w:t>
            </w:r>
            <w:r w:rsidRPr="0019144F">
              <w:t>Afrique qui sont signataires de l</w:t>
            </w:r>
            <w:r>
              <w:t>’</w:t>
            </w:r>
            <w:r w:rsidRPr="0019144F">
              <w:t>accord de partenariat entre les membres du groupe des États d</w:t>
            </w:r>
            <w:r>
              <w:t>’</w:t>
            </w:r>
            <w:r w:rsidRPr="0019144F">
              <w:t>Afrique, des Caraïbes et du Pacifique, d</w:t>
            </w:r>
            <w:r>
              <w:t>’</w:t>
            </w:r>
            <w:r w:rsidRPr="0019144F">
              <w:t>une part, et la Communauté européenne et ses États membres, d</w:t>
            </w:r>
            <w:r>
              <w:t>’</w:t>
            </w:r>
            <w:r w:rsidRPr="0019144F">
              <w:t>autre part, signé à Cotonou le 23 juin 2000</w:t>
            </w:r>
            <w:r w:rsidRPr="0019144F">
              <w:rPr>
                <w:vertAlign w:val="superscript"/>
              </w:rPr>
              <w:t>22</w:t>
            </w:r>
            <w:r w:rsidRPr="0019144F">
              <w:t xml:space="preserve">, ainsi que dans les pays du voisinage, dans un premier temps. Cela permettra de </w:t>
            </w:r>
            <w:r w:rsidRPr="0019144F">
              <w:rPr>
                <w:b/>
                <w:i/>
              </w:rPr>
              <w:t>créer des</w:t>
            </w:r>
            <w:r w:rsidRPr="0019144F">
              <w:t xml:space="preserve"> possibilités de croissance et d</w:t>
            </w:r>
            <w:r>
              <w:t>’</w:t>
            </w:r>
            <w:r w:rsidRPr="0019144F">
              <w:t xml:space="preserve">emploi, </w:t>
            </w:r>
            <w:r w:rsidRPr="0019144F">
              <w:rPr>
                <w:b/>
                <w:i/>
              </w:rPr>
              <w:t>d</w:t>
            </w:r>
            <w:r>
              <w:rPr>
                <w:b/>
                <w:i/>
              </w:rPr>
              <w:t>’</w:t>
            </w:r>
            <w:r w:rsidRPr="0019144F">
              <w:rPr>
                <w:b/>
                <w:i/>
              </w:rPr>
              <w:t>exploiter au mieux l</w:t>
            </w:r>
            <w:r>
              <w:rPr>
                <w:b/>
                <w:i/>
              </w:rPr>
              <w:t>’</w:t>
            </w:r>
            <w:r w:rsidRPr="0019144F">
              <w:rPr>
                <w:b/>
                <w:i/>
              </w:rPr>
              <w:t>additionnalité</w:t>
            </w:r>
            <w:r w:rsidRPr="0019144F">
              <w:t xml:space="preserve">, de </w:t>
            </w:r>
            <w:r w:rsidRPr="0019144F">
              <w:rPr>
                <w:b/>
                <w:i/>
              </w:rPr>
              <w:t>favoriser la fourniture</w:t>
            </w:r>
            <w:r w:rsidRPr="0019144F">
              <w:t xml:space="preserve"> de </w:t>
            </w:r>
            <w:r w:rsidRPr="0019144F">
              <w:rPr>
                <w:b/>
                <w:i/>
              </w:rPr>
              <w:t>produits innovants</w:t>
            </w:r>
            <w:r w:rsidRPr="0019144F">
              <w:t xml:space="preserve"> et d</w:t>
            </w:r>
            <w:r>
              <w:t>’</w:t>
            </w:r>
            <w:r w:rsidRPr="0019144F">
              <w:t>attirer des financements privés.</w:t>
            </w:r>
          </w:p>
        </w:tc>
        <w:tc>
          <w:tcPr>
            <w:tcW w:w="4876" w:type="dxa"/>
            <w:hideMark/>
          </w:tcPr>
          <w:p w14:paraId="4E38B646" w14:textId="77777777" w:rsidR="00BF7ACA" w:rsidRPr="0019144F" w:rsidRDefault="00BF7ACA" w:rsidP="007924BE">
            <w:pPr>
              <w:pStyle w:val="Normal6"/>
              <w:rPr>
                <w:szCs w:val="24"/>
              </w:rPr>
            </w:pPr>
            <w:r w:rsidRPr="0019144F">
              <w:t>(4)</w:t>
            </w:r>
            <w:r>
              <w:tab/>
            </w:r>
            <w:r w:rsidRPr="0019144F">
              <w:t>Le PIE devrait fournir un dispositif financier intégré pour le financement d</w:t>
            </w:r>
            <w:r>
              <w:t>’</w:t>
            </w:r>
            <w:r w:rsidRPr="0019144F">
              <w:t>investissements dans les pays d</w:t>
            </w:r>
            <w:r>
              <w:t>’</w:t>
            </w:r>
            <w:r w:rsidRPr="0019144F">
              <w:t>Afrique qui sont signataires de l</w:t>
            </w:r>
            <w:r>
              <w:t>’</w:t>
            </w:r>
            <w:r w:rsidRPr="0019144F">
              <w:t>accord de partenariat entre les membres du groupe des États d</w:t>
            </w:r>
            <w:r>
              <w:t>’</w:t>
            </w:r>
            <w:r w:rsidRPr="0019144F">
              <w:t>Afrique, des Caraïbes et du Pacifique, d</w:t>
            </w:r>
            <w:r>
              <w:t>’</w:t>
            </w:r>
            <w:r w:rsidRPr="0019144F">
              <w:t>une part, et la Communauté européenne et ses États membres, d</w:t>
            </w:r>
            <w:r>
              <w:t>’</w:t>
            </w:r>
            <w:r w:rsidRPr="0019144F">
              <w:t>autre part, signé à Cotonou le 23 juin 2000</w:t>
            </w:r>
            <w:r w:rsidRPr="0019144F">
              <w:rPr>
                <w:vertAlign w:val="superscript"/>
              </w:rPr>
              <w:t>22</w:t>
            </w:r>
            <w:r w:rsidRPr="0019144F">
              <w:t>, ainsi que dans les pays du voisinage, dans un premier temps</w:t>
            </w:r>
            <w:r w:rsidRPr="0019144F">
              <w:rPr>
                <w:b/>
                <w:i/>
              </w:rPr>
              <w:t>, en veillant à ne pas accroître les risques d</w:t>
            </w:r>
            <w:r>
              <w:rPr>
                <w:b/>
                <w:i/>
              </w:rPr>
              <w:t>’</w:t>
            </w:r>
            <w:r w:rsidRPr="0019144F">
              <w:rPr>
                <w:b/>
                <w:i/>
              </w:rPr>
              <w:t>endettement ou la vulnérabilité macroéconomique</w:t>
            </w:r>
            <w:r w:rsidRPr="0019144F">
              <w:t xml:space="preserve">. Cela permettra de </w:t>
            </w:r>
            <w:r w:rsidRPr="0019144F">
              <w:rPr>
                <w:b/>
                <w:i/>
              </w:rPr>
              <w:t>soutenir le développement à plus long terme par la création de</w:t>
            </w:r>
            <w:r w:rsidRPr="0019144F">
              <w:t xml:space="preserve"> possibilités de croissance et d</w:t>
            </w:r>
            <w:r>
              <w:t>’</w:t>
            </w:r>
            <w:r w:rsidRPr="0019144F">
              <w:t>emploi</w:t>
            </w:r>
            <w:r w:rsidRPr="0019144F">
              <w:rPr>
                <w:b/>
                <w:i/>
              </w:rPr>
              <w:t xml:space="preserve"> durables</w:t>
            </w:r>
            <w:r w:rsidRPr="0019144F">
              <w:t xml:space="preserve">, </w:t>
            </w:r>
            <w:r w:rsidRPr="0019144F">
              <w:rPr>
                <w:b/>
                <w:i/>
              </w:rPr>
              <w:t>axées plus particulièrement sur l</w:t>
            </w:r>
            <w:r>
              <w:rPr>
                <w:b/>
                <w:i/>
              </w:rPr>
              <w:t>’</w:t>
            </w:r>
            <w:r w:rsidRPr="0019144F">
              <w:rPr>
                <w:b/>
                <w:i/>
              </w:rPr>
              <w:t>égalité entre les sexes et l</w:t>
            </w:r>
            <w:r>
              <w:rPr>
                <w:b/>
                <w:i/>
              </w:rPr>
              <w:t>’</w:t>
            </w:r>
            <w:r w:rsidRPr="0019144F">
              <w:rPr>
                <w:b/>
                <w:i/>
              </w:rPr>
              <w:t>autonomisation des femmes et des jeunes</w:t>
            </w:r>
            <w:r w:rsidRPr="0019144F">
              <w:t xml:space="preserve">, </w:t>
            </w:r>
            <w:r w:rsidRPr="0019144F">
              <w:rPr>
                <w:b/>
                <w:i/>
              </w:rPr>
              <w:t>ainsi que d</w:t>
            </w:r>
            <w:r>
              <w:rPr>
                <w:b/>
                <w:i/>
              </w:rPr>
              <w:t>’</w:t>
            </w:r>
            <w:r w:rsidRPr="0019144F">
              <w:rPr>
                <w:b/>
                <w:i/>
              </w:rPr>
              <w:t>appuyer le déploiement du plan d</w:t>
            </w:r>
            <w:r>
              <w:rPr>
                <w:b/>
                <w:i/>
              </w:rPr>
              <w:t>’</w:t>
            </w:r>
            <w:r w:rsidRPr="0019144F">
              <w:rPr>
                <w:b/>
                <w:i/>
              </w:rPr>
              <w:t xml:space="preserve">action </w:t>
            </w:r>
            <w:r w:rsidRPr="0019144F">
              <w:t xml:space="preserve">de </w:t>
            </w:r>
            <w:r w:rsidRPr="0019144F">
              <w:rPr>
                <w:b/>
                <w:i/>
              </w:rPr>
              <w:t>l</w:t>
            </w:r>
            <w:r>
              <w:rPr>
                <w:b/>
                <w:i/>
              </w:rPr>
              <w:t>’</w:t>
            </w:r>
            <w:r w:rsidRPr="0019144F">
              <w:rPr>
                <w:b/>
                <w:i/>
              </w:rPr>
              <w:t>Union sur l</w:t>
            </w:r>
            <w:r>
              <w:rPr>
                <w:b/>
                <w:i/>
              </w:rPr>
              <w:t>’</w:t>
            </w:r>
            <w:r w:rsidRPr="0019144F">
              <w:rPr>
                <w:b/>
                <w:i/>
              </w:rPr>
              <w:t>égalité des sexes,</w:t>
            </w:r>
            <w:r w:rsidRPr="0019144F">
              <w:t xml:space="preserve"> de </w:t>
            </w:r>
            <w:r w:rsidRPr="0019144F">
              <w:rPr>
                <w:b/>
                <w:i/>
              </w:rPr>
              <w:t>garantir l</w:t>
            </w:r>
            <w:r>
              <w:rPr>
                <w:b/>
                <w:i/>
              </w:rPr>
              <w:t>’</w:t>
            </w:r>
            <w:r w:rsidRPr="0019144F">
              <w:rPr>
                <w:b/>
                <w:i/>
              </w:rPr>
              <w:t>additionnalité</w:t>
            </w:r>
            <w:r w:rsidRPr="0019144F">
              <w:t xml:space="preserve"> et d</w:t>
            </w:r>
            <w:r>
              <w:t>’</w:t>
            </w:r>
            <w:r w:rsidRPr="0019144F">
              <w:t>attirer des financements privés</w:t>
            </w:r>
            <w:r w:rsidRPr="0019144F">
              <w:rPr>
                <w:b/>
                <w:i/>
              </w:rPr>
              <w:t>, tout en respectant les droits de l</w:t>
            </w:r>
            <w:r>
              <w:rPr>
                <w:b/>
                <w:i/>
              </w:rPr>
              <w:t>’</w:t>
            </w:r>
            <w:r w:rsidRPr="0019144F">
              <w:rPr>
                <w:b/>
                <w:i/>
              </w:rPr>
              <w:t>homme, sans créer d</w:t>
            </w:r>
            <w:r>
              <w:rPr>
                <w:b/>
                <w:i/>
              </w:rPr>
              <w:t>’</w:t>
            </w:r>
            <w:r w:rsidRPr="0019144F">
              <w:rPr>
                <w:b/>
                <w:i/>
              </w:rPr>
              <w:t>externalités environnementales négatives</w:t>
            </w:r>
            <w:r w:rsidRPr="0019144F">
              <w:t>.</w:t>
            </w:r>
          </w:p>
        </w:tc>
      </w:tr>
      <w:tr w:rsidR="00BF7ACA" w:rsidRPr="005A5903" w14:paraId="306CDD53" w14:textId="77777777" w:rsidTr="007924BE">
        <w:trPr>
          <w:jc w:val="center"/>
        </w:trPr>
        <w:tc>
          <w:tcPr>
            <w:tcW w:w="4876" w:type="dxa"/>
            <w:hideMark/>
          </w:tcPr>
          <w:p w14:paraId="7E1E35B0" w14:textId="77777777" w:rsidR="00BF7ACA" w:rsidRPr="0019144F" w:rsidRDefault="00BF7ACA" w:rsidP="007924BE">
            <w:pPr>
              <w:pStyle w:val="Normal6"/>
            </w:pPr>
            <w:r w:rsidRPr="0019144F">
              <w:t>__________________</w:t>
            </w:r>
          </w:p>
        </w:tc>
        <w:tc>
          <w:tcPr>
            <w:tcW w:w="4876" w:type="dxa"/>
          </w:tcPr>
          <w:p w14:paraId="67FEAE2D" w14:textId="77777777" w:rsidR="00BF7ACA" w:rsidRPr="0019144F" w:rsidRDefault="00BF7ACA" w:rsidP="007924BE">
            <w:pPr>
              <w:pStyle w:val="Normal6"/>
              <w:rPr>
                <w:szCs w:val="24"/>
              </w:rPr>
            </w:pPr>
          </w:p>
        </w:tc>
      </w:tr>
      <w:tr w:rsidR="00BF7ACA" w:rsidRPr="005A5903" w14:paraId="152A0B80" w14:textId="77777777" w:rsidTr="007924BE">
        <w:trPr>
          <w:jc w:val="center"/>
        </w:trPr>
        <w:tc>
          <w:tcPr>
            <w:tcW w:w="4876" w:type="dxa"/>
            <w:hideMark/>
          </w:tcPr>
          <w:p w14:paraId="5B737EFC" w14:textId="77777777" w:rsidR="00BF7ACA" w:rsidRPr="0019144F" w:rsidRDefault="00BF7ACA" w:rsidP="007924BE">
            <w:pPr>
              <w:pStyle w:val="Normal6"/>
            </w:pPr>
            <w:r>
              <w:rPr>
                <w:b/>
                <w:i/>
                <w:vertAlign w:val="superscript"/>
              </w:rPr>
              <w:t>22</w:t>
            </w:r>
            <w:r w:rsidRPr="0019144F">
              <w:rPr>
                <w:b/>
                <w:i/>
              </w:rPr>
              <w:t xml:space="preserve"> JO L 317 du 15.12.2000. Accord modifié en dernier lieu au JO L 287 du 4.11.2010.</w:t>
            </w:r>
          </w:p>
        </w:tc>
        <w:tc>
          <w:tcPr>
            <w:tcW w:w="4876" w:type="dxa"/>
          </w:tcPr>
          <w:p w14:paraId="78DB6E79" w14:textId="77777777" w:rsidR="00BF7ACA" w:rsidRPr="0019144F" w:rsidRDefault="00BF7ACA" w:rsidP="007924BE">
            <w:pPr>
              <w:pStyle w:val="Normal6"/>
              <w:rPr>
                <w:szCs w:val="24"/>
              </w:rPr>
            </w:pPr>
          </w:p>
        </w:tc>
      </w:tr>
    </w:tbl>
    <w:p w14:paraId="0907E493"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ED8A24A" w14:textId="77777777" w:rsidR="00BF7ACA" w:rsidRPr="00BF7ACA" w:rsidRDefault="00BF7ACA" w:rsidP="00BF7ACA">
      <w:r w:rsidRPr="00BF7ACA">
        <w:rPr>
          <w:rStyle w:val="HideTWBExt"/>
        </w:rPr>
        <w:t>&lt;/Amend&gt;</w:t>
      </w:r>
    </w:p>
    <w:p w14:paraId="510C2E64"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103</w:t>
      </w:r>
      <w:r w:rsidRPr="00BF7ACA">
        <w:rPr>
          <w:rStyle w:val="HideTWBExt"/>
          <w:b w:val="0"/>
        </w:rPr>
        <w:t>&lt;/NumAm&gt;</w:t>
      </w:r>
    </w:p>
    <w:p w14:paraId="5B5C9A54" w14:textId="77777777"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14:paraId="0A9966DB" w14:textId="77777777" w:rsidR="00BF7ACA" w:rsidRPr="00E502E5" w:rsidRDefault="00BF7ACA" w:rsidP="00BF7ACA">
      <w:r>
        <w:rPr>
          <w:rStyle w:val="HideTWBExt"/>
        </w:rPr>
        <w:t>&lt;/RepeatBlock-By&gt;</w:t>
      </w:r>
    </w:p>
    <w:p w14:paraId="3A0B86F9" w14:textId="77777777"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14:paraId="6745C6C3" w14:textId="77777777" w:rsidR="00BF7ACA" w:rsidRPr="00E502E5" w:rsidRDefault="00BF7ACA" w:rsidP="00BF7ACA">
      <w:pPr>
        <w:pStyle w:val="NormalBold"/>
      </w:pPr>
      <w:r>
        <w:rPr>
          <w:rStyle w:val="HideTWBExt"/>
          <w:b w:val="0"/>
        </w:rPr>
        <w:t>&lt;Article&gt;</w:t>
      </w:r>
      <w:r w:rsidRPr="002E43F3">
        <w:t>Considérant 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0CB2B222" w14:textId="77777777" w:rsidTr="007924BE">
        <w:trPr>
          <w:jc w:val="center"/>
        </w:trPr>
        <w:tc>
          <w:tcPr>
            <w:tcW w:w="9752" w:type="dxa"/>
            <w:gridSpan w:val="2"/>
          </w:tcPr>
          <w:p w14:paraId="7AE70B8A" w14:textId="77777777" w:rsidR="00BF7ACA" w:rsidRPr="00E502E5" w:rsidRDefault="00BF7ACA" w:rsidP="007924BE">
            <w:pPr>
              <w:keepNext/>
            </w:pPr>
          </w:p>
        </w:tc>
      </w:tr>
      <w:tr w:rsidR="00BF7ACA" w:rsidRPr="00E502E5" w14:paraId="54524526" w14:textId="77777777" w:rsidTr="007924BE">
        <w:trPr>
          <w:jc w:val="center"/>
        </w:trPr>
        <w:tc>
          <w:tcPr>
            <w:tcW w:w="4876" w:type="dxa"/>
            <w:hideMark/>
          </w:tcPr>
          <w:p w14:paraId="3E6885B6" w14:textId="77777777" w:rsidR="00BF7ACA" w:rsidRPr="002E43F3" w:rsidRDefault="00BF7ACA" w:rsidP="007924BE">
            <w:pPr>
              <w:pStyle w:val="ColumnHeading"/>
              <w:keepNext/>
            </w:pPr>
            <w:r w:rsidRPr="002E43F3">
              <w:t>Texte proposé par la Commission</w:t>
            </w:r>
          </w:p>
        </w:tc>
        <w:tc>
          <w:tcPr>
            <w:tcW w:w="4876" w:type="dxa"/>
            <w:hideMark/>
          </w:tcPr>
          <w:p w14:paraId="4ADE7C45" w14:textId="77777777" w:rsidR="00BF7ACA" w:rsidRPr="002E43F3" w:rsidRDefault="00BF7ACA" w:rsidP="007924BE">
            <w:pPr>
              <w:pStyle w:val="ColumnHeading"/>
              <w:keepNext/>
            </w:pPr>
            <w:r w:rsidRPr="002E43F3">
              <w:t>Amendement</w:t>
            </w:r>
          </w:p>
        </w:tc>
      </w:tr>
      <w:tr w:rsidR="00BF7ACA" w:rsidRPr="00E502E5" w14:paraId="39602283" w14:textId="77777777" w:rsidTr="007924BE">
        <w:trPr>
          <w:jc w:val="center"/>
        </w:trPr>
        <w:tc>
          <w:tcPr>
            <w:tcW w:w="4876" w:type="dxa"/>
            <w:hideMark/>
          </w:tcPr>
          <w:p w14:paraId="733393B9" w14:textId="77777777" w:rsidR="00BF7ACA" w:rsidRPr="002E43F3" w:rsidRDefault="00BF7ACA" w:rsidP="007924BE">
            <w:pPr>
              <w:pStyle w:val="Normal6"/>
            </w:pPr>
            <w:r w:rsidRPr="002E43F3">
              <w:t>(4)</w:t>
            </w:r>
            <w:r>
              <w:tab/>
            </w:r>
            <w:r w:rsidRPr="002E43F3">
              <w:t>Le PIE devrait fournir un dispositif financier intégré pour le financement d</w:t>
            </w:r>
            <w:r>
              <w:t>’</w:t>
            </w:r>
            <w:r w:rsidRPr="002E43F3">
              <w:t>investissements dans les pays d</w:t>
            </w:r>
            <w:r>
              <w:t>’</w:t>
            </w:r>
            <w:r w:rsidRPr="002E43F3">
              <w:t>Afrique qui sont signataires de l</w:t>
            </w:r>
            <w:r>
              <w:t>’</w:t>
            </w:r>
            <w:r w:rsidRPr="002E43F3">
              <w:t>accord de partenariat entre les membres du groupe des États d</w:t>
            </w:r>
            <w:r>
              <w:t>’</w:t>
            </w:r>
            <w:r w:rsidRPr="002E43F3">
              <w:t>Afrique, des Caraïbes et du Pacifique, d</w:t>
            </w:r>
            <w:r>
              <w:t>’</w:t>
            </w:r>
            <w:r w:rsidRPr="002E43F3">
              <w:t>une part, et la Communauté européenne et ses États membres, d</w:t>
            </w:r>
            <w:r>
              <w:t>’</w:t>
            </w:r>
            <w:r w:rsidRPr="002E43F3">
              <w:t>autre part, signé à Cotonou le 23 juin 2000</w:t>
            </w:r>
            <w:r w:rsidRPr="002E43F3">
              <w:rPr>
                <w:vertAlign w:val="superscript"/>
              </w:rPr>
              <w:t>22</w:t>
            </w:r>
            <w:r w:rsidRPr="002E43F3">
              <w:t>, ainsi que dans les pays du voisinage, dans un premier temps. Cela permettra de créer des possibilités de croissance et d</w:t>
            </w:r>
            <w:r>
              <w:t>’</w:t>
            </w:r>
            <w:r w:rsidRPr="002E43F3">
              <w:t>emploi, d</w:t>
            </w:r>
            <w:r>
              <w:t>’</w:t>
            </w:r>
            <w:r w:rsidRPr="002E43F3">
              <w:t>exploiter au mieux l</w:t>
            </w:r>
            <w:r>
              <w:t>’</w:t>
            </w:r>
            <w:r w:rsidRPr="002E43F3">
              <w:t>additionnalité, de favoriser la fourniture de produits innovants et d</w:t>
            </w:r>
            <w:r>
              <w:t>’</w:t>
            </w:r>
            <w:r w:rsidRPr="002E43F3">
              <w:t>attirer des financements privés.</w:t>
            </w:r>
          </w:p>
        </w:tc>
        <w:tc>
          <w:tcPr>
            <w:tcW w:w="4876" w:type="dxa"/>
            <w:hideMark/>
          </w:tcPr>
          <w:p w14:paraId="1CB72701" w14:textId="77777777" w:rsidR="00BF7ACA" w:rsidRPr="002E43F3" w:rsidRDefault="00BF7ACA" w:rsidP="007924BE">
            <w:pPr>
              <w:pStyle w:val="Normal6"/>
              <w:rPr>
                <w:szCs w:val="24"/>
              </w:rPr>
            </w:pPr>
            <w:r w:rsidRPr="002E43F3">
              <w:t>(4)</w:t>
            </w:r>
            <w:r>
              <w:tab/>
            </w:r>
            <w:r w:rsidRPr="002E43F3">
              <w:t>Le PIE devrait fournir un dispositif financier intégré pour le financement d</w:t>
            </w:r>
            <w:r>
              <w:t>’</w:t>
            </w:r>
            <w:r w:rsidRPr="002E43F3">
              <w:t>investissements dans les pays d</w:t>
            </w:r>
            <w:r>
              <w:t>’</w:t>
            </w:r>
            <w:r w:rsidRPr="002E43F3">
              <w:t>Afrique qui sont signataires de l</w:t>
            </w:r>
            <w:r>
              <w:t>’</w:t>
            </w:r>
            <w:r w:rsidRPr="002E43F3">
              <w:t>accord de partenariat entre les membres du groupe des États d</w:t>
            </w:r>
            <w:r>
              <w:t>’</w:t>
            </w:r>
            <w:r w:rsidRPr="002E43F3">
              <w:t>Afrique, des Caraïbes et du Pacifique, d</w:t>
            </w:r>
            <w:r>
              <w:t>’</w:t>
            </w:r>
            <w:r w:rsidRPr="002E43F3">
              <w:t>une part, et la Communauté européenne et ses États membres, d</w:t>
            </w:r>
            <w:r>
              <w:t>’</w:t>
            </w:r>
            <w:r w:rsidRPr="002E43F3">
              <w:t>autre part, signé à Cotonou le 23 juin 2000</w:t>
            </w:r>
            <w:r w:rsidRPr="002E43F3">
              <w:rPr>
                <w:vertAlign w:val="superscript"/>
              </w:rPr>
              <w:t>22</w:t>
            </w:r>
            <w:r w:rsidRPr="002E43F3">
              <w:t>, ainsi que dans les pays du voisinage, dans un premier temps. Cela permettra de créer des possibilités de croissance et d</w:t>
            </w:r>
            <w:r>
              <w:t>’</w:t>
            </w:r>
            <w:r w:rsidRPr="002E43F3">
              <w:t>emploi, d</w:t>
            </w:r>
            <w:r>
              <w:t>’</w:t>
            </w:r>
            <w:r w:rsidRPr="002E43F3">
              <w:t>exploiter au mieux l</w:t>
            </w:r>
            <w:r>
              <w:t>’</w:t>
            </w:r>
            <w:r w:rsidRPr="002E43F3">
              <w:t>additionnalité, de favoriser la fourniture de produits innovants et d</w:t>
            </w:r>
            <w:r>
              <w:t>’</w:t>
            </w:r>
            <w:r w:rsidRPr="002E43F3">
              <w:t xml:space="preserve">attirer des financements privés. </w:t>
            </w:r>
            <w:r w:rsidRPr="002E43F3">
              <w:rPr>
                <w:b/>
                <w:i/>
              </w:rPr>
              <w:t>La sélection et l</w:t>
            </w:r>
            <w:r>
              <w:rPr>
                <w:b/>
                <w:i/>
              </w:rPr>
              <w:t>’</w:t>
            </w:r>
            <w:r w:rsidRPr="002E43F3">
              <w:rPr>
                <w:b/>
                <w:i/>
              </w:rPr>
              <w:t>attribution des projets doivent être fondées sur un processus transparent et responsable à chaque étape de la procédure; toute irrégularité doit entraîner la suspension du financement.</w:t>
            </w:r>
          </w:p>
        </w:tc>
      </w:tr>
      <w:tr w:rsidR="00BF7ACA" w:rsidRPr="00E502E5" w14:paraId="24165C19" w14:textId="77777777" w:rsidTr="007924BE">
        <w:trPr>
          <w:jc w:val="center"/>
        </w:trPr>
        <w:tc>
          <w:tcPr>
            <w:tcW w:w="4876" w:type="dxa"/>
            <w:hideMark/>
          </w:tcPr>
          <w:p w14:paraId="3818CA91" w14:textId="77777777" w:rsidR="00BF7ACA" w:rsidRPr="002E43F3" w:rsidRDefault="00BF7ACA" w:rsidP="007924BE">
            <w:pPr>
              <w:pStyle w:val="Normal6"/>
            </w:pPr>
            <w:r w:rsidRPr="002E43F3">
              <w:t>__________________</w:t>
            </w:r>
          </w:p>
        </w:tc>
        <w:tc>
          <w:tcPr>
            <w:tcW w:w="4876" w:type="dxa"/>
            <w:hideMark/>
          </w:tcPr>
          <w:p w14:paraId="2A1FE163" w14:textId="77777777" w:rsidR="00BF7ACA" w:rsidRPr="002E43F3" w:rsidRDefault="00BF7ACA" w:rsidP="007924BE">
            <w:pPr>
              <w:pStyle w:val="Normal6"/>
              <w:rPr>
                <w:szCs w:val="24"/>
              </w:rPr>
            </w:pPr>
            <w:r w:rsidRPr="002E43F3">
              <w:t>__________________</w:t>
            </w:r>
          </w:p>
        </w:tc>
      </w:tr>
      <w:tr w:rsidR="00BF7ACA" w:rsidRPr="00E502E5" w14:paraId="05EE6E69" w14:textId="77777777" w:rsidTr="007924BE">
        <w:trPr>
          <w:jc w:val="center"/>
        </w:trPr>
        <w:tc>
          <w:tcPr>
            <w:tcW w:w="4876" w:type="dxa"/>
            <w:hideMark/>
          </w:tcPr>
          <w:p w14:paraId="08D7E95A" w14:textId="77777777" w:rsidR="00BF7ACA" w:rsidRPr="002E43F3" w:rsidRDefault="00BF7ACA" w:rsidP="007924BE">
            <w:pPr>
              <w:pStyle w:val="Normal6"/>
            </w:pPr>
            <w:r w:rsidRPr="002E43F3">
              <w:rPr>
                <w:vertAlign w:val="superscript"/>
              </w:rPr>
              <w:t>22</w:t>
            </w:r>
            <w:r w:rsidRPr="002E43F3">
              <w:t xml:space="preserve"> JO L 317 du 15.12.2000. Accord modifié en dernier lieu au JO L 287 du 4.11.2010.</w:t>
            </w:r>
          </w:p>
        </w:tc>
        <w:tc>
          <w:tcPr>
            <w:tcW w:w="4876" w:type="dxa"/>
            <w:hideMark/>
          </w:tcPr>
          <w:p w14:paraId="5E1FD2FF" w14:textId="77777777" w:rsidR="00BF7ACA" w:rsidRPr="002E43F3" w:rsidRDefault="00BF7ACA" w:rsidP="007924BE">
            <w:pPr>
              <w:pStyle w:val="Normal6"/>
              <w:rPr>
                <w:szCs w:val="24"/>
              </w:rPr>
            </w:pPr>
            <w:r w:rsidRPr="002E43F3">
              <w:rPr>
                <w:vertAlign w:val="superscript"/>
              </w:rPr>
              <w:t>22</w:t>
            </w:r>
            <w:r w:rsidRPr="002E43F3">
              <w:t xml:space="preserve"> JO L 317 du 15.12.2000. Accord modifié en dernier lieu au JO L 287 du 4.11.2010.</w:t>
            </w:r>
          </w:p>
        </w:tc>
      </w:tr>
    </w:tbl>
    <w:p w14:paraId="270E6998"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{IT}</w:t>
      </w:r>
      <w:r w:rsidRPr="00BF7ACA">
        <w:rPr>
          <w:noProof w:val="0"/>
        </w:rPr>
        <w:t>it</w:t>
      </w:r>
      <w:r w:rsidRPr="00BF7ACA">
        <w:rPr>
          <w:rStyle w:val="HideTWBExt"/>
          <w:noProof w:val="0"/>
        </w:rPr>
        <w:t>&lt;/Original&gt;</w:t>
      </w:r>
    </w:p>
    <w:p w14:paraId="6EF5AF94" w14:textId="77777777" w:rsidR="00BF7ACA" w:rsidRPr="00BF7ACA" w:rsidRDefault="00BF7ACA" w:rsidP="00BF7ACA">
      <w:r w:rsidRPr="00BF7ACA">
        <w:rPr>
          <w:rStyle w:val="HideTWBExt"/>
        </w:rPr>
        <w:t>&lt;/Amend&gt;</w:t>
      </w:r>
    </w:p>
    <w:p w14:paraId="1C0FA9D9"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104</w:t>
      </w:r>
      <w:r w:rsidRPr="00BF7ACA">
        <w:rPr>
          <w:rStyle w:val="HideTWBExt"/>
          <w:b w:val="0"/>
        </w:rPr>
        <w:t>&lt;/NumAm&gt;</w:t>
      </w:r>
    </w:p>
    <w:p w14:paraId="1FF3ABEC"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Paavo Väyrynen, Nedzhmi Ali</w:t>
      </w:r>
      <w:r w:rsidRPr="00BF7ACA">
        <w:rPr>
          <w:rStyle w:val="HideTWBExt"/>
          <w:b w:val="0"/>
        </w:rPr>
        <w:t>&lt;/Members&gt;</w:t>
      </w:r>
    </w:p>
    <w:p w14:paraId="62173827" w14:textId="77777777" w:rsidR="00BF7ACA" w:rsidRPr="005A5903" w:rsidRDefault="00BF7ACA" w:rsidP="00BF7ACA">
      <w:r>
        <w:rPr>
          <w:rStyle w:val="HideTWBExt"/>
        </w:rPr>
        <w:t>&lt;/RepeatBlock-By&gt;</w:t>
      </w:r>
    </w:p>
    <w:p w14:paraId="2FD20B95"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28131DAF" w14:textId="77777777" w:rsidR="00BF7ACA" w:rsidRPr="005A5903" w:rsidRDefault="00BF7ACA" w:rsidP="00BF7ACA">
      <w:pPr>
        <w:pStyle w:val="NormalBold"/>
      </w:pPr>
      <w:r>
        <w:rPr>
          <w:rStyle w:val="HideTWBExt"/>
          <w:b w:val="0"/>
        </w:rPr>
        <w:t>&lt;Article&gt;</w:t>
      </w:r>
      <w:r w:rsidRPr="0019144F">
        <w:t>Considérant 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7A0191E5" w14:textId="77777777" w:rsidTr="007924BE">
        <w:trPr>
          <w:jc w:val="center"/>
        </w:trPr>
        <w:tc>
          <w:tcPr>
            <w:tcW w:w="9752" w:type="dxa"/>
            <w:gridSpan w:val="2"/>
          </w:tcPr>
          <w:p w14:paraId="00669227" w14:textId="77777777" w:rsidR="00BF7ACA" w:rsidRPr="005A5903" w:rsidRDefault="00BF7ACA" w:rsidP="007924BE">
            <w:pPr>
              <w:keepNext/>
            </w:pPr>
          </w:p>
        </w:tc>
      </w:tr>
      <w:tr w:rsidR="00BF7ACA" w:rsidRPr="005A5903" w14:paraId="655D4CDA" w14:textId="77777777" w:rsidTr="007924BE">
        <w:trPr>
          <w:jc w:val="center"/>
        </w:trPr>
        <w:tc>
          <w:tcPr>
            <w:tcW w:w="4876" w:type="dxa"/>
            <w:hideMark/>
          </w:tcPr>
          <w:p w14:paraId="2946F315" w14:textId="77777777" w:rsidR="00BF7ACA" w:rsidRPr="0019144F" w:rsidRDefault="00BF7ACA" w:rsidP="007924BE">
            <w:pPr>
              <w:pStyle w:val="ColumnHeading"/>
              <w:keepNext/>
            </w:pPr>
            <w:r w:rsidRPr="0019144F">
              <w:t>Texte proposé par la Commission</w:t>
            </w:r>
          </w:p>
        </w:tc>
        <w:tc>
          <w:tcPr>
            <w:tcW w:w="4876" w:type="dxa"/>
            <w:hideMark/>
          </w:tcPr>
          <w:p w14:paraId="21E83C48" w14:textId="77777777" w:rsidR="00BF7ACA" w:rsidRPr="0019144F" w:rsidRDefault="00BF7ACA" w:rsidP="007924BE">
            <w:pPr>
              <w:pStyle w:val="ColumnHeading"/>
              <w:keepNext/>
            </w:pPr>
            <w:r w:rsidRPr="0019144F">
              <w:t>Amendement</w:t>
            </w:r>
          </w:p>
        </w:tc>
      </w:tr>
      <w:tr w:rsidR="00BF7ACA" w:rsidRPr="005A5903" w14:paraId="08DDB47D" w14:textId="77777777" w:rsidTr="007924BE">
        <w:trPr>
          <w:jc w:val="center"/>
        </w:trPr>
        <w:tc>
          <w:tcPr>
            <w:tcW w:w="4876" w:type="dxa"/>
            <w:hideMark/>
          </w:tcPr>
          <w:p w14:paraId="475A37F6" w14:textId="77777777" w:rsidR="00BF7ACA" w:rsidRPr="0019144F" w:rsidRDefault="00BF7ACA" w:rsidP="007924BE">
            <w:pPr>
              <w:pStyle w:val="Normal6"/>
            </w:pPr>
            <w:r w:rsidRPr="0019144F">
              <w:t>(4)</w:t>
            </w:r>
            <w:r>
              <w:tab/>
            </w:r>
            <w:r w:rsidRPr="0019144F">
              <w:t>Le PIE devrait fournir un dispositif financier intégré pour le financement d</w:t>
            </w:r>
            <w:r>
              <w:t>’</w:t>
            </w:r>
            <w:r w:rsidRPr="0019144F">
              <w:t>investissements dans les pays d</w:t>
            </w:r>
            <w:r>
              <w:t>’</w:t>
            </w:r>
            <w:r w:rsidRPr="0019144F">
              <w:t>Afrique qui sont signataires de l</w:t>
            </w:r>
            <w:r>
              <w:t>’</w:t>
            </w:r>
            <w:r w:rsidRPr="0019144F">
              <w:t>accord de partenariat entre les membres du groupe des États d</w:t>
            </w:r>
            <w:r>
              <w:t>’</w:t>
            </w:r>
            <w:r w:rsidRPr="0019144F">
              <w:t>Afrique, des Caraïbes et du Pacifique, d</w:t>
            </w:r>
            <w:r>
              <w:t>’</w:t>
            </w:r>
            <w:r w:rsidRPr="0019144F">
              <w:t>une part, et la Communauté européenne et ses États membres, d</w:t>
            </w:r>
            <w:r>
              <w:t>’</w:t>
            </w:r>
            <w:r w:rsidRPr="0019144F">
              <w:t>autre part, signé à Cotonou le 23 juin 2000</w:t>
            </w:r>
            <w:r w:rsidRPr="0019144F">
              <w:rPr>
                <w:vertAlign w:val="superscript"/>
              </w:rPr>
              <w:t>22</w:t>
            </w:r>
            <w:r w:rsidRPr="0019144F">
              <w:t xml:space="preserve">, ainsi que dans les pays du voisinage, dans un premier temps. Cela permettra de </w:t>
            </w:r>
            <w:r w:rsidRPr="0019144F">
              <w:rPr>
                <w:b/>
                <w:i/>
              </w:rPr>
              <w:t>créer</w:t>
            </w:r>
            <w:r w:rsidRPr="0019144F">
              <w:t xml:space="preserve"> des possibilités de croissance et </w:t>
            </w:r>
            <w:r w:rsidRPr="0019144F">
              <w:rPr>
                <w:b/>
                <w:i/>
              </w:rPr>
              <w:t>d</w:t>
            </w:r>
            <w:r>
              <w:rPr>
                <w:b/>
                <w:i/>
              </w:rPr>
              <w:t>’</w:t>
            </w:r>
            <w:r w:rsidRPr="0019144F">
              <w:rPr>
                <w:b/>
                <w:i/>
              </w:rPr>
              <w:t>emploi</w:t>
            </w:r>
            <w:r w:rsidRPr="0019144F">
              <w:t>, d</w:t>
            </w:r>
            <w:r>
              <w:t>’</w:t>
            </w:r>
            <w:r w:rsidRPr="0019144F">
              <w:t>exploiter au mieux l</w:t>
            </w:r>
            <w:r>
              <w:t>’</w:t>
            </w:r>
            <w:r w:rsidRPr="0019144F">
              <w:t>additionnalité, de favoriser la fourniture de produits innovants et d</w:t>
            </w:r>
            <w:r>
              <w:t>’</w:t>
            </w:r>
            <w:r w:rsidRPr="0019144F">
              <w:t>attirer des financements privés.</w:t>
            </w:r>
          </w:p>
        </w:tc>
        <w:tc>
          <w:tcPr>
            <w:tcW w:w="4876" w:type="dxa"/>
            <w:hideMark/>
          </w:tcPr>
          <w:p w14:paraId="6B21C05E" w14:textId="77777777" w:rsidR="00BF7ACA" w:rsidRPr="0019144F" w:rsidRDefault="00BF7ACA" w:rsidP="007924BE">
            <w:pPr>
              <w:pStyle w:val="Normal6"/>
              <w:rPr>
                <w:szCs w:val="24"/>
              </w:rPr>
            </w:pPr>
            <w:r w:rsidRPr="0019144F">
              <w:t>(4)</w:t>
            </w:r>
            <w:r>
              <w:tab/>
            </w:r>
            <w:r w:rsidRPr="0019144F">
              <w:t>Le PIE devrait fournir un dispositif financier intégré pour le financement d</w:t>
            </w:r>
            <w:r>
              <w:t>’</w:t>
            </w:r>
            <w:r w:rsidRPr="0019144F">
              <w:t>investissements dans les pays d</w:t>
            </w:r>
            <w:r>
              <w:t>’</w:t>
            </w:r>
            <w:r w:rsidRPr="0019144F">
              <w:t>Afrique qui sont signataires de l</w:t>
            </w:r>
            <w:r>
              <w:t>’</w:t>
            </w:r>
            <w:r w:rsidRPr="0019144F">
              <w:t>accord de partenariat entre les membres du groupe des États d</w:t>
            </w:r>
            <w:r>
              <w:t>’</w:t>
            </w:r>
            <w:r w:rsidRPr="0019144F">
              <w:t>Afrique, des Caraïbes et du Pacifique, d</w:t>
            </w:r>
            <w:r>
              <w:t>’</w:t>
            </w:r>
            <w:r w:rsidRPr="0019144F">
              <w:t>une part, et la Communauté européenne et ses États membres, d</w:t>
            </w:r>
            <w:r>
              <w:t>’</w:t>
            </w:r>
            <w:r w:rsidRPr="0019144F">
              <w:t>autre part, signé à Cotonou le 23 juin 2000</w:t>
            </w:r>
            <w:r w:rsidRPr="0019144F">
              <w:rPr>
                <w:vertAlign w:val="superscript"/>
              </w:rPr>
              <w:t>22</w:t>
            </w:r>
            <w:r w:rsidRPr="0019144F">
              <w:t>, ainsi que dans les pays du voisinage, dans un premier temps</w:t>
            </w:r>
            <w:r w:rsidRPr="0019144F">
              <w:rPr>
                <w:b/>
                <w:i/>
              </w:rPr>
              <w:t>, en veillant à ne pas accroître les risques d</w:t>
            </w:r>
            <w:r>
              <w:rPr>
                <w:b/>
                <w:i/>
              </w:rPr>
              <w:t>’</w:t>
            </w:r>
            <w:r w:rsidRPr="0019144F">
              <w:rPr>
                <w:b/>
                <w:i/>
              </w:rPr>
              <w:t>endettement ou la vulnérabilité économique</w:t>
            </w:r>
            <w:r w:rsidRPr="0019144F">
              <w:t xml:space="preserve">. Cela permettra de </w:t>
            </w:r>
            <w:r w:rsidRPr="0019144F">
              <w:rPr>
                <w:b/>
                <w:i/>
              </w:rPr>
              <w:t>soutenir le développement à plus long terme par</w:t>
            </w:r>
            <w:r w:rsidRPr="0019144F">
              <w:t xml:space="preserve"> des possibilités </w:t>
            </w:r>
            <w:r w:rsidRPr="0019144F">
              <w:rPr>
                <w:b/>
                <w:i/>
              </w:rPr>
              <w:t>d</w:t>
            </w:r>
            <w:r>
              <w:rPr>
                <w:b/>
                <w:i/>
              </w:rPr>
              <w:t>’</w:t>
            </w:r>
            <w:r w:rsidRPr="0019144F">
              <w:rPr>
                <w:b/>
                <w:i/>
              </w:rPr>
              <w:t xml:space="preserve">emploi et </w:t>
            </w:r>
            <w:r w:rsidRPr="0019144F">
              <w:t xml:space="preserve">de croissance </w:t>
            </w:r>
            <w:r w:rsidRPr="0019144F">
              <w:rPr>
                <w:b/>
                <w:i/>
              </w:rPr>
              <w:t xml:space="preserve">verte </w:t>
            </w:r>
            <w:r w:rsidRPr="0019144F">
              <w:t xml:space="preserve">et </w:t>
            </w:r>
            <w:r w:rsidRPr="0019144F">
              <w:rPr>
                <w:b/>
                <w:i/>
              </w:rPr>
              <w:t>inclusive</w:t>
            </w:r>
            <w:r w:rsidRPr="0019144F">
              <w:t>, d</w:t>
            </w:r>
            <w:r>
              <w:t>’</w:t>
            </w:r>
            <w:r w:rsidRPr="0019144F">
              <w:t>exploiter au mieux l</w:t>
            </w:r>
            <w:r>
              <w:t>’</w:t>
            </w:r>
            <w:r w:rsidRPr="0019144F">
              <w:t>additionnalité, de favoriser la fourniture de produits innovants et d</w:t>
            </w:r>
            <w:r>
              <w:t>’</w:t>
            </w:r>
            <w:r w:rsidRPr="0019144F">
              <w:t>attirer des financements privés.</w:t>
            </w:r>
          </w:p>
        </w:tc>
      </w:tr>
      <w:tr w:rsidR="00BF7ACA" w:rsidRPr="005A5903" w14:paraId="51AF8999" w14:textId="77777777" w:rsidTr="007924BE">
        <w:trPr>
          <w:jc w:val="center"/>
        </w:trPr>
        <w:tc>
          <w:tcPr>
            <w:tcW w:w="4876" w:type="dxa"/>
            <w:hideMark/>
          </w:tcPr>
          <w:p w14:paraId="3C61C6E6" w14:textId="77777777" w:rsidR="00BF7ACA" w:rsidRPr="0019144F" w:rsidRDefault="00BF7ACA" w:rsidP="007924BE">
            <w:pPr>
              <w:pStyle w:val="Normal6"/>
            </w:pPr>
            <w:r w:rsidRPr="0019144F">
              <w:t>__________________</w:t>
            </w:r>
          </w:p>
        </w:tc>
        <w:tc>
          <w:tcPr>
            <w:tcW w:w="4876" w:type="dxa"/>
            <w:hideMark/>
          </w:tcPr>
          <w:p w14:paraId="0E1834D5" w14:textId="77777777" w:rsidR="00BF7ACA" w:rsidRPr="0019144F" w:rsidRDefault="00BF7ACA" w:rsidP="007924BE">
            <w:pPr>
              <w:pStyle w:val="Normal6"/>
              <w:rPr>
                <w:szCs w:val="24"/>
              </w:rPr>
            </w:pPr>
            <w:r w:rsidRPr="0019144F">
              <w:t>__________________</w:t>
            </w:r>
          </w:p>
        </w:tc>
      </w:tr>
      <w:tr w:rsidR="00BF7ACA" w:rsidRPr="005A5903" w14:paraId="542B1420" w14:textId="77777777" w:rsidTr="007924BE">
        <w:trPr>
          <w:jc w:val="center"/>
        </w:trPr>
        <w:tc>
          <w:tcPr>
            <w:tcW w:w="4876" w:type="dxa"/>
            <w:hideMark/>
          </w:tcPr>
          <w:p w14:paraId="563E9197" w14:textId="77777777" w:rsidR="00BF7ACA" w:rsidRPr="0019144F" w:rsidRDefault="00BF7ACA" w:rsidP="007924BE">
            <w:pPr>
              <w:pStyle w:val="Normal6"/>
            </w:pPr>
            <w:r w:rsidRPr="0019144F">
              <w:rPr>
                <w:vertAlign w:val="superscript"/>
              </w:rPr>
              <w:t>22</w:t>
            </w:r>
            <w:r w:rsidRPr="0019144F">
              <w:t xml:space="preserve"> JO L 317 du 15.12.2000. Accord modifié en dernier lieu au JO L 287 du 4.11.2010.</w:t>
            </w:r>
          </w:p>
        </w:tc>
        <w:tc>
          <w:tcPr>
            <w:tcW w:w="4876" w:type="dxa"/>
            <w:hideMark/>
          </w:tcPr>
          <w:p w14:paraId="396433FC" w14:textId="77777777" w:rsidR="00BF7ACA" w:rsidRPr="0019144F" w:rsidRDefault="00BF7ACA" w:rsidP="007924BE">
            <w:pPr>
              <w:pStyle w:val="Normal6"/>
              <w:rPr>
                <w:szCs w:val="24"/>
              </w:rPr>
            </w:pPr>
            <w:r w:rsidRPr="0019144F">
              <w:rPr>
                <w:vertAlign w:val="superscript"/>
              </w:rPr>
              <w:t>22</w:t>
            </w:r>
            <w:r w:rsidRPr="0019144F">
              <w:t xml:space="preserve"> JO L 317 du 15.12.2000. Accord modifié en dernier lieu au JO L 287 du 4.11.2010.</w:t>
            </w:r>
          </w:p>
        </w:tc>
      </w:tr>
    </w:tbl>
    <w:p w14:paraId="13AFF7B4" w14:textId="77777777" w:rsidR="00BF7ACA" w:rsidRPr="00627C55" w:rsidRDefault="00BF7ACA" w:rsidP="00BF7ACA">
      <w:pPr>
        <w:pStyle w:val="Olang"/>
        <w:rPr>
          <w:noProof w:val="0"/>
          <w:szCs w:val="24"/>
          <w:lang w:val="en-GB"/>
        </w:rPr>
      </w:pPr>
      <w:r w:rsidRPr="00627C55">
        <w:rPr>
          <w:noProof w:val="0"/>
          <w:lang w:val="en-GB"/>
        </w:rPr>
        <w:t xml:space="preserve">Or. </w:t>
      </w:r>
      <w:r w:rsidRPr="00627C55">
        <w:rPr>
          <w:rStyle w:val="HideTWBExt"/>
          <w:noProof w:val="0"/>
          <w:lang w:val="en-GB"/>
        </w:rPr>
        <w:t>&lt;Original&gt;</w:t>
      </w:r>
      <w:r w:rsidRPr="00627C55">
        <w:rPr>
          <w:rStyle w:val="HideTWBInt"/>
          <w:noProof w:val="0"/>
          <w:lang w:val="en-GB"/>
        </w:rPr>
        <w:t>{EN}</w:t>
      </w:r>
      <w:r w:rsidRPr="00627C55">
        <w:rPr>
          <w:noProof w:val="0"/>
          <w:lang w:val="en-GB"/>
        </w:rPr>
        <w:t>en</w:t>
      </w:r>
      <w:r w:rsidRPr="00627C55">
        <w:rPr>
          <w:rStyle w:val="HideTWBExt"/>
          <w:noProof w:val="0"/>
          <w:lang w:val="en-GB"/>
        </w:rPr>
        <w:t>&lt;/Original&gt;</w:t>
      </w:r>
    </w:p>
    <w:p w14:paraId="60BE7354" w14:textId="77777777" w:rsidR="00BF7ACA" w:rsidRPr="00627C55" w:rsidRDefault="00BF7ACA" w:rsidP="00BF7ACA">
      <w:pPr>
        <w:rPr>
          <w:lang w:val="en-GB"/>
        </w:rPr>
      </w:pPr>
      <w:r w:rsidRPr="00627C55">
        <w:rPr>
          <w:rStyle w:val="HideTWBExt"/>
          <w:lang w:val="en-GB"/>
        </w:rPr>
        <w:t>&lt;/Amend&gt;</w:t>
      </w:r>
    </w:p>
    <w:p w14:paraId="548A58AD" w14:textId="77777777"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105</w:t>
      </w:r>
      <w:r w:rsidRPr="000C3237">
        <w:rPr>
          <w:rStyle w:val="HideTWBExt"/>
          <w:b w:val="0"/>
          <w:lang w:val="en-GB"/>
        </w:rPr>
        <w:t>&lt;/NumAm&gt;</w:t>
      </w:r>
    </w:p>
    <w:p w14:paraId="5A78C461" w14:textId="77777777"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Fabio Massimo Castaldo, Ignazio Corrao, Marco Valli</w:t>
      </w:r>
      <w:r w:rsidRPr="000C3237">
        <w:rPr>
          <w:rStyle w:val="HideTWBExt"/>
          <w:b w:val="0"/>
          <w:lang w:val="en-GB"/>
        </w:rPr>
        <w:t>&lt;/Members&gt;</w:t>
      </w:r>
    </w:p>
    <w:p w14:paraId="6612ADC7" w14:textId="77777777" w:rsidR="00BF7ACA" w:rsidRPr="000C3237" w:rsidRDefault="00BF7ACA" w:rsidP="00BF7ACA">
      <w:pPr>
        <w:rPr>
          <w:lang w:val="en-GB"/>
        </w:rPr>
      </w:pPr>
      <w:r w:rsidRPr="000C3237">
        <w:rPr>
          <w:rStyle w:val="HideTWBExt"/>
          <w:lang w:val="en-GB"/>
        </w:rPr>
        <w:t>&lt;/RepeatBlock-By&gt;</w:t>
      </w:r>
    </w:p>
    <w:p w14:paraId="75A1A4C0" w14:textId="77777777" w:rsidR="00BF7ACA" w:rsidRPr="000C3237" w:rsidRDefault="00BF7ACA" w:rsidP="00BF7ACA">
      <w:pPr>
        <w:pStyle w:val="NormalBold"/>
        <w:keepNext/>
        <w:rPr>
          <w:lang w:val="en-GB"/>
        </w:rPr>
      </w:pPr>
      <w:r w:rsidRPr="000C3237">
        <w:rPr>
          <w:rStyle w:val="HideTWBExt"/>
          <w:b w:val="0"/>
          <w:lang w:val="en-GB"/>
        </w:rPr>
        <w:t>&lt;DocAmend&gt;</w:t>
      </w:r>
      <w:r w:rsidRPr="000C3237">
        <w:rPr>
          <w:lang w:val="en-GB"/>
        </w:rPr>
        <w:t>Proposition de règlement</w:t>
      </w:r>
      <w:r w:rsidRPr="000C3237">
        <w:rPr>
          <w:rStyle w:val="HideTWBExt"/>
          <w:b w:val="0"/>
          <w:lang w:val="en-GB"/>
        </w:rPr>
        <w:t>&lt;/DocAmend&gt;</w:t>
      </w:r>
    </w:p>
    <w:p w14:paraId="553A4472" w14:textId="77777777" w:rsidR="00BF7ACA" w:rsidRPr="00E502E5" w:rsidRDefault="00BF7ACA" w:rsidP="00BF7ACA">
      <w:pPr>
        <w:pStyle w:val="NormalBold"/>
      </w:pPr>
      <w:r>
        <w:rPr>
          <w:rStyle w:val="HideTWBExt"/>
          <w:b w:val="0"/>
        </w:rPr>
        <w:t>&lt;Article&gt;</w:t>
      </w:r>
      <w:r w:rsidRPr="002E43F3">
        <w:t>Considérant 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15299AD6" w14:textId="77777777" w:rsidTr="007924BE">
        <w:trPr>
          <w:jc w:val="center"/>
        </w:trPr>
        <w:tc>
          <w:tcPr>
            <w:tcW w:w="9752" w:type="dxa"/>
            <w:gridSpan w:val="2"/>
          </w:tcPr>
          <w:p w14:paraId="3760BC6E" w14:textId="77777777" w:rsidR="00BF7ACA" w:rsidRPr="00E502E5" w:rsidRDefault="00BF7ACA" w:rsidP="007924BE">
            <w:pPr>
              <w:keepNext/>
            </w:pPr>
          </w:p>
        </w:tc>
      </w:tr>
      <w:tr w:rsidR="00BF7ACA" w:rsidRPr="00E502E5" w14:paraId="0BA369C0" w14:textId="77777777" w:rsidTr="007924BE">
        <w:trPr>
          <w:jc w:val="center"/>
        </w:trPr>
        <w:tc>
          <w:tcPr>
            <w:tcW w:w="4876" w:type="dxa"/>
            <w:hideMark/>
          </w:tcPr>
          <w:p w14:paraId="7825B32B" w14:textId="77777777" w:rsidR="00BF7ACA" w:rsidRPr="002E43F3" w:rsidRDefault="00BF7ACA" w:rsidP="007924BE">
            <w:pPr>
              <w:pStyle w:val="ColumnHeading"/>
              <w:keepNext/>
            </w:pPr>
            <w:r w:rsidRPr="002E43F3">
              <w:t>Texte proposé par la Commission</w:t>
            </w:r>
          </w:p>
        </w:tc>
        <w:tc>
          <w:tcPr>
            <w:tcW w:w="4876" w:type="dxa"/>
            <w:hideMark/>
          </w:tcPr>
          <w:p w14:paraId="595777FF" w14:textId="77777777" w:rsidR="00BF7ACA" w:rsidRPr="002E43F3" w:rsidRDefault="00BF7ACA" w:rsidP="007924BE">
            <w:pPr>
              <w:pStyle w:val="ColumnHeading"/>
              <w:keepNext/>
            </w:pPr>
            <w:r w:rsidRPr="002E43F3">
              <w:t>Amendement</w:t>
            </w:r>
          </w:p>
        </w:tc>
      </w:tr>
      <w:tr w:rsidR="00BF7ACA" w:rsidRPr="00E502E5" w14:paraId="455196E7" w14:textId="77777777" w:rsidTr="007924BE">
        <w:trPr>
          <w:jc w:val="center"/>
        </w:trPr>
        <w:tc>
          <w:tcPr>
            <w:tcW w:w="4876" w:type="dxa"/>
            <w:hideMark/>
          </w:tcPr>
          <w:p w14:paraId="171CA4BF" w14:textId="77777777" w:rsidR="00BF7ACA" w:rsidRPr="002E43F3" w:rsidRDefault="00BF7ACA" w:rsidP="007924BE">
            <w:pPr>
              <w:pStyle w:val="Normal6"/>
            </w:pPr>
            <w:r w:rsidRPr="002E43F3">
              <w:t>(4)</w:t>
            </w:r>
            <w:r>
              <w:tab/>
            </w:r>
            <w:r w:rsidRPr="002E43F3">
              <w:t>Le PIE devrait fournir un dispositif financier intégré pour le financement d</w:t>
            </w:r>
            <w:r>
              <w:t>’</w:t>
            </w:r>
            <w:r w:rsidRPr="002E43F3">
              <w:t>investissements dans les pays d</w:t>
            </w:r>
            <w:r>
              <w:t>’</w:t>
            </w:r>
            <w:r w:rsidRPr="002E43F3">
              <w:t>Afrique qui sont signataires de l</w:t>
            </w:r>
            <w:r>
              <w:t>’</w:t>
            </w:r>
            <w:r w:rsidRPr="002E43F3">
              <w:t>accord de partenariat entre les membres du groupe des États d</w:t>
            </w:r>
            <w:r>
              <w:t>’</w:t>
            </w:r>
            <w:r w:rsidRPr="002E43F3">
              <w:t>Afrique, des Caraïbes et du Pacifique, d</w:t>
            </w:r>
            <w:r>
              <w:t>’</w:t>
            </w:r>
            <w:r w:rsidRPr="002E43F3">
              <w:t>une part, et la Communauté européenne et ses États membres, d</w:t>
            </w:r>
            <w:r>
              <w:t>’</w:t>
            </w:r>
            <w:r w:rsidRPr="002E43F3">
              <w:t>autre part, signé à Cotonou le 23</w:t>
            </w:r>
            <w:r w:rsidRPr="002E43F3">
              <w:rPr>
                <w:b/>
                <w:i/>
              </w:rPr>
              <w:t> </w:t>
            </w:r>
            <w:r w:rsidRPr="002E43F3">
              <w:t>juin 2000</w:t>
            </w:r>
            <w:r w:rsidRPr="000C3237">
              <w:rPr>
                <w:vertAlign w:val="superscript"/>
              </w:rPr>
              <w:t>22</w:t>
            </w:r>
            <w:r w:rsidRPr="002E43F3">
              <w:t>, ainsi que dans les pays du voisinage, dans un premier temps. Cela permettra de créer des possibilités de croissance et d</w:t>
            </w:r>
            <w:r>
              <w:t>’</w:t>
            </w:r>
            <w:r w:rsidRPr="002E43F3">
              <w:t>emploi, d</w:t>
            </w:r>
            <w:r>
              <w:t>’</w:t>
            </w:r>
            <w:r w:rsidRPr="002E43F3">
              <w:t>exploiter au mieux l</w:t>
            </w:r>
            <w:r>
              <w:t>’</w:t>
            </w:r>
            <w:r w:rsidRPr="002E43F3">
              <w:t>additionnalité, de favoriser la fourniture de produits innovants et d</w:t>
            </w:r>
            <w:r>
              <w:t>’</w:t>
            </w:r>
            <w:r w:rsidRPr="002E43F3">
              <w:t>attirer des financements privés.</w:t>
            </w:r>
          </w:p>
        </w:tc>
        <w:tc>
          <w:tcPr>
            <w:tcW w:w="4876" w:type="dxa"/>
            <w:hideMark/>
          </w:tcPr>
          <w:p w14:paraId="40E8FD7E" w14:textId="77777777" w:rsidR="00BF7ACA" w:rsidRPr="002E43F3" w:rsidRDefault="00BF7ACA" w:rsidP="007924BE">
            <w:pPr>
              <w:pStyle w:val="Normal6"/>
              <w:rPr>
                <w:szCs w:val="24"/>
              </w:rPr>
            </w:pPr>
            <w:r w:rsidRPr="002E43F3">
              <w:t>(4)</w:t>
            </w:r>
            <w:r>
              <w:tab/>
            </w:r>
            <w:r w:rsidRPr="002E43F3">
              <w:t>Le PIE devrait fournir un dispositif financier intégré pour le financement d</w:t>
            </w:r>
            <w:r>
              <w:t>’</w:t>
            </w:r>
            <w:r w:rsidRPr="002E43F3">
              <w:t>investissements dans les pays d</w:t>
            </w:r>
            <w:r>
              <w:t>’</w:t>
            </w:r>
            <w:r w:rsidRPr="002E43F3">
              <w:t>Afrique qui sont signataires de l</w:t>
            </w:r>
            <w:r>
              <w:t>’</w:t>
            </w:r>
            <w:r w:rsidRPr="002E43F3">
              <w:t>accord de partenariat entre les membres du groupe des États d</w:t>
            </w:r>
            <w:r>
              <w:t>’</w:t>
            </w:r>
            <w:r w:rsidRPr="002E43F3">
              <w:t>Afrique, des Caraïbes et du Pacifique, d</w:t>
            </w:r>
            <w:r>
              <w:t>’</w:t>
            </w:r>
            <w:r w:rsidRPr="002E43F3">
              <w:t>une part, et la Communauté européenne et ses États membres, d</w:t>
            </w:r>
            <w:r>
              <w:t>’</w:t>
            </w:r>
            <w:r w:rsidRPr="002E43F3">
              <w:t>autre part, signé à Cotonou le 23</w:t>
            </w:r>
            <w:r>
              <w:t> </w:t>
            </w:r>
            <w:r w:rsidRPr="002E43F3">
              <w:t>juin 2000</w:t>
            </w:r>
            <w:r w:rsidRPr="002E43F3">
              <w:rPr>
                <w:vertAlign w:val="superscript"/>
              </w:rPr>
              <w:t>22</w:t>
            </w:r>
            <w:r w:rsidRPr="002E43F3">
              <w:t>, ainsi que dans les pays du voisinage, dans un premier temps. Cela permettra de créer des possibilités de croissance et d</w:t>
            </w:r>
            <w:r>
              <w:t>’</w:t>
            </w:r>
            <w:r w:rsidRPr="002E43F3">
              <w:t>emploi, d</w:t>
            </w:r>
            <w:r>
              <w:t>’</w:t>
            </w:r>
            <w:r w:rsidRPr="002E43F3">
              <w:t>exploiter au mieux l</w:t>
            </w:r>
            <w:r>
              <w:t>’</w:t>
            </w:r>
            <w:r w:rsidRPr="002E43F3">
              <w:t>additionnalité, de favoriser la fourniture de produits innovants</w:t>
            </w:r>
            <w:r w:rsidRPr="002E43F3">
              <w:rPr>
                <w:b/>
                <w:i/>
              </w:rPr>
              <w:t>, de promouvoir un développement durable et une économie circulaire</w:t>
            </w:r>
            <w:r w:rsidRPr="002E43F3">
              <w:t xml:space="preserve"> et d</w:t>
            </w:r>
            <w:r>
              <w:t>’</w:t>
            </w:r>
            <w:r w:rsidRPr="002E43F3">
              <w:t>attirer des financements privés.</w:t>
            </w:r>
          </w:p>
        </w:tc>
      </w:tr>
      <w:tr w:rsidR="00BF7ACA" w:rsidRPr="00E502E5" w14:paraId="2739C590" w14:textId="77777777" w:rsidTr="007924BE">
        <w:trPr>
          <w:jc w:val="center"/>
        </w:trPr>
        <w:tc>
          <w:tcPr>
            <w:tcW w:w="4876" w:type="dxa"/>
            <w:hideMark/>
          </w:tcPr>
          <w:p w14:paraId="6616E45F" w14:textId="77777777" w:rsidR="00BF7ACA" w:rsidRPr="002E43F3" w:rsidRDefault="00BF7ACA" w:rsidP="007924BE">
            <w:pPr>
              <w:pStyle w:val="Normal6"/>
            </w:pPr>
            <w:r w:rsidRPr="002E43F3">
              <w:t>__________________</w:t>
            </w:r>
          </w:p>
        </w:tc>
        <w:tc>
          <w:tcPr>
            <w:tcW w:w="4876" w:type="dxa"/>
            <w:hideMark/>
          </w:tcPr>
          <w:p w14:paraId="17440328" w14:textId="77777777" w:rsidR="00BF7ACA" w:rsidRPr="002E43F3" w:rsidRDefault="00BF7ACA" w:rsidP="007924BE">
            <w:pPr>
              <w:pStyle w:val="Normal6"/>
              <w:rPr>
                <w:szCs w:val="24"/>
              </w:rPr>
            </w:pPr>
            <w:r w:rsidRPr="002E43F3">
              <w:t>__________________</w:t>
            </w:r>
          </w:p>
        </w:tc>
      </w:tr>
      <w:tr w:rsidR="00BF7ACA" w:rsidRPr="00E502E5" w14:paraId="6C474F62" w14:textId="77777777" w:rsidTr="007924BE">
        <w:trPr>
          <w:jc w:val="center"/>
        </w:trPr>
        <w:tc>
          <w:tcPr>
            <w:tcW w:w="4876" w:type="dxa"/>
            <w:hideMark/>
          </w:tcPr>
          <w:p w14:paraId="6E5CE958" w14:textId="77777777" w:rsidR="00BF7ACA" w:rsidRPr="002E43F3" w:rsidRDefault="00BF7ACA" w:rsidP="007924BE">
            <w:pPr>
              <w:pStyle w:val="Normal6"/>
            </w:pPr>
            <w:r w:rsidRPr="002E43F3">
              <w:rPr>
                <w:vertAlign w:val="superscript"/>
              </w:rPr>
              <w:t>22</w:t>
            </w:r>
            <w:r w:rsidRPr="002E43F3">
              <w:t xml:space="preserve"> JO L 317 du 15.12.2000. Accord modifié en dernier lieu au JO L 287 du 4.11.2010.</w:t>
            </w:r>
          </w:p>
        </w:tc>
        <w:tc>
          <w:tcPr>
            <w:tcW w:w="4876" w:type="dxa"/>
            <w:hideMark/>
          </w:tcPr>
          <w:p w14:paraId="7D70D278" w14:textId="77777777" w:rsidR="00BF7ACA" w:rsidRPr="002E43F3" w:rsidRDefault="00BF7ACA" w:rsidP="007924BE">
            <w:pPr>
              <w:pStyle w:val="Normal6"/>
              <w:rPr>
                <w:szCs w:val="24"/>
              </w:rPr>
            </w:pPr>
            <w:r w:rsidRPr="002E43F3">
              <w:rPr>
                <w:vertAlign w:val="superscript"/>
              </w:rPr>
              <w:t>22</w:t>
            </w:r>
            <w:r w:rsidRPr="002E43F3">
              <w:t xml:space="preserve"> JO L 317 du 15.12.2000. Accord modifié en dernier lieu au JO L 287 du 4.11.2010.</w:t>
            </w:r>
          </w:p>
        </w:tc>
      </w:tr>
    </w:tbl>
    <w:p w14:paraId="06BD644E" w14:textId="77777777"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&lt;Original&gt;</w:t>
      </w:r>
      <w:r w:rsidRPr="000C3237">
        <w:rPr>
          <w:rStyle w:val="HideTWBInt"/>
          <w:noProof w:val="0"/>
          <w:lang w:val="en-GB"/>
        </w:rPr>
        <w:t>{IT}</w:t>
      </w:r>
      <w:r w:rsidRPr="000C3237">
        <w:rPr>
          <w:noProof w:val="0"/>
          <w:lang w:val="en-GB"/>
        </w:rPr>
        <w:t>it</w:t>
      </w:r>
      <w:r w:rsidRPr="000C3237">
        <w:rPr>
          <w:rStyle w:val="HideTWBExt"/>
          <w:noProof w:val="0"/>
          <w:lang w:val="en-GB"/>
        </w:rPr>
        <w:t>&lt;/Original&gt;</w:t>
      </w:r>
    </w:p>
    <w:p w14:paraId="2ABDC7FF" w14:textId="77777777" w:rsidR="00BF7ACA" w:rsidRPr="000C3237" w:rsidRDefault="00BF7ACA" w:rsidP="00BF7ACA">
      <w:pPr>
        <w:rPr>
          <w:lang w:val="en-GB"/>
        </w:rPr>
      </w:pPr>
      <w:r w:rsidRPr="000C3237">
        <w:rPr>
          <w:rStyle w:val="HideTWBExt"/>
          <w:lang w:val="en-GB"/>
        </w:rPr>
        <w:t>&lt;/Amend&gt;</w:t>
      </w:r>
    </w:p>
    <w:p w14:paraId="57A947E2" w14:textId="77777777"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106</w:t>
      </w:r>
      <w:r w:rsidRPr="00627C55">
        <w:rPr>
          <w:rStyle w:val="HideTWBExt"/>
          <w:b w:val="0"/>
          <w:lang w:val="en-GB"/>
        </w:rPr>
        <w:t>&lt;/NumAm&gt;</w:t>
      </w:r>
    </w:p>
    <w:p w14:paraId="143792E7" w14:textId="77777777"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Nirj Deva</w:t>
      </w:r>
      <w:r w:rsidRPr="00627C55">
        <w:rPr>
          <w:rStyle w:val="HideTWBExt"/>
          <w:b w:val="0"/>
          <w:lang w:val="en-GB"/>
        </w:rPr>
        <w:t>&lt;/Members&gt;</w:t>
      </w:r>
    </w:p>
    <w:p w14:paraId="330B6DAD" w14:textId="77777777" w:rsidR="00BF7ACA" w:rsidRPr="00BF7ACA" w:rsidRDefault="00BF7ACA" w:rsidP="00BF7ACA">
      <w:pPr>
        <w:rPr>
          <w:lang w:val="en-GB"/>
        </w:rPr>
      </w:pPr>
      <w:r w:rsidRPr="00BF7ACA">
        <w:rPr>
          <w:rStyle w:val="HideTWBExt"/>
          <w:lang w:val="en-GB"/>
        </w:rPr>
        <w:t>&lt;/RepeatBlock-By&gt;</w:t>
      </w:r>
    </w:p>
    <w:p w14:paraId="587B63CE"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10B0CD80" w14:textId="77777777" w:rsidR="00BF7ACA" w:rsidRPr="005A5903" w:rsidRDefault="00BF7ACA" w:rsidP="00BF7ACA">
      <w:pPr>
        <w:pStyle w:val="NormalBold"/>
      </w:pPr>
      <w:r>
        <w:rPr>
          <w:rStyle w:val="HideTWBExt"/>
          <w:b w:val="0"/>
        </w:rPr>
        <w:t>&lt;Article&gt;</w:t>
      </w:r>
      <w:r w:rsidRPr="0019144F">
        <w:t>Considérant 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46CCD531" w14:textId="77777777" w:rsidTr="007924BE">
        <w:trPr>
          <w:jc w:val="center"/>
        </w:trPr>
        <w:tc>
          <w:tcPr>
            <w:tcW w:w="9752" w:type="dxa"/>
            <w:gridSpan w:val="2"/>
          </w:tcPr>
          <w:p w14:paraId="69C85E0C" w14:textId="77777777" w:rsidR="00BF7ACA" w:rsidRPr="005A5903" w:rsidRDefault="00BF7ACA" w:rsidP="007924BE">
            <w:pPr>
              <w:keepNext/>
            </w:pPr>
          </w:p>
        </w:tc>
      </w:tr>
      <w:tr w:rsidR="00BF7ACA" w:rsidRPr="005A5903" w14:paraId="7583A8ED" w14:textId="77777777" w:rsidTr="007924BE">
        <w:trPr>
          <w:jc w:val="center"/>
        </w:trPr>
        <w:tc>
          <w:tcPr>
            <w:tcW w:w="4876" w:type="dxa"/>
            <w:hideMark/>
          </w:tcPr>
          <w:p w14:paraId="3B1B82AE" w14:textId="77777777" w:rsidR="00BF7ACA" w:rsidRPr="0019144F" w:rsidRDefault="00BF7ACA" w:rsidP="007924BE">
            <w:pPr>
              <w:pStyle w:val="ColumnHeading"/>
              <w:keepNext/>
            </w:pPr>
            <w:r w:rsidRPr="0019144F">
              <w:t>Texte proposé par la Commission</w:t>
            </w:r>
          </w:p>
        </w:tc>
        <w:tc>
          <w:tcPr>
            <w:tcW w:w="4876" w:type="dxa"/>
            <w:hideMark/>
          </w:tcPr>
          <w:p w14:paraId="29712ACC" w14:textId="77777777" w:rsidR="00BF7ACA" w:rsidRPr="0019144F" w:rsidRDefault="00BF7ACA" w:rsidP="007924BE">
            <w:pPr>
              <w:pStyle w:val="ColumnHeading"/>
              <w:keepNext/>
            </w:pPr>
            <w:r w:rsidRPr="0019144F">
              <w:t>Amendement</w:t>
            </w:r>
          </w:p>
        </w:tc>
      </w:tr>
      <w:tr w:rsidR="00BF7ACA" w:rsidRPr="005A5903" w14:paraId="67F85BA1" w14:textId="77777777" w:rsidTr="007924BE">
        <w:trPr>
          <w:jc w:val="center"/>
        </w:trPr>
        <w:tc>
          <w:tcPr>
            <w:tcW w:w="4876" w:type="dxa"/>
            <w:hideMark/>
          </w:tcPr>
          <w:p w14:paraId="56F47D9D" w14:textId="77777777" w:rsidR="00BF7ACA" w:rsidRPr="0019144F" w:rsidRDefault="00BF7ACA" w:rsidP="007924BE">
            <w:pPr>
              <w:pStyle w:val="Normal6"/>
            </w:pPr>
            <w:r w:rsidRPr="0019144F">
              <w:t>(4)</w:t>
            </w:r>
            <w:r>
              <w:tab/>
            </w:r>
            <w:r w:rsidRPr="0019144F">
              <w:t>Le PIE devrait fournir un dispositif financier intégré pour le financement d</w:t>
            </w:r>
            <w:r>
              <w:t>’</w:t>
            </w:r>
            <w:r w:rsidRPr="0019144F">
              <w:t>investissements dans les pays d</w:t>
            </w:r>
            <w:r>
              <w:t>’</w:t>
            </w:r>
            <w:r w:rsidRPr="0019144F">
              <w:t>Afrique qui sont signataires de l</w:t>
            </w:r>
            <w:r>
              <w:t>’</w:t>
            </w:r>
            <w:r w:rsidRPr="0019144F">
              <w:t>accord de partenariat entre les membres du groupe des États d</w:t>
            </w:r>
            <w:r>
              <w:t>’</w:t>
            </w:r>
            <w:r w:rsidRPr="0019144F">
              <w:t>Afrique, des Caraïbes et du Pacifique, d</w:t>
            </w:r>
            <w:r>
              <w:t>’</w:t>
            </w:r>
            <w:r w:rsidRPr="0019144F">
              <w:t>une part, et la Communauté européenne et ses États membres, d</w:t>
            </w:r>
            <w:r>
              <w:t>’</w:t>
            </w:r>
            <w:r w:rsidRPr="0019144F">
              <w:t>autre part, signé à Cotonou le 23 juin 2000</w:t>
            </w:r>
            <w:r w:rsidRPr="0019144F">
              <w:rPr>
                <w:vertAlign w:val="superscript"/>
              </w:rPr>
              <w:t>22</w:t>
            </w:r>
            <w:r w:rsidRPr="0019144F">
              <w:t xml:space="preserve">, ainsi que dans les pays du voisinage, dans un premier temps. Cela permettra de créer des possibilités de croissance et </w:t>
            </w:r>
            <w:r w:rsidRPr="0019144F">
              <w:rPr>
                <w:b/>
                <w:i/>
              </w:rPr>
              <w:t>d</w:t>
            </w:r>
            <w:r>
              <w:rPr>
                <w:b/>
                <w:i/>
              </w:rPr>
              <w:t>’</w:t>
            </w:r>
            <w:r w:rsidRPr="0019144F">
              <w:rPr>
                <w:b/>
                <w:i/>
              </w:rPr>
              <w:t>emploi</w:t>
            </w:r>
            <w:r w:rsidRPr="0019144F">
              <w:t>, d</w:t>
            </w:r>
            <w:r>
              <w:t>’</w:t>
            </w:r>
            <w:r w:rsidRPr="0019144F">
              <w:t>exploiter au mieux l</w:t>
            </w:r>
            <w:r>
              <w:t>’</w:t>
            </w:r>
            <w:r w:rsidRPr="0019144F">
              <w:t>additionnalité, de favoriser la fourniture de produits innovants et d</w:t>
            </w:r>
            <w:r>
              <w:t>’</w:t>
            </w:r>
            <w:r w:rsidRPr="0019144F">
              <w:t>attirer des financements privés.</w:t>
            </w:r>
          </w:p>
        </w:tc>
        <w:tc>
          <w:tcPr>
            <w:tcW w:w="4876" w:type="dxa"/>
            <w:hideMark/>
          </w:tcPr>
          <w:p w14:paraId="7C83D110" w14:textId="77777777" w:rsidR="00BF7ACA" w:rsidRPr="0019144F" w:rsidRDefault="00BF7ACA" w:rsidP="007924BE">
            <w:pPr>
              <w:pStyle w:val="Normal6"/>
              <w:rPr>
                <w:szCs w:val="24"/>
              </w:rPr>
            </w:pPr>
            <w:r w:rsidRPr="0019144F">
              <w:t>(4)</w:t>
            </w:r>
            <w:r>
              <w:tab/>
            </w:r>
            <w:r w:rsidRPr="0019144F">
              <w:t>Le PIE devrait fournir un dispositif financier intégré pour le financement d</w:t>
            </w:r>
            <w:r>
              <w:t>’</w:t>
            </w:r>
            <w:r w:rsidRPr="0019144F">
              <w:t>investissements dans les pays d</w:t>
            </w:r>
            <w:r>
              <w:t>’</w:t>
            </w:r>
            <w:r w:rsidRPr="0019144F">
              <w:t>Afrique qui sont signataires de l</w:t>
            </w:r>
            <w:r>
              <w:t>’</w:t>
            </w:r>
            <w:r w:rsidRPr="0019144F">
              <w:t>accord de partenariat entre les membres du groupe des États d</w:t>
            </w:r>
            <w:r>
              <w:t>’</w:t>
            </w:r>
            <w:r w:rsidRPr="0019144F">
              <w:t>Afrique, des Caraïbes et du Pacifique, d</w:t>
            </w:r>
            <w:r>
              <w:t>’</w:t>
            </w:r>
            <w:r w:rsidRPr="0019144F">
              <w:t>une part, et la Communauté européenne et ses États membres, d</w:t>
            </w:r>
            <w:r>
              <w:t>’</w:t>
            </w:r>
            <w:r w:rsidRPr="0019144F">
              <w:t>autre part, signé à Cotonou le 23 juin 2000</w:t>
            </w:r>
            <w:r w:rsidRPr="0019144F">
              <w:rPr>
                <w:vertAlign w:val="superscript"/>
              </w:rPr>
              <w:t>22</w:t>
            </w:r>
            <w:r w:rsidRPr="0019144F">
              <w:t xml:space="preserve">, ainsi que dans les pays du voisinage, dans un premier temps. Cela permettra de créer des possibilités </w:t>
            </w:r>
            <w:r w:rsidRPr="0019144F">
              <w:rPr>
                <w:b/>
                <w:i/>
              </w:rPr>
              <w:t>d</w:t>
            </w:r>
            <w:r>
              <w:rPr>
                <w:b/>
                <w:i/>
              </w:rPr>
              <w:t>’</w:t>
            </w:r>
            <w:r w:rsidRPr="0019144F">
              <w:rPr>
                <w:b/>
                <w:i/>
              </w:rPr>
              <w:t xml:space="preserve">emploi et </w:t>
            </w:r>
            <w:r w:rsidRPr="0019144F">
              <w:t xml:space="preserve">de croissance </w:t>
            </w:r>
            <w:r w:rsidRPr="0019144F">
              <w:rPr>
                <w:b/>
                <w:i/>
              </w:rPr>
              <w:t xml:space="preserve">durable </w:t>
            </w:r>
            <w:r w:rsidRPr="0019144F">
              <w:t xml:space="preserve">et </w:t>
            </w:r>
            <w:r w:rsidRPr="0019144F">
              <w:rPr>
                <w:b/>
                <w:i/>
              </w:rPr>
              <w:t>inclusive</w:t>
            </w:r>
            <w:r w:rsidRPr="0019144F">
              <w:t>, d</w:t>
            </w:r>
            <w:r>
              <w:t>’</w:t>
            </w:r>
            <w:r w:rsidRPr="0019144F">
              <w:t>exploiter au mieux l</w:t>
            </w:r>
            <w:r>
              <w:t>’</w:t>
            </w:r>
            <w:r w:rsidRPr="0019144F">
              <w:t>additionnalité, de favoriser la fourniture de produits innovants et d</w:t>
            </w:r>
            <w:r>
              <w:t>’</w:t>
            </w:r>
            <w:r w:rsidRPr="0019144F">
              <w:t>attirer des financements privés.</w:t>
            </w:r>
          </w:p>
        </w:tc>
      </w:tr>
      <w:tr w:rsidR="00BF7ACA" w:rsidRPr="005A5903" w14:paraId="5302D5C7" w14:textId="77777777" w:rsidTr="007924BE">
        <w:trPr>
          <w:jc w:val="center"/>
        </w:trPr>
        <w:tc>
          <w:tcPr>
            <w:tcW w:w="4876" w:type="dxa"/>
            <w:hideMark/>
          </w:tcPr>
          <w:p w14:paraId="3DE02367" w14:textId="77777777" w:rsidR="00BF7ACA" w:rsidRPr="0019144F" w:rsidRDefault="00BF7ACA" w:rsidP="007924BE">
            <w:pPr>
              <w:pStyle w:val="Normal6"/>
            </w:pPr>
            <w:r w:rsidRPr="0019144F">
              <w:t>__________________</w:t>
            </w:r>
          </w:p>
        </w:tc>
        <w:tc>
          <w:tcPr>
            <w:tcW w:w="4876" w:type="dxa"/>
            <w:hideMark/>
          </w:tcPr>
          <w:p w14:paraId="5ABB002E" w14:textId="77777777" w:rsidR="00BF7ACA" w:rsidRPr="0019144F" w:rsidRDefault="00BF7ACA" w:rsidP="007924BE">
            <w:pPr>
              <w:pStyle w:val="Normal6"/>
              <w:rPr>
                <w:szCs w:val="24"/>
              </w:rPr>
            </w:pPr>
            <w:r w:rsidRPr="0019144F">
              <w:t>__________________</w:t>
            </w:r>
          </w:p>
        </w:tc>
      </w:tr>
      <w:tr w:rsidR="00BF7ACA" w:rsidRPr="005A5903" w14:paraId="42B93B36" w14:textId="77777777" w:rsidTr="007924BE">
        <w:trPr>
          <w:jc w:val="center"/>
        </w:trPr>
        <w:tc>
          <w:tcPr>
            <w:tcW w:w="4876" w:type="dxa"/>
            <w:hideMark/>
          </w:tcPr>
          <w:p w14:paraId="2ED010CE" w14:textId="77777777" w:rsidR="00BF7ACA" w:rsidRPr="0019144F" w:rsidRDefault="00BF7ACA" w:rsidP="007924BE">
            <w:pPr>
              <w:pStyle w:val="Normal6"/>
            </w:pPr>
            <w:r w:rsidRPr="0019144F">
              <w:rPr>
                <w:vertAlign w:val="superscript"/>
              </w:rPr>
              <w:t>22</w:t>
            </w:r>
            <w:r w:rsidRPr="0019144F">
              <w:t xml:space="preserve"> JO L 317 du 15.12.2000. Accord modifié en dernier lieu au JO L 287 du 4.11.2010.</w:t>
            </w:r>
          </w:p>
        </w:tc>
        <w:tc>
          <w:tcPr>
            <w:tcW w:w="4876" w:type="dxa"/>
            <w:hideMark/>
          </w:tcPr>
          <w:p w14:paraId="7F217CAF" w14:textId="77777777" w:rsidR="00BF7ACA" w:rsidRPr="0019144F" w:rsidRDefault="00BF7ACA" w:rsidP="007924BE">
            <w:pPr>
              <w:pStyle w:val="Normal6"/>
              <w:rPr>
                <w:szCs w:val="24"/>
              </w:rPr>
            </w:pPr>
            <w:r w:rsidRPr="0019144F">
              <w:rPr>
                <w:vertAlign w:val="superscript"/>
              </w:rPr>
              <w:t>22</w:t>
            </w:r>
            <w:r w:rsidRPr="0019144F">
              <w:t xml:space="preserve"> JO L 317 du 15.12.2000. Accord modifié en dernier lieu au JO L 287 du 4.11.2010.</w:t>
            </w:r>
          </w:p>
        </w:tc>
      </w:tr>
    </w:tbl>
    <w:p w14:paraId="5721675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786AE47" w14:textId="77777777" w:rsidR="00BF7ACA" w:rsidRPr="00BF7ACA" w:rsidRDefault="00BF7ACA" w:rsidP="00BF7ACA">
      <w:r w:rsidRPr="00BF7ACA">
        <w:rPr>
          <w:rStyle w:val="HideTWBExt"/>
        </w:rPr>
        <w:t>&lt;/Amend&gt;</w:t>
      </w:r>
    </w:p>
    <w:p w14:paraId="4A884212"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107</w:t>
      </w:r>
      <w:r w:rsidRPr="00BF7ACA">
        <w:rPr>
          <w:rStyle w:val="HideTWBExt"/>
          <w:b w:val="0"/>
        </w:rPr>
        <w:t>&lt;/NumAm&gt;</w:t>
      </w:r>
    </w:p>
    <w:p w14:paraId="685B9849" w14:textId="77777777" w:rsidR="00BF7ACA" w:rsidRPr="00BF7ACA" w:rsidRDefault="00BF7ACA" w:rsidP="00BF7ACA">
      <w:pPr>
        <w:pStyle w:val="NormalBold"/>
      </w:pPr>
      <w:r w:rsidRPr="00BF7ACA">
        <w:rPr>
          <w:rStyle w:val="HideTWBExt"/>
          <w:b w:val="0"/>
        </w:rPr>
        <w:t>&lt;RepeatBlock-By&gt;&lt;Members&gt;</w:t>
      </w:r>
      <w:r w:rsidRPr="00BF7ACA">
        <w:t>Georgios Epitideios</w:t>
      </w:r>
      <w:r w:rsidRPr="00BF7ACA">
        <w:rPr>
          <w:rStyle w:val="HideTWBExt"/>
          <w:b w:val="0"/>
        </w:rPr>
        <w:t>&lt;/Members&gt;</w:t>
      </w:r>
    </w:p>
    <w:p w14:paraId="1CEE0A01" w14:textId="77777777" w:rsidR="00BF7ACA" w:rsidRPr="00E502E5" w:rsidRDefault="00BF7ACA" w:rsidP="00BF7ACA">
      <w:r>
        <w:rPr>
          <w:rStyle w:val="HideTWBExt"/>
        </w:rPr>
        <w:t>&lt;/RepeatBlock-By&gt;</w:t>
      </w:r>
    </w:p>
    <w:p w14:paraId="730287E6" w14:textId="77777777" w:rsidR="00BF7ACA" w:rsidRPr="00E502E5" w:rsidRDefault="00BF7ACA" w:rsidP="00BF7ACA">
      <w:pPr>
        <w:pStyle w:val="NormalBold"/>
        <w:keepNext/>
      </w:pPr>
      <w:r>
        <w:rPr>
          <w:rStyle w:val="HideTWBExt"/>
          <w:b w:val="0"/>
        </w:rPr>
        <w:t>&lt;DocAmend&gt;</w:t>
      </w:r>
      <w:r w:rsidRPr="007F121D">
        <w:t>Proposition de règlement</w:t>
      </w:r>
      <w:r>
        <w:rPr>
          <w:rStyle w:val="HideTWBExt"/>
          <w:b w:val="0"/>
        </w:rPr>
        <w:t>&lt;/DocAmend&gt;</w:t>
      </w:r>
    </w:p>
    <w:p w14:paraId="432483F5" w14:textId="77777777" w:rsidR="00BF7ACA" w:rsidRPr="00E502E5" w:rsidRDefault="00BF7ACA" w:rsidP="00BF7ACA">
      <w:pPr>
        <w:pStyle w:val="NormalBold"/>
      </w:pPr>
      <w:r>
        <w:rPr>
          <w:rStyle w:val="HideTWBExt"/>
          <w:b w:val="0"/>
        </w:rPr>
        <w:t>&lt;Article&gt;</w:t>
      </w:r>
      <w:r w:rsidRPr="007F121D">
        <w:t>Considérant 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3F2FEF51" w14:textId="77777777" w:rsidTr="007924BE">
        <w:trPr>
          <w:jc w:val="center"/>
        </w:trPr>
        <w:tc>
          <w:tcPr>
            <w:tcW w:w="9752" w:type="dxa"/>
            <w:gridSpan w:val="2"/>
          </w:tcPr>
          <w:p w14:paraId="6AE71C27" w14:textId="77777777" w:rsidR="00BF7ACA" w:rsidRPr="00E502E5" w:rsidRDefault="00BF7ACA" w:rsidP="007924BE">
            <w:pPr>
              <w:keepNext/>
            </w:pPr>
          </w:p>
        </w:tc>
      </w:tr>
      <w:tr w:rsidR="00BF7ACA" w:rsidRPr="00E502E5" w14:paraId="619D5442" w14:textId="77777777" w:rsidTr="007924BE">
        <w:trPr>
          <w:jc w:val="center"/>
        </w:trPr>
        <w:tc>
          <w:tcPr>
            <w:tcW w:w="4876" w:type="dxa"/>
            <w:hideMark/>
          </w:tcPr>
          <w:p w14:paraId="2CFCC6AD" w14:textId="77777777" w:rsidR="00BF7ACA" w:rsidRPr="007F121D" w:rsidRDefault="00BF7ACA" w:rsidP="007924BE">
            <w:pPr>
              <w:pStyle w:val="ColumnHeading"/>
              <w:keepNext/>
            </w:pPr>
            <w:r w:rsidRPr="007F121D">
              <w:t>Texte proposé par la Commission</w:t>
            </w:r>
          </w:p>
        </w:tc>
        <w:tc>
          <w:tcPr>
            <w:tcW w:w="4876" w:type="dxa"/>
            <w:hideMark/>
          </w:tcPr>
          <w:p w14:paraId="785EA2ED" w14:textId="77777777" w:rsidR="00BF7ACA" w:rsidRPr="007F121D" w:rsidRDefault="00BF7ACA" w:rsidP="007924BE">
            <w:pPr>
              <w:pStyle w:val="ColumnHeading"/>
              <w:keepNext/>
            </w:pPr>
            <w:r w:rsidRPr="007F121D">
              <w:t>Amendement</w:t>
            </w:r>
          </w:p>
        </w:tc>
      </w:tr>
      <w:tr w:rsidR="00BF7ACA" w:rsidRPr="00E502E5" w14:paraId="39B7A9D3" w14:textId="77777777" w:rsidTr="007924BE">
        <w:trPr>
          <w:jc w:val="center"/>
        </w:trPr>
        <w:tc>
          <w:tcPr>
            <w:tcW w:w="4876" w:type="dxa"/>
            <w:hideMark/>
          </w:tcPr>
          <w:p w14:paraId="6BB6530C" w14:textId="77777777" w:rsidR="00BF7ACA" w:rsidRPr="007F121D" w:rsidRDefault="00BF7ACA" w:rsidP="007924BE">
            <w:pPr>
              <w:pStyle w:val="Normal6"/>
            </w:pPr>
            <w:r w:rsidRPr="007F121D">
              <w:t>(4)</w:t>
            </w:r>
            <w:r>
              <w:tab/>
            </w:r>
            <w:r w:rsidRPr="007F121D">
              <w:t xml:space="preserve">Le PIE devrait fournir un </w:t>
            </w:r>
            <w:r w:rsidRPr="007F121D">
              <w:rPr>
                <w:b/>
                <w:i/>
              </w:rPr>
              <w:t>dispositif financier intégré</w:t>
            </w:r>
            <w:r w:rsidRPr="007F121D">
              <w:t xml:space="preserve"> pour </w:t>
            </w:r>
            <w:r w:rsidRPr="007F121D">
              <w:rPr>
                <w:b/>
                <w:i/>
              </w:rPr>
              <w:t>le financement d</w:t>
            </w:r>
            <w:r>
              <w:rPr>
                <w:b/>
                <w:i/>
              </w:rPr>
              <w:t>’</w:t>
            </w:r>
            <w:r w:rsidRPr="007F121D">
              <w:rPr>
                <w:b/>
                <w:i/>
              </w:rPr>
              <w:t>investissements</w:t>
            </w:r>
            <w:r w:rsidRPr="007F121D">
              <w:t xml:space="preserve"> dans les pays d</w:t>
            </w:r>
            <w:r>
              <w:t>’</w:t>
            </w:r>
            <w:r w:rsidRPr="007F121D">
              <w:t>Afrique qui sont signataires de l</w:t>
            </w:r>
            <w:r>
              <w:t>’</w:t>
            </w:r>
            <w:r w:rsidRPr="007F121D">
              <w:t>accord de partenariat entre les membres du groupe des États d</w:t>
            </w:r>
            <w:r>
              <w:t>’</w:t>
            </w:r>
            <w:r w:rsidRPr="007F121D">
              <w:t>Afrique, des Caraïbes et du Pacifique, d</w:t>
            </w:r>
            <w:r>
              <w:t>’</w:t>
            </w:r>
            <w:r w:rsidRPr="007F121D">
              <w:t>une part, et la Communauté européenne et ses États membres, d</w:t>
            </w:r>
            <w:r>
              <w:t>’</w:t>
            </w:r>
            <w:r w:rsidRPr="007F121D">
              <w:t>autre part, signé à Cotonou le 23 juin 2000</w:t>
            </w:r>
            <w:r w:rsidRPr="007F121D">
              <w:rPr>
                <w:vertAlign w:val="superscript"/>
              </w:rPr>
              <w:t>22</w:t>
            </w:r>
            <w:r w:rsidRPr="007F121D">
              <w:t>, ainsi que dans les pays du voisinage, dans un premier temps. Cela permettra de créer des possibilités de croissance et d</w:t>
            </w:r>
            <w:r>
              <w:t>’</w:t>
            </w:r>
            <w:r w:rsidRPr="007F121D">
              <w:t>emploi, d</w:t>
            </w:r>
            <w:r>
              <w:t>’</w:t>
            </w:r>
            <w:r w:rsidRPr="007F121D">
              <w:t>exploiter au mieux l</w:t>
            </w:r>
            <w:r>
              <w:t>’</w:t>
            </w:r>
            <w:r w:rsidRPr="007F121D">
              <w:t>additionnalité, de favoriser la fourniture de produits innovants et d</w:t>
            </w:r>
            <w:r>
              <w:t>’</w:t>
            </w:r>
            <w:r w:rsidRPr="007F121D">
              <w:t>attirer des financements privés.</w:t>
            </w:r>
          </w:p>
        </w:tc>
        <w:tc>
          <w:tcPr>
            <w:tcW w:w="4876" w:type="dxa"/>
            <w:hideMark/>
          </w:tcPr>
          <w:p w14:paraId="4C9CE2DA" w14:textId="77777777" w:rsidR="00BF7ACA" w:rsidRPr="007F121D" w:rsidRDefault="00BF7ACA" w:rsidP="007924BE">
            <w:pPr>
              <w:pStyle w:val="Normal6"/>
              <w:rPr>
                <w:szCs w:val="24"/>
              </w:rPr>
            </w:pPr>
            <w:r w:rsidRPr="007F121D">
              <w:t>(4)</w:t>
            </w:r>
            <w:r>
              <w:tab/>
            </w:r>
            <w:r w:rsidRPr="007F121D">
              <w:t xml:space="preserve">Le PIE devrait fournir un </w:t>
            </w:r>
            <w:r w:rsidRPr="007F121D">
              <w:rPr>
                <w:b/>
                <w:i/>
              </w:rPr>
              <w:t>financement limité</w:t>
            </w:r>
            <w:r w:rsidRPr="007F121D">
              <w:t xml:space="preserve"> pour </w:t>
            </w:r>
            <w:r w:rsidRPr="007F121D">
              <w:rPr>
                <w:b/>
                <w:i/>
              </w:rPr>
              <w:t>les investissements</w:t>
            </w:r>
            <w:r w:rsidRPr="007F121D">
              <w:t xml:space="preserve"> dans les pays d</w:t>
            </w:r>
            <w:r>
              <w:t>’</w:t>
            </w:r>
            <w:r w:rsidRPr="007F121D">
              <w:t>Afrique qui sont signataires de l</w:t>
            </w:r>
            <w:r>
              <w:t>’</w:t>
            </w:r>
            <w:r w:rsidRPr="007F121D">
              <w:t>accord de partenariat entre les membres du groupe des États d</w:t>
            </w:r>
            <w:r>
              <w:t>’</w:t>
            </w:r>
            <w:r w:rsidRPr="007F121D">
              <w:t>Afrique, des Caraïbes et du Pacifique, d</w:t>
            </w:r>
            <w:r>
              <w:t>’</w:t>
            </w:r>
            <w:r w:rsidRPr="007F121D">
              <w:t>une part, et la Communauté européenne et ses États membres, d</w:t>
            </w:r>
            <w:r>
              <w:t>’</w:t>
            </w:r>
            <w:r w:rsidRPr="007F121D">
              <w:t>autre part, signé à Cotonou le 23 juin 2000</w:t>
            </w:r>
            <w:r w:rsidRPr="007F121D">
              <w:rPr>
                <w:vertAlign w:val="superscript"/>
              </w:rPr>
              <w:t>22</w:t>
            </w:r>
            <w:r w:rsidRPr="007F121D">
              <w:t>, ainsi que dans les pays du voisinage, dans un premier temps. Cela permettra de créer des possibilités de croissance et d</w:t>
            </w:r>
            <w:r>
              <w:t>’</w:t>
            </w:r>
            <w:r w:rsidRPr="007F121D">
              <w:t>emploi, d</w:t>
            </w:r>
            <w:r>
              <w:t>’</w:t>
            </w:r>
            <w:r w:rsidRPr="007F121D">
              <w:t>exploiter au mieux l</w:t>
            </w:r>
            <w:r>
              <w:t>’</w:t>
            </w:r>
            <w:r w:rsidRPr="007F121D">
              <w:t>additionnalité, de favoriser la fourniture de produits innovants et d</w:t>
            </w:r>
            <w:r>
              <w:t>’</w:t>
            </w:r>
            <w:r w:rsidRPr="007F121D">
              <w:t>attirer des financements privés.</w:t>
            </w:r>
          </w:p>
        </w:tc>
      </w:tr>
      <w:tr w:rsidR="00BF7ACA" w:rsidRPr="00E502E5" w14:paraId="465A7BF9" w14:textId="77777777" w:rsidTr="007924BE">
        <w:trPr>
          <w:jc w:val="center"/>
        </w:trPr>
        <w:tc>
          <w:tcPr>
            <w:tcW w:w="4876" w:type="dxa"/>
            <w:hideMark/>
          </w:tcPr>
          <w:p w14:paraId="55FADB51" w14:textId="77777777" w:rsidR="00BF7ACA" w:rsidRPr="007F121D" w:rsidRDefault="00BF7ACA" w:rsidP="007924BE">
            <w:pPr>
              <w:pStyle w:val="Normal6"/>
            </w:pPr>
            <w:r w:rsidRPr="007F121D">
              <w:t>__________________</w:t>
            </w:r>
          </w:p>
        </w:tc>
        <w:tc>
          <w:tcPr>
            <w:tcW w:w="4876" w:type="dxa"/>
            <w:hideMark/>
          </w:tcPr>
          <w:p w14:paraId="13BCA033" w14:textId="77777777" w:rsidR="00BF7ACA" w:rsidRPr="007F121D" w:rsidRDefault="00BF7ACA" w:rsidP="007924BE">
            <w:pPr>
              <w:pStyle w:val="Normal6"/>
              <w:rPr>
                <w:szCs w:val="24"/>
              </w:rPr>
            </w:pPr>
            <w:r w:rsidRPr="007F121D">
              <w:t>__________________</w:t>
            </w:r>
          </w:p>
        </w:tc>
      </w:tr>
      <w:tr w:rsidR="00BF7ACA" w:rsidRPr="00E502E5" w14:paraId="0751F65F" w14:textId="77777777" w:rsidTr="007924BE">
        <w:trPr>
          <w:jc w:val="center"/>
        </w:trPr>
        <w:tc>
          <w:tcPr>
            <w:tcW w:w="4876" w:type="dxa"/>
            <w:hideMark/>
          </w:tcPr>
          <w:p w14:paraId="1852E92F" w14:textId="77777777" w:rsidR="00BF7ACA" w:rsidRPr="007F121D" w:rsidRDefault="00BF7ACA" w:rsidP="007924BE">
            <w:pPr>
              <w:pStyle w:val="Normal6"/>
            </w:pPr>
            <w:r w:rsidRPr="007F121D">
              <w:rPr>
                <w:vertAlign w:val="superscript"/>
              </w:rPr>
              <w:t>22</w:t>
            </w:r>
            <w:r w:rsidRPr="007F121D">
              <w:t xml:space="preserve"> JO L 317 du 15.12.2000. Accord modifié en dernier lieu au JO L 287 du 4.11.2010.</w:t>
            </w:r>
          </w:p>
        </w:tc>
        <w:tc>
          <w:tcPr>
            <w:tcW w:w="4876" w:type="dxa"/>
            <w:hideMark/>
          </w:tcPr>
          <w:p w14:paraId="3FC86EDD" w14:textId="77777777" w:rsidR="00BF7ACA" w:rsidRPr="007F121D" w:rsidRDefault="00BF7ACA" w:rsidP="007924BE">
            <w:pPr>
              <w:pStyle w:val="Normal6"/>
              <w:rPr>
                <w:szCs w:val="24"/>
              </w:rPr>
            </w:pPr>
            <w:r w:rsidRPr="007F121D">
              <w:rPr>
                <w:vertAlign w:val="superscript"/>
              </w:rPr>
              <w:t>22</w:t>
            </w:r>
            <w:r w:rsidRPr="007F121D">
              <w:t xml:space="preserve"> JO L 317 du 15.12.2000. Accord modifié en dernier lieu au JO L 287 du 4.11.2010.</w:t>
            </w:r>
          </w:p>
        </w:tc>
      </w:tr>
    </w:tbl>
    <w:p w14:paraId="6E654512" w14:textId="77777777" w:rsidR="00BF7ACA" w:rsidRPr="00BF7ACA" w:rsidRDefault="00BF7ACA" w:rsidP="00BF7ACA">
      <w:pPr>
        <w:pStyle w:val="Olang"/>
        <w:rPr>
          <w:noProof w:val="0"/>
          <w:szCs w:val="24"/>
          <w:lang w:val="en-GB"/>
        </w:rPr>
      </w:pPr>
      <w:r w:rsidRPr="00BF7ACA">
        <w:rPr>
          <w:noProof w:val="0"/>
          <w:lang w:val="en-GB"/>
        </w:rPr>
        <w:t xml:space="preserve">Or. </w:t>
      </w:r>
      <w:r w:rsidRPr="00BF7ACA">
        <w:rPr>
          <w:rStyle w:val="HideTWBExt"/>
          <w:noProof w:val="0"/>
          <w:lang w:val="en-GB"/>
        </w:rPr>
        <w:t>&lt;Original&gt;</w:t>
      </w:r>
      <w:r w:rsidRPr="00BF7ACA">
        <w:rPr>
          <w:rStyle w:val="HideTWBInt"/>
          <w:noProof w:val="0"/>
          <w:lang w:val="en-GB"/>
        </w:rPr>
        <w:t>{EL}</w:t>
      </w:r>
      <w:r w:rsidRPr="00BF7ACA">
        <w:rPr>
          <w:noProof w:val="0"/>
          <w:lang w:val="en-GB"/>
        </w:rPr>
        <w:t>el</w:t>
      </w:r>
      <w:r w:rsidRPr="00BF7ACA">
        <w:rPr>
          <w:rStyle w:val="HideTWBExt"/>
          <w:noProof w:val="0"/>
          <w:lang w:val="en-GB"/>
        </w:rPr>
        <w:t>&lt;/Original&gt;</w:t>
      </w:r>
    </w:p>
    <w:p w14:paraId="3E17A3F9" w14:textId="77777777" w:rsidR="00BF7ACA" w:rsidRPr="00BF7ACA" w:rsidRDefault="00BF7ACA" w:rsidP="00BF7ACA">
      <w:pPr>
        <w:rPr>
          <w:lang w:val="en-GB"/>
        </w:rPr>
      </w:pPr>
      <w:r w:rsidRPr="00BF7ACA">
        <w:rPr>
          <w:rStyle w:val="HideTWBExt"/>
          <w:lang w:val="en-GB"/>
        </w:rPr>
        <w:t>&lt;/Amend&gt;</w:t>
      </w:r>
    </w:p>
    <w:p w14:paraId="72200478" w14:textId="77777777"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108</w:t>
      </w:r>
      <w:r w:rsidRPr="00627C55">
        <w:rPr>
          <w:rStyle w:val="HideTWBExt"/>
          <w:b w:val="0"/>
          <w:lang w:val="en-GB"/>
        </w:rPr>
        <w:t>&lt;/NumAm&gt;</w:t>
      </w:r>
    </w:p>
    <w:p w14:paraId="5158642E" w14:textId="77777777"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Eduard Kukan</w:t>
      </w:r>
      <w:r w:rsidRPr="00627C55">
        <w:rPr>
          <w:rStyle w:val="HideTWBExt"/>
          <w:b w:val="0"/>
          <w:lang w:val="en-GB"/>
        </w:rPr>
        <w:t>&lt;/Members&gt;</w:t>
      </w:r>
    </w:p>
    <w:p w14:paraId="47082AD4" w14:textId="77777777" w:rsidR="00BF7ACA" w:rsidRPr="00BF7ACA" w:rsidRDefault="00BF7ACA" w:rsidP="00BF7ACA">
      <w:pPr>
        <w:rPr>
          <w:lang w:val="en-GB"/>
        </w:rPr>
      </w:pPr>
      <w:r w:rsidRPr="00BF7ACA">
        <w:rPr>
          <w:rStyle w:val="HideTWBExt"/>
          <w:lang w:val="en-GB"/>
        </w:rPr>
        <w:t>&lt;/RepeatBlock-By&gt;</w:t>
      </w:r>
    </w:p>
    <w:p w14:paraId="1F5FD2FF"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3A2E3B28" w14:textId="77777777" w:rsidR="00BF7ACA" w:rsidRPr="005A5903" w:rsidRDefault="00BF7ACA" w:rsidP="00BF7ACA">
      <w:pPr>
        <w:pStyle w:val="NormalBold"/>
      </w:pPr>
      <w:r>
        <w:rPr>
          <w:rStyle w:val="HideTWBExt"/>
          <w:b w:val="0"/>
        </w:rPr>
        <w:t>&lt;Article&gt;</w:t>
      </w:r>
      <w:r w:rsidRPr="0019144F">
        <w:t>Considérant 4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1112C25E" w14:textId="77777777" w:rsidTr="007924BE">
        <w:trPr>
          <w:jc w:val="center"/>
        </w:trPr>
        <w:tc>
          <w:tcPr>
            <w:tcW w:w="9752" w:type="dxa"/>
            <w:gridSpan w:val="2"/>
          </w:tcPr>
          <w:p w14:paraId="1AA0420E" w14:textId="77777777" w:rsidR="00BF7ACA" w:rsidRPr="005A5903" w:rsidRDefault="00BF7ACA" w:rsidP="007924BE">
            <w:pPr>
              <w:keepNext/>
            </w:pPr>
          </w:p>
        </w:tc>
      </w:tr>
      <w:tr w:rsidR="00BF7ACA" w:rsidRPr="005A5903" w14:paraId="06AA1110" w14:textId="77777777" w:rsidTr="007924BE">
        <w:trPr>
          <w:jc w:val="center"/>
        </w:trPr>
        <w:tc>
          <w:tcPr>
            <w:tcW w:w="4876" w:type="dxa"/>
            <w:hideMark/>
          </w:tcPr>
          <w:p w14:paraId="17B75B3B" w14:textId="77777777" w:rsidR="00BF7ACA" w:rsidRPr="0019144F" w:rsidRDefault="00BF7ACA" w:rsidP="007924BE">
            <w:pPr>
              <w:pStyle w:val="ColumnHeading"/>
              <w:keepNext/>
            </w:pPr>
            <w:r w:rsidRPr="0019144F">
              <w:t>Texte proposé par la Commission</w:t>
            </w:r>
          </w:p>
        </w:tc>
        <w:tc>
          <w:tcPr>
            <w:tcW w:w="4876" w:type="dxa"/>
            <w:hideMark/>
          </w:tcPr>
          <w:p w14:paraId="70339A0E" w14:textId="77777777" w:rsidR="00BF7ACA" w:rsidRPr="0019144F" w:rsidRDefault="00BF7ACA" w:rsidP="007924BE">
            <w:pPr>
              <w:pStyle w:val="ColumnHeading"/>
              <w:keepNext/>
            </w:pPr>
            <w:r w:rsidRPr="0019144F">
              <w:t>Amendement</w:t>
            </w:r>
          </w:p>
        </w:tc>
      </w:tr>
      <w:tr w:rsidR="00BF7ACA" w:rsidRPr="005A5903" w14:paraId="144363A9" w14:textId="77777777" w:rsidTr="007924BE">
        <w:trPr>
          <w:jc w:val="center"/>
        </w:trPr>
        <w:tc>
          <w:tcPr>
            <w:tcW w:w="4876" w:type="dxa"/>
          </w:tcPr>
          <w:p w14:paraId="455D3D99" w14:textId="77777777" w:rsidR="00BF7ACA" w:rsidRPr="0019144F" w:rsidRDefault="00BF7ACA" w:rsidP="007924BE">
            <w:pPr>
              <w:pStyle w:val="Normal6"/>
            </w:pPr>
          </w:p>
        </w:tc>
        <w:tc>
          <w:tcPr>
            <w:tcW w:w="4876" w:type="dxa"/>
            <w:hideMark/>
          </w:tcPr>
          <w:p w14:paraId="2510E58F" w14:textId="77777777" w:rsidR="00BF7ACA" w:rsidRPr="0019144F" w:rsidRDefault="00BF7ACA" w:rsidP="007924BE">
            <w:pPr>
              <w:pStyle w:val="Normal6"/>
              <w:rPr>
                <w:szCs w:val="24"/>
              </w:rPr>
            </w:pPr>
            <w:r w:rsidRPr="0019144F">
              <w:rPr>
                <w:b/>
                <w:i/>
              </w:rPr>
              <w:t>(4 bis)</w:t>
            </w:r>
            <w:r>
              <w:tab/>
            </w:r>
            <w:r w:rsidRPr="0019144F">
              <w:rPr>
                <w:b/>
                <w:i/>
              </w:rPr>
              <w:t>La participation du secteur privé à la coopération de l</w:t>
            </w:r>
            <w:r>
              <w:rPr>
                <w:b/>
                <w:i/>
              </w:rPr>
              <w:t>’</w:t>
            </w:r>
            <w:r w:rsidRPr="0019144F">
              <w:rPr>
                <w:b/>
                <w:i/>
              </w:rPr>
              <w:t>Union avec les pays partenaires par l</w:t>
            </w:r>
            <w:r>
              <w:rPr>
                <w:b/>
                <w:i/>
              </w:rPr>
              <w:t>’</w:t>
            </w:r>
            <w:r w:rsidRPr="0019144F">
              <w:rPr>
                <w:b/>
                <w:i/>
              </w:rPr>
              <w:t>intermédiaire du FEDD devrait avoir un effet complémentaire sur le développement, sans distorsion du marché, être rentable et se fonder sur une responsabilité mutuelle et un partage des coûts et des risques; elle devrait reposer sur un attachement aux principes et lignes directrices internationalement reconnus, parmi lesquels les principes pour l</w:t>
            </w:r>
            <w:r>
              <w:rPr>
                <w:b/>
                <w:i/>
              </w:rPr>
              <w:t>’</w:t>
            </w:r>
            <w:r w:rsidRPr="0019144F">
              <w:rPr>
                <w:b/>
                <w:i/>
              </w:rPr>
              <w:t>investissement responsable, les principes directeurs des Nations unies relatifs aux entreprises et aux droits de l</w:t>
            </w:r>
            <w:r>
              <w:rPr>
                <w:b/>
                <w:i/>
              </w:rPr>
              <w:t>’</w:t>
            </w:r>
            <w:r w:rsidRPr="0019144F">
              <w:rPr>
                <w:b/>
                <w:i/>
              </w:rPr>
              <w:t>homme, ainsi que les principes directeurs de l</w:t>
            </w:r>
            <w:r>
              <w:rPr>
                <w:b/>
                <w:i/>
              </w:rPr>
              <w:t>’</w:t>
            </w:r>
            <w:r w:rsidRPr="0019144F">
              <w:rPr>
                <w:b/>
                <w:i/>
              </w:rPr>
              <w:t>Organisation de coopération et de développement économiques (OCDE) à l</w:t>
            </w:r>
            <w:r>
              <w:rPr>
                <w:b/>
                <w:i/>
              </w:rPr>
              <w:t>’</w:t>
            </w:r>
            <w:r w:rsidRPr="0019144F">
              <w:rPr>
                <w:b/>
                <w:i/>
              </w:rPr>
              <w:t>intention des entreprises multinationales.</w:t>
            </w:r>
          </w:p>
        </w:tc>
      </w:tr>
    </w:tbl>
    <w:p w14:paraId="7853138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620E04F" w14:textId="77777777" w:rsidR="00BF7ACA" w:rsidRPr="00BF7ACA" w:rsidRDefault="00BF7ACA" w:rsidP="00BF7ACA">
      <w:r w:rsidRPr="00BF7ACA">
        <w:rPr>
          <w:rStyle w:val="HideTWBExt"/>
        </w:rPr>
        <w:t>&lt;/Amend&gt;</w:t>
      </w:r>
    </w:p>
    <w:p w14:paraId="1CFE8969"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109</w:t>
      </w:r>
      <w:r w:rsidRPr="00BF7ACA">
        <w:rPr>
          <w:rStyle w:val="HideTWBExt"/>
          <w:b w:val="0"/>
        </w:rPr>
        <w:t>&lt;/NumAm&gt;</w:t>
      </w:r>
    </w:p>
    <w:p w14:paraId="6BEA40C2" w14:textId="77777777" w:rsidR="00BF7ACA" w:rsidRPr="00BF7ACA" w:rsidRDefault="00BF7ACA" w:rsidP="00BF7ACA">
      <w:pPr>
        <w:pStyle w:val="NormalBold"/>
      </w:pPr>
      <w:r w:rsidRPr="00BF7ACA">
        <w:rPr>
          <w:rStyle w:val="HideTWBExt"/>
          <w:b w:val="0"/>
        </w:rPr>
        <w:t>&lt;RepeatBlock-By&gt;&lt;Members&gt;</w:t>
      </w:r>
      <w:r w:rsidRPr="00BF7ACA">
        <w:t>Bernd Kölmel</w:t>
      </w:r>
      <w:r w:rsidRPr="00BF7ACA">
        <w:rPr>
          <w:rStyle w:val="HideTWBExt"/>
          <w:b w:val="0"/>
        </w:rPr>
        <w:t>&lt;/Members&gt;</w:t>
      </w:r>
    </w:p>
    <w:p w14:paraId="14C3347C" w14:textId="77777777" w:rsidR="00BF7ACA" w:rsidRPr="00E502E5" w:rsidRDefault="00BF7ACA" w:rsidP="00BF7ACA">
      <w:r>
        <w:rPr>
          <w:rStyle w:val="HideTWBExt"/>
        </w:rPr>
        <w:t>&lt;/RepeatBlock-By&gt;</w:t>
      </w:r>
    </w:p>
    <w:p w14:paraId="1FC14301" w14:textId="77777777" w:rsidR="00BF7ACA" w:rsidRPr="00E502E5" w:rsidRDefault="00BF7ACA" w:rsidP="00BF7ACA">
      <w:pPr>
        <w:pStyle w:val="NormalBold"/>
        <w:keepNext/>
      </w:pPr>
      <w:r>
        <w:rPr>
          <w:rStyle w:val="HideTWBExt"/>
          <w:b w:val="0"/>
        </w:rPr>
        <w:t>&lt;DocAmend&gt;</w:t>
      </w:r>
      <w:r w:rsidRPr="00936017">
        <w:t>Proposition de règlement</w:t>
      </w:r>
      <w:r>
        <w:rPr>
          <w:rStyle w:val="HideTWBExt"/>
          <w:b w:val="0"/>
        </w:rPr>
        <w:t>&lt;/DocAmend&gt;</w:t>
      </w:r>
    </w:p>
    <w:p w14:paraId="54343B8E" w14:textId="77777777" w:rsidR="00BF7ACA" w:rsidRPr="00E502E5" w:rsidRDefault="00BF7ACA" w:rsidP="00BF7ACA">
      <w:pPr>
        <w:pStyle w:val="NormalBold"/>
      </w:pPr>
      <w:r>
        <w:rPr>
          <w:rStyle w:val="HideTWBExt"/>
          <w:b w:val="0"/>
        </w:rPr>
        <w:t>&lt;Article&gt;</w:t>
      </w:r>
      <w:r w:rsidRPr="00936017">
        <w:t>Considérant 4 bis (nouveau)</w:t>
      </w:r>
      <w:r>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379BC70C" w14:textId="77777777" w:rsidTr="007924BE">
        <w:trPr>
          <w:jc w:val="center"/>
        </w:trPr>
        <w:tc>
          <w:tcPr>
            <w:tcW w:w="9752" w:type="dxa"/>
            <w:gridSpan w:val="2"/>
          </w:tcPr>
          <w:p w14:paraId="72DD8748" w14:textId="77777777" w:rsidR="00BF7ACA" w:rsidRPr="00E502E5" w:rsidRDefault="00BF7ACA" w:rsidP="007924BE">
            <w:pPr>
              <w:keepNext/>
            </w:pPr>
          </w:p>
        </w:tc>
      </w:tr>
      <w:tr w:rsidR="00BF7ACA" w:rsidRPr="00E502E5" w14:paraId="5FCC6FD1" w14:textId="77777777" w:rsidTr="007924BE">
        <w:trPr>
          <w:jc w:val="center"/>
        </w:trPr>
        <w:tc>
          <w:tcPr>
            <w:tcW w:w="4876" w:type="dxa"/>
            <w:hideMark/>
          </w:tcPr>
          <w:p w14:paraId="6E2FF4CB" w14:textId="77777777" w:rsidR="00BF7ACA" w:rsidRPr="00936017" w:rsidRDefault="00BF7ACA" w:rsidP="007924BE">
            <w:pPr>
              <w:pStyle w:val="ColumnHeading"/>
              <w:keepNext/>
            </w:pPr>
            <w:r w:rsidRPr="00936017">
              <w:t>Texte proposé par la Commission</w:t>
            </w:r>
          </w:p>
        </w:tc>
        <w:tc>
          <w:tcPr>
            <w:tcW w:w="4876" w:type="dxa"/>
            <w:hideMark/>
          </w:tcPr>
          <w:p w14:paraId="40CEFCFE" w14:textId="77777777" w:rsidR="00BF7ACA" w:rsidRPr="00936017" w:rsidRDefault="00BF7ACA" w:rsidP="007924BE">
            <w:pPr>
              <w:pStyle w:val="ColumnHeading"/>
              <w:keepNext/>
            </w:pPr>
            <w:r w:rsidRPr="00936017">
              <w:t>Amendement</w:t>
            </w:r>
          </w:p>
        </w:tc>
      </w:tr>
      <w:tr w:rsidR="00BF7ACA" w:rsidRPr="00E502E5" w14:paraId="124EE123" w14:textId="77777777" w:rsidTr="007924BE">
        <w:trPr>
          <w:jc w:val="center"/>
        </w:trPr>
        <w:tc>
          <w:tcPr>
            <w:tcW w:w="4876" w:type="dxa"/>
          </w:tcPr>
          <w:p w14:paraId="40EA9312" w14:textId="77777777" w:rsidR="00BF7ACA" w:rsidRPr="00936017" w:rsidRDefault="00BF7ACA" w:rsidP="007924BE">
            <w:pPr>
              <w:pStyle w:val="Normal6"/>
            </w:pPr>
          </w:p>
        </w:tc>
        <w:tc>
          <w:tcPr>
            <w:tcW w:w="4876" w:type="dxa"/>
            <w:hideMark/>
          </w:tcPr>
          <w:p w14:paraId="0218F3D5" w14:textId="77777777" w:rsidR="00BF7ACA" w:rsidRPr="00936017" w:rsidRDefault="00BF7ACA" w:rsidP="007924BE">
            <w:pPr>
              <w:pStyle w:val="Normal6"/>
              <w:rPr>
                <w:szCs w:val="24"/>
              </w:rPr>
            </w:pPr>
            <w:r w:rsidRPr="00936017">
              <w:rPr>
                <w:b/>
                <w:i/>
              </w:rPr>
              <w:t>(4 bis)</w:t>
            </w:r>
            <w:r>
              <w:tab/>
            </w:r>
            <w:r w:rsidRPr="00936017">
              <w:rPr>
                <w:b/>
                <w:i/>
              </w:rPr>
              <w:t>Les fonds publics destinés au développement ne sont, à eux seuls, pas la solution – la coopération publique au développement a permis de réaliser beaucoup de choses. Cela ne suffit pas pour relever des défis d</w:t>
            </w:r>
            <w:r>
              <w:rPr>
                <w:b/>
                <w:i/>
              </w:rPr>
              <w:t>’</w:t>
            </w:r>
            <w:r w:rsidRPr="00936017">
              <w:rPr>
                <w:b/>
                <w:i/>
              </w:rPr>
              <w:t>une dimension nouvelle. Ces ressources devraient plutôt, à l</w:t>
            </w:r>
            <w:r>
              <w:rPr>
                <w:b/>
                <w:i/>
              </w:rPr>
              <w:t>’</w:t>
            </w:r>
            <w:r w:rsidRPr="00936017">
              <w:rPr>
                <w:b/>
                <w:i/>
              </w:rPr>
              <w:t>avenir, davantage servir de levier et encourager l</w:t>
            </w:r>
            <w:r>
              <w:rPr>
                <w:b/>
                <w:i/>
              </w:rPr>
              <w:t>’</w:t>
            </w:r>
            <w:r w:rsidRPr="00936017">
              <w:rPr>
                <w:b/>
                <w:i/>
              </w:rPr>
              <w:t>investissement privé. Il convient ce faisant de tenir compte de la durabilité comme principe fondamental d</w:t>
            </w:r>
            <w:r>
              <w:rPr>
                <w:b/>
                <w:i/>
              </w:rPr>
              <w:t>’</w:t>
            </w:r>
            <w:r w:rsidRPr="00936017">
              <w:rPr>
                <w:b/>
                <w:i/>
              </w:rPr>
              <w:t>une bonne gestion de projets.</w:t>
            </w:r>
          </w:p>
        </w:tc>
      </w:tr>
    </w:tbl>
    <w:p w14:paraId="771FBC61" w14:textId="77777777" w:rsidR="00BF7ACA" w:rsidRPr="00E502E5" w:rsidRDefault="00BF7ACA" w:rsidP="00BF7ACA">
      <w:pPr>
        <w:pStyle w:val="Olang"/>
        <w:rPr>
          <w:noProof w:val="0"/>
          <w:szCs w:val="24"/>
        </w:rPr>
      </w:pPr>
      <w:r w:rsidRPr="00936017">
        <w:rPr>
          <w:noProof w:val="0"/>
        </w:rPr>
        <w:t xml:space="preserve">Or. </w:t>
      </w:r>
      <w:r w:rsidRPr="009857D1">
        <w:rPr>
          <w:rStyle w:val="HideTWBExt"/>
          <w:noProof w:val="0"/>
        </w:rPr>
        <w:t>&lt;Original&gt;</w:t>
      </w:r>
      <w:r w:rsidRPr="009857D1">
        <w:rPr>
          <w:rStyle w:val="HideTWBInt"/>
          <w:noProof w:val="0"/>
        </w:rPr>
        <w:t>{DE}</w:t>
      </w:r>
      <w:r w:rsidRPr="00936017">
        <w:rPr>
          <w:noProof w:val="0"/>
        </w:rPr>
        <w:t>de</w:t>
      </w:r>
      <w:r w:rsidRPr="009857D1">
        <w:rPr>
          <w:rStyle w:val="HideTWBExt"/>
          <w:noProof w:val="0"/>
        </w:rPr>
        <w:t>&lt;/Original&gt;</w:t>
      </w:r>
    </w:p>
    <w:p w14:paraId="178ABCB8" w14:textId="77777777" w:rsidR="00BF7ACA" w:rsidRPr="00E502E5" w:rsidRDefault="00BF7ACA" w:rsidP="00BF7ACA">
      <w:r>
        <w:rPr>
          <w:rStyle w:val="HideTWBExt"/>
        </w:rPr>
        <w:t>&lt;/Amend&gt;</w:t>
      </w:r>
    </w:p>
    <w:p w14:paraId="58803F56"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110</w:t>
      </w:r>
      <w:r w:rsidRPr="00E502E5">
        <w:rPr>
          <w:rStyle w:val="HideTWBExt"/>
          <w:b w:val="0"/>
        </w:rPr>
        <w:t>&lt;/NumAm&gt;</w:t>
      </w:r>
    </w:p>
    <w:p w14:paraId="4B0AA34E" w14:textId="77777777"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14:paraId="7227B1BD" w14:textId="77777777" w:rsidR="00BF7ACA" w:rsidRPr="00E502E5" w:rsidRDefault="00BF7ACA" w:rsidP="00BF7ACA">
      <w:r w:rsidRPr="00E502E5">
        <w:rPr>
          <w:rStyle w:val="HideTWBExt"/>
        </w:rPr>
        <w:t>&lt;/RepeatBlock-By&gt;</w:t>
      </w:r>
    </w:p>
    <w:p w14:paraId="77DA87A8"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15933CBB" w14:textId="77777777" w:rsidR="00BF7ACA" w:rsidRPr="00E502E5" w:rsidRDefault="00BF7ACA" w:rsidP="00BF7ACA">
      <w:pPr>
        <w:pStyle w:val="NormalBold"/>
      </w:pPr>
      <w:r w:rsidRPr="00E502E5">
        <w:rPr>
          <w:rStyle w:val="HideTWBExt"/>
          <w:b w:val="0"/>
        </w:rPr>
        <w:t>&lt;Article&gt;</w:t>
      </w:r>
      <w:r w:rsidRPr="00E502E5">
        <w:t>Considérant 4 bis (nouveau)</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7037B14B" w14:textId="77777777" w:rsidTr="007924BE">
        <w:trPr>
          <w:jc w:val="center"/>
        </w:trPr>
        <w:tc>
          <w:tcPr>
            <w:tcW w:w="9752" w:type="dxa"/>
            <w:gridSpan w:val="2"/>
          </w:tcPr>
          <w:p w14:paraId="4C8D9FC9" w14:textId="77777777" w:rsidR="00BF7ACA" w:rsidRPr="00E502E5" w:rsidRDefault="00BF7ACA" w:rsidP="007924BE">
            <w:pPr>
              <w:keepNext/>
            </w:pPr>
          </w:p>
        </w:tc>
      </w:tr>
      <w:tr w:rsidR="00BF7ACA" w:rsidRPr="00E502E5" w14:paraId="67567A2D" w14:textId="77777777" w:rsidTr="007924BE">
        <w:trPr>
          <w:jc w:val="center"/>
        </w:trPr>
        <w:tc>
          <w:tcPr>
            <w:tcW w:w="4876" w:type="dxa"/>
            <w:hideMark/>
          </w:tcPr>
          <w:p w14:paraId="23996AD5" w14:textId="77777777" w:rsidR="00BF7ACA" w:rsidRPr="00E502E5" w:rsidRDefault="00BF7ACA" w:rsidP="007924BE">
            <w:pPr>
              <w:pStyle w:val="ColumnHeading"/>
              <w:keepNext/>
            </w:pPr>
            <w:r w:rsidRPr="00E502E5">
              <w:t>Texte proposé par la Commission</w:t>
            </w:r>
          </w:p>
        </w:tc>
        <w:tc>
          <w:tcPr>
            <w:tcW w:w="4876" w:type="dxa"/>
            <w:hideMark/>
          </w:tcPr>
          <w:p w14:paraId="4FA42619" w14:textId="77777777" w:rsidR="00BF7ACA" w:rsidRPr="00E502E5" w:rsidRDefault="00BF7ACA" w:rsidP="007924BE">
            <w:pPr>
              <w:pStyle w:val="ColumnHeading"/>
              <w:keepNext/>
            </w:pPr>
            <w:r w:rsidRPr="00E502E5">
              <w:t>Amendement</w:t>
            </w:r>
          </w:p>
        </w:tc>
      </w:tr>
      <w:tr w:rsidR="00BF7ACA" w:rsidRPr="00E502E5" w14:paraId="0F662279" w14:textId="77777777" w:rsidTr="007924BE">
        <w:trPr>
          <w:jc w:val="center"/>
        </w:trPr>
        <w:tc>
          <w:tcPr>
            <w:tcW w:w="4876" w:type="dxa"/>
          </w:tcPr>
          <w:p w14:paraId="7B99FC2B" w14:textId="77777777" w:rsidR="00BF7ACA" w:rsidRPr="00E502E5" w:rsidRDefault="00BF7ACA" w:rsidP="007924BE">
            <w:pPr>
              <w:pStyle w:val="Normal6"/>
            </w:pPr>
          </w:p>
        </w:tc>
        <w:tc>
          <w:tcPr>
            <w:tcW w:w="4876" w:type="dxa"/>
            <w:hideMark/>
          </w:tcPr>
          <w:p w14:paraId="5D6BE612" w14:textId="77777777" w:rsidR="00BF7ACA" w:rsidRPr="00E502E5" w:rsidRDefault="00BF7ACA" w:rsidP="007924BE">
            <w:pPr>
              <w:pStyle w:val="Normal6"/>
              <w:rPr>
                <w:szCs w:val="24"/>
              </w:rPr>
            </w:pPr>
            <w:r w:rsidRPr="00E502E5">
              <w:rPr>
                <w:b/>
                <w:i/>
              </w:rPr>
              <w:t>(4 bis)</w:t>
            </w:r>
            <w:r w:rsidRPr="00E502E5">
              <w:tab/>
            </w:r>
            <w:r w:rsidRPr="00E502E5">
              <w:rPr>
                <w:b/>
                <w:i/>
              </w:rPr>
              <w:t>Le FEDD devrait promouvoir la création d</w:t>
            </w:r>
            <w:r>
              <w:rPr>
                <w:b/>
                <w:i/>
              </w:rPr>
              <w:t>’</w:t>
            </w:r>
            <w:r w:rsidRPr="00E502E5">
              <w:rPr>
                <w:b/>
                <w:i/>
              </w:rPr>
              <w:t>emplois décents, les perspectives économiques et l</w:t>
            </w:r>
            <w:r>
              <w:rPr>
                <w:b/>
                <w:i/>
              </w:rPr>
              <w:t>’</w:t>
            </w:r>
            <w:r w:rsidRPr="00E502E5">
              <w:rPr>
                <w:b/>
                <w:i/>
              </w:rPr>
              <w:t>entreprenariat, en insistant plus particulièrement sur les jeunes, sur l</w:t>
            </w:r>
            <w:r>
              <w:rPr>
                <w:b/>
                <w:i/>
              </w:rPr>
              <w:t>’</w:t>
            </w:r>
            <w:r w:rsidRPr="00E502E5">
              <w:rPr>
                <w:b/>
                <w:i/>
              </w:rPr>
              <w:t>égalité entre les hommes et les femmes et l</w:t>
            </w:r>
            <w:r>
              <w:rPr>
                <w:b/>
                <w:i/>
              </w:rPr>
              <w:t>’</w:t>
            </w:r>
            <w:r w:rsidRPr="00E502E5">
              <w:rPr>
                <w:b/>
                <w:i/>
              </w:rPr>
              <w:t>autonomisation des femmes et des jeunes, conformément au plan d</w:t>
            </w:r>
            <w:r>
              <w:rPr>
                <w:b/>
                <w:i/>
              </w:rPr>
              <w:t>’</w:t>
            </w:r>
            <w:r w:rsidRPr="00E502E5">
              <w:rPr>
                <w:b/>
                <w:i/>
              </w:rPr>
              <w:t>action de l</w:t>
            </w:r>
            <w:r>
              <w:rPr>
                <w:b/>
                <w:i/>
              </w:rPr>
              <w:t>’</w:t>
            </w:r>
            <w:r w:rsidRPr="00E502E5">
              <w:rPr>
                <w:b/>
                <w:i/>
              </w:rPr>
              <w:t>Union sur l</w:t>
            </w:r>
            <w:r>
              <w:rPr>
                <w:b/>
                <w:i/>
              </w:rPr>
              <w:t>’</w:t>
            </w:r>
            <w:r w:rsidRPr="00E502E5">
              <w:rPr>
                <w:b/>
                <w:i/>
              </w:rPr>
              <w:t>égalité des sexes pour la période 2016-2020, tout en consolidant l</w:t>
            </w:r>
            <w:r>
              <w:rPr>
                <w:b/>
                <w:i/>
              </w:rPr>
              <w:t>’</w:t>
            </w:r>
            <w:r w:rsidRPr="00E502E5">
              <w:rPr>
                <w:b/>
                <w:i/>
              </w:rPr>
              <w:t>état de droit, la bonne gouvernance et les droits de l</w:t>
            </w:r>
            <w:r>
              <w:rPr>
                <w:b/>
                <w:i/>
              </w:rPr>
              <w:t>’</w:t>
            </w:r>
            <w:r w:rsidRPr="00E502E5">
              <w:rPr>
                <w:b/>
                <w:i/>
              </w:rPr>
              <w:t>homme.</w:t>
            </w:r>
          </w:p>
        </w:tc>
      </w:tr>
    </w:tbl>
    <w:p w14:paraId="5C453EF1"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678C8C39" w14:textId="77777777" w:rsidR="00BF7ACA" w:rsidRPr="00E502E5" w:rsidRDefault="00BF7ACA" w:rsidP="00BF7ACA">
      <w:r w:rsidRPr="00E502E5">
        <w:rPr>
          <w:rStyle w:val="HideTWBExt"/>
        </w:rPr>
        <w:t>&lt;/Amend&gt;</w:t>
      </w:r>
    </w:p>
    <w:p w14:paraId="489F34E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111</w:t>
      </w:r>
      <w:r w:rsidRPr="00BF7ACA">
        <w:rPr>
          <w:rStyle w:val="HideTWBExt"/>
          <w:b w:val="0"/>
        </w:rPr>
        <w:t>&lt;/NumAm&gt;</w:t>
      </w:r>
    </w:p>
    <w:p w14:paraId="1EBC5AE8"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Hilde Vautmans, Ilhan Kyuchyuk, Nedzhmi Ali</w:t>
      </w:r>
      <w:r w:rsidRPr="00BF7ACA">
        <w:rPr>
          <w:rStyle w:val="HideTWBExt"/>
          <w:b w:val="0"/>
        </w:rPr>
        <w:t>&lt;/Members&gt;</w:t>
      </w:r>
    </w:p>
    <w:p w14:paraId="3AF82E7A" w14:textId="77777777" w:rsidR="00BF7ACA" w:rsidRPr="005A5903" w:rsidRDefault="00BF7ACA" w:rsidP="00BF7ACA">
      <w:r>
        <w:rPr>
          <w:rStyle w:val="HideTWBExt"/>
        </w:rPr>
        <w:t>&lt;/RepeatBlock-By&gt;</w:t>
      </w:r>
    </w:p>
    <w:p w14:paraId="5E1BE100"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6E939F4E" w14:textId="77777777" w:rsidR="00BF7ACA" w:rsidRPr="005A5903" w:rsidRDefault="00BF7ACA" w:rsidP="00BF7ACA">
      <w:pPr>
        <w:pStyle w:val="NormalBold"/>
      </w:pPr>
      <w:r>
        <w:rPr>
          <w:rStyle w:val="HideTWBExt"/>
          <w:b w:val="0"/>
        </w:rPr>
        <w:t>&lt;Article&gt;</w:t>
      </w:r>
      <w:r w:rsidRPr="0019144F">
        <w:t>Considérant 4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08907468" w14:textId="77777777" w:rsidTr="007924BE">
        <w:trPr>
          <w:jc w:val="center"/>
        </w:trPr>
        <w:tc>
          <w:tcPr>
            <w:tcW w:w="9752" w:type="dxa"/>
            <w:gridSpan w:val="2"/>
          </w:tcPr>
          <w:p w14:paraId="3053592A" w14:textId="77777777" w:rsidR="00BF7ACA" w:rsidRPr="005A5903" w:rsidRDefault="00BF7ACA" w:rsidP="007924BE">
            <w:pPr>
              <w:keepNext/>
            </w:pPr>
          </w:p>
        </w:tc>
      </w:tr>
      <w:tr w:rsidR="00BF7ACA" w:rsidRPr="005A5903" w14:paraId="345656AE" w14:textId="77777777" w:rsidTr="007924BE">
        <w:trPr>
          <w:jc w:val="center"/>
        </w:trPr>
        <w:tc>
          <w:tcPr>
            <w:tcW w:w="4876" w:type="dxa"/>
            <w:hideMark/>
          </w:tcPr>
          <w:p w14:paraId="28CE6C96" w14:textId="77777777" w:rsidR="00BF7ACA" w:rsidRPr="0019144F" w:rsidRDefault="00BF7ACA" w:rsidP="007924BE">
            <w:pPr>
              <w:pStyle w:val="ColumnHeading"/>
              <w:keepNext/>
            </w:pPr>
            <w:r w:rsidRPr="0019144F">
              <w:t>Texte proposé par la Commission</w:t>
            </w:r>
          </w:p>
        </w:tc>
        <w:tc>
          <w:tcPr>
            <w:tcW w:w="4876" w:type="dxa"/>
            <w:hideMark/>
          </w:tcPr>
          <w:p w14:paraId="12286FD1" w14:textId="77777777" w:rsidR="00BF7ACA" w:rsidRPr="0019144F" w:rsidRDefault="00BF7ACA" w:rsidP="007924BE">
            <w:pPr>
              <w:pStyle w:val="ColumnHeading"/>
              <w:keepNext/>
            </w:pPr>
            <w:r w:rsidRPr="0019144F">
              <w:t>Amendement</w:t>
            </w:r>
          </w:p>
        </w:tc>
      </w:tr>
      <w:tr w:rsidR="00BF7ACA" w:rsidRPr="005A5903" w14:paraId="35F73919" w14:textId="77777777" w:rsidTr="007924BE">
        <w:trPr>
          <w:jc w:val="center"/>
        </w:trPr>
        <w:tc>
          <w:tcPr>
            <w:tcW w:w="4876" w:type="dxa"/>
          </w:tcPr>
          <w:p w14:paraId="6F481C10" w14:textId="77777777" w:rsidR="00BF7ACA" w:rsidRPr="0019144F" w:rsidRDefault="00BF7ACA" w:rsidP="007924BE">
            <w:pPr>
              <w:pStyle w:val="Normal6"/>
            </w:pPr>
          </w:p>
        </w:tc>
        <w:tc>
          <w:tcPr>
            <w:tcW w:w="4876" w:type="dxa"/>
            <w:hideMark/>
          </w:tcPr>
          <w:p w14:paraId="3C697D43" w14:textId="77777777" w:rsidR="00BF7ACA" w:rsidRPr="0019144F" w:rsidRDefault="00BF7ACA" w:rsidP="007924BE">
            <w:pPr>
              <w:pStyle w:val="Normal6"/>
              <w:rPr>
                <w:szCs w:val="24"/>
              </w:rPr>
            </w:pPr>
            <w:r w:rsidRPr="0019144F">
              <w:rPr>
                <w:b/>
                <w:i/>
              </w:rPr>
              <w:t>(4 bis)</w:t>
            </w:r>
            <w:r>
              <w:tab/>
            </w:r>
            <w:r w:rsidRPr="0019144F">
              <w:rPr>
                <w:b/>
                <w:i/>
              </w:rPr>
              <w:t>Afin de respecter les engagements politiques de l</w:t>
            </w:r>
            <w:r>
              <w:rPr>
                <w:b/>
                <w:i/>
              </w:rPr>
              <w:t>’</w:t>
            </w:r>
            <w:r w:rsidRPr="0019144F">
              <w:rPr>
                <w:b/>
                <w:i/>
              </w:rPr>
              <w:t>Union en matière d</w:t>
            </w:r>
            <w:r>
              <w:rPr>
                <w:b/>
                <w:i/>
              </w:rPr>
              <w:t>’</w:t>
            </w:r>
            <w:r w:rsidRPr="0019144F">
              <w:rPr>
                <w:b/>
                <w:i/>
              </w:rPr>
              <w:t>énergies renouvelables, d</w:t>
            </w:r>
            <w:r>
              <w:rPr>
                <w:b/>
                <w:i/>
              </w:rPr>
              <w:t>’</w:t>
            </w:r>
            <w:r w:rsidRPr="0019144F">
              <w:rPr>
                <w:b/>
                <w:i/>
              </w:rPr>
              <w:t>efficacité énergétique, d</w:t>
            </w:r>
            <w:r>
              <w:rPr>
                <w:b/>
                <w:i/>
              </w:rPr>
              <w:t>’</w:t>
            </w:r>
            <w:r w:rsidRPr="0019144F">
              <w:rPr>
                <w:b/>
                <w:i/>
              </w:rPr>
              <w:t>atténuation du changement climatique et d</w:t>
            </w:r>
            <w:r>
              <w:rPr>
                <w:b/>
                <w:i/>
              </w:rPr>
              <w:t>’</w:t>
            </w:r>
            <w:r w:rsidRPr="0019144F">
              <w:rPr>
                <w:b/>
                <w:i/>
              </w:rPr>
              <w:t>adaptation à celui-ci, une part de 35 % au moins des fonds alloués au titre du FEDD devrait être consacrée à des opérations de financement ou d</w:t>
            </w:r>
            <w:r>
              <w:rPr>
                <w:b/>
                <w:i/>
              </w:rPr>
              <w:t>’</w:t>
            </w:r>
            <w:r w:rsidRPr="0019144F">
              <w:rPr>
                <w:b/>
                <w:i/>
              </w:rPr>
              <w:t>investissement pleinement pertinentes pour ces secteurs, ce qui contribuera à la mise en œuvre de l</w:t>
            </w:r>
            <w:r>
              <w:rPr>
                <w:b/>
                <w:i/>
              </w:rPr>
              <w:t>’</w:t>
            </w:r>
            <w:r w:rsidRPr="0019144F">
              <w:rPr>
                <w:b/>
                <w:i/>
              </w:rPr>
              <w:t>accord de Paris sur le changement climatique.</w:t>
            </w:r>
          </w:p>
        </w:tc>
      </w:tr>
    </w:tbl>
    <w:p w14:paraId="6856520A" w14:textId="77777777" w:rsidR="00BF7ACA" w:rsidRPr="005A5903" w:rsidRDefault="00BF7ACA" w:rsidP="00BF7ACA">
      <w:pPr>
        <w:pStyle w:val="Olang"/>
        <w:rPr>
          <w:noProof w:val="0"/>
          <w:szCs w:val="24"/>
        </w:rPr>
      </w:pPr>
      <w:r w:rsidRPr="0019144F">
        <w:rPr>
          <w:noProof w:val="0"/>
        </w:rPr>
        <w:t xml:space="preserve">Or. </w:t>
      </w:r>
      <w:r w:rsidRPr="00004DC1">
        <w:rPr>
          <w:rStyle w:val="HideTWBExt"/>
          <w:noProof w:val="0"/>
        </w:rPr>
        <w:t>&lt;Original&gt;</w:t>
      </w:r>
      <w:r w:rsidRPr="00004DC1">
        <w:rPr>
          <w:rStyle w:val="HideTWBInt"/>
          <w:noProof w:val="0"/>
        </w:rPr>
        <w:t>{EN}</w:t>
      </w:r>
      <w:r w:rsidRPr="0019144F">
        <w:rPr>
          <w:noProof w:val="0"/>
        </w:rPr>
        <w:t>en</w:t>
      </w:r>
      <w:r w:rsidRPr="00004DC1">
        <w:rPr>
          <w:rStyle w:val="HideTWBExt"/>
          <w:noProof w:val="0"/>
        </w:rPr>
        <w:t>&lt;/Original&gt;</w:t>
      </w:r>
    </w:p>
    <w:p w14:paraId="5296414B" w14:textId="77777777" w:rsidR="00BF7ACA" w:rsidRPr="005A5903" w:rsidRDefault="00BF7ACA" w:rsidP="00BF7ACA">
      <w:pPr>
        <w:pStyle w:val="JustificationTitle"/>
        <w:rPr>
          <w:noProof w:val="0"/>
        </w:rPr>
      </w:pPr>
      <w:r>
        <w:rPr>
          <w:rStyle w:val="HideTWBExt"/>
          <w:i w:val="0"/>
          <w:noProof w:val="0"/>
        </w:rPr>
        <w:t>&lt;TitreJust&gt;</w:t>
      </w:r>
      <w:r w:rsidRPr="0019144F">
        <w:rPr>
          <w:noProof w:val="0"/>
        </w:rPr>
        <w:t>Justification</w:t>
      </w:r>
      <w:r>
        <w:rPr>
          <w:rStyle w:val="HideTWBExt"/>
          <w:i w:val="0"/>
          <w:noProof w:val="0"/>
        </w:rPr>
        <w:t>&lt;/TitreJust&gt;</w:t>
      </w:r>
    </w:p>
    <w:p w14:paraId="6953B728" w14:textId="77777777" w:rsidR="00BF7ACA" w:rsidRPr="005A5903" w:rsidRDefault="00BF7ACA" w:rsidP="00BF7ACA">
      <w:pPr>
        <w:pStyle w:val="Normal12Italic"/>
        <w:rPr>
          <w:noProof w:val="0"/>
        </w:rPr>
      </w:pPr>
      <w:r>
        <w:rPr>
          <w:noProof w:val="0"/>
        </w:rPr>
        <w:t>En 2015, la BEI a fixé l’objectif visant à consacrer 35 % de ses prêts à l’action en faveur du climat dans les pays en développement. Nous devrions nous aligner sur cette position, de manière à ce qu’au moins 35 % du financement du FEDD contribue à la lutte contre le changement climatique.</w:t>
      </w:r>
    </w:p>
    <w:p w14:paraId="4BA65C5C" w14:textId="77777777" w:rsidR="00BF7ACA" w:rsidRPr="00BF7ACA" w:rsidRDefault="00BF7ACA" w:rsidP="00BF7ACA">
      <w:r w:rsidRPr="00BF7ACA">
        <w:rPr>
          <w:rStyle w:val="HideTWBExt"/>
        </w:rPr>
        <w:t>&lt;/Amend&gt;</w:t>
      </w:r>
    </w:p>
    <w:p w14:paraId="799D0969"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112</w:t>
      </w:r>
      <w:r w:rsidRPr="00BF7ACA">
        <w:rPr>
          <w:rStyle w:val="HideTWBExt"/>
          <w:b w:val="0"/>
        </w:rPr>
        <w:t>&lt;/NumAm&gt;</w:t>
      </w:r>
    </w:p>
    <w:p w14:paraId="187F0865" w14:textId="77777777" w:rsidR="00BF7ACA" w:rsidRPr="00BF7ACA" w:rsidRDefault="00BF7ACA" w:rsidP="00BF7ACA">
      <w:pPr>
        <w:pStyle w:val="NormalBold"/>
      </w:pPr>
      <w:r w:rsidRPr="00BF7ACA">
        <w:rPr>
          <w:rStyle w:val="HideTWBExt"/>
          <w:b w:val="0"/>
        </w:rPr>
        <w:t>&lt;RepeatBlock-By&gt;&lt;Members&gt;</w:t>
      </w:r>
      <w:r w:rsidRPr="00BF7ACA">
        <w:t>Doru-Claudian Frunzulică, Soraya Post, Eider Gardiazabal Rubial</w:t>
      </w:r>
      <w:r w:rsidRPr="00BF7ACA">
        <w:rPr>
          <w:rStyle w:val="HideTWBExt"/>
          <w:b w:val="0"/>
        </w:rPr>
        <w:t>&lt;/Members&gt;</w:t>
      </w:r>
    </w:p>
    <w:p w14:paraId="5C71B8EC" w14:textId="77777777" w:rsidR="00BF7ACA" w:rsidRPr="005A5903" w:rsidRDefault="00BF7ACA" w:rsidP="00BF7ACA">
      <w:r>
        <w:rPr>
          <w:rStyle w:val="HideTWBExt"/>
        </w:rPr>
        <w:t>&lt;/RepeatBlock-By&gt;</w:t>
      </w:r>
    </w:p>
    <w:p w14:paraId="11D01259"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765CA749" w14:textId="77777777" w:rsidR="00BF7ACA" w:rsidRPr="005A5903" w:rsidRDefault="00BF7ACA" w:rsidP="00BF7ACA">
      <w:pPr>
        <w:pStyle w:val="NormalBold"/>
      </w:pPr>
      <w:r>
        <w:rPr>
          <w:rStyle w:val="HideTWBExt"/>
          <w:b w:val="0"/>
        </w:rPr>
        <w:t>&lt;Article&gt;</w:t>
      </w:r>
      <w:r w:rsidRPr="0019144F">
        <w:t>Considérant 4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6F98F91F" w14:textId="77777777" w:rsidTr="007924BE">
        <w:trPr>
          <w:jc w:val="center"/>
        </w:trPr>
        <w:tc>
          <w:tcPr>
            <w:tcW w:w="9752" w:type="dxa"/>
            <w:gridSpan w:val="2"/>
          </w:tcPr>
          <w:p w14:paraId="5B8A9C3F" w14:textId="77777777" w:rsidR="00BF7ACA" w:rsidRPr="005A5903" w:rsidRDefault="00BF7ACA" w:rsidP="007924BE">
            <w:pPr>
              <w:keepNext/>
            </w:pPr>
          </w:p>
        </w:tc>
      </w:tr>
      <w:tr w:rsidR="00BF7ACA" w:rsidRPr="005A5903" w14:paraId="01C92378" w14:textId="77777777" w:rsidTr="007924BE">
        <w:trPr>
          <w:jc w:val="center"/>
        </w:trPr>
        <w:tc>
          <w:tcPr>
            <w:tcW w:w="4876" w:type="dxa"/>
            <w:hideMark/>
          </w:tcPr>
          <w:p w14:paraId="5A9A0B1A" w14:textId="77777777" w:rsidR="00BF7ACA" w:rsidRPr="0019144F" w:rsidRDefault="00BF7ACA" w:rsidP="007924BE">
            <w:pPr>
              <w:pStyle w:val="ColumnHeading"/>
              <w:keepNext/>
            </w:pPr>
            <w:r w:rsidRPr="0019144F">
              <w:t>Texte proposé par la Commission</w:t>
            </w:r>
          </w:p>
        </w:tc>
        <w:tc>
          <w:tcPr>
            <w:tcW w:w="4876" w:type="dxa"/>
            <w:hideMark/>
          </w:tcPr>
          <w:p w14:paraId="62A8D390" w14:textId="77777777" w:rsidR="00BF7ACA" w:rsidRPr="0019144F" w:rsidRDefault="00BF7ACA" w:rsidP="007924BE">
            <w:pPr>
              <w:pStyle w:val="ColumnHeading"/>
              <w:keepNext/>
            </w:pPr>
            <w:r w:rsidRPr="0019144F">
              <w:t>Amendement</w:t>
            </w:r>
          </w:p>
        </w:tc>
      </w:tr>
      <w:tr w:rsidR="00BF7ACA" w:rsidRPr="005A5903" w14:paraId="30B60B18" w14:textId="77777777" w:rsidTr="007924BE">
        <w:trPr>
          <w:jc w:val="center"/>
        </w:trPr>
        <w:tc>
          <w:tcPr>
            <w:tcW w:w="4876" w:type="dxa"/>
          </w:tcPr>
          <w:p w14:paraId="1C625224" w14:textId="77777777" w:rsidR="00BF7ACA" w:rsidRPr="0019144F" w:rsidRDefault="00BF7ACA" w:rsidP="007924BE">
            <w:pPr>
              <w:pStyle w:val="Normal6"/>
            </w:pPr>
          </w:p>
        </w:tc>
        <w:tc>
          <w:tcPr>
            <w:tcW w:w="4876" w:type="dxa"/>
            <w:hideMark/>
          </w:tcPr>
          <w:p w14:paraId="02F5F49E" w14:textId="77777777" w:rsidR="00BF7ACA" w:rsidRPr="0019144F" w:rsidRDefault="00BF7ACA" w:rsidP="007924BE">
            <w:pPr>
              <w:pStyle w:val="Normal6"/>
              <w:rPr>
                <w:szCs w:val="24"/>
              </w:rPr>
            </w:pPr>
            <w:r w:rsidRPr="0019144F">
              <w:rPr>
                <w:b/>
                <w:i/>
              </w:rPr>
              <w:t>(4 bis)</w:t>
            </w:r>
            <w:r>
              <w:tab/>
            </w:r>
            <w:r w:rsidRPr="0019144F">
              <w:rPr>
                <w:b/>
                <w:i/>
              </w:rPr>
              <w:t>Afin de respecter les engagements politiques de l</w:t>
            </w:r>
            <w:r>
              <w:rPr>
                <w:b/>
                <w:i/>
              </w:rPr>
              <w:t>’</w:t>
            </w:r>
            <w:r w:rsidRPr="0019144F">
              <w:rPr>
                <w:b/>
                <w:i/>
              </w:rPr>
              <w:t>Union sur le plan des énergies renouvelables et du changement climatique, y compris de l</w:t>
            </w:r>
            <w:r>
              <w:rPr>
                <w:b/>
                <w:i/>
              </w:rPr>
              <w:t>’</w:t>
            </w:r>
            <w:r w:rsidRPr="0019144F">
              <w:rPr>
                <w:b/>
                <w:i/>
              </w:rPr>
              <w:t>utilisation efficace</w:t>
            </w:r>
            <w:r>
              <w:rPr>
                <w:b/>
                <w:i/>
              </w:rPr>
              <w:t xml:space="preserve"> des ressources, une part de 35 </w:t>
            </w:r>
            <w:r w:rsidRPr="0019144F">
              <w:rPr>
                <w:b/>
                <w:i/>
              </w:rPr>
              <w:t>% au moins des fonds alloués au titre du FEDD devrait être consacrée à des opérations de financement ou d</w:t>
            </w:r>
            <w:r>
              <w:rPr>
                <w:b/>
                <w:i/>
              </w:rPr>
              <w:t>’</w:t>
            </w:r>
            <w:r w:rsidRPr="0019144F">
              <w:rPr>
                <w:b/>
                <w:i/>
              </w:rPr>
              <w:t>investissement pertinentes pour ces secteurs, ce qui contribuera à la mise en œuvre de l</w:t>
            </w:r>
            <w:r>
              <w:rPr>
                <w:b/>
                <w:i/>
              </w:rPr>
              <w:t>’</w:t>
            </w:r>
            <w:r w:rsidRPr="0019144F">
              <w:rPr>
                <w:b/>
                <w:i/>
              </w:rPr>
              <w:t>accord de Paris sur le changement climatique.</w:t>
            </w:r>
          </w:p>
        </w:tc>
      </w:tr>
    </w:tbl>
    <w:p w14:paraId="52D46C5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A4C2CAD" w14:textId="77777777" w:rsidR="00BF7ACA" w:rsidRPr="00BF7ACA" w:rsidRDefault="00BF7ACA" w:rsidP="00BF7ACA">
      <w:r w:rsidRPr="00BF7ACA">
        <w:rPr>
          <w:rStyle w:val="HideTWBExt"/>
        </w:rPr>
        <w:t>&lt;/Amend&gt;</w:t>
      </w:r>
    </w:p>
    <w:p w14:paraId="75DEAC87"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113</w:t>
      </w:r>
      <w:r w:rsidRPr="00BF7ACA">
        <w:rPr>
          <w:rStyle w:val="HideTWBExt"/>
          <w:b w:val="0"/>
        </w:rPr>
        <w:t>&lt;/NumAm&gt;</w:t>
      </w:r>
    </w:p>
    <w:p w14:paraId="7A8DB418"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29430311" w14:textId="77777777" w:rsidR="00BF7ACA" w:rsidRPr="005A5903" w:rsidRDefault="00BF7ACA" w:rsidP="00BF7ACA">
      <w:r>
        <w:rPr>
          <w:rStyle w:val="HideTWBExt"/>
        </w:rPr>
        <w:t>&lt;/RepeatBlock-By&gt;</w:t>
      </w:r>
    </w:p>
    <w:p w14:paraId="0AD970E1"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52CC2913" w14:textId="77777777" w:rsidR="00BF7ACA" w:rsidRPr="005A5903" w:rsidRDefault="00BF7ACA" w:rsidP="00BF7ACA">
      <w:pPr>
        <w:pStyle w:val="NormalBold"/>
      </w:pPr>
      <w:r>
        <w:rPr>
          <w:rStyle w:val="HideTWBExt"/>
          <w:b w:val="0"/>
        </w:rPr>
        <w:t>&lt;Article&gt;</w:t>
      </w:r>
      <w:r w:rsidRPr="0019144F">
        <w:t>Considérant 4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1A190BD5" w14:textId="77777777" w:rsidTr="007924BE">
        <w:trPr>
          <w:jc w:val="center"/>
        </w:trPr>
        <w:tc>
          <w:tcPr>
            <w:tcW w:w="9752" w:type="dxa"/>
            <w:gridSpan w:val="2"/>
          </w:tcPr>
          <w:p w14:paraId="7D50A6B9" w14:textId="77777777" w:rsidR="00BF7ACA" w:rsidRPr="005A5903" w:rsidRDefault="00BF7ACA" w:rsidP="007924BE">
            <w:pPr>
              <w:keepNext/>
            </w:pPr>
          </w:p>
        </w:tc>
      </w:tr>
      <w:tr w:rsidR="00BF7ACA" w:rsidRPr="005A5903" w14:paraId="0D22B866" w14:textId="77777777" w:rsidTr="007924BE">
        <w:trPr>
          <w:jc w:val="center"/>
        </w:trPr>
        <w:tc>
          <w:tcPr>
            <w:tcW w:w="4876" w:type="dxa"/>
            <w:hideMark/>
          </w:tcPr>
          <w:p w14:paraId="4DE7B156" w14:textId="77777777" w:rsidR="00BF7ACA" w:rsidRPr="0019144F" w:rsidRDefault="00BF7ACA" w:rsidP="007924BE">
            <w:pPr>
              <w:pStyle w:val="ColumnHeading"/>
              <w:keepNext/>
            </w:pPr>
            <w:r w:rsidRPr="0019144F">
              <w:t>Texte proposé par la Commission</w:t>
            </w:r>
          </w:p>
        </w:tc>
        <w:tc>
          <w:tcPr>
            <w:tcW w:w="4876" w:type="dxa"/>
            <w:hideMark/>
          </w:tcPr>
          <w:p w14:paraId="4C8B0A9B" w14:textId="77777777" w:rsidR="00BF7ACA" w:rsidRPr="0019144F" w:rsidRDefault="00BF7ACA" w:rsidP="007924BE">
            <w:pPr>
              <w:pStyle w:val="ColumnHeading"/>
              <w:keepNext/>
            </w:pPr>
            <w:r w:rsidRPr="0019144F">
              <w:t>Amendement</w:t>
            </w:r>
          </w:p>
        </w:tc>
      </w:tr>
      <w:tr w:rsidR="00BF7ACA" w:rsidRPr="005A5903" w14:paraId="026BE06E" w14:textId="77777777" w:rsidTr="007924BE">
        <w:trPr>
          <w:jc w:val="center"/>
        </w:trPr>
        <w:tc>
          <w:tcPr>
            <w:tcW w:w="4876" w:type="dxa"/>
          </w:tcPr>
          <w:p w14:paraId="0808DD9A" w14:textId="77777777" w:rsidR="00BF7ACA" w:rsidRPr="0019144F" w:rsidRDefault="00BF7ACA" w:rsidP="007924BE">
            <w:pPr>
              <w:pStyle w:val="Normal6"/>
            </w:pPr>
          </w:p>
        </w:tc>
        <w:tc>
          <w:tcPr>
            <w:tcW w:w="4876" w:type="dxa"/>
            <w:hideMark/>
          </w:tcPr>
          <w:p w14:paraId="572A076E" w14:textId="77777777" w:rsidR="00BF7ACA" w:rsidRPr="0019144F" w:rsidRDefault="00BF7ACA" w:rsidP="007924BE">
            <w:pPr>
              <w:pStyle w:val="Normal6"/>
              <w:rPr>
                <w:szCs w:val="24"/>
              </w:rPr>
            </w:pPr>
            <w:r w:rsidRPr="0019144F">
              <w:rPr>
                <w:b/>
                <w:i/>
              </w:rPr>
              <w:t>(4 bis)</w:t>
            </w:r>
            <w:r>
              <w:tab/>
            </w:r>
            <w:r w:rsidRPr="0019144F">
              <w:rPr>
                <w:b/>
                <w:i/>
              </w:rPr>
              <w:t>Le FEDD devrait intégrer les engagements de l</w:t>
            </w:r>
            <w:r>
              <w:rPr>
                <w:b/>
                <w:i/>
              </w:rPr>
              <w:t>’</w:t>
            </w:r>
            <w:r w:rsidRPr="0019144F">
              <w:rPr>
                <w:b/>
                <w:i/>
              </w:rPr>
              <w:t>Union relatifs à l</w:t>
            </w:r>
            <w:r>
              <w:rPr>
                <w:b/>
                <w:i/>
              </w:rPr>
              <w:t>’</w:t>
            </w:r>
            <w:r w:rsidRPr="0019144F">
              <w:rPr>
                <w:b/>
                <w:i/>
              </w:rPr>
              <w:t>efficacité du développement et résultant du programme d</w:t>
            </w:r>
            <w:r>
              <w:rPr>
                <w:b/>
                <w:i/>
              </w:rPr>
              <w:t>’</w:t>
            </w:r>
            <w:r w:rsidRPr="0019144F">
              <w:rPr>
                <w:b/>
                <w:i/>
              </w:rPr>
              <w:t>action d</w:t>
            </w:r>
            <w:r>
              <w:rPr>
                <w:b/>
                <w:i/>
              </w:rPr>
              <w:t>’</w:t>
            </w:r>
            <w:r w:rsidRPr="0019144F">
              <w:rPr>
                <w:b/>
                <w:i/>
              </w:rPr>
              <w:t>Addis-Abeba sur le financement du développement. Il convient d</w:t>
            </w:r>
            <w:r>
              <w:rPr>
                <w:b/>
                <w:i/>
              </w:rPr>
              <w:t>’</w:t>
            </w:r>
            <w:r w:rsidRPr="0019144F">
              <w:rPr>
                <w:b/>
                <w:i/>
              </w:rPr>
              <w:t>élaborer des mesures au titre du règlement relatif au FEDD, de manière à satisfaire aux critères applicables à l</w:t>
            </w:r>
            <w:r>
              <w:rPr>
                <w:b/>
                <w:i/>
              </w:rPr>
              <w:t>’</w:t>
            </w:r>
            <w:r w:rsidRPr="0019144F">
              <w:rPr>
                <w:b/>
                <w:i/>
              </w:rPr>
              <w:t>aide publique au développement (APD) qui ont été fixés par le Comité d</w:t>
            </w:r>
            <w:r>
              <w:rPr>
                <w:b/>
                <w:i/>
              </w:rPr>
              <w:t>’</w:t>
            </w:r>
            <w:r w:rsidRPr="0019144F">
              <w:rPr>
                <w:b/>
                <w:i/>
              </w:rPr>
              <w:t>aide au développement (CAD) de l</w:t>
            </w:r>
            <w:r>
              <w:rPr>
                <w:b/>
                <w:i/>
              </w:rPr>
              <w:t>’</w:t>
            </w:r>
            <w:r w:rsidRPr="0019144F">
              <w:rPr>
                <w:b/>
                <w:i/>
              </w:rPr>
              <w:t>OCDE.</w:t>
            </w:r>
          </w:p>
        </w:tc>
      </w:tr>
    </w:tbl>
    <w:p w14:paraId="7F8D8AC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4125561" w14:textId="77777777" w:rsidR="00BF7ACA" w:rsidRPr="00BF7ACA" w:rsidRDefault="00BF7ACA" w:rsidP="00BF7ACA">
      <w:r w:rsidRPr="00BF7ACA">
        <w:rPr>
          <w:rStyle w:val="HideTWBExt"/>
        </w:rPr>
        <w:t>&lt;/Amend&gt;</w:t>
      </w:r>
    </w:p>
    <w:p w14:paraId="62766945"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114</w:t>
      </w:r>
      <w:r w:rsidRPr="00BF7ACA">
        <w:rPr>
          <w:rStyle w:val="HideTWBExt"/>
          <w:b w:val="0"/>
        </w:rPr>
        <w:t>&lt;/NumAm&gt;</w:t>
      </w:r>
    </w:p>
    <w:p w14:paraId="73B17692" w14:textId="77777777" w:rsidR="00BF7ACA" w:rsidRPr="00BF7ACA" w:rsidRDefault="00BF7ACA" w:rsidP="00BF7ACA">
      <w:pPr>
        <w:pStyle w:val="NormalBold"/>
      </w:pPr>
      <w:r w:rsidRPr="00BF7ACA">
        <w:rPr>
          <w:rStyle w:val="HideTWBExt"/>
          <w:b w:val="0"/>
        </w:rPr>
        <w:t>&lt;RepeatBlock-By&gt;&lt;Members&gt;</w:t>
      </w:r>
      <w:r w:rsidRPr="00BF7ACA">
        <w:t>Maurice Ponga, Paul Rübig, Eduard Kukan, Bogdan Brunon Wenta</w:t>
      </w:r>
      <w:r w:rsidRPr="00BF7ACA">
        <w:rPr>
          <w:rStyle w:val="HideTWBExt"/>
          <w:b w:val="0"/>
        </w:rPr>
        <w:t>&lt;/Members&gt;</w:t>
      </w:r>
    </w:p>
    <w:p w14:paraId="7A1EBE90" w14:textId="77777777" w:rsidR="00BF7ACA" w:rsidRPr="005A5903" w:rsidRDefault="00BF7ACA" w:rsidP="00BF7ACA">
      <w:r>
        <w:rPr>
          <w:rStyle w:val="HideTWBExt"/>
        </w:rPr>
        <w:t>&lt;/RepeatBlock-By&gt;</w:t>
      </w:r>
    </w:p>
    <w:p w14:paraId="0881A083"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6FF7815A" w14:textId="77777777" w:rsidR="00BF7ACA" w:rsidRPr="005A5903" w:rsidRDefault="00BF7ACA" w:rsidP="00BF7ACA">
      <w:pPr>
        <w:pStyle w:val="NormalBold"/>
      </w:pPr>
      <w:r>
        <w:rPr>
          <w:rStyle w:val="HideTWBExt"/>
          <w:b w:val="0"/>
        </w:rPr>
        <w:t>&lt;Article&gt;</w:t>
      </w:r>
      <w:r w:rsidRPr="0019144F">
        <w:t>Considérant 4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4257DA71" w14:textId="77777777" w:rsidTr="007924BE">
        <w:trPr>
          <w:jc w:val="center"/>
        </w:trPr>
        <w:tc>
          <w:tcPr>
            <w:tcW w:w="9752" w:type="dxa"/>
            <w:gridSpan w:val="2"/>
          </w:tcPr>
          <w:p w14:paraId="052A49A4" w14:textId="77777777" w:rsidR="00BF7ACA" w:rsidRPr="005A5903" w:rsidRDefault="00BF7ACA" w:rsidP="007924BE">
            <w:pPr>
              <w:keepNext/>
            </w:pPr>
          </w:p>
        </w:tc>
      </w:tr>
      <w:tr w:rsidR="00BF7ACA" w:rsidRPr="005A5903" w14:paraId="0A154ECF" w14:textId="77777777" w:rsidTr="007924BE">
        <w:trPr>
          <w:jc w:val="center"/>
        </w:trPr>
        <w:tc>
          <w:tcPr>
            <w:tcW w:w="4876" w:type="dxa"/>
            <w:hideMark/>
          </w:tcPr>
          <w:p w14:paraId="3F63EDED" w14:textId="77777777" w:rsidR="00BF7ACA" w:rsidRPr="0019144F" w:rsidRDefault="00BF7ACA" w:rsidP="007924BE">
            <w:pPr>
              <w:pStyle w:val="ColumnHeading"/>
              <w:keepNext/>
            </w:pPr>
            <w:r w:rsidRPr="0019144F">
              <w:t>Texte proposé par la Commission</w:t>
            </w:r>
          </w:p>
        </w:tc>
        <w:tc>
          <w:tcPr>
            <w:tcW w:w="4876" w:type="dxa"/>
            <w:hideMark/>
          </w:tcPr>
          <w:p w14:paraId="77AB84DF" w14:textId="77777777" w:rsidR="00BF7ACA" w:rsidRPr="0019144F" w:rsidRDefault="00BF7ACA" w:rsidP="007924BE">
            <w:pPr>
              <w:pStyle w:val="ColumnHeading"/>
              <w:keepNext/>
            </w:pPr>
            <w:r w:rsidRPr="0019144F">
              <w:t>Amendement</w:t>
            </w:r>
          </w:p>
        </w:tc>
      </w:tr>
      <w:tr w:rsidR="00BF7ACA" w:rsidRPr="005A5903" w14:paraId="7707736A" w14:textId="77777777" w:rsidTr="007924BE">
        <w:trPr>
          <w:jc w:val="center"/>
        </w:trPr>
        <w:tc>
          <w:tcPr>
            <w:tcW w:w="4876" w:type="dxa"/>
          </w:tcPr>
          <w:p w14:paraId="6E7D0EF9" w14:textId="77777777" w:rsidR="00BF7ACA" w:rsidRPr="0019144F" w:rsidRDefault="00BF7ACA" w:rsidP="007924BE">
            <w:pPr>
              <w:pStyle w:val="Normal6"/>
            </w:pPr>
          </w:p>
        </w:tc>
        <w:tc>
          <w:tcPr>
            <w:tcW w:w="4876" w:type="dxa"/>
            <w:hideMark/>
          </w:tcPr>
          <w:p w14:paraId="4EB45400" w14:textId="77777777" w:rsidR="00BF7ACA" w:rsidRPr="0019144F" w:rsidRDefault="00BF7ACA" w:rsidP="007924BE">
            <w:pPr>
              <w:pStyle w:val="Normal6"/>
              <w:rPr>
                <w:szCs w:val="24"/>
              </w:rPr>
            </w:pPr>
            <w:r w:rsidRPr="0019144F">
              <w:rPr>
                <w:b/>
                <w:i/>
              </w:rPr>
              <w:t>(4 bis)</w:t>
            </w:r>
            <w:r>
              <w:tab/>
            </w:r>
            <w:r w:rsidRPr="0019144F">
              <w:rPr>
                <w:b/>
                <w:i/>
              </w:rPr>
              <w:t>Il convient d</w:t>
            </w:r>
            <w:r>
              <w:rPr>
                <w:b/>
                <w:i/>
              </w:rPr>
              <w:t>’</w:t>
            </w:r>
            <w:r w:rsidRPr="0019144F">
              <w:rPr>
                <w:b/>
                <w:i/>
              </w:rPr>
              <w:t>élaborer des mesures au titre du règlement relatif au FEDD, de manière à satisfaire aux critères applicables au financement du développement qui ont été fixés par le Comité d</w:t>
            </w:r>
            <w:r>
              <w:rPr>
                <w:b/>
                <w:i/>
              </w:rPr>
              <w:t>’</w:t>
            </w:r>
            <w:r w:rsidRPr="0019144F">
              <w:rPr>
                <w:b/>
                <w:i/>
              </w:rPr>
              <w:t>aide au développement (CAD) de l</w:t>
            </w:r>
            <w:r>
              <w:rPr>
                <w:b/>
                <w:i/>
              </w:rPr>
              <w:t>’</w:t>
            </w:r>
            <w:r w:rsidRPr="0019144F">
              <w:rPr>
                <w:b/>
                <w:i/>
              </w:rPr>
              <w:t>OCDE en tenant compte des spécificités du déve</w:t>
            </w:r>
            <w:r>
              <w:rPr>
                <w:b/>
                <w:i/>
              </w:rPr>
              <w:t>loppement du secteur </w:t>
            </w:r>
            <w:r w:rsidRPr="0019144F">
              <w:rPr>
                <w:b/>
                <w:i/>
              </w:rPr>
              <w:t>privé.</w:t>
            </w:r>
          </w:p>
        </w:tc>
      </w:tr>
    </w:tbl>
    <w:p w14:paraId="73E3AD87"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0851659" w14:textId="77777777" w:rsidR="00BF7ACA" w:rsidRPr="00BF7ACA" w:rsidRDefault="00BF7ACA" w:rsidP="00BF7ACA">
      <w:r w:rsidRPr="00BF7ACA">
        <w:rPr>
          <w:rStyle w:val="HideTWBExt"/>
        </w:rPr>
        <w:t>&lt;/Amend&gt;</w:t>
      </w:r>
    </w:p>
    <w:p w14:paraId="143B18DE" w14:textId="77777777" w:rsidR="00BF7ACA" w:rsidRPr="00E502E5" w:rsidRDefault="00BF7ACA" w:rsidP="00BF7ACA">
      <w:pPr>
        <w:pStyle w:val="AMNumberTabs"/>
        <w:keepNext/>
      </w:pPr>
      <w:r>
        <w:rPr>
          <w:rStyle w:val="HideTWBExt"/>
          <w:b w:val="0"/>
        </w:rPr>
        <w:t>&lt;Amend&gt;</w:t>
      </w:r>
      <w:r w:rsidRPr="00936017">
        <w:t>Amendement</w:t>
      </w:r>
      <w:r>
        <w:tab/>
      </w:r>
      <w:r>
        <w:tab/>
      </w:r>
      <w:r>
        <w:rPr>
          <w:rStyle w:val="HideTWBExt"/>
          <w:b w:val="0"/>
        </w:rPr>
        <w:t>&lt;NumAm&gt;</w:t>
      </w:r>
      <w:r w:rsidRPr="00936017">
        <w:t>115</w:t>
      </w:r>
      <w:r>
        <w:rPr>
          <w:rStyle w:val="HideTWBExt"/>
          <w:b w:val="0"/>
        </w:rPr>
        <w:t>&lt;/NumAm&gt;</w:t>
      </w:r>
    </w:p>
    <w:p w14:paraId="3A35AA0E" w14:textId="77777777" w:rsidR="00BF7ACA" w:rsidRPr="00E502E5" w:rsidRDefault="00BF7ACA" w:rsidP="00BF7ACA">
      <w:pPr>
        <w:pStyle w:val="NormalBold"/>
      </w:pPr>
      <w:r>
        <w:rPr>
          <w:rStyle w:val="HideTWBExt"/>
          <w:b w:val="0"/>
        </w:rPr>
        <w:t>&lt;RepeatBlock-By&gt;&lt;Members&gt;</w:t>
      </w:r>
      <w:r w:rsidRPr="00936017">
        <w:t>Bernd Kölmel</w:t>
      </w:r>
      <w:r>
        <w:rPr>
          <w:rStyle w:val="HideTWBExt"/>
          <w:b w:val="0"/>
        </w:rPr>
        <w:t>&lt;/Members&gt;</w:t>
      </w:r>
    </w:p>
    <w:p w14:paraId="37C9B7C6" w14:textId="77777777" w:rsidR="00BF7ACA" w:rsidRPr="00E502E5" w:rsidRDefault="00BF7ACA" w:rsidP="00BF7ACA">
      <w:r>
        <w:rPr>
          <w:rStyle w:val="HideTWBExt"/>
        </w:rPr>
        <w:t>&lt;/RepeatBlock-By&gt;</w:t>
      </w:r>
    </w:p>
    <w:p w14:paraId="509BF4DB" w14:textId="77777777" w:rsidR="00BF7ACA" w:rsidRPr="00E502E5" w:rsidRDefault="00BF7ACA" w:rsidP="00BF7ACA">
      <w:pPr>
        <w:pStyle w:val="NormalBold"/>
        <w:keepNext/>
      </w:pPr>
      <w:r>
        <w:rPr>
          <w:rStyle w:val="HideTWBExt"/>
          <w:b w:val="0"/>
        </w:rPr>
        <w:t>&lt;DocAmend&gt;</w:t>
      </w:r>
      <w:r w:rsidRPr="00936017">
        <w:t>Proposition de règlement</w:t>
      </w:r>
      <w:r>
        <w:rPr>
          <w:rStyle w:val="HideTWBExt"/>
          <w:b w:val="0"/>
        </w:rPr>
        <w:t>&lt;/DocAmend&gt;</w:t>
      </w:r>
    </w:p>
    <w:p w14:paraId="0A0D4BCE" w14:textId="77777777" w:rsidR="00BF7ACA" w:rsidRPr="00E502E5" w:rsidRDefault="00BF7ACA" w:rsidP="00BF7ACA">
      <w:pPr>
        <w:pStyle w:val="NormalBold"/>
      </w:pPr>
      <w:r>
        <w:rPr>
          <w:rStyle w:val="HideTWBExt"/>
          <w:b w:val="0"/>
        </w:rPr>
        <w:t>&lt;Article&gt;</w:t>
      </w:r>
      <w:r w:rsidRPr="00936017">
        <w:t>Considérant 4 ter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1BCC5736" w14:textId="77777777" w:rsidTr="007924BE">
        <w:trPr>
          <w:jc w:val="center"/>
        </w:trPr>
        <w:tc>
          <w:tcPr>
            <w:tcW w:w="9752" w:type="dxa"/>
            <w:gridSpan w:val="2"/>
          </w:tcPr>
          <w:p w14:paraId="3B21D3EF" w14:textId="77777777" w:rsidR="00BF7ACA" w:rsidRPr="00E502E5" w:rsidRDefault="00BF7ACA" w:rsidP="007924BE">
            <w:pPr>
              <w:keepNext/>
            </w:pPr>
          </w:p>
        </w:tc>
      </w:tr>
      <w:tr w:rsidR="00BF7ACA" w:rsidRPr="00E502E5" w14:paraId="3C24D2ED" w14:textId="77777777" w:rsidTr="007924BE">
        <w:trPr>
          <w:jc w:val="center"/>
        </w:trPr>
        <w:tc>
          <w:tcPr>
            <w:tcW w:w="4876" w:type="dxa"/>
            <w:hideMark/>
          </w:tcPr>
          <w:p w14:paraId="093A6EDD" w14:textId="77777777" w:rsidR="00BF7ACA" w:rsidRPr="00936017" w:rsidRDefault="00BF7ACA" w:rsidP="007924BE">
            <w:pPr>
              <w:pStyle w:val="ColumnHeading"/>
              <w:keepNext/>
            </w:pPr>
            <w:r w:rsidRPr="00936017">
              <w:t>Texte proposé par la Commission</w:t>
            </w:r>
          </w:p>
        </w:tc>
        <w:tc>
          <w:tcPr>
            <w:tcW w:w="4876" w:type="dxa"/>
            <w:hideMark/>
          </w:tcPr>
          <w:p w14:paraId="21BBC943" w14:textId="77777777" w:rsidR="00BF7ACA" w:rsidRPr="00936017" w:rsidRDefault="00BF7ACA" w:rsidP="007924BE">
            <w:pPr>
              <w:pStyle w:val="ColumnHeading"/>
              <w:keepNext/>
            </w:pPr>
            <w:r w:rsidRPr="00936017">
              <w:t>Amendement</w:t>
            </w:r>
          </w:p>
        </w:tc>
      </w:tr>
      <w:tr w:rsidR="00BF7ACA" w:rsidRPr="00E502E5" w14:paraId="5E72AD47" w14:textId="77777777" w:rsidTr="007924BE">
        <w:trPr>
          <w:jc w:val="center"/>
        </w:trPr>
        <w:tc>
          <w:tcPr>
            <w:tcW w:w="4876" w:type="dxa"/>
          </w:tcPr>
          <w:p w14:paraId="6BBCA1CA" w14:textId="77777777" w:rsidR="00BF7ACA" w:rsidRPr="00936017" w:rsidRDefault="00BF7ACA" w:rsidP="007924BE">
            <w:pPr>
              <w:pStyle w:val="Normal6"/>
            </w:pPr>
          </w:p>
        </w:tc>
        <w:tc>
          <w:tcPr>
            <w:tcW w:w="4876" w:type="dxa"/>
            <w:hideMark/>
          </w:tcPr>
          <w:p w14:paraId="3E97BE77" w14:textId="77777777" w:rsidR="00BF7ACA" w:rsidRPr="00936017" w:rsidRDefault="00BF7ACA" w:rsidP="007924BE">
            <w:pPr>
              <w:pStyle w:val="Normal6"/>
              <w:rPr>
                <w:szCs w:val="24"/>
              </w:rPr>
            </w:pPr>
            <w:r w:rsidRPr="00936017">
              <w:rPr>
                <w:b/>
                <w:i/>
              </w:rPr>
              <w:t>(4 ter)</w:t>
            </w:r>
            <w:r>
              <w:tab/>
            </w:r>
            <w:r w:rsidRPr="00936017">
              <w:rPr>
                <w:b/>
                <w:i/>
              </w:rPr>
              <w:t>L</w:t>
            </w:r>
            <w:r>
              <w:rPr>
                <w:b/>
                <w:i/>
              </w:rPr>
              <w:t>’</w:t>
            </w:r>
            <w:r w:rsidRPr="00936017">
              <w:rPr>
                <w:b/>
                <w:i/>
              </w:rPr>
              <w:t>Afrique a besoin de solutions africaines – les États d</w:t>
            </w:r>
            <w:r>
              <w:rPr>
                <w:b/>
                <w:i/>
              </w:rPr>
              <w:t>’</w:t>
            </w:r>
            <w:r w:rsidRPr="00936017">
              <w:rPr>
                <w:b/>
                <w:i/>
              </w:rPr>
              <w:t>Afrique ont montré des signes encourageants de nouveau départ avec la création de l</w:t>
            </w:r>
            <w:r>
              <w:rPr>
                <w:b/>
                <w:i/>
              </w:rPr>
              <w:t>’</w:t>
            </w:r>
            <w:r w:rsidRPr="00936017">
              <w:rPr>
                <w:b/>
                <w:i/>
              </w:rPr>
              <w:t>Union africaine (AU) et l</w:t>
            </w:r>
            <w:r>
              <w:rPr>
                <w:b/>
                <w:i/>
              </w:rPr>
              <w:t>’</w:t>
            </w:r>
            <w:r w:rsidRPr="00936017">
              <w:rPr>
                <w:b/>
                <w:i/>
              </w:rPr>
              <w:t>instauration du nouveau partenariat pour le développement de l</w:t>
            </w:r>
            <w:r>
              <w:rPr>
                <w:b/>
                <w:i/>
              </w:rPr>
              <w:t>’</w:t>
            </w:r>
            <w:r w:rsidRPr="00936017">
              <w:rPr>
                <w:b/>
                <w:i/>
              </w:rPr>
              <w:t>Afrique (NEPAD). Avec l</w:t>
            </w:r>
            <w:r>
              <w:rPr>
                <w:b/>
                <w:i/>
              </w:rPr>
              <w:t>’</w:t>
            </w:r>
            <w:r w:rsidRPr="00936017">
              <w:rPr>
                <w:b/>
                <w:i/>
              </w:rPr>
              <w:t>Agenda 2063 de l</w:t>
            </w:r>
            <w:r>
              <w:rPr>
                <w:b/>
                <w:i/>
              </w:rPr>
              <w:t>’</w:t>
            </w:r>
            <w:r w:rsidRPr="00936017">
              <w:rPr>
                <w:b/>
                <w:i/>
              </w:rPr>
              <w:t>Union africaine, les réformateurs tracent la propre voie de l</w:t>
            </w:r>
            <w:r>
              <w:rPr>
                <w:b/>
                <w:i/>
              </w:rPr>
              <w:t>’</w:t>
            </w:r>
            <w:r w:rsidRPr="00936017">
              <w:rPr>
                <w:b/>
                <w:i/>
              </w:rPr>
              <w:t>Afrique. L</w:t>
            </w:r>
            <w:r>
              <w:rPr>
                <w:b/>
                <w:i/>
              </w:rPr>
              <w:t>’</w:t>
            </w:r>
            <w:r w:rsidRPr="00936017">
              <w:rPr>
                <w:b/>
                <w:i/>
              </w:rPr>
              <w:t>Europe doit prendre les États africains au mot et donner à la coopération une nouvelle dimension et une nouvelle qualité.</w:t>
            </w:r>
          </w:p>
        </w:tc>
      </w:tr>
    </w:tbl>
    <w:p w14:paraId="706E52A8" w14:textId="77777777" w:rsidR="00BF7ACA" w:rsidRPr="00E502E5" w:rsidRDefault="00BF7ACA" w:rsidP="00BF7ACA">
      <w:pPr>
        <w:pStyle w:val="Olang"/>
        <w:rPr>
          <w:noProof w:val="0"/>
          <w:szCs w:val="24"/>
        </w:rPr>
      </w:pPr>
      <w:r w:rsidRPr="00936017">
        <w:rPr>
          <w:noProof w:val="0"/>
        </w:rPr>
        <w:t xml:space="preserve">Or. </w:t>
      </w:r>
      <w:r w:rsidRPr="009857D1">
        <w:rPr>
          <w:rStyle w:val="HideTWBExt"/>
          <w:noProof w:val="0"/>
        </w:rPr>
        <w:t>&lt;Original&gt;</w:t>
      </w:r>
      <w:r w:rsidRPr="009857D1">
        <w:rPr>
          <w:rStyle w:val="HideTWBInt"/>
          <w:noProof w:val="0"/>
        </w:rPr>
        <w:t>{DE}</w:t>
      </w:r>
      <w:r w:rsidRPr="00936017">
        <w:rPr>
          <w:noProof w:val="0"/>
        </w:rPr>
        <w:t>de</w:t>
      </w:r>
      <w:r w:rsidRPr="009857D1">
        <w:rPr>
          <w:rStyle w:val="HideTWBExt"/>
          <w:noProof w:val="0"/>
        </w:rPr>
        <w:t>&lt;/Original&gt;</w:t>
      </w:r>
    </w:p>
    <w:p w14:paraId="5365FD60" w14:textId="77777777" w:rsidR="00BF7ACA" w:rsidRPr="00E502E5" w:rsidRDefault="00BF7ACA" w:rsidP="00BF7ACA">
      <w:r>
        <w:rPr>
          <w:rStyle w:val="HideTWBExt"/>
        </w:rPr>
        <w:t>&lt;/Amend&gt;</w:t>
      </w:r>
    </w:p>
    <w:p w14:paraId="45036794" w14:textId="77777777" w:rsidR="00BF7ACA" w:rsidRPr="00E502E5" w:rsidRDefault="00BF7ACA" w:rsidP="00BF7ACA">
      <w:pPr>
        <w:pStyle w:val="AMNumberTabs"/>
        <w:keepNext/>
      </w:pPr>
      <w:r>
        <w:rPr>
          <w:rStyle w:val="HideTWBExt"/>
          <w:b w:val="0"/>
        </w:rPr>
        <w:t>&lt;Amend&gt;</w:t>
      </w:r>
      <w:r w:rsidRPr="00936017">
        <w:t>Amendement</w:t>
      </w:r>
      <w:r>
        <w:tab/>
      </w:r>
      <w:r>
        <w:tab/>
      </w:r>
      <w:r>
        <w:rPr>
          <w:rStyle w:val="HideTWBExt"/>
          <w:b w:val="0"/>
        </w:rPr>
        <w:t>&lt;NumAm&gt;</w:t>
      </w:r>
      <w:r w:rsidRPr="00936017">
        <w:t>116</w:t>
      </w:r>
      <w:r>
        <w:rPr>
          <w:rStyle w:val="HideTWBExt"/>
          <w:b w:val="0"/>
        </w:rPr>
        <w:t>&lt;/NumAm&gt;</w:t>
      </w:r>
    </w:p>
    <w:p w14:paraId="2EA960A0" w14:textId="77777777" w:rsidR="00BF7ACA" w:rsidRPr="00E502E5" w:rsidRDefault="00BF7ACA" w:rsidP="00BF7ACA">
      <w:pPr>
        <w:pStyle w:val="NormalBold"/>
      </w:pPr>
      <w:r>
        <w:rPr>
          <w:rStyle w:val="HideTWBExt"/>
          <w:b w:val="0"/>
        </w:rPr>
        <w:t>&lt;RepeatBlock-By&gt;&lt;Members&gt;</w:t>
      </w:r>
      <w:r w:rsidRPr="00936017">
        <w:t>Bernd Kölmel</w:t>
      </w:r>
      <w:r>
        <w:rPr>
          <w:rStyle w:val="HideTWBExt"/>
          <w:b w:val="0"/>
        </w:rPr>
        <w:t>&lt;/Members&gt;</w:t>
      </w:r>
    </w:p>
    <w:p w14:paraId="32EC9505" w14:textId="77777777" w:rsidR="00BF7ACA" w:rsidRPr="00E502E5" w:rsidRDefault="00BF7ACA" w:rsidP="00BF7ACA">
      <w:r>
        <w:rPr>
          <w:rStyle w:val="HideTWBExt"/>
        </w:rPr>
        <w:t>&lt;/RepeatBlock-By&gt;</w:t>
      </w:r>
    </w:p>
    <w:p w14:paraId="391DB1D1" w14:textId="77777777" w:rsidR="00BF7ACA" w:rsidRPr="00E502E5" w:rsidRDefault="00BF7ACA" w:rsidP="00BF7ACA">
      <w:pPr>
        <w:pStyle w:val="NormalBold"/>
        <w:keepNext/>
      </w:pPr>
      <w:r>
        <w:rPr>
          <w:rStyle w:val="HideTWBExt"/>
          <w:b w:val="0"/>
        </w:rPr>
        <w:t>&lt;DocAmend&gt;</w:t>
      </w:r>
      <w:r w:rsidRPr="00936017">
        <w:t>Proposition de règlement</w:t>
      </w:r>
      <w:r>
        <w:rPr>
          <w:rStyle w:val="HideTWBExt"/>
          <w:b w:val="0"/>
        </w:rPr>
        <w:t>&lt;/DocAmend&gt;</w:t>
      </w:r>
    </w:p>
    <w:p w14:paraId="433B5FF7" w14:textId="77777777" w:rsidR="00BF7ACA" w:rsidRPr="00E502E5" w:rsidRDefault="00BF7ACA" w:rsidP="00BF7ACA">
      <w:pPr>
        <w:pStyle w:val="NormalBold"/>
      </w:pPr>
      <w:r>
        <w:rPr>
          <w:rStyle w:val="HideTWBExt"/>
          <w:b w:val="0"/>
        </w:rPr>
        <w:t>&lt;Article&gt;</w:t>
      </w:r>
      <w:r w:rsidRPr="00936017">
        <w:t>Considérant 4 quater (nouveau)</w:t>
      </w:r>
      <w:r>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60E028F4" w14:textId="77777777" w:rsidTr="007924BE">
        <w:trPr>
          <w:jc w:val="center"/>
        </w:trPr>
        <w:tc>
          <w:tcPr>
            <w:tcW w:w="9752" w:type="dxa"/>
            <w:gridSpan w:val="2"/>
          </w:tcPr>
          <w:p w14:paraId="57DD53AE" w14:textId="77777777" w:rsidR="00BF7ACA" w:rsidRPr="00E502E5" w:rsidRDefault="00BF7ACA" w:rsidP="007924BE">
            <w:pPr>
              <w:keepNext/>
            </w:pPr>
          </w:p>
        </w:tc>
      </w:tr>
      <w:tr w:rsidR="00BF7ACA" w:rsidRPr="00E502E5" w14:paraId="051A306E" w14:textId="77777777" w:rsidTr="007924BE">
        <w:trPr>
          <w:jc w:val="center"/>
        </w:trPr>
        <w:tc>
          <w:tcPr>
            <w:tcW w:w="4876" w:type="dxa"/>
            <w:hideMark/>
          </w:tcPr>
          <w:p w14:paraId="12900451" w14:textId="77777777" w:rsidR="00BF7ACA" w:rsidRPr="00936017" w:rsidRDefault="00BF7ACA" w:rsidP="007924BE">
            <w:pPr>
              <w:pStyle w:val="ColumnHeading"/>
              <w:keepNext/>
            </w:pPr>
            <w:r w:rsidRPr="00936017">
              <w:t>Texte proposé par la Commission</w:t>
            </w:r>
          </w:p>
        </w:tc>
        <w:tc>
          <w:tcPr>
            <w:tcW w:w="4876" w:type="dxa"/>
            <w:hideMark/>
          </w:tcPr>
          <w:p w14:paraId="3A024B94" w14:textId="77777777" w:rsidR="00BF7ACA" w:rsidRPr="00936017" w:rsidRDefault="00BF7ACA" w:rsidP="007924BE">
            <w:pPr>
              <w:pStyle w:val="ColumnHeading"/>
              <w:keepNext/>
            </w:pPr>
            <w:r w:rsidRPr="00936017">
              <w:t>Amendement</w:t>
            </w:r>
          </w:p>
        </w:tc>
      </w:tr>
      <w:tr w:rsidR="00BF7ACA" w:rsidRPr="00E502E5" w14:paraId="1C5DF89C" w14:textId="77777777" w:rsidTr="007924BE">
        <w:trPr>
          <w:jc w:val="center"/>
        </w:trPr>
        <w:tc>
          <w:tcPr>
            <w:tcW w:w="4876" w:type="dxa"/>
          </w:tcPr>
          <w:p w14:paraId="58C0A042" w14:textId="77777777" w:rsidR="00BF7ACA" w:rsidRPr="00936017" w:rsidRDefault="00BF7ACA" w:rsidP="007924BE">
            <w:pPr>
              <w:pStyle w:val="Normal6"/>
            </w:pPr>
          </w:p>
        </w:tc>
        <w:tc>
          <w:tcPr>
            <w:tcW w:w="4876" w:type="dxa"/>
            <w:hideMark/>
          </w:tcPr>
          <w:p w14:paraId="70D0FBEF" w14:textId="77777777" w:rsidR="00BF7ACA" w:rsidRPr="00936017" w:rsidRDefault="00BF7ACA" w:rsidP="007924BE">
            <w:pPr>
              <w:pStyle w:val="Normal6"/>
              <w:rPr>
                <w:szCs w:val="24"/>
              </w:rPr>
            </w:pPr>
            <w:r w:rsidRPr="00936017">
              <w:rPr>
                <w:b/>
                <w:i/>
              </w:rPr>
              <w:t>(4 quater)</w:t>
            </w:r>
            <w:r>
              <w:tab/>
            </w:r>
            <w:r w:rsidRPr="00936017">
              <w:rPr>
                <w:b/>
                <w:i/>
              </w:rPr>
              <w:t>L</w:t>
            </w:r>
            <w:r>
              <w:rPr>
                <w:b/>
                <w:i/>
              </w:rPr>
              <w:t>’</w:t>
            </w:r>
            <w:r w:rsidRPr="00936017">
              <w:rPr>
                <w:b/>
                <w:i/>
              </w:rPr>
              <w:t>appropriation des décisions et une approche proactive sont d</w:t>
            </w:r>
            <w:r>
              <w:rPr>
                <w:b/>
                <w:i/>
              </w:rPr>
              <w:t>’</w:t>
            </w:r>
            <w:r w:rsidRPr="00936017">
              <w:rPr>
                <w:b/>
                <w:i/>
              </w:rPr>
              <w:t>importants moteurs du développement. Des décennies de situation «donneur/receveur» ont forgé une mentalité qu</w:t>
            </w:r>
            <w:r>
              <w:rPr>
                <w:b/>
                <w:i/>
              </w:rPr>
              <w:t>’</w:t>
            </w:r>
            <w:r w:rsidRPr="00936017">
              <w:rPr>
                <w:b/>
                <w:i/>
              </w:rPr>
              <w:t>il faut remplacer par une coopération économique fondée sur le partenariat, qui mise sur l</w:t>
            </w:r>
            <w:r>
              <w:rPr>
                <w:b/>
                <w:i/>
              </w:rPr>
              <w:t>’</w:t>
            </w:r>
            <w:r w:rsidRPr="00936017">
              <w:rPr>
                <w:b/>
                <w:i/>
              </w:rPr>
              <w:t>appropriation des décisions et une approche proactive. À long terme, c</w:t>
            </w:r>
            <w:r>
              <w:rPr>
                <w:b/>
                <w:i/>
              </w:rPr>
              <w:t>’</w:t>
            </w:r>
            <w:r w:rsidRPr="00936017">
              <w:rPr>
                <w:b/>
                <w:i/>
              </w:rPr>
              <w:t>est surtout le secteur privé, plutôt que l</w:t>
            </w:r>
            <w:r>
              <w:rPr>
                <w:b/>
                <w:i/>
              </w:rPr>
              <w:t>’</w:t>
            </w:r>
            <w:r w:rsidRPr="00936017">
              <w:rPr>
                <w:b/>
                <w:i/>
              </w:rPr>
              <w:t>État, qui crée de l</w:t>
            </w:r>
            <w:r>
              <w:rPr>
                <w:b/>
                <w:i/>
              </w:rPr>
              <w:t>’</w:t>
            </w:r>
            <w:r w:rsidRPr="00936017">
              <w:rPr>
                <w:b/>
                <w:i/>
              </w:rPr>
              <w:t>emploi en quantité suffisante. C</w:t>
            </w:r>
            <w:r>
              <w:rPr>
                <w:b/>
                <w:i/>
              </w:rPr>
              <w:t>’</w:t>
            </w:r>
            <w:r w:rsidRPr="00936017">
              <w:rPr>
                <w:b/>
                <w:i/>
              </w:rPr>
              <w:t>est pourquoi l</w:t>
            </w:r>
            <w:r>
              <w:rPr>
                <w:b/>
                <w:i/>
              </w:rPr>
              <w:t>’</w:t>
            </w:r>
            <w:r w:rsidRPr="00936017">
              <w:rPr>
                <w:b/>
                <w:i/>
              </w:rPr>
              <w:t>Afrique a besoin de moins de subventions et de davantage d</w:t>
            </w:r>
            <w:r>
              <w:rPr>
                <w:b/>
                <w:i/>
              </w:rPr>
              <w:t>’</w:t>
            </w:r>
            <w:r w:rsidRPr="00936017">
              <w:rPr>
                <w:b/>
                <w:i/>
              </w:rPr>
              <w:t>investissements privés libres et justes. En tant que dispositif financier intégré pour le financement d</w:t>
            </w:r>
            <w:r>
              <w:rPr>
                <w:b/>
                <w:i/>
              </w:rPr>
              <w:t>’</w:t>
            </w:r>
            <w:r w:rsidRPr="00936017">
              <w:rPr>
                <w:b/>
                <w:i/>
              </w:rPr>
              <w:t>investissements, il convient de veiller à ce que des programmes intervenant immédiatement soient déployés de manière ciblée afin d</w:t>
            </w:r>
            <w:r>
              <w:rPr>
                <w:b/>
                <w:i/>
              </w:rPr>
              <w:t>’</w:t>
            </w:r>
            <w:r w:rsidRPr="00936017">
              <w:rPr>
                <w:b/>
                <w:i/>
              </w:rPr>
              <w:t>établir sur place un environnement favorable, tout en veillant à mobiliser et à garantir des investissements à cet égard. De bonnes conditions de base sont fondamentales pour le développement économique.</w:t>
            </w:r>
          </w:p>
        </w:tc>
      </w:tr>
    </w:tbl>
    <w:p w14:paraId="5C174B04" w14:textId="77777777" w:rsidR="00BF7ACA" w:rsidRPr="00E502E5" w:rsidRDefault="00BF7ACA" w:rsidP="00BF7ACA">
      <w:pPr>
        <w:pStyle w:val="Olang"/>
        <w:rPr>
          <w:noProof w:val="0"/>
          <w:szCs w:val="24"/>
        </w:rPr>
      </w:pPr>
      <w:r w:rsidRPr="00936017">
        <w:rPr>
          <w:noProof w:val="0"/>
        </w:rPr>
        <w:t xml:space="preserve">Or. </w:t>
      </w:r>
      <w:r w:rsidRPr="009857D1">
        <w:rPr>
          <w:rStyle w:val="HideTWBExt"/>
          <w:noProof w:val="0"/>
        </w:rPr>
        <w:t>&lt;Original&gt;</w:t>
      </w:r>
      <w:r w:rsidRPr="009857D1">
        <w:rPr>
          <w:rStyle w:val="HideTWBInt"/>
          <w:noProof w:val="0"/>
        </w:rPr>
        <w:t>{DE}</w:t>
      </w:r>
      <w:r w:rsidRPr="00936017">
        <w:rPr>
          <w:noProof w:val="0"/>
        </w:rPr>
        <w:t>de</w:t>
      </w:r>
      <w:r w:rsidRPr="009857D1">
        <w:rPr>
          <w:rStyle w:val="HideTWBExt"/>
          <w:noProof w:val="0"/>
        </w:rPr>
        <w:t>&lt;/Original&gt;</w:t>
      </w:r>
    </w:p>
    <w:p w14:paraId="04A5CA33" w14:textId="77777777" w:rsidR="00BF7ACA" w:rsidRPr="00E502E5" w:rsidRDefault="00BF7ACA" w:rsidP="00BF7ACA">
      <w:r>
        <w:rPr>
          <w:rStyle w:val="HideTWBExt"/>
        </w:rPr>
        <w:t>&lt;/Amend&gt;</w:t>
      </w:r>
    </w:p>
    <w:p w14:paraId="061928EA"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117</w:t>
      </w:r>
      <w:r w:rsidRPr="00BF7ACA">
        <w:rPr>
          <w:rStyle w:val="HideTWBExt"/>
          <w:b w:val="0"/>
        </w:rPr>
        <w:t>&lt;/NumAm&gt;</w:t>
      </w:r>
    </w:p>
    <w:p w14:paraId="0E433F86" w14:textId="77777777"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14:paraId="44E8B918" w14:textId="77777777" w:rsidR="00BF7ACA" w:rsidRPr="005A5903" w:rsidRDefault="00BF7ACA" w:rsidP="00BF7ACA">
      <w:r>
        <w:rPr>
          <w:rStyle w:val="HideTWBExt"/>
        </w:rPr>
        <w:t>&lt;/RepeatBlock-By&gt;</w:t>
      </w:r>
    </w:p>
    <w:p w14:paraId="2F119726"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50E066F1" w14:textId="77777777" w:rsidR="00BF7ACA" w:rsidRPr="005A5903" w:rsidRDefault="00BF7ACA" w:rsidP="00BF7ACA">
      <w:pPr>
        <w:pStyle w:val="NormalBold"/>
      </w:pPr>
      <w:r>
        <w:rPr>
          <w:rStyle w:val="HideTWBExt"/>
          <w:b w:val="0"/>
        </w:rPr>
        <w:t>&lt;Article&gt;</w:t>
      </w:r>
      <w:r w:rsidRPr="0019144F">
        <w:t>Considérant 4 quater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09019CFE" w14:textId="77777777" w:rsidTr="007924BE">
        <w:trPr>
          <w:jc w:val="center"/>
        </w:trPr>
        <w:tc>
          <w:tcPr>
            <w:tcW w:w="9752" w:type="dxa"/>
            <w:gridSpan w:val="2"/>
          </w:tcPr>
          <w:p w14:paraId="4BDA1918" w14:textId="77777777" w:rsidR="00BF7ACA" w:rsidRPr="005A5903" w:rsidRDefault="00BF7ACA" w:rsidP="007924BE">
            <w:pPr>
              <w:keepNext/>
            </w:pPr>
          </w:p>
        </w:tc>
      </w:tr>
      <w:tr w:rsidR="00BF7ACA" w:rsidRPr="005A5903" w14:paraId="533B3362" w14:textId="77777777" w:rsidTr="007924BE">
        <w:trPr>
          <w:jc w:val="center"/>
        </w:trPr>
        <w:tc>
          <w:tcPr>
            <w:tcW w:w="4876" w:type="dxa"/>
            <w:hideMark/>
          </w:tcPr>
          <w:p w14:paraId="1DF065A3" w14:textId="77777777" w:rsidR="00BF7ACA" w:rsidRPr="0019144F" w:rsidRDefault="00BF7ACA" w:rsidP="007924BE">
            <w:pPr>
              <w:pStyle w:val="ColumnHeading"/>
              <w:keepNext/>
            </w:pPr>
            <w:r w:rsidRPr="0019144F">
              <w:t>Texte proposé par la Commission</w:t>
            </w:r>
          </w:p>
        </w:tc>
        <w:tc>
          <w:tcPr>
            <w:tcW w:w="4876" w:type="dxa"/>
            <w:hideMark/>
          </w:tcPr>
          <w:p w14:paraId="2A77DBE2" w14:textId="77777777" w:rsidR="00BF7ACA" w:rsidRPr="0019144F" w:rsidRDefault="00BF7ACA" w:rsidP="007924BE">
            <w:pPr>
              <w:pStyle w:val="ColumnHeading"/>
              <w:keepNext/>
            </w:pPr>
            <w:r w:rsidRPr="0019144F">
              <w:t>Amendement</w:t>
            </w:r>
          </w:p>
        </w:tc>
      </w:tr>
      <w:tr w:rsidR="00BF7ACA" w:rsidRPr="005A5903" w14:paraId="2D972163" w14:textId="77777777" w:rsidTr="007924BE">
        <w:trPr>
          <w:jc w:val="center"/>
        </w:trPr>
        <w:tc>
          <w:tcPr>
            <w:tcW w:w="4876" w:type="dxa"/>
          </w:tcPr>
          <w:p w14:paraId="212F1EFB" w14:textId="77777777" w:rsidR="00BF7ACA" w:rsidRPr="0019144F" w:rsidRDefault="00BF7ACA" w:rsidP="007924BE">
            <w:pPr>
              <w:pStyle w:val="Normal6"/>
            </w:pPr>
          </w:p>
        </w:tc>
        <w:tc>
          <w:tcPr>
            <w:tcW w:w="4876" w:type="dxa"/>
            <w:hideMark/>
          </w:tcPr>
          <w:p w14:paraId="27C437A3" w14:textId="77777777" w:rsidR="00BF7ACA" w:rsidRPr="0019144F" w:rsidRDefault="00BF7ACA" w:rsidP="007924BE">
            <w:pPr>
              <w:pStyle w:val="Normal6"/>
              <w:rPr>
                <w:szCs w:val="24"/>
              </w:rPr>
            </w:pPr>
            <w:r w:rsidRPr="0019144F">
              <w:rPr>
                <w:b/>
                <w:i/>
              </w:rPr>
              <w:t>(4 quater)</w:t>
            </w:r>
            <w:r>
              <w:tab/>
            </w:r>
            <w:r w:rsidRPr="0019144F">
              <w:rPr>
                <w:b/>
                <w:i/>
              </w:rPr>
              <w:t>L</w:t>
            </w:r>
            <w:r>
              <w:rPr>
                <w:b/>
                <w:i/>
              </w:rPr>
              <w:t>’</w:t>
            </w:r>
            <w:r w:rsidRPr="0019144F">
              <w:rPr>
                <w:b/>
                <w:i/>
              </w:rPr>
              <w:t>assistance technique aux pays partenaires devrait constituer le deuxième pilier du PIE. Dans ce contexte, la Commission devrait accroître son assistance afin d</w:t>
            </w:r>
            <w:r>
              <w:rPr>
                <w:b/>
                <w:i/>
              </w:rPr>
              <w:t>’</w:t>
            </w:r>
            <w:r w:rsidRPr="0019144F">
              <w:rPr>
                <w:b/>
                <w:i/>
              </w:rPr>
              <w:t>aider les pays partenaires à attirer les investissements en améliorant la préparation et la promotion des projets, en développant un plus grand nombre de projets susceptibles d</w:t>
            </w:r>
            <w:r>
              <w:rPr>
                <w:b/>
                <w:i/>
              </w:rPr>
              <w:t>’</w:t>
            </w:r>
            <w:r w:rsidRPr="0019144F">
              <w:rPr>
                <w:b/>
                <w:i/>
              </w:rPr>
              <w:t>obtenir un financement et en les faisant connaître au sein de la communauté des investisseurs internationaux. Il convient de créer un portail de projets sur le web, portail qui constitue une base de données de projets accessible au public et simple d</w:t>
            </w:r>
            <w:r>
              <w:rPr>
                <w:b/>
                <w:i/>
              </w:rPr>
              <w:t>’</w:t>
            </w:r>
            <w:r w:rsidRPr="0019144F">
              <w:rPr>
                <w:b/>
                <w:i/>
              </w:rPr>
              <w:t>utilisation, et fournisse les informations utiles sur chaque projet.</w:t>
            </w:r>
          </w:p>
        </w:tc>
      </w:tr>
    </w:tbl>
    <w:p w14:paraId="19E89D2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BE1678A" w14:textId="77777777" w:rsidR="00BF7ACA" w:rsidRPr="00BF7ACA" w:rsidRDefault="00BF7ACA" w:rsidP="00BF7ACA">
      <w:r w:rsidRPr="00BF7ACA">
        <w:rPr>
          <w:rStyle w:val="HideTWBExt"/>
        </w:rPr>
        <w:t>&lt;/Amend&gt;</w:t>
      </w:r>
    </w:p>
    <w:p w14:paraId="3A6CBAC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118</w:t>
      </w:r>
      <w:r w:rsidRPr="00BF7ACA">
        <w:rPr>
          <w:rStyle w:val="HideTWBExt"/>
          <w:b w:val="0"/>
        </w:rPr>
        <w:t>&lt;/NumAm&gt;</w:t>
      </w:r>
    </w:p>
    <w:p w14:paraId="7846DB7A" w14:textId="77777777"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14:paraId="515EE070" w14:textId="77777777" w:rsidR="00BF7ACA" w:rsidRPr="005A5903" w:rsidRDefault="00BF7ACA" w:rsidP="00BF7ACA">
      <w:r>
        <w:rPr>
          <w:rStyle w:val="HideTWBExt"/>
        </w:rPr>
        <w:t>&lt;/RepeatBlock-By&gt;</w:t>
      </w:r>
    </w:p>
    <w:p w14:paraId="3FD5121D"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6C24ABD0" w14:textId="77777777" w:rsidR="00BF7ACA" w:rsidRPr="005A5903" w:rsidRDefault="00BF7ACA" w:rsidP="00BF7ACA">
      <w:pPr>
        <w:pStyle w:val="NormalBold"/>
      </w:pPr>
      <w:r>
        <w:rPr>
          <w:rStyle w:val="HideTWBExt"/>
          <w:b w:val="0"/>
        </w:rPr>
        <w:t>&lt;Article&gt;</w:t>
      </w:r>
      <w:r w:rsidRPr="0019144F">
        <w:t>Considérant 4 quater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1695EA7D" w14:textId="77777777" w:rsidTr="007924BE">
        <w:trPr>
          <w:jc w:val="center"/>
        </w:trPr>
        <w:tc>
          <w:tcPr>
            <w:tcW w:w="9752" w:type="dxa"/>
            <w:gridSpan w:val="2"/>
          </w:tcPr>
          <w:p w14:paraId="55E03D20" w14:textId="77777777" w:rsidR="00BF7ACA" w:rsidRPr="005A5903" w:rsidRDefault="00BF7ACA" w:rsidP="007924BE">
            <w:pPr>
              <w:keepNext/>
            </w:pPr>
          </w:p>
        </w:tc>
      </w:tr>
      <w:tr w:rsidR="00BF7ACA" w:rsidRPr="005A5903" w14:paraId="61F967C2" w14:textId="77777777" w:rsidTr="007924BE">
        <w:trPr>
          <w:jc w:val="center"/>
        </w:trPr>
        <w:tc>
          <w:tcPr>
            <w:tcW w:w="4876" w:type="dxa"/>
            <w:hideMark/>
          </w:tcPr>
          <w:p w14:paraId="10518C8A" w14:textId="77777777" w:rsidR="00BF7ACA" w:rsidRPr="0019144F" w:rsidRDefault="00BF7ACA" w:rsidP="007924BE">
            <w:pPr>
              <w:pStyle w:val="ColumnHeading"/>
              <w:keepNext/>
            </w:pPr>
            <w:r w:rsidRPr="0019144F">
              <w:t>Texte proposé par la Commission</w:t>
            </w:r>
          </w:p>
        </w:tc>
        <w:tc>
          <w:tcPr>
            <w:tcW w:w="4876" w:type="dxa"/>
            <w:hideMark/>
          </w:tcPr>
          <w:p w14:paraId="2389366B" w14:textId="77777777" w:rsidR="00BF7ACA" w:rsidRPr="0019144F" w:rsidRDefault="00BF7ACA" w:rsidP="007924BE">
            <w:pPr>
              <w:pStyle w:val="ColumnHeading"/>
              <w:keepNext/>
            </w:pPr>
            <w:r w:rsidRPr="0019144F">
              <w:t>Amendement</w:t>
            </w:r>
          </w:p>
        </w:tc>
      </w:tr>
      <w:tr w:rsidR="00BF7ACA" w:rsidRPr="005A5903" w14:paraId="00589BA3" w14:textId="77777777" w:rsidTr="007924BE">
        <w:trPr>
          <w:jc w:val="center"/>
        </w:trPr>
        <w:tc>
          <w:tcPr>
            <w:tcW w:w="4876" w:type="dxa"/>
          </w:tcPr>
          <w:p w14:paraId="380E62DB" w14:textId="77777777" w:rsidR="00BF7ACA" w:rsidRPr="0019144F" w:rsidRDefault="00BF7ACA" w:rsidP="007924BE">
            <w:pPr>
              <w:pStyle w:val="Normal6"/>
            </w:pPr>
          </w:p>
        </w:tc>
        <w:tc>
          <w:tcPr>
            <w:tcW w:w="4876" w:type="dxa"/>
            <w:hideMark/>
          </w:tcPr>
          <w:p w14:paraId="1AF33C2F" w14:textId="77777777" w:rsidR="00BF7ACA" w:rsidRPr="0019144F" w:rsidRDefault="00BF7ACA" w:rsidP="007924BE">
            <w:pPr>
              <w:pStyle w:val="Normal6"/>
              <w:rPr>
                <w:szCs w:val="24"/>
              </w:rPr>
            </w:pPr>
            <w:r w:rsidRPr="0019144F">
              <w:rPr>
                <w:b/>
                <w:i/>
              </w:rPr>
              <w:t>(4 quater)</w:t>
            </w:r>
            <w:r>
              <w:tab/>
            </w:r>
            <w:r w:rsidRPr="0019144F">
              <w:rPr>
                <w:b/>
                <w:i/>
              </w:rPr>
              <w:t>L</w:t>
            </w:r>
            <w:r>
              <w:rPr>
                <w:b/>
                <w:i/>
              </w:rPr>
              <w:t>’</w:t>
            </w:r>
            <w:r w:rsidRPr="0019144F">
              <w:rPr>
                <w:b/>
                <w:i/>
              </w:rPr>
              <w:t>amélioration du climat d</w:t>
            </w:r>
            <w:r>
              <w:rPr>
                <w:b/>
                <w:i/>
              </w:rPr>
              <w:t>’</w:t>
            </w:r>
            <w:r w:rsidRPr="0019144F">
              <w:rPr>
                <w:b/>
                <w:i/>
              </w:rPr>
              <w:t>investissement et du contexte politique général dans les pays concernés devrait constituer le troisième pilier du PIE. Dans le cadre des relations politiques qu</w:t>
            </w:r>
            <w:r>
              <w:rPr>
                <w:b/>
                <w:i/>
              </w:rPr>
              <w:t>’</w:t>
            </w:r>
            <w:r w:rsidRPr="0019144F">
              <w:rPr>
                <w:b/>
                <w:i/>
              </w:rPr>
              <w:t>entretient l</w:t>
            </w:r>
            <w:r>
              <w:rPr>
                <w:b/>
                <w:i/>
              </w:rPr>
              <w:t>’</w:t>
            </w:r>
            <w:r w:rsidRPr="0019144F">
              <w:rPr>
                <w:b/>
                <w:i/>
              </w:rPr>
              <w:t>Union avec les pays partenaires, la Commission et le haut représentant de l</w:t>
            </w:r>
            <w:r>
              <w:rPr>
                <w:b/>
                <w:i/>
              </w:rPr>
              <w:t>’</w:t>
            </w:r>
            <w:r w:rsidRPr="0019144F">
              <w:rPr>
                <w:b/>
                <w:i/>
              </w:rPr>
              <w:t>Union pour les affaires étrangères et la politique de sécurité (haut représentant) devraient entretenir des dialogues politiques dans le but de développer des cadres juridiques, des politiques et des institutions pour assurer la stabilité économique, l</w:t>
            </w:r>
            <w:r>
              <w:rPr>
                <w:b/>
                <w:i/>
              </w:rPr>
              <w:t>’</w:t>
            </w:r>
            <w:r w:rsidRPr="0019144F">
              <w:rPr>
                <w:b/>
                <w:i/>
              </w:rPr>
              <w:t>investissement durable et la croissance inclusive. Ces dialogues politiques pourraient porter, entre autres sujets, sur la lutte contre la corruption, la criminalité organisée et les flux financiers illicites, la bonne gouvernance, l</w:t>
            </w:r>
            <w:r>
              <w:rPr>
                <w:b/>
                <w:i/>
              </w:rPr>
              <w:t>’</w:t>
            </w:r>
            <w:r w:rsidRPr="0019144F">
              <w:rPr>
                <w:b/>
                <w:i/>
              </w:rPr>
              <w:t>intégration des marchés locaux, la promotion de l</w:t>
            </w:r>
            <w:r>
              <w:rPr>
                <w:b/>
                <w:i/>
              </w:rPr>
              <w:t>’</w:t>
            </w:r>
            <w:r w:rsidRPr="0019144F">
              <w:rPr>
                <w:b/>
                <w:i/>
              </w:rPr>
              <w:t>entrepreneuriat et des entreprises locales, le respect des droits de l</w:t>
            </w:r>
            <w:r>
              <w:rPr>
                <w:b/>
                <w:i/>
              </w:rPr>
              <w:t>’</w:t>
            </w:r>
            <w:r w:rsidRPr="0019144F">
              <w:rPr>
                <w:b/>
                <w:i/>
              </w:rPr>
              <w:t>homme et l</w:t>
            </w:r>
            <w:r>
              <w:rPr>
                <w:b/>
                <w:i/>
              </w:rPr>
              <w:t>’</w:t>
            </w:r>
            <w:r w:rsidRPr="0019144F">
              <w:rPr>
                <w:b/>
                <w:i/>
              </w:rPr>
              <w:t>état de droit, ainsi que sur des politiques qui tiennent compte de l</w:t>
            </w:r>
            <w:r>
              <w:rPr>
                <w:b/>
                <w:i/>
              </w:rPr>
              <w:t>’</w:t>
            </w:r>
            <w:r w:rsidRPr="0019144F">
              <w:rPr>
                <w:b/>
                <w:i/>
              </w:rPr>
              <w:t>égalité entre les sexes.</w:t>
            </w:r>
          </w:p>
        </w:tc>
      </w:tr>
    </w:tbl>
    <w:p w14:paraId="62577768"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08CBDA7" w14:textId="77777777" w:rsidR="00BF7ACA" w:rsidRPr="00BF7ACA" w:rsidRDefault="00BF7ACA" w:rsidP="00BF7ACA">
      <w:r w:rsidRPr="00BF7ACA">
        <w:rPr>
          <w:rStyle w:val="HideTWBExt"/>
        </w:rPr>
        <w:t>&lt;/Amend&gt;</w:t>
      </w:r>
    </w:p>
    <w:p w14:paraId="255D95D6"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119</w:t>
      </w:r>
      <w:r w:rsidRPr="00BF7ACA">
        <w:rPr>
          <w:rStyle w:val="HideTWBExt"/>
          <w:b w:val="0"/>
        </w:rPr>
        <w:t>&lt;/NumAm&gt;</w:t>
      </w:r>
    </w:p>
    <w:p w14:paraId="1249FA87"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3B1CC0F8" w14:textId="77777777" w:rsidR="00BF7ACA" w:rsidRPr="005A5903" w:rsidRDefault="00BF7ACA" w:rsidP="00BF7ACA">
      <w:r>
        <w:rPr>
          <w:rStyle w:val="HideTWBExt"/>
        </w:rPr>
        <w:t>&lt;/RepeatBlock-By&gt;</w:t>
      </w:r>
    </w:p>
    <w:p w14:paraId="5923BF36"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4B6B61A5" w14:textId="77777777" w:rsidR="00BF7ACA" w:rsidRPr="005A5903" w:rsidRDefault="00BF7ACA" w:rsidP="00BF7ACA">
      <w:pPr>
        <w:pStyle w:val="NormalBold"/>
      </w:pPr>
      <w:r>
        <w:rPr>
          <w:rStyle w:val="HideTWBExt"/>
          <w:b w:val="0"/>
        </w:rPr>
        <w:t>&lt;Article&gt;</w:t>
      </w:r>
      <w:r w:rsidRPr="0019144F">
        <w:t>Considérant 5</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67280A7E" w14:textId="77777777" w:rsidTr="007924BE">
        <w:trPr>
          <w:jc w:val="center"/>
        </w:trPr>
        <w:tc>
          <w:tcPr>
            <w:tcW w:w="9752" w:type="dxa"/>
            <w:gridSpan w:val="2"/>
          </w:tcPr>
          <w:p w14:paraId="718DC769" w14:textId="77777777" w:rsidR="00BF7ACA" w:rsidRPr="005A5903" w:rsidRDefault="00BF7ACA" w:rsidP="007924BE">
            <w:pPr>
              <w:keepNext/>
            </w:pPr>
          </w:p>
        </w:tc>
      </w:tr>
      <w:tr w:rsidR="00BF7ACA" w:rsidRPr="005A5903" w14:paraId="52D97ABF" w14:textId="77777777" w:rsidTr="007924BE">
        <w:trPr>
          <w:jc w:val="center"/>
        </w:trPr>
        <w:tc>
          <w:tcPr>
            <w:tcW w:w="4876" w:type="dxa"/>
            <w:hideMark/>
          </w:tcPr>
          <w:p w14:paraId="06276DA7" w14:textId="77777777" w:rsidR="00BF7ACA" w:rsidRPr="0019144F" w:rsidRDefault="00BF7ACA" w:rsidP="007924BE">
            <w:pPr>
              <w:pStyle w:val="ColumnHeading"/>
              <w:keepNext/>
            </w:pPr>
            <w:r w:rsidRPr="0019144F">
              <w:t>Texte proposé par la Commission</w:t>
            </w:r>
          </w:p>
        </w:tc>
        <w:tc>
          <w:tcPr>
            <w:tcW w:w="4876" w:type="dxa"/>
            <w:hideMark/>
          </w:tcPr>
          <w:p w14:paraId="31A64608" w14:textId="77777777" w:rsidR="00BF7ACA" w:rsidRPr="0019144F" w:rsidRDefault="00BF7ACA" w:rsidP="007924BE">
            <w:pPr>
              <w:pStyle w:val="ColumnHeading"/>
              <w:keepNext/>
            </w:pPr>
            <w:r w:rsidRPr="0019144F">
              <w:t>Amendement</w:t>
            </w:r>
          </w:p>
        </w:tc>
      </w:tr>
      <w:tr w:rsidR="00BF7ACA" w:rsidRPr="005A5903" w14:paraId="7BBED967" w14:textId="77777777" w:rsidTr="007924BE">
        <w:trPr>
          <w:jc w:val="center"/>
        </w:trPr>
        <w:tc>
          <w:tcPr>
            <w:tcW w:w="4876" w:type="dxa"/>
            <w:hideMark/>
          </w:tcPr>
          <w:p w14:paraId="7C46C30E" w14:textId="77777777" w:rsidR="00BF7ACA" w:rsidRPr="0019144F" w:rsidRDefault="00BF7ACA" w:rsidP="007924BE">
            <w:pPr>
              <w:pStyle w:val="Normal6"/>
            </w:pPr>
            <w:r w:rsidRPr="0019144F">
              <w:t>(5)</w:t>
            </w:r>
            <w:r>
              <w:tab/>
            </w:r>
            <w:r w:rsidRPr="0019144F">
              <w:t>Le Fonds européen pour le développement durable (FEDD) devrait être composé de plateformes régionales d</w:t>
            </w:r>
            <w:r>
              <w:t>’</w:t>
            </w:r>
            <w:r w:rsidRPr="0019144F">
              <w:t>investissement, qui combineront des financements issus des mécanismes de mixage existants et de la garantie FEDD. Les mécanismes de mixage existants sont institués par la décision C(2015) 5210 de la Commission pour l</w:t>
            </w:r>
            <w:r>
              <w:t>’</w:t>
            </w:r>
            <w:r w:rsidRPr="0019144F">
              <w:t>Afrique et par la décision d</w:t>
            </w:r>
            <w:r>
              <w:t>’</w:t>
            </w:r>
            <w:r w:rsidRPr="0019144F">
              <w:t>exécution C(2016) 3436 de la Commission pour les pays du voisinage. Chaque plateforme régionale d</w:t>
            </w:r>
            <w:r>
              <w:t>’</w:t>
            </w:r>
            <w:r w:rsidRPr="0019144F">
              <w:t>investissement devrait avoir un conseil opérationnel qui aide la Commission à définir les objectifs d</w:t>
            </w:r>
            <w:r>
              <w:t>’</w:t>
            </w:r>
            <w:r w:rsidRPr="0019144F">
              <w:t>investissement aux niveaux régional et sectoriel ainsi que les volets d</w:t>
            </w:r>
            <w:r>
              <w:t>’</w:t>
            </w:r>
            <w:r w:rsidRPr="0019144F">
              <w:t>investissement régionaux, sectoriels et thématiques, qui formule des avis sur les opérations de mixage et qui examine les questions liées au recours à la garantie FEDD conformément aux volets d</w:t>
            </w:r>
            <w:r>
              <w:t>’</w:t>
            </w:r>
            <w:r w:rsidRPr="0019144F">
              <w:t>investissement devant être définis.</w:t>
            </w:r>
          </w:p>
        </w:tc>
        <w:tc>
          <w:tcPr>
            <w:tcW w:w="4876" w:type="dxa"/>
            <w:hideMark/>
          </w:tcPr>
          <w:p w14:paraId="41B5EFD7" w14:textId="77777777" w:rsidR="00BF7ACA" w:rsidRPr="0019144F" w:rsidRDefault="00BF7ACA" w:rsidP="007924BE">
            <w:pPr>
              <w:pStyle w:val="Normal6"/>
              <w:rPr>
                <w:szCs w:val="24"/>
              </w:rPr>
            </w:pPr>
            <w:r w:rsidRPr="0019144F">
              <w:t>(5)</w:t>
            </w:r>
            <w:r>
              <w:tab/>
            </w:r>
            <w:r w:rsidRPr="0019144F">
              <w:t>Le Fonds européen pour le développement durable (FEDD) devrait être composé de plateformes régionales d</w:t>
            </w:r>
            <w:r>
              <w:t>’</w:t>
            </w:r>
            <w:r w:rsidRPr="0019144F">
              <w:t>investissement, qui combineront des financements issus des mécanismes de mixage existants et de la garantie FEDD. Les mécanismes de mixage existants sont institués par la décision C(2015) 5210 de la Commission pour l</w:t>
            </w:r>
            <w:r>
              <w:t>’</w:t>
            </w:r>
            <w:r w:rsidRPr="0019144F">
              <w:t>Afrique et par la décision d</w:t>
            </w:r>
            <w:r>
              <w:t>’</w:t>
            </w:r>
            <w:r w:rsidRPr="0019144F">
              <w:t>exécution C(2016) 3436 de la Commission pour les pays du voisinage. Chaque plateforme régionale d</w:t>
            </w:r>
            <w:r>
              <w:t>’</w:t>
            </w:r>
            <w:r w:rsidRPr="0019144F">
              <w:t xml:space="preserve">investissement devrait avoir un conseil opérationnel qui aide la Commission à définir </w:t>
            </w:r>
            <w:r w:rsidRPr="0019144F">
              <w:rPr>
                <w:b/>
                <w:i/>
              </w:rPr>
              <w:t xml:space="preserve">et à suivre </w:t>
            </w:r>
            <w:r w:rsidRPr="0019144F">
              <w:t>les objectifs d</w:t>
            </w:r>
            <w:r>
              <w:t>’</w:t>
            </w:r>
            <w:r w:rsidRPr="0019144F">
              <w:t>investissement aux niveaux régional et sectoriel ainsi que les volets d</w:t>
            </w:r>
            <w:r>
              <w:t>’</w:t>
            </w:r>
            <w:r w:rsidRPr="0019144F">
              <w:t>investissement régionaux, sectoriels et thématiques, qui formule des avis sur les opérations de mixage et qui examine les questions liées au recours à la garantie FEDD conformément aux volets d</w:t>
            </w:r>
            <w:r>
              <w:t>’</w:t>
            </w:r>
            <w:r w:rsidRPr="0019144F">
              <w:t>investissement devant être définis.</w:t>
            </w:r>
          </w:p>
        </w:tc>
      </w:tr>
    </w:tbl>
    <w:p w14:paraId="63A73D8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1EF45B9" w14:textId="77777777" w:rsidR="00BF7ACA" w:rsidRPr="00BF7ACA" w:rsidRDefault="00BF7ACA" w:rsidP="00BF7ACA">
      <w:r w:rsidRPr="00BF7ACA">
        <w:rPr>
          <w:rStyle w:val="HideTWBExt"/>
        </w:rPr>
        <w:t>&lt;/Amend&gt;</w:t>
      </w:r>
    </w:p>
    <w:p w14:paraId="28A2F7A5"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120</w:t>
      </w:r>
      <w:r w:rsidRPr="00BF7ACA">
        <w:rPr>
          <w:rStyle w:val="HideTWBExt"/>
          <w:b w:val="0"/>
        </w:rPr>
        <w:t>&lt;/NumAm&gt;</w:t>
      </w:r>
    </w:p>
    <w:p w14:paraId="0F034D6F"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0CBE62A9" w14:textId="77777777" w:rsidR="00BF7ACA" w:rsidRPr="005A5903" w:rsidRDefault="00BF7ACA" w:rsidP="00BF7ACA">
      <w:r>
        <w:rPr>
          <w:rStyle w:val="HideTWBExt"/>
        </w:rPr>
        <w:t>&lt;/RepeatBlock-By&gt;</w:t>
      </w:r>
    </w:p>
    <w:p w14:paraId="7EDB9DDF"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4A4461DB" w14:textId="77777777" w:rsidR="00BF7ACA" w:rsidRPr="005A5903" w:rsidRDefault="00BF7ACA" w:rsidP="00BF7ACA">
      <w:pPr>
        <w:pStyle w:val="NormalBold"/>
      </w:pPr>
      <w:r>
        <w:rPr>
          <w:rStyle w:val="HideTWBExt"/>
          <w:b w:val="0"/>
        </w:rPr>
        <w:t>&lt;Article&gt;</w:t>
      </w:r>
      <w:r w:rsidRPr="0019144F">
        <w:t>Considérant 5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6E0BCF95" w14:textId="77777777" w:rsidTr="007924BE">
        <w:trPr>
          <w:jc w:val="center"/>
        </w:trPr>
        <w:tc>
          <w:tcPr>
            <w:tcW w:w="9752" w:type="dxa"/>
            <w:gridSpan w:val="2"/>
          </w:tcPr>
          <w:p w14:paraId="3C6AF37D" w14:textId="77777777" w:rsidR="00BF7ACA" w:rsidRPr="005A5903" w:rsidRDefault="00BF7ACA" w:rsidP="007924BE">
            <w:pPr>
              <w:keepNext/>
            </w:pPr>
          </w:p>
        </w:tc>
      </w:tr>
      <w:tr w:rsidR="00BF7ACA" w:rsidRPr="005A5903" w14:paraId="1BDC7675" w14:textId="77777777" w:rsidTr="007924BE">
        <w:trPr>
          <w:jc w:val="center"/>
        </w:trPr>
        <w:tc>
          <w:tcPr>
            <w:tcW w:w="4876" w:type="dxa"/>
            <w:hideMark/>
          </w:tcPr>
          <w:p w14:paraId="56278AC7" w14:textId="77777777" w:rsidR="00BF7ACA" w:rsidRPr="0019144F" w:rsidRDefault="00BF7ACA" w:rsidP="007924BE">
            <w:pPr>
              <w:pStyle w:val="ColumnHeading"/>
              <w:keepNext/>
            </w:pPr>
            <w:r w:rsidRPr="0019144F">
              <w:t>Texte proposé par la Commission</w:t>
            </w:r>
          </w:p>
        </w:tc>
        <w:tc>
          <w:tcPr>
            <w:tcW w:w="4876" w:type="dxa"/>
            <w:hideMark/>
          </w:tcPr>
          <w:p w14:paraId="4603D3AD" w14:textId="77777777" w:rsidR="00BF7ACA" w:rsidRPr="0019144F" w:rsidRDefault="00BF7ACA" w:rsidP="007924BE">
            <w:pPr>
              <w:pStyle w:val="ColumnHeading"/>
              <w:keepNext/>
            </w:pPr>
            <w:r w:rsidRPr="0019144F">
              <w:t>Amendement</w:t>
            </w:r>
          </w:p>
        </w:tc>
      </w:tr>
      <w:tr w:rsidR="00BF7ACA" w:rsidRPr="005A5903" w14:paraId="411D87E9" w14:textId="77777777" w:rsidTr="007924BE">
        <w:trPr>
          <w:jc w:val="center"/>
        </w:trPr>
        <w:tc>
          <w:tcPr>
            <w:tcW w:w="4876" w:type="dxa"/>
          </w:tcPr>
          <w:p w14:paraId="73B91B7A" w14:textId="77777777" w:rsidR="00BF7ACA" w:rsidRPr="0019144F" w:rsidRDefault="00BF7ACA" w:rsidP="007924BE">
            <w:pPr>
              <w:pStyle w:val="Normal6"/>
            </w:pPr>
          </w:p>
        </w:tc>
        <w:tc>
          <w:tcPr>
            <w:tcW w:w="4876" w:type="dxa"/>
            <w:hideMark/>
          </w:tcPr>
          <w:p w14:paraId="1F600145" w14:textId="77777777" w:rsidR="00BF7ACA" w:rsidRPr="0019144F" w:rsidRDefault="00BF7ACA" w:rsidP="007924BE">
            <w:pPr>
              <w:pStyle w:val="Normal6"/>
              <w:rPr>
                <w:szCs w:val="24"/>
              </w:rPr>
            </w:pPr>
            <w:r w:rsidRPr="0019144F">
              <w:rPr>
                <w:b/>
                <w:i/>
              </w:rPr>
              <w:t>(5 bis)</w:t>
            </w:r>
            <w:r>
              <w:tab/>
            </w:r>
            <w:r w:rsidRPr="0019144F">
              <w:rPr>
                <w:b/>
                <w:i/>
              </w:rPr>
              <w:t>À la lumière des conclusions de la Cour des comptes européenne</w:t>
            </w:r>
            <w:r w:rsidRPr="0019144F">
              <w:rPr>
                <w:b/>
                <w:i/>
                <w:vertAlign w:val="superscript"/>
              </w:rPr>
              <w:t>1 bis</w:t>
            </w:r>
            <w:r w:rsidRPr="0019144F">
              <w:rPr>
                <w:b/>
                <w:i/>
              </w:rPr>
              <w:t xml:space="preserve"> concernant l</w:t>
            </w:r>
            <w:r>
              <w:rPr>
                <w:b/>
                <w:i/>
              </w:rPr>
              <w:t>’</w:t>
            </w:r>
            <w:r w:rsidRPr="0019144F">
              <w:rPr>
                <w:b/>
                <w:i/>
              </w:rPr>
              <w:t>utilisation de financements mixtes dans les relations extérieures de l</w:t>
            </w:r>
            <w:r>
              <w:rPr>
                <w:b/>
                <w:i/>
              </w:rPr>
              <w:t>’</w:t>
            </w:r>
            <w:r w:rsidRPr="0019144F">
              <w:rPr>
                <w:b/>
                <w:i/>
              </w:rPr>
              <w:t>Union, qui ont souligné le fait que, pour près de la moitié des projets examinés, il n</w:t>
            </w:r>
            <w:r>
              <w:rPr>
                <w:b/>
                <w:i/>
              </w:rPr>
              <w:t>’</w:t>
            </w:r>
            <w:r w:rsidRPr="0019144F">
              <w:rPr>
                <w:b/>
                <w:i/>
              </w:rPr>
              <w:t>existait pas suffisamment d</w:t>
            </w:r>
            <w:r>
              <w:rPr>
                <w:b/>
                <w:i/>
              </w:rPr>
              <w:t>’</w:t>
            </w:r>
            <w:r w:rsidRPr="0019144F">
              <w:rPr>
                <w:b/>
                <w:i/>
              </w:rPr>
              <w:t>éléments probants pour établir que les subventions étaient justifiées, et que, dans un certain nombre de ces cas, des éléments indiquaient que les investissements auraient été réalisés sans la contribution de l</w:t>
            </w:r>
            <w:r>
              <w:rPr>
                <w:b/>
                <w:i/>
              </w:rPr>
              <w:t>’</w:t>
            </w:r>
            <w:r w:rsidRPr="0019144F">
              <w:rPr>
                <w:b/>
                <w:i/>
              </w:rPr>
              <w:t>Union, il est capital que les financements mixtes ne soient utilisés que lorsque la Commission peut clairement démontrer leur valeur ajoutée.</w:t>
            </w:r>
          </w:p>
        </w:tc>
      </w:tr>
      <w:tr w:rsidR="00BF7ACA" w:rsidRPr="005A5903" w14:paraId="00FD30EA" w14:textId="77777777" w:rsidTr="007924BE">
        <w:trPr>
          <w:jc w:val="center"/>
        </w:trPr>
        <w:tc>
          <w:tcPr>
            <w:tcW w:w="4876" w:type="dxa"/>
          </w:tcPr>
          <w:p w14:paraId="24F3D94D" w14:textId="77777777" w:rsidR="00BF7ACA" w:rsidRPr="0019144F" w:rsidRDefault="00BF7ACA" w:rsidP="007924BE">
            <w:pPr>
              <w:pStyle w:val="Normal6"/>
            </w:pPr>
          </w:p>
        </w:tc>
        <w:tc>
          <w:tcPr>
            <w:tcW w:w="4876" w:type="dxa"/>
          </w:tcPr>
          <w:p w14:paraId="39E428C7" w14:textId="77777777" w:rsidR="00BF7ACA" w:rsidRPr="0019144F" w:rsidRDefault="00BF7ACA" w:rsidP="007924BE">
            <w:pPr>
              <w:pStyle w:val="Normal6"/>
              <w:rPr>
                <w:b/>
                <w:i/>
              </w:rPr>
            </w:pPr>
            <w:r w:rsidRPr="0019144F">
              <w:rPr>
                <w:b/>
                <w:i/>
              </w:rPr>
              <w:t>_____________________</w:t>
            </w:r>
          </w:p>
        </w:tc>
      </w:tr>
      <w:tr w:rsidR="00BF7ACA" w:rsidRPr="00BF7ACA" w14:paraId="2E0E630C" w14:textId="77777777" w:rsidTr="007924BE">
        <w:trPr>
          <w:jc w:val="center"/>
        </w:trPr>
        <w:tc>
          <w:tcPr>
            <w:tcW w:w="4876" w:type="dxa"/>
          </w:tcPr>
          <w:p w14:paraId="0C4A3397" w14:textId="77777777" w:rsidR="00BF7ACA" w:rsidRPr="0019144F" w:rsidRDefault="00BF7ACA" w:rsidP="007924BE">
            <w:pPr>
              <w:pStyle w:val="Normal6"/>
            </w:pPr>
          </w:p>
        </w:tc>
        <w:tc>
          <w:tcPr>
            <w:tcW w:w="4876" w:type="dxa"/>
            <w:hideMark/>
          </w:tcPr>
          <w:p w14:paraId="15A9CC46" w14:textId="77777777" w:rsidR="00BF7ACA" w:rsidRPr="00627C55" w:rsidRDefault="00BF7ACA" w:rsidP="007924BE">
            <w:pPr>
              <w:pStyle w:val="Normal6"/>
              <w:rPr>
                <w:szCs w:val="24"/>
                <w:lang w:val="de-DE"/>
              </w:rPr>
            </w:pPr>
            <w:r w:rsidRPr="00627C55">
              <w:rPr>
                <w:b/>
                <w:i/>
                <w:vertAlign w:val="superscript"/>
                <w:lang w:val="de-DE"/>
              </w:rPr>
              <w:t>1 bis</w:t>
            </w:r>
            <w:r w:rsidRPr="00627C55">
              <w:rPr>
                <w:b/>
                <w:i/>
                <w:lang w:val="de-DE"/>
              </w:rPr>
              <w:t xml:space="preserve"> http://www.eca.europa.eu/Lists/ECADocuments/SR14_16/SR14_16_FR.pdf</w:t>
            </w:r>
          </w:p>
        </w:tc>
      </w:tr>
    </w:tbl>
    <w:p w14:paraId="78FA9BBC" w14:textId="77777777" w:rsidR="00BF7ACA" w:rsidRPr="00BF7ACA" w:rsidRDefault="00BF7ACA" w:rsidP="00BF7ACA">
      <w:pPr>
        <w:pStyle w:val="Olang"/>
        <w:rPr>
          <w:noProof w:val="0"/>
          <w:szCs w:val="24"/>
          <w:lang w:val="de-DE"/>
        </w:rPr>
      </w:pPr>
      <w:r w:rsidRPr="00BF7ACA">
        <w:rPr>
          <w:noProof w:val="0"/>
          <w:lang w:val="de-DE"/>
        </w:rPr>
        <w:t xml:space="preserve">Or. </w:t>
      </w:r>
      <w:r w:rsidRPr="00BF7ACA">
        <w:rPr>
          <w:rStyle w:val="HideTWBExt"/>
          <w:noProof w:val="0"/>
          <w:lang w:val="de-DE"/>
        </w:rPr>
        <w:t>&lt;Original&gt;</w:t>
      </w:r>
      <w:r w:rsidRPr="00BF7ACA">
        <w:rPr>
          <w:rStyle w:val="HideTWBInt"/>
          <w:noProof w:val="0"/>
          <w:lang w:val="de-DE"/>
        </w:rPr>
        <w:t>{EN}</w:t>
      </w:r>
      <w:r w:rsidRPr="00BF7ACA">
        <w:rPr>
          <w:noProof w:val="0"/>
          <w:lang w:val="de-DE"/>
        </w:rPr>
        <w:t>en</w:t>
      </w:r>
      <w:r w:rsidRPr="00BF7ACA">
        <w:rPr>
          <w:rStyle w:val="HideTWBExt"/>
          <w:noProof w:val="0"/>
          <w:lang w:val="de-DE"/>
        </w:rPr>
        <w:t>&lt;/Original&gt;</w:t>
      </w:r>
    </w:p>
    <w:p w14:paraId="413571B9" w14:textId="77777777" w:rsidR="00BF7ACA" w:rsidRPr="00BF7ACA" w:rsidRDefault="00BF7ACA" w:rsidP="00BF7ACA">
      <w:pPr>
        <w:rPr>
          <w:lang w:val="de-DE"/>
        </w:rPr>
      </w:pPr>
      <w:r w:rsidRPr="00BF7ACA">
        <w:rPr>
          <w:rStyle w:val="HideTWBExt"/>
          <w:lang w:val="de-DE"/>
        </w:rPr>
        <w:t>&lt;/Amend&gt;</w:t>
      </w:r>
    </w:p>
    <w:p w14:paraId="400EEE55" w14:textId="77777777" w:rsidR="00BF7ACA" w:rsidRPr="00BF7ACA" w:rsidRDefault="00BF7ACA" w:rsidP="00BF7ACA">
      <w:pPr>
        <w:pStyle w:val="AMNumberTabs"/>
        <w:keepNext/>
        <w:rPr>
          <w:lang w:val="de-DE"/>
        </w:rPr>
      </w:pPr>
      <w:r w:rsidRPr="00BF7ACA">
        <w:rPr>
          <w:rStyle w:val="HideTWBExt"/>
          <w:b w:val="0"/>
          <w:lang w:val="de-DE"/>
        </w:rPr>
        <w:t>&lt;Amend&gt;</w:t>
      </w:r>
      <w:r w:rsidRPr="00BF7ACA">
        <w:rPr>
          <w:lang w:val="de-DE"/>
        </w:rPr>
        <w:t>Amendement</w:t>
      </w:r>
      <w:r w:rsidRPr="00BF7ACA">
        <w:rPr>
          <w:lang w:val="de-DE"/>
        </w:rPr>
        <w:tab/>
      </w:r>
      <w:r w:rsidRPr="00BF7ACA">
        <w:rPr>
          <w:lang w:val="de-DE"/>
        </w:rPr>
        <w:tab/>
      </w:r>
      <w:r w:rsidRPr="00BF7ACA">
        <w:rPr>
          <w:rStyle w:val="HideTWBExt"/>
          <w:b w:val="0"/>
          <w:lang w:val="de-DE"/>
        </w:rPr>
        <w:t>&lt;NumAm&gt;</w:t>
      </w:r>
      <w:r w:rsidRPr="00BF7ACA">
        <w:rPr>
          <w:lang w:val="de-DE"/>
        </w:rPr>
        <w:t>121</w:t>
      </w:r>
      <w:r w:rsidRPr="00BF7ACA">
        <w:rPr>
          <w:rStyle w:val="HideTWBExt"/>
          <w:b w:val="0"/>
          <w:lang w:val="de-DE"/>
        </w:rPr>
        <w:t>&lt;/NumAm&gt;</w:t>
      </w:r>
    </w:p>
    <w:p w14:paraId="17DA08AD" w14:textId="77777777" w:rsidR="00BF7ACA" w:rsidRPr="00BF7ACA" w:rsidRDefault="00BF7ACA" w:rsidP="00BF7ACA">
      <w:pPr>
        <w:pStyle w:val="NormalBold"/>
        <w:rPr>
          <w:lang w:val="de-DE"/>
        </w:rPr>
      </w:pPr>
      <w:r w:rsidRPr="00BF7ACA">
        <w:rPr>
          <w:rStyle w:val="HideTWBExt"/>
          <w:b w:val="0"/>
          <w:lang w:val="de-DE"/>
        </w:rPr>
        <w:t>&lt;RepeatBlock-By&gt;&lt;Members&gt;</w:t>
      </w:r>
      <w:r w:rsidRPr="00BF7ACA">
        <w:rPr>
          <w:lang w:val="de-DE"/>
        </w:rPr>
        <w:t>Beatriz Becerra Basterrechea, Anneli Jäätteenmäki, Urmas Paet, Jozo Radoš, Hilde Vautmans, Ilhan Kyuchyuk, Nedzhmi Ali</w:t>
      </w:r>
      <w:r w:rsidRPr="00BF7ACA">
        <w:rPr>
          <w:rStyle w:val="HideTWBExt"/>
          <w:b w:val="0"/>
          <w:lang w:val="de-DE"/>
        </w:rPr>
        <w:t>&lt;/Members&gt;</w:t>
      </w:r>
    </w:p>
    <w:p w14:paraId="228B8780" w14:textId="77777777" w:rsidR="00BF7ACA" w:rsidRPr="00BF7ACA" w:rsidRDefault="00BF7ACA" w:rsidP="00BF7ACA">
      <w:pPr>
        <w:rPr>
          <w:lang w:val="de-DE"/>
        </w:rPr>
      </w:pPr>
      <w:r w:rsidRPr="00BF7ACA">
        <w:rPr>
          <w:rStyle w:val="HideTWBExt"/>
          <w:lang w:val="de-DE"/>
        </w:rPr>
        <w:t>&lt;/RepeatBlock-By&gt;</w:t>
      </w:r>
    </w:p>
    <w:p w14:paraId="5DDA0B3F"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10EE503F" w14:textId="77777777" w:rsidR="00BF7ACA" w:rsidRPr="005A5903" w:rsidRDefault="00BF7ACA" w:rsidP="00BF7ACA">
      <w:pPr>
        <w:pStyle w:val="NormalBold"/>
      </w:pPr>
      <w:r>
        <w:rPr>
          <w:rStyle w:val="HideTWBExt"/>
          <w:b w:val="0"/>
        </w:rPr>
        <w:t>&lt;Article&gt;</w:t>
      </w:r>
      <w:r w:rsidRPr="0019144F">
        <w:t>Considérant 5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2B0EBE67" w14:textId="77777777" w:rsidTr="007924BE">
        <w:trPr>
          <w:jc w:val="center"/>
        </w:trPr>
        <w:tc>
          <w:tcPr>
            <w:tcW w:w="9752" w:type="dxa"/>
            <w:gridSpan w:val="2"/>
          </w:tcPr>
          <w:p w14:paraId="21894AFE" w14:textId="77777777" w:rsidR="00BF7ACA" w:rsidRPr="005A5903" w:rsidRDefault="00BF7ACA" w:rsidP="007924BE">
            <w:pPr>
              <w:keepNext/>
            </w:pPr>
          </w:p>
        </w:tc>
      </w:tr>
      <w:tr w:rsidR="00BF7ACA" w:rsidRPr="005A5903" w14:paraId="79478B35" w14:textId="77777777" w:rsidTr="007924BE">
        <w:trPr>
          <w:jc w:val="center"/>
        </w:trPr>
        <w:tc>
          <w:tcPr>
            <w:tcW w:w="4876" w:type="dxa"/>
            <w:hideMark/>
          </w:tcPr>
          <w:p w14:paraId="6FAB3DDF" w14:textId="77777777" w:rsidR="00BF7ACA" w:rsidRPr="0019144F" w:rsidRDefault="00BF7ACA" w:rsidP="007924BE">
            <w:pPr>
              <w:pStyle w:val="ColumnHeading"/>
              <w:keepNext/>
            </w:pPr>
            <w:r w:rsidRPr="0019144F">
              <w:t>Texte proposé par la Commission</w:t>
            </w:r>
          </w:p>
        </w:tc>
        <w:tc>
          <w:tcPr>
            <w:tcW w:w="4876" w:type="dxa"/>
            <w:hideMark/>
          </w:tcPr>
          <w:p w14:paraId="177186A8" w14:textId="77777777" w:rsidR="00BF7ACA" w:rsidRPr="0019144F" w:rsidRDefault="00BF7ACA" w:rsidP="007924BE">
            <w:pPr>
              <w:pStyle w:val="ColumnHeading"/>
              <w:keepNext/>
            </w:pPr>
            <w:r w:rsidRPr="0019144F">
              <w:t>Amendement</w:t>
            </w:r>
          </w:p>
        </w:tc>
      </w:tr>
      <w:tr w:rsidR="00BF7ACA" w:rsidRPr="005A5903" w14:paraId="17F68AF6" w14:textId="77777777" w:rsidTr="007924BE">
        <w:trPr>
          <w:jc w:val="center"/>
        </w:trPr>
        <w:tc>
          <w:tcPr>
            <w:tcW w:w="4876" w:type="dxa"/>
          </w:tcPr>
          <w:p w14:paraId="48B46897" w14:textId="77777777" w:rsidR="00BF7ACA" w:rsidRPr="0019144F" w:rsidRDefault="00BF7ACA" w:rsidP="007924BE">
            <w:pPr>
              <w:pStyle w:val="Normal6"/>
            </w:pPr>
          </w:p>
        </w:tc>
        <w:tc>
          <w:tcPr>
            <w:tcW w:w="4876" w:type="dxa"/>
            <w:hideMark/>
          </w:tcPr>
          <w:p w14:paraId="4C1D37E8" w14:textId="77777777" w:rsidR="00BF7ACA" w:rsidRPr="0019144F" w:rsidRDefault="00BF7ACA" w:rsidP="007924BE">
            <w:pPr>
              <w:pStyle w:val="Normal6"/>
              <w:rPr>
                <w:szCs w:val="24"/>
              </w:rPr>
            </w:pPr>
            <w:r w:rsidRPr="0019144F">
              <w:rPr>
                <w:b/>
                <w:i/>
              </w:rPr>
              <w:t>(5 bis)</w:t>
            </w:r>
            <w:r>
              <w:tab/>
            </w:r>
            <w:r w:rsidRPr="0019144F">
              <w:rPr>
                <w:b/>
                <w:i/>
              </w:rPr>
              <w:t>L</w:t>
            </w:r>
            <w:r>
              <w:rPr>
                <w:b/>
                <w:i/>
              </w:rPr>
              <w:t>’</w:t>
            </w:r>
            <w:r w:rsidRPr="0019144F">
              <w:rPr>
                <w:b/>
                <w:i/>
              </w:rPr>
              <w:t>ensemble des capacités du FEDD défendront et respecteront pleinement les droits de l</w:t>
            </w:r>
            <w:r>
              <w:rPr>
                <w:b/>
                <w:i/>
              </w:rPr>
              <w:t>’</w:t>
            </w:r>
            <w:r w:rsidRPr="0019144F">
              <w:rPr>
                <w:b/>
                <w:i/>
              </w:rPr>
              <w:t>homme et l</w:t>
            </w:r>
            <w:r>
              <w:rPr>
                <w:b/>
                <w:i/>
              </w:rPr>
              <w:t>’</w:t>
            </w:r>
            <w:r w:rsidRPr="0019144F">
              <w:rPr>
                <w:b/>
                <w:i/>
              </w:rPr>
              <w:t>égalité de traitement dans les pays bénéficiaires et de tous les acteurs concernés par les activités de financement et d</w:t>
            </w:r>
            <w:r>
              <w:rPr>
                <w:b/>
                <w:i/>
              </w:rPr>
              <w:t>’</w:t>
            </w:r>
            <w:r w:rsidRPr="0019144F">
              <w:rPr>
                <w:b/>
                <w:i/>
              </w:rPr>
              <w:t>investissement.</w:t>
            </w:r>
          </w:p>
        </w:tc>
      </w:tr>
    </w:tbl>
    <w:p w14:paraId="683DC46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4A37BE1" w14:textId="77777777" w:rsidR="00BF7ACA" w:rsidRPr="00BF7ACA" w:rsidRDefault="00BF7ACA" w:rsidP="00BF7ACA">
      <w:r w:rsidRPr="00BF7ACA">
        <w:rPr>
          <w:rStyle w:val="HideTWBExt"/>
        </w:rPr>
        <w:t>&lt;/Amend&gt;</w:t>
      </w:r>
    </w:p>
    <w:p w14:paraId="190215FC"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122</w:t>
      </w:r>
      <w:r w:rsidRPr="00E502E5">
        <w:rPr>
          <w:rStyle w:val="HideTWBExt"/>
          <w:b w:val="0"/>
        </w:rPr>
        <w:t>&lt;/NumAm&gt;</w:t>
      </w:r>
    </w:p>
    <w:p w14:paraId="00122178" w14:textId="77777777" w:rsidR="00BF7ACA" w:rsidRPr="00E502E5" w:rsidRDefault="00BF7ACA" w:rsidP="00BF7ACA">
      <w:pPr>
        <w:pStyle w:val="NormalBold"/>
      </w:pPr>
      <w:r w:rsidRPr="00E502E5">
        <w:rPr>
          <w:rStyle w:val="HideTWBExt"/>
          <w:b w:val="0"/>
        </w:rPr>
        <w:t>&lt;RepeatBlock-By&gt;&lt;Members&gt;</w:t>
      </w:r>
      <w:r w:rsidRPr="00E502E5">
        <w:t>Jean-Luc Schaffhauser</w:t>
      </w:r>
      <w:r w:rsidRPr="00E502E5">
        <w:rPr>
          <w:rStyle w:val="HideTWBExt"/>
          <w:b w:val="0"/>
        </w:rPr>
        <w:t>&lt;/Members&gt;</w:t>
      </w:r>
    </w:p>
    <w:p w14:paraId="529A9F8E" w14:textId="77777777" w:rsidR="00BF7ACA" w:rsidRPr="00E502E5" w:rsidRDefault="00BF7ACA" w:rsidP="00BF7ACA">
      <w:r w:rsidRPr="00E502E5">
        <w:rPr>
          <w:rStyle w:val="HideTWBExt"/>
        </w:rPr>
        <w:t>&lt;/RepeatBlock-By&gt;</w:t>
      </w:r>
    </w:p>
    <w:p w14:paraId="10E7F5D0"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2DCDEAE7" w14:textId="77777777" w:rsidR="00BF7ACA" w:rsidRPr="00E502E5" w:rsidRDefault="00BF7ACA" w:rsidP="00BF7ACA">
      <w:pPr>
        <w:pStyle w:val="NormalBold"/>
      </w:pPr>
      <w:r w:rsidRPr="00E502E5">
        <w:rPr>
          <w:rStyle w:val="HideTWBExt"/>
          <w:b w:val="0"/>
        </w:rPr>
        <w:t>&lt;Article&gt;</w:t>
      </w:r>
      <w:r w:rsidRPr="00E502E5">
        <w:t>Considérant 6</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1A38D0E0" w14:textId="77777777" w:rsidTr="007924BE">
        <w:trPr>
          <w:jc w:val="center"/>
        </w:trPr>
        <w:tc>
          <w:tcPr>
            <w:tcW w:w="9752" w:type="dxa"/>
            <w:gridSpan w:val="2"/>
          </w:tcPr>
          <w:p w14:paraId="4FB97E8D" w14:textId="77777777" w:rsidR="00BF7ACA" w:rsidRPr="00E502E5" w:rsidRDefault="00BF7ACA" w:rsidP="007924BE">
            <w:pPr>
              <w:keepNext/>
            </w:pPr>
          </w:p>
        </w:tc>
      </w:tr>
      <w:tr w:rsidR="00BF7ACA" w:rsidRPr="00E502E5" w14:paraId="48339BB2" w14:textId="77777777" w:rsidTr="007924BE">
        <w:trPr>
          <w:jc w:val="center"/>
        </w:trPr>
        <w:tc>
          <w:tcPr>
            <w:tcW w:w="4876" w:type="dxa"/>
            <w:hideMark/>
          </w:tcPr>
          <w:p w14:paraId="10B1D933" w14:textId="77777777" w:rsidR="00BF7ACA" w:rsidRPr="00E502E5" w:rsidRDefault="00BF7ACA" w:rsidP="007924BE">
            <w:pPr>
              <w:pStyle w:val="ColumnHeading"/>
              <w:keepNext/>
            </w:pPr>
            <w:r w:rsidRPr="00E502E5">
              <w:t>Texte proposé par la Commission</w:t>
            </w:r>
          </w:p>
        </w:tc>
        <w:tc>
          <w:tcPr>
            <w:tcW w:w="4876" w:type="dxa"/>
            <w:hideMark/>
          </w:tcPr>
          <w:p w14:paraId="11E6395F" w14:textId="77777777" w:rsidR="00BF7ACA" w:rsidRPr="00E502E5" w:rsidRDefault="00BF7ACA" w:rsidP="007924BE">
            <w:pPr>
              <w:pStyle w:val="ColumnHeading"/>
              <w:keepNext/>
            </w:pPr>
            <w:r w:rsidRPr="00E502E5">
              <w:t>Amendement</w:t>
            </w:r>
          </w:p>
        </w:tc>
      </w:tr>
      <w:tr w:rsidR="00BF7ACA" w:rsidRPr="00E502E5" w14:paraId="57A54379" w14:textId="77777777" w:rsidTr="007924BE">
        <w:trPr>
          <w:jc w:val="center"/>
        </w:trPr>
        <w:tc>
          <w:tcPr>
            <w:tcW w:w="4876" w:type="dxa"/>
            <w:hideMark/>
          </w:tcPr>
          <w:p w14:paraId="7EE8DF9D" w14:textId="77777777" w:rsidR="00BF7ACA" w:rsidRPr="00E502E5" w:rsidRDefault="00BF7ACA" w:rsidP="007924BE">
            <w:pPr>
              <w:pStyle w:val="Normal6"/>
            </w:pPr>
            <w:r w:rsidRPr="00E502E5">
              <w:t>(6)</w:t>
            </w:r>
            <w:r w:rsidRPr="00E502E5">
              <w:tab/>
              <w:t xml:space="preserve">En outre, le FEDD devrait </w:t>
            </w:r>
            <w:r w:rsidRPr="00E502E5">
              <w:rPr>
                <w:b/>
                <w:i/>
              </w:rPr>
              <w:t>faire office de «guichet unique» pour recevoir les propositions de financement émanant d</w:t>
            </w:r>
            <w:r>
              <w:rPr>
                <w:b/>
                <w:i/>
              </w:rPr>
              <w:t>’</w:t>
            </w:r>
            <w:r w:rsidRPr="00E502E5">
              <w:rPr>
                <w:b/>
                <w:i/>
              </w:rPr>
              <w:t>institutions financières et d</w:t>
            </w:r>
            <w:r>
              <w:rPr>
                <w:b/>
                <w:i/>
              </w:rPr>
              <w:t>’</w:t>
            </w:r>
            <w:r w:rsidRPr="00E502E5">
              <w:rPr>
                <w:b/>
                <w:i/>
              </w:rPr>
              <w:t>investisseurs publics ou privés et fournir de nombreuses formes de soutien financier en faveur d</w:t>
            </w:r>
            <w:r>
              <w:rPr>
                <w:b/>
                <w:i/>
              </w:rPr>
              <w:t>’</w:t>
            </w:r>
            <w:r w:rsidRPr="00E502E5">
              <w:rPr>
                <w:b/>
                <w:i/>
              </w:rPr>
              <w:t>investissements éligibles. La garantie FEDD devrait être soutenue par le fonds de garantie FEDD. Le FEDD devrait mobiliser des instruments innovants pour soutenir les investissements et associer le secteur privé.</w:t>
            </w:r>
          </w:p>
        </w:tc>
        <w:tc>
          <w:tcPr>
            <w:tcW w:w="4876" w:type="dxa"/>
            <w:hideMark/>
          </w:tcPr>
          <w:p w14:paraId="46D79613" w14:textId="77777777" w:rsidR="00BF7ACA" w:rsidRPr="00E502E5" w:rsidRDefault="00BF7ACA" w:rsidP="007924BE">
            <w:pPr>
              <w:pStyle w:val="Normal6"/>
              <w:rPr>
                <w:szCs w:val="24"/>
              </w:rPr>
            </w:pPr>
            <w:r w:rsidRPr="00E502E5">
              <w:t>(6)</w:t>
            </w:r>
            <w:r w:rsidRPr="00E502E5">
              <w:tab/>
              <w:t xml:space="preserve">En outre, le FEDD devrait </w:t>
            </w:r>
            <w:r w:rsidRPr="00E502E5">
              <w:rPr>
                <w:b/>
                <w:i/>
              </w:rPr>
              <w:t xml:space="preserve">être sous le contrôle exclusif des </w:t>
            </w:r>
            <w:r>
              <w:rPr>
                <w:b/>
                <w:i/>
              </w:rPr>
              <w:t>É</w:t>
            </w:r>
            <w:r w:rsidRPr="00E502E5">
              <w:rPr>
                <w:b/>
                <w:i/>
              </w:rPr>
              <w:t>tats membres pour ne pas voir l</w:t>
            </w:r>
            <w:r>
              <w:rPr>
                <w:b/>
                <w:i/>
              </w:rPr>
              <w:t>’</w:t>
            </w:r>
            <w:r w:rsidRPr="00E502E5">
              <w:rPr>
                <w:b/>
                <w:i/>
              </w:rPr>
              <w:t>UE mettre en avant les acteurs privées d</w:t>
            </w:r>
            <w:r>
              <w:rPr>
                <w:b/>
                <w:i/>
              </w:rPr>
              <w:t>’</w:t>
            </w:r>
            <w:r w:rsidRPr="00E502E5">
              <w:rPr>
                <w:b/>
                <w:i/>
              </w:rPr>
              <w:t xml:space="preserve">un seul </w:t>
            </w:r>
            <w:r>
              <w:rPr>
                <w:b/>
                <w:i/>
              </w:rPr>
              <w:t>É</w:t>
            </w:r>
            <w:r w:rsidRPr="00E502E5">
              <w:rPr>
                <w:b/>
                <w:i/>
              </w:rPr>
              <w:t>tat membre comme c</w:t>
            </w:r>
            <w:r>
              <w:rPr>
                <w:b/>
                <w:i/>
              </w:rPr>
              <w:t>’</w:t>
            </w:r>
            <w:r w:rsidRPr="00E502E5">
              <w:rPr>
                <w:b/>
                <w:i/>
              </w:rPr>
              <w:t>est le cas sur d</w:t>
            </w:r>
            <w:r>
              <w:rPr>
                <w:b/>
                <w:i/>
              </w:rPr>
              <w:t>’</w:t>
            </w:r>
            <w:r w:rsidRPr="00E502E5">
              <w:rPr>
                <w:b/>
                <w:i/>
              </w:rPr>
              <w:t>autres sujets;</w:t>
            </w:r>
          </w:p>
        </w:tc>
      </w:tr>
    </w:tbl>
    <w:p w14:paraId="7A1A5A5C"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600980B8" w14:textId="77777777" w:rsidR="00BF7ACA" w:rsidRPr="00E502E5" w:rsidRDefault="00BF7ACA" w:rsidP="00BF7ACA">
      <w:r w:rsidRPr="00E502E5">
        <w:rPr>
          <w:rStyle w:val="HideTWBExt"/>
        </w:rPr>
        <w:t>&lt;/Amend&gt;</w:t>
      </w:r>
    </w:p>
    <w:p w14:paraId="4EBA7F3D"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123</w:t>
      </w:r>
      <w:r w:rsidRPr="00BF7ACA">
        <w:rPr>
          <w:rStyle w:val="HideTWBExt"/>
          <w:b w:val="0"/>
        </w:rPr>
        <w:t>&lt;/NumAm&gt;</w:t>
      </w:r>
    </w:p>
    <w:p w14:paraId="63B03946" w14:textId="77777777" w:rsidR="00BF7ACA" w:rsidRPr="00BF7ACA" w:rsidRDefault="00BF7ACA" w:rsidP="00BF7ACA">
      <w:pPr>
        <w:pStyle w:val="NormalBold"/>
      </w:pPr>
      <w:r w:rsidRPr="00BF7ACA">
        <w:rPr>
          <w:rStyle w:val="HideTWBExt"/>
          <w:b w:val="0"/>
        </w:rPr>
        <w:t>&lt;RepeatBlock-By&gt;&lt;Members&gt;</w:t>
      </w:r>
      <w:r w:rsidRPr="00BF7ACA">
        <w:t>Sabine Lösing</w:t>
      </w:r>
      <w:r w:rsidRPr="00BF7ACA">
        <w:rPr>
          <w:rStyle w:val="HideTWBExt"/>
          <w:b w:val="0"/>
        </w:rPr>
        <w:t>&lt;/Members&gt;</w:t>
      </w:r>
    </w:p>
    <w:p w14:paraId="7A9224C4" w14:textId="77777777" w:rsidR="00BF7ACA" w:rsidRPr="005A5903" w:rsidRDefault="00BF7ACA" w:rsidP="00BF7ACA">
      <w:r>
        <w:rPr>
          <w:rStyle w:val="HideTWBExt"/>
        </w:rPr>
        <w:t>&lt;/RepeatBlock-By&gt;</w:t>
      </w:r>
    </w:p>
    <w:p w14:paraId="53997A73"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41FB625F" w14:textId="77777777" w:rsidR="00BF7ACA" w:rsidRPr="005A5903" w:rsidRDefault="00BF7ACA" w:rsidP="00BF7ACA">
      <w:pPr>
        <w:pStyle w:val="NormalBold"/>
      </w:pPr>
      <w:r>
        <w:rPr>
          <w:rStyle w:val="HideTWBExt"/>
          <w:b w:val="0"/>
        </w:rPr>
        <w:t>&lt;Article&gt;</w:t>
      </w:r>
      <w:r w:rsidRPr="0019144F">
        <w:t>Considérant 6</w:t>
      </w:r>
      <w:r>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7D599994" w14:textId="77777777" w:rsidTr="007924BE">
        <w:trPr>
          <w:jc w:val="center"/>
        </w:trPr>
        <w:tc>
          <w:tcPr>
            <w:tcW w:w="9752" w:type="dxa"/>
            <w:gridSpan w:val="2"/>
          </w:tcPr>
          <w:p w14:paraId="63F9B31F" w14:textId="77777777" w:rsidR="00BF7ACA" w:rsidRPr="005A5903" w:rsidRDefault="00BF7ACA" w:rsidP="007924BE">
            <w:pPr>
              <w:keepNext/>
            </w:pPr>
          </w:p>
        </w:tc>
      </w:tr>
      <w:tr w:rsidR="00BF7ACA" w:rsidRPr="005A5903" w14:paraId="52A65EA5" w14:textId="77777777" w:rsidTr="007924BE">
        <w:trPr>
          <w:jc w:val="center"/>
        </w:trPr>
        <w:tc>
          <w:tcPr>
            <w:tcW w:w="4876" w:type="dxa"/>
            <w:hideMark/>
          </w:tcPr>
          <w:p w14:paraId="7165C37D" w14:textId="77777777" w:rsidR="00BF7ACA" w:rsidRPr="0019144F" w:rsidRDefault="00BF7ACA" w:rsidP="007924BE">
            <w:pPr>
              <w:pStyle w:val="ColumnHeading"/>
              <w:keepNext/>
            </w:pPr>
            <w:r w:rsidRPr="0019144F">
              <w:t>Texte proposé par la Commission</w:t>
            </w:r>
          </w:p>
        </w:tc>
        <w:tc>
          <w:tcPr>
            <w:tcW w:w="4876" w:type="dxa"/>
            <w:hideMark/>
          </w:tcPr>
          <w:p w14:paraId="68099502" w14:textId="77777777" w:rsidR="00BF7ACA" w:rsidRPr="0019144F" w:rsidRDefault="00BF7ACA" w:rsidP="007924BE">
            <w:pPr>
              <w:pStyle w:val="ColumnHeading"/>
              <w:keepNext/>
            </w:pPr>
            <w:r w:rsidRPr="0019144F">
              <w:t>Amendement</w:t>
            </w:r>
          </w:p>
        </w:tc>
      </w:tr>
      <w:tr w:rsidR="00BF7ACA" w:rsidRPr="005A5903" w14:paraId="1BA967E3" w14:textId="77777777" w:rsidTr="007924BE">
        <w:trPr>
          <w:jc w:val="center"/>
        </w:trPr>
        <w:tc>
          <w:tcPr>
            <w:tcW w:w="4876" w:type="dxa"/>
            <w:hideMark/>
          </w:tcPr>
          <w:p w14:paraId="5389AF84" w14:textId="77777777" w:rsidR="00BF7ACA" w:rsidRPr="0019144F" w:rsidRDefault="00BF7ACA" w:rsidP="007924BE">
            <w:pPr>
              <w:pStyle w:val="Normal6"/>
            </w:pPr>
            <w:r w:rsidRPr="0019144F">
              <w:t>(6)</w:t>
            </w:r>
            <w:r>
              <w:tab/>
            </w:r>
            <w:r w:rsidRPr="0019144F">
              <w:t>En outre, le FEDD devrait faire office de «guichet unique» pour recevoir les propositions de financement émanant d</w:t>
            </w:r>
            <w:r>
              <w:t>’</w:t>
            </w:r>
            <w:r w:rsidRPr="0019144F">
              <w:t>institutions financières et d</w:t>
            </w:r>
            <w:r>
              <w:t>’</w:t>
            </w:r>
            <w:r w:rsidRPr="0019144F">
              <w:t>investisseurs publics ou privés et fournir de nombreuses formes de soutien financier en faveur d</w:t>
            </w:r>
            <w:r>
              <w:t>’</w:t>
            </w:r>
            <w:r w:rsidRPr="0019144F">
              <w:t xml:space="preserve">investissements </w:t>
            </w:r>
            <w:r w:rsidRPr="0019144F">
              <w:rPr>
                <w:b/>
                <w:i/>
              </w:rPr>
              <w:t>éligibles</w:t>
            </w:r>
            <w:r w:rsidRPr="0019144F">
              <w:t xml:space="preserve">. La garantie FEDD devrait être soutenue par le fonds de garantie FEDD. Le FEDD devrait mobiliser des instruments innovants pour </w:t>
            </w:r>
            <w:r w:rsidRPr="0019144F">
              <w:rPr>
                <w:b/>
                <w:i/>
              </w:rPr>
              <w:t>soutenir les investissements</w:t>
            </w:r>
            <w:r w:rsidRPr="0019144F">
              <w:t xml:space="preserve"> et </w:t>
            </w:r>
            <w:r w:rsidRPr="0019144F">
              <w:rPr>
                <w:b/>
                <w:i/>
              </w:rPr>
              <w:t>associer le secteur privé</w:t>
            </w:r>
            <w:r w:rsidRPr="0019144F">
              <w:t>.</w:t>
            </w:r>
          </w:p>
        </w:tc>
        <w:tc>
          <w:tcPr>
            <w:tcW w:w="4876" w:type="dxa"/>
            <w:hideMark/>
          </w:tcPr>
          <w:p w14:paraId="641F310B" w14:textId="77777777" w:rsidR="00BF7ACA" w:rsidRPr="0019144F" w:rsidRDefault="00BF7ACA" w:rsidP="007924BE">
            <w:pPr>
              <w:pStyle w:val="Normal6"/>
              <w:rPr>
                <w:szCs w:val="24"/>
              </w:rPr>
            </w:pPr>
            <w:r w:rsidRPr="0019144F">
              <w:t>(6)</w:t>
            </w:r>
            <w:r>
              <w:tab/>
            </w:r>
            <w:r w:rsidRPr="0019144F">
              <w:t>En outre, le FEDD devrait faire office de «guichet unique» pour recevoir les propositions de financement émanant d</w:t>
            </w:r>
            <w:r>
              <w:t>’</w:t>
            </w:r>
            <w:r w:rsidRPr="0019144F">
              <w:t>institutions financières et d</w:t>
            </w:r>
            <w:r>
              <w:t>’</w:t>
            </w:r>
            <w:r w:rsidRPr="0019144F">
              <w:t>investisseurs publics ou privés et fournir de nombreuses formes de soutien financier en faveur d</w:t>
            </w:r>
            <w:r>
              <w:t>’</w:t>
            </w:r>
            <w:r w:rsidRPr="0019144F">
              <w:t xml:space="preserve">investissements </w:t>
            </w:r>
            <w:r w:rsidRPr="0019144F">
              <w:rPr>
                <w:b/>
                <w:i/>
              </w:rPr>
              <w:t>qui mènent à un développement économique, social et environnemental durable et solidaire</w:t>
            </w:r>
            <w:r w:rsidRPr="0019144F">
              <w:t xml:space="preserve">. La garantie FEDD devrait être soutenue par le fonds de garantie FEDD. Le FEDD devrait mobiliser des instruments innovants pour </w:t>
            </w:r>
            <w:r w:rsidRPr="0019144F">
              <w:rPr>
                <w:b/>
                <w:i/>
              </w:rPr>
              <w:t>faciliter l</w:t>
            </w:r>
            <w:r>
              <w:rPr>
                <w:b/>
                <w:i/>
              </w:rPr>
              <w:t>’</w:t>
            </w:r>
            <w:r w:rsidRPr="0019144F">
              <w:rPr>
                <w:b/>
                <w:i/>
              </w:rPr>
              <w:t>accès aux financements des investisseurs nationaux, en priorité, notamment des entreprises locales</w:t>
            </w:r>
            <w:r w:rsidRPr="0019144F">
              <w:t xml:space="preserve"> et </w:t>
            </w:r>
            <w:r w:rsidRPr="0019144F">
              <w:rPr>
                <w:b/>
                <w:i/>
              </w:rPr>
              <w:t>des micro, petites et moyennes entreprises</w:t>
            </w:r>
            <w:r w:rsidRPr="0019144F">
              <w:t>.</w:t>
            </w:r>
          </w:p>
        </w:tc>
      </w:tr>
    </w:tbl>
    <w:p w14:paraId="4D0330B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E71316E" w14:textId="77777777" w:rsidR="00BF7ACA" w:rsidRPr="00BF7ACA" w:rsidRDefault="00BF7ACA" w:rsidP="00BF7ACA">
      <w:r w:rsidRPr="00BF7ACA">
        <w:rPr>
          <w:rStyle w:val="HideTWBExt"/>
        </w:rPr>
        <w:t>&lt;/Amend&gt;</w:t>
      </w:r>
    </w:p>
    <w:p w14:paraId="133CABC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124</w:t>
      </w:r>
      <w:r w:rsidRPr="00BF7ACA">
        <w:rPr>
          <w:rStyle w:val="HideTWBExt"/>
          <w:b w:val="0"/>
        </w:rPr>
        <w:t>&lt;/NumAm&gt;</w:t>
      </w:r>
    </w:p>
    <w:p w14:paraId="19974485" w14:textId="77777777"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14:paraId="5B2C5784" w14:textId="77777777" w:rsidR="00BF7ACA" w:rsidRPr="00E502E5" w:rsidRDefault="00BF7ACA" w:rsidP="00BF7ACA">
      <w:r>
        <w:rPr>
          <w:rStyle w:val="HideTWBExt"/>
        </w:rPr>
        <w:t>&lt;/RepeatBlock-By&gt;</w:t>
      </w:r>
    </w:p>
    <w:p w14:paraId="4F263B71" w14:textId="77777777"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14:paraId="08C34BC0" w14:textId="77777777" w:rsidR="00BF7ACA" w:rsidRPr="00E502E5" w:rsidRDefault="00BF7ACA" w:rsidP="00BF7ACA">
      <w:pPr>
        <w:pStyle w:val="NormalBold"/>
      </w:pPr>
      <w:r>
        <w:rPr>
          <w:rStyle w:val="HideTWBExt"/>
          <w:b w:val="0"/>
        </w:rPr>
        <w:t>&lt;Article&gt;</w:t>
      </w:r>
      <w:r w:rsidRPr="002E43F3">
        <w:t>Considérant 6</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255E5FEB" w14:textId="77777777" w:rsidTr="007924BE">
        <w:trPr>
          <w:jc w:val="center"/>
        </w:trPr>
        <w:tc>
          <w:tcPr>
            <w:tcW w:w="9752" w:type="dxa"/>
            <w:gridSpan w:val="2"/>
          </w:tcPr>
          <w:p w14:paraId="473DB53A" w14:textId="77777777" w:rsidR="00BF7ACA" w:rsidRPr="00E502E5" w:rsidRDefault="00BF7ACA" w:rsidP="007924BE">
            <w:pPr>
              <w:keepNext/>
            </w:pPr>
          </w:p>
        </w:tc>
      </w:tr>
      <w:tr w:rsidR="00BF7ACA" w:rsidRPr="00E502E5" w14:paraId="29F5654B" w14:textId="77777777" w:rsidTr="007924BE">
        <w:trPr>
          <w:jc w:val="center"/>
        </w:trPr>
        <w:tc>
          <w:tcPr>
            <w:tcW w:w="4876" w:type="dxa"/>
            <w:hideMark/>
          </w:tcPr>
          <w:p w14:paraId="309278CA" w14:textId="77777777" w:rsidR="00BF7ACA" w:rsidRPr="002E43F3" w:rsidRDefault="00BF7ACA" w:rsidP="007924BE">
            <w:pPr>
              <w:pStyle w:val="ColumnHeading"/>
              <w:keepNext/>
            </w:pPr>
            <w:r w:rsidRPr="002E43F3">
              <w:t>Texte proposé par la Commission</w:t>
            </w:r>
          </w:p>
        </w:tc>
        <w:tc>
          <w:tcPr>
            <w:tcW w:w="4876" w:type="dxa"/>
            <w:hideMark/>
          </w:tcPr>
          <w:p w14:paraId="7E309C9E" w14:textId="77777777" w:rsidR="00BF7ACA" w:rsidRPr="002E43F3" w:rsidRDefault="00BF7ACA" w:rsidP="007924BE">
            <w:pPr>
              <w:pStyle w:val="ColumnHeading"/>
              <w:keepNext/>
            </w:pPr>
            <w:r w:rsidRPr="002E43F3">
              <w:t>Amendement</w:t>
            </w:r>
          </w:p>
        </w:tc>
      </w:tr>
      <w:tr w:rsidR="00BF7ACA" w:rsidRPr="00E502E5" w14:paraId="58AD9521" w14:textId="77777777" w:rsidTr="007924BE">
        <w:trPr>
          <w:jc w:val="center"/>
        </w:trPr>
        <w:tc>
          <w:tcPr>
            <w:tcW w:w="4876" w:type="dxa"/>
            <w:hideMark/>
          </w:tcPr>
          <w:p w14:paraId="463BA684" w14:textId="77777777" w:rsidR="00BF7ACA" w:rsidRPr="002E43F3" w:rsidRDefault="00BF7ACA" w:rsidP="007924BE">
            <w:pPr>
              <w:pStyle w:val="Normal6"/>
            </w:pPr>
            <w:r w:rsidRPr="002E43F3">
              <w:t>(6)</w:t>
            </w:r>
            <w:r>
              <w:tab/>
            </w:r>
            <w:r w:rsidRPr="002E43F3">
              <w:t>En outre, le FEDD devrait faire office de «guichet unique» pour recevoir les propositions de financement émanant d</w:t>
            </w:r>
            <w:r>
              <w:t>’</w:t>
            </w:r>
            <w:r w:rsidRPr="002E43F3">
              <w:t>institutions financières et d</w:t>
            </w:r>
            <w:r>
              <w:t>’</w:t>
            </w:r>
            <w:r w:rsidRPr="002E43F3">
              <w:t>investisseurs publics ou privés et fournir de nombreuses formes de soutien financier en faveur d</w:t>
            </w:r>
            <w:r>
              <w:t>’</w:t>
            </w:r>
            <w:r w:rsidRPr="002E43F3">
              <w:t xml:space="preserve">investissements éligibles. La garantie FEDD devrait être soutenue par le fonds de garantie FEDD. </w:t>
            </w:r>
            <w:r w:rsidRPr="002E43F3">
              <w:rPr>
                <w:b/>
                <w:i/>
              </w:rPr>
              <w:t>Le FEDD devrait mobiliser des instruments innovants pour soutenir les investissements et associer le secteur privé.</w:t>
            </w:r>
          </w:p>
        </w:tc>
        <w:tc>
          <w:tcPr>
            <w:tcW w:w="4876" w:type="dxa"/>
            <w:hideMark/>
          </w:tcPr>
          <w:p w14:paraId="796FFF99" w14:textId="77777777" w:rsidR="00BF7ACA" w:rsidRPr="002E43F3" w:rsidRDefault="00BF7ACA" w:rsidP="007924BE">
            <w:pPr>
              <w:pStyle w:val="Normal6"/>
              <w:rPr>
                <w:szCs w:val="24"/>
              </w:rPr>
            </w:pPr>
            <w:r w:rsidRPr="002E43F3">
              <w:t>(6)</w:t>
            </w:r>
            <w:r>
              <w:tab/>
            </w:r>
            <w:r w:rsidRPr="002E43F3">
              <w:t>En outre, le FEDD devrait faire office de «guichet unique» pour recevoir les propositions de financement émanant d</w:t>
            </w:r>
            <w:r>
              <w:t>’</w:t>
            </w:r>
            <w:r w:rsidRPr="002E43F3">
              <w:t>institutions financières et d</w:t>
            </w:r>
            <w:r>
              <w:t>’</w:t>
            </w:r>
            <w:r w:rsidRPr="002E43F3">
              <w:t>investisseurs publics ou privés et fournir de nombreuses formes de soutien financier en faveur d</w:t>
            </w:r>
            <w:r>
              <w:t>’</w:t>
            </w:r>
            <w:r w:rsidRPr="002E43F3">
              <w:t>investissements éligibles. La garantie FEDD devrait être soutenue par le fonds de garantie FEDD.</w:t>
            </w:r>
          </w:p>
        </w:tc>
      </w:tr>
    </w:tbl>
    <w:p w14:paraId="163EF945" w14:textId="77777777"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&lt;Original&gt;</w:t>
      </w:r>
      <w:r w:rsidRPr="000C3237">
        <w:rPr>
          <w:rStyle w:val="HideTWBInt"/>
          <w:noProof w:val="0"/>
          <w:lang w:val="en-GB"/>
        </w:rPr>
        <w:t>{IT}</w:t>
      </w:r>
      <w:r w:rsidRPr="000C3237">
        <w:rPr>
          <w:noProof w:val="0"/>
          <w:lang w:val="en-GB"/>
        </w:rPr>
        <w:t>it</w:t>
      </w:r>
      <w:r w:rsidRPr="000C3237">
        <w:rPr>
          <w:rStyle w:val="HideTWBExt"/>
          <w:noProof w:val="0"/>
          <w:lang w:val="en-GB"/>
        </w:rPr>
        <w:t>&lt;/Original&gt;</w:t>
      </w:r>
    </w:p>
    <w:p w14:paraId="08ED7D39" w14:textId="77777777" w:rsidR="00BF7ACA" w:rsidRPr="000C3237" w:rsidRDefault="00BF7ACA" w:rsidP="00BF7ACA">
      <w:pPr>
        <w:rPr>
          <w:lang w:val="en-GB"/>
        </w:rPr>
      </w:pPr>
      <w:r w:rsidRPr="000C3237">
        <w:rPr>
          <w:rStyle w:val="HideTWBExt"/>
          <w:lang w:val="en-GB"/>
        </w:rPr>
        <w:t>&lt;/Amend&gt;</w:t>
      </w:r>
    </w:p>
    <w:p w14:paraId="4B86F530" w14:textId="77777777"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125</w:t>
      </w:r>
      <w:r w:rsidRPr="00627C55">
        <w:rPr>
          <w:rStyle w:val="HideTWBExt"/>
          <w:b w:val="0"/>
          <w:lang w:val="en-GB"/>
        </w:rPr>
        <w:t>&lt;/NumAm&gt;</w:t>
      </w:r>
    </w:p>
    <w:p w14:paraId="1378FF3E" w14:textId="77777777"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Nirj Deva</w:t>
      </w:r>
      <w:r w:rsidRPr="00627C55">
        <w:rPr>
          <w:rStyle w:val="HideTWBExt"/>
          <w:b w:val="0"/>
          <w:lang w:val="en-GB"/>
        </w:rPr>
        <w:t>&lt;/Members&gt;</w:t>
      </w:r>
    </w:p>
    <w:p w14:paraId="23E4A7F8" w14:textId="77777777" w:rsidR="00BF7ACA" w:rsidRPr="00BF7ACA" w:rsidRDefault="00BF7ACA" w:rsidP="00BF7ACA">
      <w:pPr>
        <w:rPr>
          <w:lang w:val="en-GB"/>
        </w:rPr>
      </w:pPr>
      <w:r w:rsidRPr="00BF7ACA">
        <w:rPr>
          <w:rStyle w:val="HideTWBExt"/>
          <w:lang w:val="en-GB"/>
        </w:rPr>
        <w:t>&lt;/RepeatBlock-By&gt;</w:t>
      </w:r>
    </w:p>
    <w:p w14:paraId="160CA2A6"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7DC86DB4" w14:textId="77777777" w:rsidR="00BF7ACA" w:rsidRPr="005A5903" w:rsidRDefault="00BF7ACA" w:rsidP="00BF7ACA">
      <w:pPr>
        <w:pStyle w:val="NormalBold"/>
      </w:pPr>
      <w:r>
        <w:rPr>
          <w:rStyle w:val="HideTWBExt"/>
          <w:b w:val="0"/>
        </w:rPr>
        <w:t>&lt;Article&gt;</w:t>
      </w:r>
      <w:r w:rsidRPr="0019144F">
        <w:t>Considérant 6</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7330FD16" w14:textId="77777777" w:rsidTr="007924BE">
        <w:trPr>
          <w:jc w:val="center"/>
        </w:trPr>
        <w:tc>
          <w:tcPr>
            <w:tcW w:w="9752" w:type="dxa"/>
            <w:gridSpan w:val="2"/>
          </w:tcPr>
          <w:p w14:paraId="0D258376" w14:textId="77777777" w:rsidR="00BF7ACA" w:rsidRPr="005A5903" w:rsidRDefault="00BF7ACA" w:rsidP="007924BE">
            <w:pPr>
              <w:keepNext/>
            </w:pPr>
          </w:p>
        </w:tc>
      </w:tr>
      <w:tr w:rsidR="00BF7ACA" w:rsidRPr="005A5903" w14:paraId="215E8476" w14:textId="77777777" w:rsidTr="007924BE">
        <w:trPr>
          <w:jc w:val="center"/>
        </w:trPr>
        <w:tc>
          <w:tcPr>
            <w:tcW w:w="4876" w:type="dxa"/>
            <w:hideMark/>
          </w:tcPr>
          <w:p w14:paraId="396A302D" w14:textId="77777777" w:rsidR="00BF7ACA" w:rsidRPr="0019144F" w:rsidRDefault="00BF7ACA" w:rsidP="007924BE">
            <w:pPr>
              <w:pStyle w:val="ColumnHeading"/>
              <w:keepNext/>
            </w:pPr>
            <w:r w:rsidRPr="0019144F">
              <w:t>Texte proposé par la Commission</w:t>
            </w:r>
          </w:p>
        </w:tc>
        <w:tc>
          <w:tcPr>
            <w:tcW w:w="4876" w:type="dxa"/>
            <w:hideMark/>
          </w:tcPr>
          <w:p w14:paraId="39C6F980" w14:textId="77777777" w:rsidR="00BF7ACA" w:rsidRPr="0019144F" w:rsidRDefault="00BF7ACA" w:rsidP="007924BE">
            <w:pPr>
              <w:pStyle w:val="ColumnHeading"/>
              <w:keepNext/>
            </w:pPr>
            <w:r w:rsidRPr="0019144F">
              <w:t>Amendement</w:t>
            </w:r>
          </w:p>
        </w:tc>
      </w:tr>
      <w:tr w:rsidR="00BF7ACA" w:rsidRPr="005A5903" w14:paraId="6AF8698F" w14:textId="77777777" w:rsidTr="007924BE">
        <w:trPr>
          <w:jc w:val="center"/>
        </w:trPr>
        <w:tc>
          <w:tcPr>
            <w:tcW w:w="4876" w:type="dxa"/>
            <w:hideMark/>
          </w:tcPr>
          <w:p w14:paraId="420C57FE" w14:textId="77777777" w:rsidR="00BF7ACA" w:rsidRPr="0019144F" w:rsidRDefault="00BF7ACA" w:rsidP="007924BE">
            <w:pPr>
              <w:pStyle w:val="Normal6"/>
            </w:pPr>
            <w:r w:rsidRPr="0019144F">
              <w:t>(6)</w:t>
            </w:r>
            <w:r>
              <w:tab/>
            </w:r>
            <w:r w:rsidRPr="0019144F">
              <w:t xml:space="preserve">En outre, le FEDD </w:t>
            </w:r>
            <w:r w:rsidRPr="0019144F">
              <w:rPr>
                <w:b/>
                <w:i/>
              </w:rPr>
              <w:t>devrait faire</w:t>
            </w:r>
            <w:r w:rsidRPr="0019144F">
              <w:t xml:space="preserve"> office de «guichet unique» pour recevoir les propositions de financement émanant d</w:t>
            </w:r>
            <w:r>
              <w:t>’</w:t>
            </w:r>
            <w:r w:rsidRPr="0019144F">
              <w:t>institutions financières et d</w:t>
            </w:r>
            <w:r>
              <w:t>’</w:t>
            </w:r>
            <w:r w:rsidRPr="0019144F">
              <w:t>investisseurs publics ou privés et fournir de nombreuses formes de soutien financier en faveur d</w:t>
            </w:r>
            <w:r>
              <w:t>’</w:t>
            </w:r>
            <w:r w:rsidRPr="0019144F">
              <w:t xml:space="preserve">investissements éligibles. La garantie FEDD devrait être soutenue par le fonds de garantie FEDD. Le FEDD devrait mobiliser des instruments innovants pour soutenir les investissements et </w:t>
            </w:r>
            <w:r w:rsidRPr="0019144F">
              <w:rPr>
                <w:b/>
                <w:i/>
              </w:rPr>
              <w:t>associer</w:t>
            </w:r>
            <w:r w:rsidRPr="0019144F">
              <w:t xml:space="preserve"> le secteur privé.</w:t>
            </w:r>
          </w:p>
        </w:tc>
        <w:tc>
          <w:tcPr>
            <w:tcW w:w="4876" w:type="dxa"/>
            <w:hideMark/>
          </w:tcPr>
          <w:p w14:paraId="6E987CCB" w14:textId="77777777" w:rsidR="00BF7ACA" w:rsidRPr="0019144F" w:rsidRDefault="00BF7ACA" w:rsidP="007924BE">
            <w:pPr>
              <w:pStyle w:val="Normal6"/>
              <w:rPr>
                <w:szCs w:val="24"/>
              </w:rPr>
            </w:pPr>
            <w:r w:rsidRPr="0019144F">
              <w:t>(6)</w:t>
            </w:r>
            <w:r>
              <w:tab/>
            </w:r>
            <w:r w:rsidRPr="0019144F">
              <w:t xml:space="preserve">En outre, le FEDD </w:t>
            </w:r>
            <w:r w:rsidRPr="0019144F">
              <w:rPr>
                <w:b/>
                <w:i/>
              </w:rPr>
              <w:t>fait</w:t>
            </w:r>
            <w:r w:rsidRPr="0019144F">
              <w:t xml:space="preserve"> office de «guichet unique» pour recevoir les propositions de financement émanant d</w:t>
            </w:r>
            <w:r>
              <w:t>’</w:t>
            </w:r>
            <w:r w:rsidRPr="0019144F">
              <w:t>institutions financières et d</w:t>
            </w:r>
            <w:r>
              <w:t>’</w:t>
            </w:r>
            <w:r w:rsidRPr="0019144F">
              <w:t>investisseurs publics ou privés et fournir de nombreuses formes de soutien financier en faveur d</w:t>
            </w:r>
            <w:r>
              <w:t>’</w:t>
            </w:r>
            <w:r w:rsidRPr="0019144F">
              <w:t xml:space="preserve">investissements éligibles. La garantie FEDD devrait être soutenue par le fonds de garantie FEDD. Le FEDD devrait mobiliser des </w:t>
            </w:r>
            <w:r w:rsidRPr="0019144F">
              <w:rPr>
                <w:b/>
                <w:i/>
              </w:rPr>
              <w:t xml:space="preserve">mécanismes et des </w:t>
            </w:r>
            <w:r w:rsidRPr="0019144F">
              <w:t xml:space="preserve">instruments innovants pour soutenir </w:t>
            </w:r>
            <w:r w:rsidRPr="0019144F">
              <w:rPr>
                <w:b/>
                <w:i/>
              </w:rPr>
              <w:t xml:space="preserve">et attirer </w:t>
            </w:r>
            <w:r w:rsidRPr="0019144F">
              <w:t xml:space="preserve">les investissements et </w:t>
            </w:r>
            <w:r w:rsidRPr="0019144F">
              <w:rPr>
                <w:b/>
                <w:i/>
              </w:rPr>
              <w:t>s</w:t>
            </w:r>
            <w:r>
              <w:rPr>
                <w:b/>
                <w:i/>
              </w:rPr>
              <w:t>’</w:t>
            </w:r>
            <w:r w:rsidRPr="0019144F">
              <w:rPr>
                <w:b/>
                <w:i/>
              </w:rPr>
              <w:t>associer avec</w:t>
            </w:r>
            <w:r w:rsidRPr="0019144F">
              <w:t xml:space="preserve"> le secteur privé.</w:t>
            </w:r>
          </w:p>
        </w:tc>
      </w:tr>
    </w:tbl>
    <w:p w14:paraId="56F68FDB"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BF9969B" w14:textId="77777777" w:rsidR="00BF7ACA" w:rsidRPr="00BF7ACA" w:rsidRDefault="00BF7ACA" w:rsidP="00BF7ACA">
      <w:r w:rsidRPr="00BF7ACA">
        <w:rPr>
          <w:rStyle w:val="HideTWBExt"/>
        </w:rPr>
        <w:t>&lt;/Amend&gt;</w:t>
      </w:r>
    </w:p>
    <w:p w14:paraId="33345FE7"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126</w:t>
      </w:r>
      <w:r w:rsidRPr="00BF7ACA">
        <w:rPr>
          <w:rStyle w:val="HideTWBExt"/>
          <w:b w:val="0"/>
        </w:rPr>
        <w:t>&lt;/NumAm&gt;</w:t>
      </w:r>
    </w:p>
    <w:p w14:paraId="7B4FEA92"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43E6D215" w14:textId="77777777" w:rsidR="00BF7ACA" w:rsidRPr="005A5903" w:rsidRDefault="00BF7ACA" w:rsidP="00BF7ACA">
      <w:r>
        <w:rPr>
          <w:rStyle w:val="HideTWBExt"/>
        </w:rPr>
        <w:t>&lt;/RepeatBlock-By&gt;</w:t>
      </w:r>
    </w:p>
    <w:p w14:paraId="091650F7"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382CC555" w14:textId="77777777" w:rsidR="00BF7ACA" w:rsidRPr="005A5903" w:rsidRDefault="00BF7ACA" w:rsidP="00BF7ACA">
      <w:pPr>
        <w:pStyle w:val="NormalBold"/>
      </w:pPr>
      <w:r>
        <w:rPr>
          <w:rStyle w:val="HideTWBExt"/>
          <w:b w:val="0"/>
        </w:rPr>
        <w:t>&lt;Article&gt;</w:t>
      </w:r>
      <w:r w:rsidRPr="0019144F">
        <w:t>Considérant 6</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64B9BF38" w14:textId="77777777" w:rsidTr="007924BE">
        <w:trPr>
          <w:jc w:val="center"/>
        </w:trPr>
        <w:tc>
          <w:tcPr>
            <w:tcW w:w="9752" w:type="dxa"/>
            <w:gridSpan w:val="2"/>
          </w:tcPr>
          <w:p w14:paraId="289B3129" w14:textId="77777777" w:rsidR="00BF7ACA" w:rsidRPr="005A5903" w:rsidRDefault="00BF7ACA" w:rsidP="007924BE">
            <w:pPr>
              <w:keepNext/>
            </w:pPr>
          </w:p>
        </w:tc>
      </w:tr>
      <w:tr w:rsidR="00BF7ACA" w:rsidRPr="005A5903" w14:paraId="0A24C46A" w14:textId="77777777" w:rsidTr="007924BE">
        <w:trPr>
          <w:jc w:val="center"/>
        </w:trPr>
        <w:tc>
          <w:tcPr>
            <w:tcW w:w="4876" w:type="dxa"/>
            <w:hideMark/>
          </w:tcPr>
          <w:p w14:paraId="44E9B291" w14:textId="77777777" w:rsidR="00BF7ACA" w:rsidRPr="0019144F" w:rsidRDefault="00BF7ACA" w:rsidP="007924BE">
            <w:pPr>
              <w:pStyle w:val="ColumnHeading"/>
              <w:keepNext/>
            </w:pPr>
            <w:r w:rsidRPr="0019144F">
              <w:t>Texte proposé par la Commission</w:t>
            </w:r>
          </w:p>
        </w:tc>
        <w:tc>
          <w:tcPr>
            <w:tcW w:w="4876" w:type="dxa"/>
            <w:hideMark/>
          </w:tcPr>
          <w:p w14:paraId="54743BBE" w14:textId="77777777" w:rsidR="00BF7ACA" w:rsidRPr="0019144F" w:rsidRDefault="00BF7ACA" w:rsidP="007924BE">
            <w:pPr>
              <w:pStyle w:val="ColumnHeading"/>
              <w:keepNext/>
            </w:pPr>
            <w:r w:rsidRPr="0019144F">
              <w:t>Amendement</w:t>
            </w:r>
          </w:p>
        </w:tc>
      </w:tr>
      <w:tr w:rsidR="00BF7ACA" w:rsidRPr="005A5903" w14:paraId="55A353CF" w14:textId="77777777" w:rsidTr="007924BE">
        <w:trPr>
          <w:jc w:val="center"/>
        </w:trPr>
        <w:tc>
          <w:tcPr>
            <w:tcW w:w="4876" w:type="dxa"/>
            <w:hideMark/>
          </w:tcPr>
          <w:p w14:paraId="3F8FC88F" w14:textId="77777777" w:rsidR="00BF7ACA" w:rsidRPr="0019144F" w:rsidRDefault="00BF7ACA" w:rsidP="007924BE">
            <w:pPr>
              <w:pStyle w:val="Normal6"/>
            </w:pPr>
            <w:r w:rsidRPr="0019144F">
              <w:t>(6)</w:t>
            </w:r>
            <w:r>
              <w:tab/>
            </w:r>
            <w:r w:rsidRPr="0019144F">
              <w:t>En outre, le FEDD devrait faire office de «guichet unique» pour recevoir les propositions de financement émanant d</w:t>
            </w:r>
            <w:r>
              <w:t>’</w:t>
            </w:r>
            <w:r w:rsidRPr="0019144F">
              <w:t>institutions financières et d</w:t>
            </w:r>
            <w:r>
              <w:t>’</w:t>
            </w:r>
            <w:r w:rsidRPr="0019144F">
              <w:t>investisseurs publics ou privés et fournir de nombreuses formes de soutien financier en faveur d</w:t>
            </w:r>
            <w:r>
              <w:t>’</w:t>
            </w:r>
            <w:r w:rsidRPr="0019144F">
              <w:t xml:space="preserve">investissements éligibles. La garantie FEDD devrait être soutenue par le fonds de garantie FEDD. Le FEDD devrait mobiliser des instruments </w:t>
            </w:r>
            <w:r w:rsidRPr="0019144F">
              <w:rPr>
                <w:b/>
                <w:i/>
              </w:rPr>
              <w:t>innovants</w:t>
            </w:r>
            <w:r w:rsidRPr="0019144F">
              <w:t xml:space="preserve"> pour soutenir les investissements et associer le secteur privé.</w:t>
            </w:r>
          </w:p>
        </w:tc>
        <w:tc>
          <w:tcPr>
            <w:tcW w:w="4876" w:type="dxa"/>
            <w:hideMark/>
          </w:tcPr>
          <w:p w14:paraId="0A0DFCAE" w14:textId="77777777" w:rsidR="00BF7ACA" w:rsidRPr="0019144F" w:rsidRDefault="00BF7ACA" w:rsidP="007924BE">
            <w:pPr>
              <w:pStyle w:val="Normal6"/>
              <w:rPr>
                <w:szCs w:val="24"/>
              </w:rPr>
            </w:pPr>
            <w:r w:rsidRPr="0019144F">
              <w:t>(6)</w:t>
            </w:r>
            <w:r>
              <w:tab/>
            </w:r>
            <w:r w:rsidRPr="0019144F">
              <w:t>En outre, le FEDD devrait faire office de «guichet unique» pour recevoir les propositions de financement émanant d</w:t>
            </w:r>
            <w:r>
              <w:t>’</w:t>
            </w:r>
            <w:r w:rsidRPr="0019144F">
              <w:t>institutions financières et d</w:t>
            </w:r>
            <w:r>
              <w:t>’</w:t>
            </w:r>
            <w:r w:rsidRPr="0019144F">
              <w:t>investisseurs publics ou privés et fournir de nombreuses formes de soutien financier en faveur d</w:t>
            </w:r>
            <w:r>
              <w:t>’</w:t>
            </w:r>
            <w:r w:rsidRPr="0019144F">
              <w:t xml:space="preserve">investissements éligibles. La garantie FEDD devrait être soutenue par le fonds de garantie FEDD. Le FEDD devrait mobiliser des instruments </w:t>
            </w:r>
            <w:r w:rsidRPr="0019144F">
              <w:rPr>
                <w:b/>
                <w:i/>
              </w:rPr>
              <w:t>qui ont fait leurs preuves</w:t>
            </w:r>
            <w:r w:rsidRPr="0019144F">
              <w:t xml:space="preserve"> pour soutenir les investissements et associer le secteur privé.</w:t>
            </w:r>
          </w:p>
        </w:tc>
      </w:tr>
    </w:tbl>
    <w:p w14:paraId="75D319AB"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E8C9D6C" w14:textId="77777777" w:rsidR="00BF7ACA" w:rsidRPr="00BF7ACA" w:rsidRDefault="00BF7ACA" w:rsidP="00BF7ACA">
      <w:r w:rsidRPr="00BF7ACA">
        <w:rPr>
          <w:rStyle w:val="HideTWBExt"/>
        </w:rPr>
        <w:t>&lt;/Amend&gt;</w:t>
      </w:r>
    </w:p>
    <w:p w14:paraId="78D7E65D"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127</w:t>
      </w:r>
      <w:r w:rsidRPr="00BF7ACA">
        <w:rPr>
          <w:rStyle w:val="HideTWBExt"/>
          <w:b w:val="0"/>
        </w:rPr>
        <w:t>&lt;/NumAm&gt;</w:t>
      </w:r>
    </w:p>
    <w:p w14:paraId="0DAD82C9" w14:textId="77777777"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Jozo Radoš, Hilde Vautmans, Ilhan Kyuchyuk, Paavo Väyrynen, Nedzhmi Ali</w:t>
      </w:r>
      <w:r w:rsidRPr="00BF7ACA">
        <w:rPr>
          <w:rStyle w:val="HideTWBExt"/>
          <w:b w:val="0"/>
        </w:rPr>
        <w:t>&lt;/Members&gt;</w:t>
      </w:r>
    </w:p>
    <w:p w14:paraId="547F1C61" w14:textId="77777777" w:rsidR="00BF7ACA" w:rsidRPr="005A5903" w:rsidRDefault="00BF7ACA" w:rsidP="00BF7ACA">
      <w:r>
        <w:rPr>
          <w:rStyle w:val="HideTWBExt"/>
        </w:rPr>
        <w:t>&lt;/RepeatBlock-By&gt;</w:t>
      </w:r>
    </w:p>
    <w:p w14:paraId="2B709A65"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19DFD069" w14:textId="77777777" w:rsidR="00BF7ACA" w:rsidRPr="005A5903" w:rsidRDefault="00BF7ACA" w:rsidP="00BF7ACA">
      <w:pPr>
        <w:pStyle w:val="NormalBold"/>
      </w:pPr>
      <w:r>
        <w:rPr>
          <w:rStyle w:val="HideTWBExt"/>
          <w:b w:val="0"/>
        </w:rPr>
        <w:t>&lt;Article&gt;</w:t>
      </w:r>
      <w:r w:rsidRPr="0019144F">
        <w:t>Considérant 6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6EA6F59B" w14:textId="77777777" w:rsidTr="007924BE">
        <w:trPr>
          <w:jc w:val="center"/>
        </w:trPr>
        <w:tc>
          <w:tcPr>
            <w:tcW w:w="9752" w:type="dxa"/>
            <w:gridSpan w:val="2"/>
          </w:tcPr>
          <w:p w14:paraId="3A4B1D11" w14:textId="77777777" w:rsidR="00BF7ACA" w:rsidRPr="005A5903" w:rsidRDefault="00BF7ACA" w:rsidP="007924BE">
            <w:pPr>
              <w:keepNext/>
            </w:pPr>
          </w:p>
        </w:tc>
      </w:tr>
      <w:tr w:rsidR="00BF7ACA" w:rsidRPr="005A5903" w14:paraId="3CB85843" w14:textId="77777777" w:rsidTr="007924BE">
        <w:trPr>
          <w:jc w:val="center"/>
        </w:trPr>
        <w:tc>
          <w:tcPr>
            <w:tcW w:w="4876" w:type="dxa"/>
            <w:hideMark/>
          </w:tcPr>
          <w:p w14:paraId="162932BF" w14:textId="77777777" w:rsidR="00BF7ACA" w:rsidRPr="0019144F" w:rsidRDefault="00BF7ACA" w:rsidP="007924BE">
            <w:pPr>
              <w:pStyle w:val="ColumnHeading"/>
              <w:keepNext/>
            </w:pPr>
            <w:r w:rsidRPr="0019144F">
              <w:t>Texte proposé par la Commission</w:t>
            </w:r>
          </w:p>
        </w:tc>
        <w:tc>
          <w:tcPr>
            <w:tcW w:w="4876" w:type="dxa"/>
            <w:hideMark/>
          </w:tcPr>
          <w:p w14:paraId="458C918B" w14:textId="77777777" w:rsidR="00BF7ACA" w:rsidRPr="0019144F" w:rsidRDefault="00BF7ACA" w:rsidP="007924BE">
            <w:pPr>
              <w:pStyle w:val="ColumnHeading"/>
              <w:keepNext/>
            </w:pPr>
            <w:r w:rsidRPr="0019144F">
              <w:t>Amendement</w:t>
            </w:r>
          </w:p>
        </w:tc>
      </w:tr>
      <w:tr w:rsidR="00BF7ACA" w:rsidRPr="005A5903" w14:paraId="55CB5BF7" w14:textId="77777777" w:rsidTr="007924BE">
        <w:trPr>
          <w:jc w:val="center"/>
        </w:trPr>
        <w:tc>
          <w:tcPr>
            <w:tcW w:w="4876" w:type="dxa"/>
          </w:tcPr>
          <w:p w14:paraId="071EE938" w14:textId="77777777" w:rsidR="00BF7ACA" w:rsidRPr="0019144F" w:rsidRDefault="00BF7ACA" w:rsidP="007924BE">
            <w:pPr>
              <w:pStyle w:val="Normal6"/>
            </w:pPr>
          </w:p>
        </w:tc>
        <w:tc>
          <w:tcPr>
            <w:tcW w:w="4876" w:type="dxa"/>
            <w:hideMark/>
          </w:tcPr>
          <w:p w14:paraId="47E5CBE1" w14:textId="77777777" w:rsidR="00BF7ACA" w:rsidRPr="0019144F" w:rsidRDefault="00BF7ACA" w:rsidP="007924BE">
            <w:pPr>
              <w:pStyle w:val="Normal6"/>
              <w:rPr>
                <w:szCs w:val="24"/>
              </w:rPr>
            </w:pPr>
            <w:r w:rsidRPr="0019144F">
              <w:rPr>
                <w:b/>
                <w:i/>
              </w:rPr>
              <w:t>(6 bis)</w:t>
            </w:r>
            <w:r>
              <w:tab/>
            </w:r>
            <w:r w:rsidRPr="0019144F">
              <w:rPr>
                <w:b/>
                <w:i/>
              </w:rPr>
              <w:t>Le FEDD devrait mobiliser des instruments innovants pour soutenir les investissements et associer le secteur privé, en particulier les micro, petites et moyennes entreprises locales, en ciblant des domaines permettant d</w:t>
            </w:r>
            <w:r>
              <w:rPr>
                <w:b/>
                <w:i/>
              </w:rPr>
              <w:t>’</w:t>
            </w:r>
            <w:r w:rsidRPr="0019144F">
              <w:rPr>
                <w:b/>
                <w:i/>
              </w:rPr>
              <w:t>obtenir des résultats en matière de développement durable. À cet égard, il est nécessaire de lever les blocages et les obstacles aux investissements nationaux et étrangers.</w:t>
            </w:r>
          </w:p>
        </w:tc>
      </w:tr>
    </w:tbl>
    <w:p w14:paraId="7593FBC7"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92EF475" w14:textId="77777777" w:rsidR="00BF7ACA" w:rsidRPr="00BF7ACA" w:rsidRDefault="00BF7ACA" w:rsidP="00BF7ACA">
      <w:r w:rsidRPr="00BF7ACA">
        <w:rPr>
          <w:rStyle w:val="HideTWBExt"/>
        </w:rPr>
        <w:t>&lt;/Amend&gt;</w:t>
      </w:r>
    </w:p>
    <w:p w14:paraId="649A8B59"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128</w:t>
      </w:r>
      <w:r w:rsidRPr="00BF7ACA">
        <w:rPr>
          <w:rStyle w:val="HideTWBExt"/>
          <w:b w:val="0"/>
        </w:rPr>
        <w:t>&lt;/NumAm&gt;</w:t>
      </w:r>
    </w:p>
    <w:p w14:paraId="17E0BD43" w14:textId="77777777"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14:paraId="23C96458" w14:textId="77777777" w:rsidR="00BF7ACA" w:rsidRPr="00E502E5" w:rsidRDefault="00BF7ACA" w:rsidP="00BF7ACA">
      <w:r>
        <w:rPr>
          <w:rStyle w:val="HideTWBExt"/>
        </w:rPr>
        <w:t>&lt;/RepeatBlock-By&gt;</w:t>
      </w:r>
    </w:p>
    <w:p w14:paraId="001B55DF" w14:textId="77777777"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14:paraId="33B9ED95" w14:textId="77777777" w:rsidR="00BF7ACA" w:rsidRPr="00E502E5" w:rsidRDefault="00BF7ACA" w:rsidP="00BF7ACA">
      <w:pPr>
        <w:pStyle w:val="NormalBold"/>
      </w:pPr>
      <w:r>
        <w:rPr>
          <w:rStyle w:val="HideTWBExt"/>
          <w:b w:val="0"/>
        </w:rPr>
        <w:t>&lt;Article&gt;</w:t>
      </w:r>
      <w:r w:rsidRPr="002E43F3">
        <w:t>Considérant 7</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6003A189" w14:textId="77777777" w:rsidTr="007924BE">
        <w:trPr>
          <w:jc w:val="center"/>
        </w:trPr>
        <w:tc>
          <w:tcPr>
            <w:tcW w:w="9752" w:type="dxa"/>
            <w:gridSpan w:val="2"/>
          </w:tcPr>
          <w:p w14:paraId="7EDC2EFD" w14:textId="77777777" w:rsidR="00BF7ACA" w:rsidRPr="00E502E5" w:rsidRDefault="00BF7ACA" w:rsidP="007924BE">
            <w:pPr>
              <w:keepNext/>
            </w:pPr>
          </w:p>
        </w:tc>
      </w:tr>
      <w:tr w:rsidR="00BF7ACA" w:rsidRPr="00E502E5" w14:paraId="7A73CBCC" w14:textId="77777777" w:rsidTr="007924BE">
        <w:trPr>
          <w:jc w:val="center"/>
        </w:trPr>
        <w:tc>
          <w:tcPr>
            <w:tcW w:w="4876" w:type="dxa"/>
            <w:hideMark/>
          </w:tcPr>
          <w:p w14:paraId="0658E7E7" w14:textId="77777777" w:rsidR="00BF7ACA" w:rsidRPr="002E43F3" w:rsidRDefault="00BF7ACA" w:rsidP="007924BE">
            <w:pPr>
              <w:pStyle w:val="ColumnHeading"/>
              <w:keepNext/>
            </w:pPr>
            <w:r w:rsidRPr="002E43F3">
              <w:t>Texte proposé par la Commission</w:t>
            </w:r>
          </w:p>
        </w:tc>
        <w:tc>
          <w:tcPr>
            <w:tcW w:w="4876" w:type="dxa"/>
            <w:hideMark/>
          </w:tcPr>
          <w:p w14:paraId="1BC5484F" w14:textId="77777777" w:rsidR="00BF7ACA" w:rsidRPr="002E43F3" w:rsidRDefault="00BF7ACA" w:rsidP="007924BE">
            <w:pPr>
              <w:pStyle w:val="ColumnHeading"/>
              <w:keepNext/>
            </w:pPr>
            <w:r w:rsidRPr="002E43F3">
              <w:t>Amendement</w:t>
            </w:r>
          </w:p>
        </w:tc>
      </w:tr>
      <w:tr w:rsidR="00BF7ACA" w:rsidRPr="00E502E5" w14:paraId="7CAD03D2" w14:textId="77777777" w:rsidTr="007924BE">
        <w:trPr>
          <w:jc w:val="center"/>
        </w:trPr>
        <w:tc>
          <w:tcPr>
            <w:tcW w:w="4876" w:type="dxa"/>
            <w:hideMark/>
          </w:tcPr>
          <w:p w14:paraId="475E4DCA" w14:textId="77777777" w:rsidR="00BF7ACA" w:rsidRPr="002E43F3" w:rsidRDefault="00BF7ACA" w:rsidP="007924BE">
            <w:pPr>
              <w:pStyle w:val="Normal6"/>
            </w:pPr>
            <w:r w:rsidRPr="002E43F3">
              <w:t>(7)</w:t>
            </w:r>
            <w:r>
              <w:tab/>
            </w:r>
            <w:r w:rsidRPr="002E43F3">
              <w:t>La coordination et la cohérence du FEDD avec le mandat extérieur de la Banque européenne d</w:t>
            </w:r>
            <w:r>
              <w:t>’</w:t>
            </w:r>
            <w:r w:rsidRPr="002E43F3">
              <w:t>investissement (BEI) énoncé dans la décision [à adopter], y compris l</w:t>
            </w:r>
            <w:r>
              <w:t>’</w:t>
            </w:r>
            <w:r w:rsidRPr="002E43F3">
              <w:t>initiative «résilience» de la BEI, ainsi qu</w:t>
            </w:r>
            <w:r>
              <w:t>’</w:t>
            </w:r>
            <w:r w:rsidRPr="002E43F3">
              <w:t>avec la facilité d</w:t>
            </w:r>
            <w:r>
              <w:t>’</w:t>
            </w:r>
            <w:r w:rsidRPr="002E43F3">
              <w:t>investissement pour les pays ACP</w:t>
            </w:r>
            <w:r w:rsidRPr="002E43F3">
              <w:rPr>
                <w:vertAlign w:val="superscript"/>
              </w:rPr>
              <w:t>23</w:t>
            </w:r>
            <w:r w:rsidRPr="002E43F3">
              <w:t>, devraient être assurée</w:t>
            </w:r>
            <w:r>
              <w:t>s par le conseil stratégique du </w:t>
            </w:r>
            <w:r w:rsidRPr="002E43F3">
              <w:t>FEDD.</w:t>
            </w:r>
          </w:p>
        </w:tc>
        <w:tc>
          <w:tcPr>
            <w:tcW w:w="4876" w:type="dxa"/>
            <w:hideMark/>
          </w:tcPr>
          <w:p w14:paraId="07DB21D1" w14:textId="77777777" w:rsidR="00BF7ACA" w:rsidRPr="002E43F3" w:rsidRDefault="00BF7ACA" w:rsidP="007924BE">
            <w:pPr>
              <w:pStyle w:val="Normal6"/>
              <w:rPr>
                <w:szCs w:val="24"/>
              </w:rPr>
            </w:pPr>
            <w:r w:rsidRPr="002E43F3">
              <w:t>(7)</w:t>
            </w:r>
            <w:r>
              <w:tab/>
            </w:r>
            <w:r w:rsidRPr="002E43F3">
              <w:t>La coordination et la cohérence du FEDD avec le mandat extérieur de la Banque européenne d</w:t>
            </w:r>
            <w:r>
              <w:t>’</w:t>
            </w:r>
            <w:r w:rsidRPr="002E43F3">
              <w:t>investissement (BEI) énoncé dans la décision [à adopter], y compris l</w:t>
            </w:r>
            <w:r>
              <w:t>’</w:t>
            </w:r>
            <w:r w:rsidRPr="002E43F3">
              <w:t>initiative «résilience» de la BEI, ainsi qu</w:t>
            </w:r>
            <w:r>
              <w:t>’</w:t>
            </w:r>
            <w:r w:rsidRPr="002E43F3">
              <w:t>avec la facilité d</w:t>
            </w:r>
            <w:r>
              <w:t>’</w:t>
            </w:r>
            <w:r w:rsidRPr="002E43F3">
              <w:t>investissement pour les pays ACP</w:t>
            </w:r>
            <w:r w:rsidRPr="002E43F3">
              <w:rPr>
                <w:vertAlign w:val="superscript"/>
              </w:rPr>
              <w:t>23</w:t>
            </w:r>
            <w:r w:rsidRPr="002E43F3">
              <w:t xml:space="preserve">, devraient être assurées par le conseil stratégique du FEDD. </w:t>
            </w:r>
            <w:r w:rsidRPr="002E43F3">
              <w:rPr>
                <w:b/>
                <w:i/>
              </w:rPr>
              <w:t>La BEI devrait faire rapport tous les six mois à la Commission européenne, au Parlement européen et au Conseil sur les opérations de financement et d</w:t>
            </w:r>
            <w:r>
              <w:rPr>
                <w:b/>
                <w:i/>
              </w:rPr>
              <w:t>’</w:t>
            </w:r>
            <w:r w:rsidRPr="002E43F3">
              <w:rPr>
                <w:b/>
                <w:i/>
              </w:rPr>
              <w:t>investissement couvertes par la garantie FEDD en vue de garantir l</w:t>
            </w:r>
            <w:r>
              <w:rPr>
                <w:b/>
                <w:i/>
              </w:rPr>
              <w:t>’</w:t>
            </w:r>
            <w:r w:rsidRPr="002E43F3">
              <w:rPr>
                <w:b/>
                <w:i/>
              </w:rPr>
              <w:t>obligation de rendre compte.</w:t>
            </w:r>
          </w:p>
        </w:tc>
      </w:tr>
      <w:tr w:rsidR="00BF7ACA" w:rsidRPr="00E502E5" w14:paraId="7D009355" w14:textId="77777777" w:rsidTr="007924BE">
        <w:trPr>
          <w:jc w:val="center"/>
        </w:trPr>
        <w:tc>
          <w:tcPr>
            <w:tcW w:w="4876" w:type="dxa"/>
            <w:hideMark/>
          </w:tcPr>
          <w:p w14:paraId="147898A3" w14:textId="77777777" w:rsidR="00BF7ACA" w:rsidRPr="002E43F3" w:rsidRDefault="00BF7ACA" w:rsidP="007924BE">
            <w:pPr>
              <w:pStyle w:val="Normal6"/>
            </w:pPr>
            <w:r w:rsidRPr="002E43F3">
              <w:t>__________________</w:t>
            </w:r>
          </w:p>
        </w:tc>
        <w:tc>
          <w:tcPr>
            <w:tcW w:w="4876" w:type="dxa"/>
            <w:hideMark/>
          </w:tcPr>
          <w:p w14:paraId="718456BD" w14:textId="77777777" w:rsidR="00BF7ACA" w:rsidRPr="002E43F3" w:rsidRDefault="00BF7ACA" w:rsidP="007924BE">
            <w:pPr>
              <w:pStyle w:val="Normal6"/>
              <w:rPr>
                <w:szCs w:val="24"/>
              </w:rPr>
            </w:pPr>
            <w:r w:rsidRPr="002E43F3">
              <w:t>__________________</w:t>
            </w:r>
          </w:p>
        </w:tc>
      </w:tr>
      <w:tr w:rsidR="00BF7ACA" w:rsidRPr="00E502E5" w14:paraId="675CEE7A" w14:textId="77777777" w:rsidTr="007924BE">
        <w:trPr>
          <w:jc w:val="center"/>
        </w:trPr>
        <w:tc>
          <w:tcPr>
            <w:tcW w:w="4876" w:type="dxa"/>
            <w:hideMark/>
          </w:tcPr>
          <w:p w14:paraId="1A211BB1" w14:textId="77777777" w:rsidR="00BF7ACA" w:rsidRPr="002E43F3" w:rsidRDefault="00BF7ACA" w:rsidP="007924BE">
            <w:pPr>
              <w:pStyle w:val="Normal6"/>
            </w:pPr>
            <w:r w:rsidRPr="002E43F3">
              <w:rPr>
                <w:vertAlign w:val="superscript"/>
              </w:rPr>
              <w:t>23</w:t>
            </w:r>
            <w:r w:rsidRPr="002E43F3">
              <w:t xml:space="preserve"> Annexe II de l</w:t>
            </w:r>
            <w:r>
              <w:t>’</w:t>
            </w:r>
            <w:r w:rsidRPr="002E43F3">
              <w:t>accord de Cotonou.</w:t>
            </w:r>
          </w:p>
        </w:tc>
        <w:tc>
          <w:tcPr>
            <w:tcW w:w="4876" w:type="dxa"/>
            <w:hideMark/>
          </w:tcPr>
          <w:p w14:paraId="033019DD" w14:textId="77777777" w:rsidR="00BF7ACA" w:rsidRPr="002E43F3" w:rsidRDefault="00BF7ACA" w:rsidP="007924BE">
            <w:pPr>
              <w:pStyle w:val="Normal6"/>
              <w:rPr>
                <w:szCs w:val="24"/>
              </w:rPr>
            </w:pPr>
            <w:r w:rsidRPr="002E43F3">
              <w:rPr>
                <w:vertAlign w:val="superscript"/>
              </w:rPr>
              <w:t>23</w:t>
            </w:r>
            <w:r w:rsidRPr="002E43F3">
              <w:t xml:space="preserve"> Annexe II de l</w:t>
            </w:r>
            <w:r>
              <w:t>’</w:t>
            </w:r>
            <w:r w:rsidRPr="002E43F3">
              <w:t>accord de Cotonou.</w:t>
            </w:r>
          </w:p>
        </w:tc>
      </w:tr>
    </w:tbl>
    <w:p w14:paraId="7335AB31"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{IT}</w:t>
      </w:r>
      <w:r w:rsidRPr="00BF7ACA">
        <w:rPr>
          <w:noProof w:val="0"/>
        </w:rPr>
        <w:t>it</w:t>
      </w:r>
      <w:r w:rsidRPr="00BF7ACA">
        <w:rPr>
          <w:rStyle w:val="HideTWBExt"/>
          <w:noProof w:val="0"/>
        </w:rPr>
        <w:t>&lt;/Original&gt;</w:t>
      </w:r>
    </w:p>
    <w:p w14:paraId="6CF564B8" w14:textId="77777777" w:rsidR="00BF7ACA" w:rsidRPr="00BF7ACA" w:rsidRDefault="00BF7ACA" w:rsidP="00BF7ACA">
      <w:r w:rsidRPr="00BF7ACA">
        <w:rPr>
          <w:rStyle w:val="HideTWBExt"/>
        </w:rPr>
        <w:t>&lt;/Amend&gt;</w:t>
      </w:r>
    </w:p>
    <w:p w14:paraId="17617829"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129</w:t>
      </w:r>
      <w:r w:rsidRPr="00BF7ACA">
        <w:rPr>
          <w:rStyle w:val="HideTWBExt"/>
          <w:b w:val="0"/>
        </w:rPr>
        <w:t>&lt;/NumAm&gt;</w:t>
      </w:r>
    </w:p>
    <w:p w14:paraId="114B7CBD" w14:textId="77777777" w:rsidR="00BF7ACA" w:rsidRPr="00BF7ACA" w:rsidRDefault="00BF7ACA" w:rsidP="00BF7ACA">
      <w:pPr>
        <w:pStyle w:val="NormalBold"/>
      </w:pPr>
      <w:r w:rsidRPr="00BF7ACA">
        <w:rPr>
          <w:rStyle w:val="HideTWBExt"/>
          <w:b w:val="0"/>
        </w:rPr>
        <w:t>&lt;RepeatBlock-By&gt;&lt;Members&gt;</w:t>
      </w:r>
      <w:r w:rsidRPr="00BF7ACA">
        <w:t>Maurice Ponga, Paul Rübig, Eduard Kukan, Bogdan Brunon Wenta</w:t>
      </w:r>
      <w:r w:rsidRPr="00BF7ACA">
        <w:rPr>
          <w:rStyle w:val="HideTWBExt"/>
          <w:b w:val="0"/>
        </w:rPr>
        <w:t>&lt;/Members&gt;</w:t>
      </w:r>
    </w:p>
    <w:p w14:paraId="17FD08D9" w14:textId="77777777" w:rsidR="00BF7ACA" w:rsidRPr="005A5903" w:rsidRDefault="00BF7ACA" w:rsidP="00BF7ACA">
      <w:r>
        <w:rPr>
          <w:rStyle w:val="HideTWBExt"/>
        </w:rPr>
        <w:t>&lt;/RepeatBlock-By&gt;</w:t>
      </w:r>
    </w:p>
    <w:p w14:paraId="61492A6C"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4EED56E9" w14:textId="77777777" w:rsidR="00BF7ACA" w:rsidRPr="005A5903" w:rsidRDefault="00BF7ACA" w:rsidP="00BF7ACA">
      <w:pPr>
        <w:pStyle w:val="NormalBold"/>
      </w:pPr>
      <w:r>
        <w:rPr>
          <w:rStyle w:val="HideTWBExt"/>
          <w:b w:val="0"/>
        </w:rPr>
        <w:t>&lt;Article&gt;</w:t>
      </w:r>
      <w:r w:rsidRPr="0019144F">
        <w:t>Considérant 7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7033E084" w14:textId="77777777" w:rsidTr="007924BE">
        <w:trPr>
          <w:jc w:val="center"/>
        </w:trPr>
        <w:tc>
          <w:tcPr>
            <w:tcW w:w="9752" w:type="dxa"/>
            <w:gridSpan w:val="2"/>
          </w:tcPr>
          <w:p w14:paraId="022C1525" w14:textId="77777777" w:rsidR="00BF7ACA" w:rsidRPr="005A5903" w:rsidRDefault="00BF7ACA" w:rsidP="007924BE">
            <w:pPr>
              <w:keepNext/>
            </w:pPr>
          </w:p>
        </w:tc>
      </w:tr>
      <w:tr w:rsidR="00BF7ACA" w:rsidRPr="005A5903" w14:paraId="3EA90CFB" w14:textId="77777777" w:rsidTr="007924BE">
        <w:trPr>
          <w:jc w:val="center"/>
        </w:trPr>
        <w:tc>
          <w:tcPr>
            <w:tcW w:w="4876" w:type="dxa"/>
            <w:hideMark/>
          </w:tcPr>
          <w:p w14:paraId="11390B04" w14:textId="77777777" w:rsidR="00BF7ACA" w:rsidRPr="0019144F" w:rsidRDefault="00BF7ACA" w:rsidP="007924BE">
            <w:pPr>
              <w:pStyle w:val="ColumnHeading"/>
              <w:keepNext/>
            </w:pPr>
            <w:r w:rsidRPr="0019144F">
              <w:t>Texte proposé par la Commission</w:t>
            </w:r>
          </w:p>
        </w:tc>
        <w:tc>
          <w:tcPr>
            <w:tcW w:w="4876" w:type="dxa"/>
            <w:hideMark/>
          </w:tcPr>
          <w:p w14:paraId="54684196" w14:textId="77777777" w:rsidR="00BF7ACA" w:rsidRPr="0019144F" w:rsidRDefault="00BF7ACA" w:rsidP="007924BE">
            <w:pPr>
              <w:pStyle w:val="ColumnHeading"/>
              <w:keepNext/>
            </w:pPr>
            <w:r w:rsidRPr="0019144F">
              <w:t>Amendement</w:t>
            </w:r>
          </w:p>
        </w:tc>
      </w:tr>
      <w:tr w:rsidR="00BF7ACA" w:rsidRPr="005A5903" w14:paraId="3212F53B" w14:textId="77777777" w:rsidTr="007924BE">
        <w:trPr>
          <w:jc w:val="center"/>
        </w:trPr>
        <w:tc>
          <w:tcPr>
            <w:tcW w:w="4876" w:type="dxa"/>
          </w:tcPr>
          <w:p w14:paraId="7663CBD4" w14:textId="77777777" w:rsidR="00BF7ACA" w:rsidRPr="0019144F" w:rsidRDefault="00BF7ACA" w:rsidP="007924BE">
            <w:pPr>
              <w:pStyle w:val="Normal6"/>
            </w:pPr>
          </w:p>
        </w:tc>
        <w:tc>
          <w:tcPr>
            <w:tcW w:w="4876" w:type="dxa"/>
            <w:hideMark/>
          </w:tcPr>
          <w:p w14:paraId="6D8F6B44" w14:textId="77777777" w:rsidR="00BF7ACA" w:rsidRPr="0019144F" w:rsidRDefault="00BF7ACA" w:rsidP="007924BE">
            <w:pPr>
              <w:pStyle w:val="Normal6"/>
              <w:rPr>
                <w:szCs w:val="24"/>
              </w:rPr>
            </w:pPr>
            <w:r w:rsidRPr="0019144F">
              <w:rPr>
                <w:b/>
                <w:i/>
              </w:rPr>
              <w:t>(7 bis)</w:t>
            </w:r>
            <w:r>
              <w:tab/>
            </w:r>
            <w:r w:rsidRPr="0019144F">
              <w:rPr>
                <w:b/>
                <w:i/>
              </w:rPr>
              <w:t>La Commission et la BEI devraient conclure un accord précisant les conditions de leur coopération en matière de gestion de la garantie FEDD et présenter cet accord au conseil stratégique.</w:t>
            </w:r>
          </w:p>
        </w:tc>
      </w:tr>
    </w:tbl>
    <w:p w14:paraId="1C56B712"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5B9F0D3" w14:textId="77777777" w:rsidR="00BF7ACA" w:rsidRPr="00BF7ACA" w:rsidRDefault="00BF7ACA" w:rsidP="00BF7ACA">
      <w:r w:rsidRPr="00BF7ACA">
        <w:rPr>
          <w:rStyle w:val="HideTWBExt"/>
        </w:rPr>
        <w:t>&lt;/Amend&gt;</w:t>
      </w:r>
    </w:p>
    <w:p w14:paraId="60D4CF40"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130</w:t>
      </w:r>
      <w:r w:rsidRPr="00E502E5">
        <w:rPr>
          <w:rStyle w:val="HideTWBExt"/>
          <w:b w:val="0"/>
        </w:rPr>
        <w:t>&lt;/NumAm&gt;</w:t>
      </w:r>
    </w:p>
    <w:p w14:paraId="5F1FB16D" w14:textId="77777777" w:rsidR="00BF7ACA" w:rsidRPr="00E502E5" w:rsidRDefault="00BF7ACA" w:rsidP="00BF7ACA">
      <w:pPr>
        <w:pStyle w:val="NormalBold"/>
      </w:pPr>
      <w:r w:rsidRPr="00E502E5">
        <w:rPr>
          <w:rStyle w:val="HideTWBExt"/>
          <w:b w:val="0"/>
        </w:rPr>
        <w:t>&lt;RepeatBlock-By&gt;&lt;Members&gt;</w:t>
      </w:r>
      <w:r w:rsidRPr="00E502E5">
        <w:t>Jean-Luc Schaffhauser</w:t>
      </w:r>
      <w:r w:rsidRPr="00E502E5">
        <w:rPr>
          <w:rStyle w:val="HideTWBExt"/>
          <w:b w:val="0"/>
        </w:rPr>
        <w:t>&lt;/Members&gt;</w:t>
      </w:r>
    </w:p>
    <w:p w14:paraId="5DE68101" w14:textId="77777777" w:rsidR="00BF7ACA" w:rsidRPr="00E502E5" w:rsidRDefault="00BF7ACA" w:rsidP="00BF7ACA">
      <w:r w:rsidRPr="00E502E5">
        <w:rPr>
          <w:rStyle w:val="HideTWBExt"/>
        </w:rPr>
        <w:t>&lt;/RepeatBlock-By&gt;</w:t>
      </w:r>
    </w:p>
    <w:p w14:paraId="6EEFFE78"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08022C25" w14:textId="77777777" w:rsidR="00BF7ACA" w:rsidRPr="00E502E5" w:rsidRDefault="00BF7ACA" w:rsidP="00BF7ACA">
      <w:pPr>
        <w:pStyle w:val="NormalBold"/>
      </w:pPr>
      <w:r w:rsidRPr="00E502E5">
        <w:rPr>
          <w:rStyle w:val="HideTWBExt"/>
          <w:b w:val="0"/>
        </w:rPr>
        <w:t>&lt;Article&gt;</w:t>
      </w:r>
      <w:r w:rsidRPr="00E502E5">
        <w:t>Considérant 8</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5FEA0762" w14:textId="77777777" w:rsidTr="007924BE">
        <w:trPr>
          <w:jc w:val="center"/>
        </w:trPr>
        <w:tc>
          <w:tcPr>
            <w:tcW w:w="9752" w:type="dxa"/>
            <w:gridSpan w:val="2"/>
          </w:tcPr>
          <w:p w14:paraId="5664464E" w14:textId="77777777" w:rsidR="00BF7ACA" w:rsidRPr="00E502E5" w:rsidRDefault="00BF7ACA" w:rsidP="007924BE">
            <w:pPr>
              <w:keepNext/>
            </w:pPr>
          </w:p>
        </w:tc>
      </w:tr>
      <w:tr w:rsidR="00BF7ACA" w:rsidRPr="00E502E5" w14:paraId="463CD5A4" w14:textId="77777777" w:rsidTr="007924BE">
        <w:trPr>
          <w:jc w:val="center"/>
        </w:trPr>
        <w:tc>
          <w:tcPr>
            <w:tcW w:w="4876" w:type="dxa"/>
            <w:hideMark/>
          </w:tcPr>
          <w:p w14:paraId="302A2DC5" w14:textId="77777777" w:rsidR="00BF7ACA" w:rsidRPr="00E502E5" w:rsidRDefault="00BF7ACA" w:rsidP="007924BE">
            <w:pPr>
              <w:pStyle w:val="ColumnHeading"/>
              <w:keepNext/>
            </w:pPr>
            <w:r w:rsidRPr="00E502E5">
              <w:t>Texte proposé par la Commission</w:t>
            </w:r>
          </w:p>
        </w:tc>
        <w:tc>
          <w:tcPr>
            <w:tcW w:w="4876" w:type="dxa"/>
            <w:hideMark/>
          </w:tcPr>
          <w:p w14:paraId="5D2A9902" w14:textId="77777777" w:rsidR="00BF7ACA" w:rsidRPr="00E502E5" w:rsidRDefault="00BF7ACA" w:rsidP="007924BE">
            <w:pPr>
              <w:pStyle w:val="ColumnHeading"/>
              <w:keepNext/>
            </w:pPr>
            <w:r w:rsidRPr="00E502E5">
              <w:t>Amendement</w:t>
            </w:r>
          </w:p>
        </w:tc>
      </w:tr>
      <w:tr w:rsidR="00BF7ACA" w:rsidRPr="00E502E5" w14:paraId="08263400" w14:textId="77777777" w:rsidTr="007924BE">
        <w:trPr>
          <w:jc w:val="center"/>
        </w:trPr>
        <w:tc>
          <w:tcPr>
            <w:tcW w:w="4876" w:type="dxa"/>
            <w:hideMark/>
          </w:tcPr>
          <w:p w14:paraId="26DCCE58" w14:textId="77777777" w:rsidR="00BF7ACA" w:rsidRPr="00E502E5" w:rsidRDefault="00BF7ACA" w:rsidP="007924BE">
            <w:pPr>
              <w:pStyle w:val="Normal6"/>
            </w:pPr>
            <w:r w:rsidRPr="00E502E5">
              <w:t>(8)</w:t>
            </w:r>
            <w:r w:rsidRPr="00E502E5">
              <w:tab/>
            </w:r>
            <w:r w:rsidRPr="00E502E5">
              <w:rPr>
                <w:b/>
                <w:i/>
              </w:rPr>
              <w:t>Par ailleurs, le</w:t>
            </w:r>
            <w:r w:rsidRPr="00E502E5">
              <w:t xml:space="preserve"> conseil </w:t>
            </w:r>
            <w:r w:rsidRPr="00E502E5">
              <w:rPr>
                <w:b/>
                <w:i/>
              </w:rPr>
              <w:t>stratégique devrait aider la Commission à fixer des</w:t>
            </w:r>
            <w:r w:rsidRPr="00E502E5">
              <w:t xml:space="preserve"> orientations </w:t>
            </w:r>
            <w:r w:rsidRPr="00E502E5">
              <w:rPr>
                <w:b/>
                <w:i/>
              </w:rPr>
              <w:t>stratégiques et les grands objectifs d</w:t>
            </w:r>
            <w:r>
              <w:rPr>
                <w:b/>
                <w:i/>
              </w:rPr>
              <w:t>’</w:t>
            </w:r>
            <w:r w:rsidRPr="00E502E5">
              <w:rPr>
                <w:b/>
                <w:i/>
              </w:rPr>
              <w:t>investissement. Il devrait également favoriser la coordination et la cohérence entre les plateformes régionales. Cela devrait garantir la complémentarité des différents instruments de l</w:t>
            </w:r>
            <w:r>
              <w:rPr>
                <w:b/>
                <w:i/>
              </w:rPr>
              <w:t>’</w:t>
            </w:r>
            <w:r w:rsidRPr="00E502E5">
              <w:rPr>
                <w:b/>
                <w:i/>
              </w:rPr>
              <w:t>action extérieure. Le conseil stratégique devrait être coprésidé par la Commission et le haut représentant de l</w:t>
            </w:r>
            <w:r>
              <w:rPr>
                <w:b/>
                <w:i/>
              </w:rPr>
              <w:t>’</w:t>
            </w:r>
            <w:r w:rsidRPr="00E502E5">
              <w:rPr>
                <w:b/>
                <w:i/>
              </w:rPr>
              <w:t>Union pour les affaires étrangères et la politique de sécurité afin de garantir la cohérence par rapport aux objectifs de la politique extérieure de l</w:t>
            </w:r>
            <w:r>
              <w:rPr>
                <w:b/>
                <w:i/>
              </w:rPr>
              <w:t>’</w:t>
            </w:r>
            <w:r w:rsidRPr="00E502E5">
              <w:rPr>
                <w:b/>
                <w:i/>
              </w:rPr>
              <w:t>Union et à ses cadres de partenariat avec les pays tiers.</w:t>
            </w:r>
          </w:p>
        </w:tc>
        <w:tc>
          <w:tcPr>
            <w:tcW w:w="4876" w:type="dxa"/>
            <w:hideMark/>
          </w:tcPr>
          <w:p w14:paraId="7FE4D0AB" w14:textId="77777777" w:rsidR="00BF7ACA" w:rsidRPr="00E502E5" w:rsidRDefault="00BF7ACA" w:rsidP="007924BE">
            <w:pPr>
              <w:pStyle w:val="Normal6"/>
              <w:rPr>
                <w:szCs w:val="24"/>
              </w:rPr>
            </w:pPr>
            <w:r w:rsidRPr="00E502E5">
              <w:t>(8)</w:t>
            </w:r>
            <w:r w:rsidRPr="00E502E5">
              <w:tab/>
            </w:r>
            <w:r w:rsidRPr="00E502E5">
              <w:rPr>
                <w:b/>
                <w:i/>
              </w:rPr>
              <w:t>C</w:t>
            </w:r>
            <w:r>
              <w:rPr>
                <w:b/>
                <w:i/>
              </w:rPr>
              <w:t>’</w:t>
            </w:r>
            <w:r w:rsidRPr="00E502E5">
              <w:rPr>
                <w:b/>
                <w:i/>
              </w:rPr>
              <w:t>est au</w:t>
            </w:r>
            <w:r w:rsidRPr="00E502E5">
              <w:t xml:space="preserve"> Conseil </w:t>
            </w:r>
            <w:r w:rsidRPr="00E502E5">
              <w:rPr>
                <w:b/>
                <w:i/>
              </w:rPr>
              <w:t>de veiller aux</w:t>
            </w:r>
            <w:r w:rsidRPr="00E502E5">
              <w:t xml:space="preserve"> orientations </w:t>
            </w:r>
            <w:r w:rsidRPr="00E502E5">
              <w:rPr>
                <w:b/>
                <w:i/>
              </w:rPr>
              <w:t xml:space="preserve">des investissements permis par ce fonds qui est alimenté par les </w:t>
            </w:r>
            <w:r>
              <w:rPr>
                <w:b/>
                <w:i/>
              </w:rPr>
              <w:t>É</w:t>
            </w:r>
            <w:r w:rsidRPr="00E502E5">
              <w:rPr>
                <w:b/>
                <w:i/>
              </w:rPr>
              <w:t>tats.;</w:t>
            </w:r>
            <w:r w:rsidRPr="00E502E5">
              <w:t xml:space="preserve"> </w:t>
            </w:r>
          </w:p>
        </w:tc>
      </w:tr>
    </w:tbl>
    <w:p w14:paraId="3CA58B7D"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35E509AF" w14:textId="77777777" w:rsidR="00BF7ACA" w:rsidRPr="00E502E5" w:rsidRDefault="00BF7ACA" w:rsidP="00BF7ACA">
      <w:r w:rsidRPr="00E502E5">
        <w:rPr>
          <w:rStyle w:val="HideTWBExt"/>
        </w:rPr>
        <w:t>&lt;/Amend&gt;</w:t>
      </w:r>
    </w:p>
    <w:p w14:paraId="0BA635FC"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131</w:t>
      </w:r>
      <w:r w:rsidRPr="00BF7ACA">
        <w:rPr>
          <w:rStyle w:val="HideTWBExt"/>
          <w:b w:val="0"/>
        </w:rPr>
        <w:t>&lt;/NumAm&gt;</w:t>
      </w:r>
    </w:p>
    <w:p w14:paraId="0271CD3B"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Nedzhmi Ali, Jozo Radoš, Hilde Vautmans, Ilhan Kyuchyuk, Marielle de Sarnez</w:t>
      </w:r>
      <w:r w:rsidRPr="00BF7ACA">
        <w:rPr>
          <w:rStyle w:val="HideTWBExt"/>
          <w:b w:val="0"/>
        </w:rPr>
        <w:t>&lt;/Members&gt;</w:t>
      </w:r>
    </w:p>
    <w:p w14:paraId="62DB0B40" w14:textId="77777777" w:rsidR="00BF7ACA" w:rsidRPr="005A5903" w:rsidRDefault="00BF7ACA" w:rsidP="00BF7ACA">
      <w:r>
        <w:rPr>
          <w:rStyle w:val="HideTWBExt"/>
        </w:rPr>
        <w:t>&lt;/RepeatBlock-By&gt;</w:t>
      </w:r>
    </w:p>
    <w:p w14:paraId="084B86A6"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5479441A" w14:textId="77777777" w:rsidR="00BF7ACA" w:rsidRPr="005A5903" w:rsidRDefault="00BF7ACA" w:rsidP="00BF7ACA">
      <w:pPr>
        <w:pStyle w:val="NormalBold"/>
      </w:pPr>
      <w:r>
        <w:rPr>
          <w:rStyle w:val="HideTWBExt"/>
          <w:b w:val="0"/>
        </w:rPr>
        <w:t>&lt;Article&gt;</w:t>
      </w:r>
      <w:r w:rsidRPr="0019144F">
        <w:t>Considérant 8</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0558AD85" w14:textId="77777777" w:rsidTr="007924BE">
        <w:trPr>
          <w:jc w:val="center"/>
        </w:trPr>
        <w:tc>
          <w:tcPr>
            <w:tcW w:w="9752" w:type="dxa"/>
            <w:gridSpan w:val="2"/>
          </w:tcPr>
          <w:p w14:paraId="4B368352" w14:textId="77777777" w:rsidR="00BF7ACA" w:rsidRPr="005A5903" w:rsidRDefault="00BF7ACA" w:rsidP="007924BE">
            <w:pPr>
              <w:keepNext/>
            </w:pPr>
          </w:p>
        </w:tc>
      </w:tr>
      <w:tr w:rsidR="00BF7ACA" w:rsidRPr="005A5903" w14:paraId="603ED542" w14:textId="77777777" w:rsidTr="007924BE">
        <w:trPr>
          <w:jc w:val="center"/>
        </w:trPr>
        <w:tc>
          <w:tcPr>
            <w:tcW w:w="4876" w:type="dxa"/>
            <w:hideMark/>
          </w:tcPr>
          <w:p w14:paraId="36057ACB" w14:textId="77777777" w:rsidR="00BF7ACA" w:rsidRPr="0019144F" w:rsidRDefault="00BF7ACA" w:rsidP="007924BE">
            <w:pPr>
              <w:pStyle w:val="ColumnHeading"/>
              <w:keepNext/>
            </w:pPr>
            <w:r w:rsidRPr="0019144F">
              <w:t>Texte proposé par la Commission</w:t>
            </w:r>
          </w:p>
        </w:tc>
        <w:tc>
          <w:tcPr>
            <w:tcW w:w="4876" w:type="dxa"/>
            <w:hideMark/>
          </w:tcPr>
          <w:p w14:paraId="0B448F6C" w14:textId="77777777" w:rsidR="00BF7ACA" w:rsidRPr="0019144F" w:rsidRDefault="00BF7ACA" w:rsidP="007924BE">
            <w:pPr>
              <w:pStyle w:val="ColumnHeading"/>
              <w:keepNext/>
            </w:pPr>
            <w:r w:rsidRPr="0019144F">
              <w:t>Amendement</w:t>
            </w:r>
          </w:p>
        </w:tc>
      </w:tr>
      <w:tr w:rsidR="00BF7ACA" w:rsidRPr="005A5903" w14:paraId="6795B6F0" w14:textId="77777777" w:rsidTr="007924BE">
        <w:trPr>
          <w:jc w:val="center"/>
        </w:trPr>
        <w:tc>
          <w:tcPr>
            <w:tcW w:w="4876" w:type="dxa"/>
            <w:hideMark/>
          </w:tcPr>
          <w:p w14:paraId="65883990" w14:textId="77777777" w:rsidR="00BF7ACA" w:rsidRPr="0019144F" w:rsidRDefault="00BF7ACA" w:rsidP="007924BE">
            <w:pPr>
              <w:pStyle w:val="Normal6"/>
            </w:pPr>
            <w:r w:rsidRPr="0019144F">
              <w:t>(8)</w:t>
            </w:r>
            <w:r>
              <w:tab/>
            </w:r>
            <w:r w:rsidRPr="0019144F">
              <w:t>Par ailleurs, le conseil stratégique devrait aider la Commission à fixer des orientations stratégiques et les grands objectifs d</w:t>
            </w:r>
            <w:r>
              <w:t>’</w:t>
            </w:r>
            <w:r w:rsidRPr="0019144F">
              <w:t>investissement. Il devrait également favoriser la coordination et la cohérence entre les plateformes régionales.</w:t>
            </w:r>
            <w:r w:rsidRPr="0019144F">
              <w:rPr>
                <w:b/>
                <w:i/>
              </w:rPr>
              <w:t xml:space="preserve"> </w:t>
            </w:r>
            <w:r w:rsidRPr="00627C55">
              <w:rPr>
                <w:b/>
                <w:i/>
              </w:rPr>
              <w:t>Cela devrait garantir</w:t>
            </w:r>
            <w:r w:rsidRPr="0019144F">
              <w:t xml:space="preserve"> la complémentarité des différents instruments de l</w:t>
            </w:r>
            <w:r>
              <w:t>’</w:t>
            </w:r>
            <w:r w:rsidRPr="0019144F">
              <w:t>action extérieure</w:t>
            </w:r>
            <w:r w:rsidRPr="00627C55">
              <w:t>.</w:t>
            </w:r>
            <w:r w:rsidRPr="0019144F">
              <w:t xml:space="preserve"> Le conseil stratégique devrait être coprésidé par la Commission et le haut représentant de l</w:t>
            </w:r>
            <w:r>
              <w:t>’</w:t>
            </w:r>
            <w:r w:rsidRPr="0019144F">
              <w:t xml:space="preserve">Union pour les affaires étrangères et la politique de sécurité afin de garantir la cohérence </w:t>
            </w:r>
            <w:r w:rsidRPr="00627C55">
              <w:rPr>
                <w:b/>
                <w:i/>
              </w:rPr>
              <w:t>par rapport aux</w:t>
            </w:r>
            <w:r w:rsidRPr="0019144F">
              <w:t xml:space="preserve"> objectifs de la politique extérieure de l</w:t>
            </w:r>
            <w:r>
              <w:t>’</w:t>
            </w:r>
            <w:r w:rsidRPr="0019144F">
              <w:t xml:space="preserve">Union et </w:t>
            </w:r>
            <w:r w:rsidRPr="00627C55">
              <w:rPr>
                <w:b/>
                <w:i/>
              </w:rPr>
              <w:t>à</w:t>
            </w:r>
            <w:r w:rsidRPr="0019144F">
              <w:t xml:space="preserve"> ses cadres de partenariat avec les pays tiers.</w:t>
            </w:r>
          </w:p>
        </w:tc>
        <w:tc>
          <w:tcPr>
            <w:tcW w:w="4876" w:type="dxa"/>
            <w:hideMark/>
          </w:tcPr>
          <w:p w14:paraId="36153B6E" w14:textId="77777777" w:rsidR="00BF7ACA" w:rsidRPr="0019144F" w:rsidRDefault="00BF7ACA" w:rsidP="007924BE">
            <w:pPr>
              <w:pStyle w:val="Normal6"/>
              <w:rPr>
                <w:szCs w:val="24"/>
              </w:rPr>
            </w:pPr>
            <w:r w:rsidRPr="0019144F">
              <w:t>(8)</w:t>
            </w:r>
            <w:r>
              <w:tab/>
            </w:r>
            <w:r w:rsidRPr="0019144F">
              <w:t>Par ailleurs, le conseil stratégique devrait aider la Commission à fixer des orientations stratégiques et les grands objectifs d</w:t>
            </w:r>
            <w:r>
              <w:t>’</w:t>
            </w:r>
            <w:r w:rsidRPr="0019144F">
              <w:t>investissement. Il devrait également favoriser la coordination et la cohérence entre les plateformes régionales</w:t>
            </w:r>
            <w:r w:rsidRPr="00627C55">
              <w:rPr>
                <w:b/>
                <w:i/>
              </w:rPr>
              <w:t>, avec les principaux objectifs de développement de l’Union, et avec les stratégies et instruments existants en vue d’accroître</w:t>
            </w:r>
            <w:r w:rsidRPr="0019144F">
              <w:t xml:space="preserve"> la complémentarité des différents instruments de l</w:t>
            </w:r>
            <w:r>
              <w:t>’</w:t>
            </w:r>
            <w:r w:rsidRPr="0019144F">
              <w:t xml:space="preserve">action extérieure </w:t>
            </w:r>
            <w:r w:rsidRPr="00627C55">
              <w:rPr>
                <w:b/>
                <w:i/>
              </w:rPr>
              <w:t>tout en garantissant la cohérence des politiques au service du développement</w:t>
            </w:r>
            <w:r w:rsidRPr="0019144F">
              <w:t>. Le conseil stratégique devrait être coprésidé par la Commission et le haut représentant de l</w:t>
            </w:r>
            <w:r>
              <w:t>’</w:t>
            </w:r>
            <w:r w:rsidRPr="0019144F">
              <w:t xml:space="preserve">Union pour les affaires étrangères et la politique de sécurité afin de garantir la cohérence </w:t>
            </w:r>
            <w:r w:rsidRPr="00627C55">
              <w:rPr>
                <w:b/>
                <w:i/>
              </w:rPr>
              <w:t>des</w:t>
            </w:r>
            <w:r w:rsidRPr="0019144F">
              <w:t xml:space="preserve"> objectifs de la politique extérieure de l</w:t>
            </w:r>
            <w:r>
              <w:t>’</w:t>
            </w:r>
            <w:r w:rsidRPr="0019144F">
              <w:t xml:space="preserve">Union et </w:t>
            </w:r>
            <w:r w:rsidRPr="00627C55">
              <w:rPr>
                <w:b/>
                <w:i/>
              </w:rPr>
              <w:t>de</w:t>
            </w:r>
            <w:r w:rsidRPr="0019144F">
              <w:t xml:space="preserve"> ses cadres de partenariat avec les pays tiers. </w:t>
            </w:r>
            <w:r w:rsidRPr="0019144F">
              <w:rPr>
                <w:b/>
                <w:i/>
              </w:rPr>
              <w:t>Le Parlement européen participe au conseil stratégique avec le statut d</w:t>
            </w:r>
            <w:r>
              <w:rPr>
                <w:b/>
                <w:i/>
              </w:rPr>
              <w:t>’</w:t>
            </w:r>
            <w:r w:rsidRPr="0019144F">
              <w:rPr>
                <w:b/>
                <w:i/>
              </w:rPr>
              <w:t>observateur permanent afin de garantir l</w:t>
            </w:r>
            <w:r>
              <w:rPr>
                <w:b/>
                <w:i/>
              </w:rPr>
              <w:t>’</w:t>
            </w:r>
            <w:r w:rsidRPr="0019144F">
              <w:rPr>
                <w:b/>
                <w:i/>
              </w:rPr>
              <w:t>exercice de son droit et de son obligation de contrôler la mise en œuvre du FEDD. Le conseil stratégique publie le procès-verbal de ses réunions dès qu</w:t>
            </w:r>
            <w:r>
              <w:rPr>
                <w:b/>
                <w:i/>
              </w:rPr>
              <w:t>’</w:t>
            </w:r>
            <w:r w:rsidRPr="0019144F">
              <w:rPr>
                <w:b/>
                <w:i/>
              </w:rPr>
              <w:t>il l</w:t>
            </w:r>
            <w:r>
              <w:rPr>
                <w:b/>
                <w:i/>
              </w:rPr>
              <w:t>’</w:t>
            </w:r>
            <w:r w:rsidRPr="0019144F">
              <w:rPr>
                <w:b/>
                <w:i/>
              </w:rPr>
              <w:t>a approuvé.</w:t>
            </w:r>
          </w:p>
        </w:tc>
      </w:tr>
    </w:tbl>
    <w:p w14:paraId="7597F611"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1C7E50E" w14:textId="77777777" w:rsidR="00BF7ACA" w:rsidRPr="00BF7ACA" w:rsidRDefault="00BF7ACA" w:rsidP="00BF7ACA">
      <w:r w:rsidRPr="00BF7ACA">
        <w:rPr>
          <w:rStyle w:val="HideTWBExt"/>
        </w:rPr>
        <w:t>&lt;/Amend&gt;</w:t>
      </w:r>
    </w:p>
    <w:p w14:paraId="66CA8EC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132</w:t>
      </w:r>
      <w:r w:rsidRPr="00BF7ACA">
        <w:rPr>
          <w:rStyle w:val="HideTWBExt"/>
          <w:b w:val="0"/>
        </w:rPr>
        <w:t>&lt;/NumAm&gt;</w:t>
      </w:r>
    </w:p>
    <w:p w14:paraId="03D33C30" w14:textId="77777777"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14:paraId="59B8A825" w14:textId="77777777" w:rsidR="00BF7ACA" w:rsidRPr="005A5903" w:rsidRDefault="00BF7ACA" w:rsidP="00BF7ACA">
      <w:r>
        <w:rPr>
          <w:rStyle w:val="HideTWBExt"/>
        </w:rPr>
        <w:t>&lt;/RepeatBlock-By&gt;</w:t>
      </w:r>
    </w:p>
    <w:p w14:paraId="1C1781D0"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4CDBD164" w14:textId="77777777" w:rsidR="00BF7ACA" w:rsidRPr="005A5903" w:rsidRDefault="00BF7ACA" w:rsidP="00BF7ACA">
      <w:pPr>
        <w:pStyle w:val="NormalBold"/>
      </w:pPr>
      <w:r>
        <w:rPr>
          <w:rStyle w:val="HideTWBExt"/>
          <w:b w:val="0"/>
        </w:rPr>
        <w:t>&lt;Article&gt;</w:t>
      </w:r>
      <w:r w:rsidRPr="0019144F">
        <w:t>Considérant 8</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2A087591" w14:textId="77777777" w:rsidTr="007924BE">
        <w:trPr>
          <w:jc w:val="center"/>
        </w:trPr>
        <w:tc>
          <w:tcPr>
            <w:tcW w:w="9752" w:type="dxa"/>
            <w:gridSpan w:val="2"/>
          </w:tcPr>
          <w:p w14:paraId="27FCD873" w14:textId="77777777" w:rsidR="00BF7ACA" w:rsidRPr="005A5903" w:rsidRDefault="00BF7ACA" w:rsidP="007924BE">
            <w:pPr>
              <w:keepNext/>
            </w:pPr>
          </w:p>
        </w:tc>
      </w:tr>
      <w:tr w:rsidR="00BF7ACA" w:rsidRPr="005A5903" w14:paraId="5584DE99" w14:textId="77777777" w:rsidTr="007924BE">
        <w:trPr>
          <w:jc w:val="center"/>
        </w:trPr>
        <w:tc>
          <w:tcPr>
            <w:tcW w:w="4876" w:type="dxa"/>
            <w:hideMark/>
          </w:tcPr>
          <w:p w14:paraId="21930196" w14:textId="77777777" w:rsidR="00BF7ACA" w:rsidRPr="0019144F" w:rsidRDefault="00BF7ACA" w:rsidP="007924BE">
            <w:pPr>
              <w:pStyle w:val="ColumnHeading"/>
              <w:keepNext/>
            </w:pPr>
            <w:r w:rsidRPr="0019144F">
              <w:t>Texte proposé par la Commission</w:t>
            </w:r>
          </w:p>
        </w:tc>
        <w:tc>
          <w:tcPr>
            <w:tcW w:w="4876" w:type="dxa"/>
            <w:hideMark/>
          </w:tcPr>
          <w:p w14:paraId="1FB09D07" w14:textId="77777777" w:rsidR="00BF7ACA" w:rsidRPr="0019144F" w:rsidRDefault="00BF7ACA" w:rsidP="007924BE">
            <w:pPr>
              <w:pStyle w:val="ColumnHeading"/>
              <w:keepNext/>
            </w:pPr>
            <w:r w:rsidRPr="0019144F">
              <w:t>Amendement</w:t>
            </w:r>
          </w:p>
        </w:tc>
      </w:tr>
      <w:tr w:rsidR="00BF7ACA" w:rsidRPr="005A5903" w14:paraId="5FCA4B18" w14:textId="77777777" w:rsidTr="007924BE">
        <w:trPr>
          <w:jc w:val="center"/>
        </w:trPr>
        <w:tc>
          <w:tcPr>
            <w:tcW w:w="4876" w:type="dxa"/>
            <w:hideMark/>
          </w:tcPr>
          <w:p w14:paraId="655C713E" w14:textId="77777777" w:rsidR="00BF7ACA" w:rsidRPr="0019144F" w:rsidRDefault="00BF7ACA" w:rsidP="007924BE">
            <w:pPr>
              <w:pStyle w:val="Normal6"/>
            </w:pPr>
            <w:r w:rsidRPr="0019144F">
              <w:t>(8)</w:t>
            </w:r>
            <w:r>
              <w:tab/>
            </w:r>
            <w:r>
              <w:rPr>
                <w:b/>
                <w:i/>
              </w:rPr>
              <w:t>Par ailleurs, le</w:t>
            </w:r>
            <w:r>
              <w:t xml:space="preserve"> conseil stratégique devrait </w:t>
            </w:r>
            <w:r>
              <w:rPr>
                <w:b/>
                <w:i/>
              </w:rPr>
              <w:t>aider</w:t>
            </w:r>
            <w:r>
              <w:t xml:space="preserve"> la Commission </w:t>
            </w:r>
            <w:r>
              <w:rPr>
                <w:b/>
                <w:i/>
              </w:rPr>
              <w:t xml:space="preserve">à fixer des orientations stratégiques </w:t>
            </w:r>
            <w:r>
              <w:t xml:space="preserve">et </w:t>
            </w:r>
            <w:r>
              <w:rPr>
                <w:b/>
                <w:i/>
              </w:rPr>
              <w:t>les grands objectifs d’investissement.</w:t>
            </w:r>
            <w:r w:rsidRPr="0019144F">
              <w:rPr>
                <w:b/>
                <w:i/>
              </w:rPr>
              <w:t xml:space="preserve"> Il devrait également favoriser la coordination et</w:t>
            </w:r>
            <w:r w:rsidRPr="0019144F">
              <w:t xml:space="preserve"> la cohérence </w:t>
            </w:r>
            <w:r w:rsidRPr="0019144F">
              <w:rPr>
                <w:b/>
                <w:i/>
              </w:rPr>
              <w:t>entre les plateformes régionales. Cela devrait garantir</w:t>
            </w:r>
            <w:r w:rsidRPr="0019144F">
              <w:t xml:space="preserve"> la </w:t>
            </w:r>
            <w:r w:rsidRPr="0019144F">
              <w:rPr>
                <w:b/>
                <w:i/>
              </w:rPr>
              <w:t>complémentarité des différents instruments</w:t>
            </w:r>
            <w:r w:rsidRPr="0019144F">
              <w:t xml:space="preserve"> de </w:t>
            </w:r>
            <w:r w:rsidRPr="0019144F">
              <w:rPr>
                <w:b/>
                <w:i/>
              </w:rPr>
              <w:t>l</w:t>
            </w:r>
            <w:r>
              <w:rPr>
                <w:b/>
                <w:i/>
              </w:rPr>
              <w:t>’</w:t>
            </w:r>
            <w:r w:rsidRPr="0019144F">
              <w:rPr>
                <w:b/>
                <w:i/>
              </w:rPr>
              <w:t>action extérieure. Le conseil stratégique devrait être coprésidé</w:t>
            </w:r>
            <w:r w:rsidRPr="0019144F">
              <w:t xml:space="preserve"> par </w:t>
            </w:r>
            <w:r w:rsidRPr="0019144F">
              <w:rPr>
                <w:b/>
                <w:i/>
              </w:rPr>
              <w:t xml:space="preserve">la Commission et le haut représentant de </w:t>
            </w:r>
            <w:r w:rsidRPr="0019144F">
              <w:t>l</w:t>
            </w:r>
            <w:r>
              <w:t>’</w:t>
            </w:r>
            <w:r w:rsidRPr="0019144F">
              <w:t xml:space="preserve">Union pour </w:t>
            </w:r>
            <w:r w:rsidRPr="0019144F">
              <w:rPr>
                <w:b/>
                <w:i/>
              </w:rPr>
              <w:t>les affaires étrangères et la politique de sécurité afin</w:t>
            </w:r>
            <w:r w:rsidRPr="0019144F">
              <w:t xml:space="preserve"> de </w:t>
            </w:r>
            <w:r w:rsidRPr="0019144F">
              <w:rPr>
                <w:b/>
                <w:i/>
              </w:rPr>
              <w:t xml:space="preserve">garantir </w:t>
            </w:r>
            <w:r w:rsidRPr="0019144F">
              <w:t xml:space="preserve">la </w:t>
            </w:r>
            <w:r w:rsidRPr="0019144F">
              <w:rPr>
                <w:b/>
                <w:i/>
              </w:rPr>
              <w:t>cohérence par rapport aux objectifs de</w:t>
            </w:r>
            <w:r w:rsidRPr="0019144F">
              <w:t xml:space="preserve"> la </w:t>
            </w:r>
            <w:r w:rsidRPr="0019144F">
              <w:rPr>
                <w:b/>
                <w:i/>
              </w:rPr>
              <w:t>politique extérieure de l</w:t>
            </w:r>
            <w:r>
              <w:rPr>
                <w:b/>
                <w:i/>
              </w:rPr>
              <w:t>’</w:t>
            </w:r>
            <w:r w:rsidRPr="0019144F">
              <w:rPr>
                <w:b/>
                <w:i/>
              </w:rPr>
              <w:t>Union et à ses cadres de partenariat avec les pays tiers</w:t>
            </w:r>
            <w:r w:rsidRPr="0019144F">
              <w:t>.</w:t>
            </w:r>
          </w:p>
        </w:tc>
        <w:tc>
          <w:tcPr>
            <w:tcW w:w="4876" w:type="dxa"/>
            <w:hideMark/>
          </w:tcPr>
          <w:p w14:paraId="26713350" w14:textId="77777777" w:rsidR="00BF7ACA" w:rsidRPr="0019144F" w:rsidRDefault="00BF7ACA" w:rsidP="007924BE">
            <w:pPr>
              <w:pStyle w:val="Normal6"/>
              <w:rPr>
                <w:szCs w:val="24"/>
              </w:rPr>
            </w:pPr>
            <w:r w:rsidRPr="0019144F">
              <w:t>(8)</w:t>
            </w:r>
            <w:r>
              <w:tab/>
            </w:r>
            <w:r w:rsidRPr="0019144F">
              <w:rPr>
                <w:b/>
                <w:i/>
              </w:rPr>
              <w:t>Le</w:t>
            </w:r>
            <w:r w:rsidRPr="0019144F">
              <w:t xml:space="preserve"> conseil stratégique devrait </w:t>
            </w:r>
            <w:r w:rsidRPr="0019144F">
              <w:rPr>
                <w:b/>
                <w:i/>
              </w:rPr>
              <w:t>être coprésidé par</w:t>
            </w:r>
            <w:r w:rsidRPr="0019144F">
              <w:t xml:space="preserve"> la Commission et </w:t>
            </w:r>
            <w:r w:rsidRPr="0019144F">
              <w:rPr>
                <w:b/>
                <w:i/>
              </w:rPr>
              <w:t>le haut représentant afin de garantir</w:t>
            </w:r>
            <w:r w:rsidRPr="0019144F">
              <w:t xml:space="preserve"> la cohérence </w:t>
            </w:r>
            <w:r w:rsidRPr="0019144F">
              <w:rPr>
                <w:b/>
                <w:i/>
              </w:rPr>
              <w:t>par rapport aux objectifs de</w:t>
            </w:r>
            <w:r w:rsidRPr="0019144F">
              <w:t xml:space="preserve"> la </w:t>
            </w:r>
            <w:r w:rsidRPr="0019144F">
              <w:rPr>
                <w:b/>
                <w:i/>
              </w:rPr>
              <w:t>politique extérieure</w:t>
            </w:r>
            <w:r w:rsidRPr="0019144F">
              <w:t xml:space="preserve"> de </w:t>
            </w:r>
            <w:r w:rsidRPr="0019144F">
              <w:rPr>
                <w:b/>
                <w:i/>
              </w:rPr>
              <w:t>l</w:t>
            </w:r>
            <w:r>
              <w:rPr>
                <w:b/>
                <w:i/>
              </w:rPr>
              <w:t>’</w:t>
            </w:r>
            <w:r w:rsidRPr="0019144F">
              <w:rPr>
                <w:b/>
                <w:i/>
              </w:rPr>
              <w:t>Union et aux autres efforts consentis</w:t>
            </w:r>
            <w:r w:rsidRPr="0019144F">
              <w:t xml:space="preserve"> par l</w:t>
            </w:r>
            <w:r>
              <w:t>’</w:t>
            </w:r>
            <w:r w:rsidRPr="0019144F">
              <w:t xml:space="preserve">Union pour </w:t>
            </w:r>
            <w:r w:rsidRPr="0019144F">
              <w:rPr>
                <w:b/>
                <w:i/>
              </w:rPr>
              <w:t>lutter contre les causes premières</w:t>
            </w:r>
            <w:r w:rsidRPr="0019144F">
              <w:t xml:space="preserve"> de la </w:t>
            </w:r>
            <w:r w:rsidRPr="0019144F">
              <w:rPr>
                <w:b/>
                <w:i/>
              </w:rPr>
              <w:t>migration, ainsi que</w:t>
            </w:r>
            <w:r w:rsidRPr="0019144F">
              <w:t xml:space="preserve"> la </w:t>
            </w:r>
            <w:r w:rsidRPr="0019144F">
              <w:rPr>
                <w:b/>
                <w:i/>
              </w:rPr>
              <w:t>cohérence des politiques au service du développement</w:t>
            </w:r>
            <w:r w:rsidRPr="0019144F">
              <w:t>.</w:t>
            </w:r>
          </w:p>
        </w:tc>
      </w:tr>
    </w:tbl>
    <w:p w14:paraId="6EAFB90C"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65AFFB0" w14:textId="77777777" w:rsidR="00BF7ACA" w:rsidRPr="00BF7ACA" w:rsidRDefault="00BF7ACA" w:rsidP="00BF7ACA">
      <w:r w:rsidRPr="00BF7ACA">
        <w:rPr>
          <w:rStyle w:val="HideTWBExt"/>
        </w:rPr>
        <w:t>&lt;/Amend&gt;</w:t>
      </w:r>
    </w:p>
    <w:p w14:paraId="0C7F7B74"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133</w:t>
      </w:r>
      <w:r w:rsidRPr="00BF7ACA">
        <w:rPr>
          <w:rStyle w:val="HideTWBExt"/>
          <w:b w:val="0"/>
        </w:rPr>
        <w:t>&lt;/NumAm&gt;</w:t>
      </w:r>
    </w:p>
    <w:p w14:paraId="11AFCDC3"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2075634B" w14:textId="77777777" w:rsidR="00BF7ACA" w:rsidRPr="005A5903" w:rsidRDefault="00BF7ACA" w:rsidP="00BF7ACA">
      <w:r>
        <w:rPr>
          <w:rStyle w:val="HideTWBExt"/>
        </w:rPr>
        <w:t>&lt;/RepeatBlock-By&gt;</w:t>
      </w:r>
    </w:p>
    <w:p w14:paraId="526F0997"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08CFBB6D" w14:textId="77777777" w:rsidR="00BF7ACA" w:rsidRPr="005A5903" w:rsidRDefault="00BF7ACA" w:rsidP="00BF7ACA">
      <w:pPr>
        <w:pStyle w:val="NormalBold"/>
      </w:pPr>
      <w:r>
        <w:rPr>
          <w:rStyle w:val="HideTWBExt"/>
          <w:b w:val="0"/>
        </w:rPr>
        <w:t>&lt;Article&gt;</w:t>
      </w:r>
      <w:r w:rsidRPr="0019144F">
        <w:t>Considérant 8</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1398E5DE" w14:textId="77777777" w:rsidTr="007924BE">
        <w:trPr>
          <w:jc w:val="center"/>
        </w:trPr>
        <w:tc>
          <w:tcPr>
            <w:tcW w:w="9752" w:type="dxa"/>
            <w:gridSpan w:val="2"/>
          </w:tcPr>
          <w:p w14:paraId="245608B6" w14:textId="77777777" w:rsidR="00BF7ACA" w:rsidRPr="005A5903" w:rsidRDefault="00BF7ACA" w:rsidP="007924BE">
            <w:pPr>
              <w:keepNext/>
            </w:pPr>
          </w:p>
        </w:tc>
      </w:tr>
      <w:tr w:rsidR="00BF7ACA" w:rsidRPr="005A5903" w14:paraId="74AE3F46" w14:textId="77777777" w:rsidTr="007924BE">
        <w:trPr>
          <w:jc w:val="center"/>
        </w:trPr>
        <w:tc>
          <w:tcPr>
            <w:tcW w:w="4876" w:type="dxa"/>
            <w:hideMark/>
          </w:tcPr>
          <w:p w14:paraId="6BB72E84" w14:textId="77777777" w:rsidR="00BF7ACA" w:rsidRPr="0019144F" w:rsidRDefault="00BF7ACA" w:rsidP="007924BE">
            <w:pPr>
              <w:pStyle w:val="ColumnHeading"/>
              <w:keepNext/>
            </w:pPr>
            <w:r w:rsidRPr="0019144F">
              <w:t>Texte proposé par la Commission</w:t>
            </w:r>
          </w:p>
        </w:tc>
        <w:tc>
          <w:tcPr>
            <w:tcW w:w="4876" w:type="dxa"/>
            <w:hideMark/>
          </w:tcPr>
          <w:p w14:paraId="6D8078FC" w14:textId="77777777" w:rsidR="00BF7ACA" w:rsidRPr="0019144F" w:rsidRDefault="00BF7ACA" w:rsidP="007924BE">
            <w:pPr>
              <w:pStyle w:val="ColumnHeading"/>
              <w:keepNext/>
            </w:pPr>
            <w:r w:rsidRPr="0019144F">
              <w:t>Amendement</w:t>
            </w:r>
          </w:p>
        </w:tc>
      </w:tr>
      <w:tr w:rsidR="00BF7ACA" w:rsidRPr="005A5903" w14:paraId="7D85430F" w14:textId="77777777" w:rsidTr="007924BE">
        <w:trPr>
          <w:jc w:val="center"/>
        </w:trPr>
        <w:tc>
          <w:tcPr>
            <w:tcW w:w="4876" w:type="dxa"/>
            <w:hideMark/>
          </w:tcPr>
          <w:p w14:paraId="5BBE57A4" w14:textId="77777777" w:rsidR="00BF7ACA" w:rsidRPr="0019144F" w:rsidRDefault="00BF7ACA" w:rsidP="007924BE">
            <w:pPr>
              <w:pStyle w:val="Normal6"/>
            </w:pPr>
            <w:r w:rsidRPr="0019144F">
              <w:t>(8)</w:t>
            </w:r>
            <w:r>
              <w:tab/>
            </w:r>
            <w:r w:rsidRPr="0019144F">
              <w:t>Par ailleurs, le conseil stratégique devrait aider la Commission à fixer des orientations stratégiques et les grands objectifs d</w:t>
            </w:r>
            <w:r>
              <w:t>’</w:t>
            </w:r>
            <w:r w:rsidRPr="0019144F">
              <w:t>investissement. Il devrait également favoriser la coordination et la cohérence entre les plateformes régionales. Cela devrait garantir la complémentarité des différents instruments de l</w:t>
            </w:r>
            <w:r>
              <w:t>’</w:t>
            </w:r>
            <w:r w:rsidRPr="0019144F">
              <w:t>action extérieure. Le conseil stratégique devrait être coprésidé par la Commission et le haut représentant de l</w:t>
            </w:r>
            <w:r>
              <w:t>’</w:t>
            </w:r>
            <w:r w:rsidRPr="0019144F">
              <w:t>Union pour les affaires étrangères et la politique de sécurité afin de garantir la cohérence par rapport aux objectifs de la politique extérieure de l</w:t>
            </w:r>
            <w:r>
              <w:t>’</w:t>
            </w:r>
            <w:r w:rsidRPr="0019144F">
              <w:t>Union et à ses cadres de partenariat avec les pays tiers.</w:t>
            </w:r>
          </w:p>
        </w:tc>
        <w:tc>
          <w:tcPr>
            <w:tcW w:w="4876" w:type="dxa"/>
            <w:hideMark/>
          </w:tcPr>
          <w:p w14:paraId="3035081E" w14:textId="77777777" w:rsidR="00BF7ACA" w:rsidRPr="0019144F" w:rsidRDefault="00BF7ACA" w:rsidP="007924BE">
            <w:pPr>
              <w:pStyle w:val="Normal6"/>
              <w:rPr>
                <w:szCs w:val="24"/>
              </w:rPr>
            </w:pPr>
            <w:r w:rsidRPr="0019144F">
              <w:t>(8)</w:t>
            </w:r>
            <w:r>
              <w:tab/>
            </w:r>
            <w:r w:rsidRPr="0019144F">
              <w:t>Par ailleurs, le conseil stratégique devrait aider la Commission à fixer des orientations stratégiques et les grands objectifs d</w:t>
            </w:r>
            <w:r>
              <w:t>’</w:t>
            </w:r>
            <w:r w:rsidRPr="0019144F">
              <w:t>investissement. Il devrait également favoriser la coordination et la cohérence entre les plateformes régionales</w:t>
            </w:r>
            <w:r w:rsidRPr="0019144F">
              <w:rPr>
                <w:b/>
                <w:i/>
              </w:rPr>
              <w:t xml:space="preserve"> et respecter les engagements concernant la cohérence des politiques au service du développement</w:t>
            </w:r>
            <w:r w:rsidRPr="0019144F">
              <w:t>. Cela devrait garantir la complémentarité des différents instruments de l</w:t>
            </w:r>
            <w:r>
              <w:t>’</w:t>
            </w:r>
            <w:r w:rsidRPr="0019144F">
              <w:t>action extérieure. Le conseil stratégique devrait être coprésidé par la Commission et le haut représentant de l</w:t>
            </w:r>
            <w:r>
              <w:t>’</w:t>
            </w:r>
            <w:r w:rsidRPr="0019144F">
              <w:t>Union pour les affaires étrangères et la politique de sécurité afin de garantir la cohérence par rapport aux objectifs de la politique extérieure de l</w:t>
            </w:r>
            <w:r>
              <w:t>’</w:t>
            </w:r>
            <w:r w:rsidRPr="0019144F">
              <w:t>Union et à ses cadres de partenariat avec les pays tiers.</w:t>
            </w:r>
          </w:p>
        </w:tc>
      </w:tr>
    </w:tbl>
    <w:p w14:paraId="7C6A8052"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CC9BCF5" w14:textId="77777777" w:rsidR="00BF7ACA" w:rsidRPr="00BF7ACA" w:rsidRDefault="00BF7ACA" w:rsidP="00BF7ACA">
      <w:r w:rsidRPr="00BF7ACA">
        <w:rPr>
          <w:rStyle w:val="HideTWBExt"/>
        </w:rPr>
        <w:t>&lt;/Amend&gt;</w:t>
      </w:r>
    </w:p>
    <w:p w14:paraId="07083395"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134</w:t>
      </w:r>
      <w:r w:rsidRPr="00BF7ACA">
        <w:rPr>
          <w:rStyle w:val="HideTWBExt"/>
          <w:b w:val="0"/>
        </w:rPr>
        <w:t>&lt;/NumAm&gt;</w:t>
      </w:r>
    </w:p>
    <w:p w14:paraId="60AF94F9" w14:textId="77777777"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14:paraId="4AF2F6FD" w14:textId="77777777" w:rsidR="00BF7ACA" w:rsidRPr="00E502E5" w:rsidRDefault="00BF7ACA" w:rsidP="00BF7ACA">
      <w:r>
        <w:rPr>
          <w:rStyle w:val="HideTWBExt"/>
        </w:rPr>
        <w:t>&lt;/RepeatBlock-By&gt;</w:t>
      </w:r>
    </w:p>
    <w:p w14:paraId="65FA1C47" w14:textId="77777777"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14:paraId="471BBDDD" w14:textId="77777777" w:rsidR="00BF7ACA" w:rsidRPr="00E502E5" w:rsidRDefault="00BF7ACA" w:rsidP="00BF7ACA">
      <w:pPr>
        <w:pStyle w:val="NormalBold"/>
      </w:pPr>
      <w:r>
        <w:rPr>
          <w:rStyle w:val="HideTWBExt"/>
          <w:b w:val="0"/>
        </w:rPr>
        <w:t>&lt;Article&gt;</w:t>
      </w:r>
      <w:r w:rsidRPr="002E43F3">
        <w:t>Considérant 8</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1EEB058D" w14:textId="77777777" w:rsidTr="007924BE">
        <w:trPr>
          <w:jc w:val="center"/>
        </w:trPr>
        <w:tc>
          <w:tcPr>
            <w:tcW w:w="9752" w:type="dxa"/>
            <w:gridSpan w:val="2"/>
          </w:tcPr>
          <w:p w14:paraId="0E4F9A9C" w14:textId="77777777" w:rsidR="00BF7ACA" w:rsidRPr="00E502E5" w:rsidRDefault="00BF7ACA" w:rsidP="007924BE">
            <w:pPr>
              <w:keepNext/>
            </w:pPr>
          </w:p>
        </w:tc>
      </w:tr>
      <w:tr w:rsidR="00BF7ACA" w:rsidRPr="00E502E5" w14:paraId="4C8188B8" w14:textId="77777777" w:rsidTr="007924BE">
        <w:trPr>
          <w:jc w:val="center"/>
        </w:trPr>
        <w:tc>
          <w:tcPr>
            <w:tcW w:w="4876" w:type="dxa"/>
            <w:hideMark/>
          </w:tcPr>
          <w:p w14:paraId="3940B283" w14:textId="77777777" w:rsidR="00BF7ACA" w:rsidRPr="002E43F3" w:rsidRDefault="00BF7ACA" w:rsidP="007924BE">
            <w:pPr>
              <w:pStyle w:val="ColumnHeading"/>
              <w:keepNext/>
            </w:pPr>
            <w:r w:rsidRPr="002E43F3">
              <w:t>Texte proposé par la Commission</w:t>
            </w:r>
          </w:p>
        </w:tc>
        <w:tc>
          <w:tcPr>
            <w:tcW w:w="4876" w:type="dxa"/>
            <w:hideMark/>
          </w:tcPr>
          <w:p w14:paraId="020D1F97" w14:textId="77777777" w:rsidR="00BF7ACA" w:rsidRPr="002E43F3" w:rsidRDefault="00BF7ACA" w:rsidP="007924BE">
            <w:pPr>
              <w:pStyle w:val="ColumnHeading"/>
              <w:keepNext/>
            </w:pPr>
            <w:r w:rsidRPr="002E43F3">
              <w:t>Amendement</w:t>
            </w:r>
          </w:p>
        </w:tc>
      </w:tr>
      <w:tr w:rsidR="00BF7ACA" w:rsidRPr="00E502E5" w14:paraId="4A4FF904" w14:textId="77777777" w:rsidTr="007924BE">
        <w:trPr>
          <w:jc w:val="center"/>
        </w:trPr>
        <w:tc>
          <w:tcPr>
            <w:tcW w:w="4876" w:type="dxa"/>
            <w:hideMark/>
          </w:tcPr>
          <w:p w14:paraId="2066E2C6" w14:textId="77777777" w:rsidR="00BF7ACA" w:rsidRPr="002E43F3" w:rsidRDefault="00BF7ACA" w:rsidP="007924BE">
            <w:pPr>
              <w:pStyle w:val="Normal6"/>
            </w:pPr>
            <w:r w:rsidRPr="002E43F3">
              <w:t>(8)</w:t>
            </w:r>
            <w:r>
              <w:tab/>
            </w:r>
            <w:r w:rsidRPr="002E43F3">
              <w:t xml:space="preserve">Par ailleurs, le conseil stratégique </w:t>
            </w:r>
            <w:r w:rsidRPr="002E43F3">
              <w:rPr>
                <w:b/>
                <w:i/>
              </w:rPr>
              <w:t>devrait</w:t>
            </w:r>
            <w:r w:rsidRPr="002E43F3">
              <w:t xml:space="preserve"> aider la Commission à fixer des orientations stratégiques et les grands objectifs d</w:t>
            </w:r>
            <w:r>
              <w:t>’</w:t>
            </w:r>
            <w:r w:rsidRPr="002E43F3">
              <w:t>investissement. Il devrait également favoriser la coordination et la cohérence entre les plateformes régionales. Cela devrait garantir la complémentarité des différents instruments de l</w:t>
            </w:r>
            <w:r>
              <w:t>’</w:t>
            </w:r>
            <w:r w:rsidRPr="002E43F3">
              <w:t>action extérieure. Le conseil stratégique devrait être coprésidé par la Commission et le haut représentant de l</w:t>
            </w:r>
            <w:r>
              <w:t>’</w:t>
            </w:r>
            <w:r w:rsidRPr="002E43F3">
              <w:t>Union pour les affaires étrangères et la politique de sécurité afin de garantir la cohérence par rapport aux objectifs de la politique extérieure de l</w:t>
            </w:r>
            <w:r>
              <w:t>’</w:t>
            </w:r>
            <w:r w:rsidRPr="002E43F3">
              <w:t>Union et à ses cadres de partenariat avec les pays tiers.</w:t>
            </w:r>
          </w:p>
        </w:tc>
        <w:tc>
          <w:tcPr>
            <w:tcW w:w="4876" w:type="dxa"/>
            <w:hideMark/>
          </w:tcPr>
          <w:p w14:paraId="26168DF0" w14:textId="77777777" w:rsidR="00BF7ACA" w:rsidRPr="002E43F3" w:rsidRDefault="00BF7ACA" w:rsidP="007924BE">
            <w:pPr>
              <w:pStyle w:val="Normal6"/>
              <w:rPr>
                <w:szCs w:val="24"/>
              </w:rPr>
            </w:pPr>
            <w:r w:rsidRPr="002E43F3">
              <w:t>(8)</w:t>
            </w:r>
            <w:r>
              <w:tab/>
            </w:r>
            <w:r w:rsidRPr="002E43F3">
              <w:t xml:space="preserve">Par ailleurs, le conseil stratégique </w:t>
            </w:r>
            <w:r w:rsidRPr="002E43F3">
              <w:rPr>
                <w:b/>
                <w:i/>
              </w:rPr>
              <w:t>et le Parlement devraient</w:t>
            </w:r>
            <w:r w:rsidRPr="002E43F3">
              <w:t xml:space="preserve"> aider la Commission à fixer des orientations stratégiques et les grands objectifs d</w:t>
            </w:r>
            <w:r>
              <w:t>’</w:t>
            </w:r>
            <w:r w:rsidRPr="002E43F3">
              <w:t>investissement. Il devrait également favoriser la coordination et la cohérence entre les plateformes régionales. Cela devrait garantir la complémentarité des différents instruments de l</w:t>
            </w:r>
            <w:r>
              <w:t>’</w:t>
            </w:r>
            <w:r w:rsidRPr="002E43F3">
              <w:t>action extérieure. Le conseil stratégique devrait être coprésidé par la Commission et le haut représentant de l</w:t>
            </w:r>
            <w:r>
              <w:t>’</w:t>
            </w:r>
            <w:r w:rsidRPr="002E43F3">
              <w:t>Union pour les affaires étrangères et la politique de sécurité</w:t>
            </w:r>
            <w:r w:rsidRPr="002E43F3">
              <w:rPr>
                <w:b/>
                <w:i/>
              </w:rPr>
              <w:t xml:space="preserve"> et par le Parlement</w:t>
            </w:r>
            <w:r w:rsidRPr="002E43F3">
              <w:t xml:space="preserve"> afin de garantir la cohérence par rapport aux objectifs de la politique extérieure de l</w:t>
            </w:r>
            <w:r>
              <w:t>’</w:t>
            </w:r>
            <w:r w:rsidRPr="002E43F3">
              <w:t>Union et à ses cadres de partenariat avec les pays tiers.</w:t>
            </w:r>
          </w:p>
        </w:tc>
      </w:tr>
    </w:tbl>
    <w:p w14:paraId="7910FD92"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{IT}</w:t>
      </w:r>
      <w:r w:rsidRPr="00BF7ACA">
        <w:rPr>
          <w:noProof w:val="0"/>
        </w:rPr>
        <w:t>it</w:t>
      </w:r>
      <w:r w:rsidRPr="00BF7ACA">
        <w:rPr>
          <w:rStyle w:val="HideTWBExt"/>
          <w:noProof w:val="0"/>
        </w:rPr>
        <w:t>&lt;/Original&gt;</w:t>
      </w:r>
    </w:p>
    <w:p w14:paraId="1BDCB231" w14:textId="77777777" w:rsidR="00BF7ACA" w:rsidRPr="00BF7ACA" w:rsidRDefault="00BF7ACA" w:rsidP="00BF7ACA">
      <w:r w:rsidRPr="00BF7ACA">
        <w:rPr>
          <w:rStyle w:val="HideTWBExt"/>
        </w:rPr>
        <w:t>&lt;/Amend&gt;</w:t>
      </w:r>
    </w:p>
    <w:p w14:paraId="76DC2B49"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135</w:t>
      </w:r>
      <w:r w:rsidRPr="00BF7ACA">
        <w:rPr>
          <w:rStyle w:val="HideTWBExt"/>
          <w:b w:val="0"/>
        </w:rPr>
        <w:t>&lt;/NumAm&gt;</w:t>
      </w:r>
    </w:p>
    <w:p w14:paraId="77758A53" w14:textId="77777777" w:rsidR="00BF7ACA" w:rsidRPr="00BF7ACA" w:rsidRDefault="00BF7ACA" w:rsidP="00BF7ACA">
      <w:pPr>
        <w:pStyle w:val="NormalBold"/>
      </w:pPr>
      <w:r w:rsidRPr="00BF7ACA">
        <w:rPr>
          <w:rStyle w:val="HideTWBExt"/>
          <w:b w:val="0"/>
        </w:rPr>
        <w:t>&lt;RepeatBlock-By&gt;&lt;Members&gt;</w:t>
      </w:r>
      <w:r w:rsidRPr="00BF7ACA">
        <w:t>Fabio Massimo Castaldo, Ignazio Corrao, Marco Valli</w:t>
      </w:r>
      <w:r w:rsidRPr="00BF7ACA">
        <w:rPr>
          <w:rStyle w:val="HideTWBExt"/>
          <w:b w:val="0"/>
        </w:rPr>
        <w:t>&lt;/Members&gt;</w:t>
      </w:r>
    </w:p>
    <w:p w14:paraId="73488743" w14:textId="77777777" w:rsidR="00BF7ACA" w:rsidRPr="00BF7ACA" w:rsidRDefault="00BF7ACA" w:rsidP="00BF7ACA">
      <w:r w:rsidRPr="00BF7ACA">
        <w:rPr>
          <w:rStyle w:val="HideTWBExt"/>
        </w:rPr>
        <w:t>&lt;/RepeatBlock-By&gt;</w:t>
      </w:r>
    </w:p>
    <w:p w14:paraId="407A11F2" w14:textId="77777777" w:rsidR="00BF7ACA" w:rsidRPr="00BF7ACA" w:rsidRDefault="00BF7ACA" w:rsidP="00BF7ACA">
      <w:pPr>
        <w:pStyle w:val="NormalBold"/>
        <w:keepNext/>
      </w:pPr>
      <w:r w:rsidRPr="00BF7ACA">
        <w:rPr>
          <w:rStyle w:val="HideTWBExt"/>
          <w:b w:val="0"/>
        </w:rPr>
        <w:t>&lt;DocAmend&gt;</w:t>
      </w:r>
      <w:r w:rsidRPr="00BF7ACA">
        <w:t>Proposition de règlement</w:t>
      </w:r>
      <w:r w:rsidRPr="00BF7ACA">
        <w:rPr>
          <w:rStyle w:val="HideTWBExt"/>
          <w:b w:val="0"/>
        </w:rPr>
        <w:t>&lt;/DocAmend&gt;</w:t>
      </w:r>
    </w:p>
    <w:p w14:paraId="260F4D74" w14:textId="77777777" w:rsidR="00BF7ACA" w:rsidRPr="00E502E5" w:rsidRDefault="00BF7ACA" w:rsidP="00BF7ACA">
      <w:pPr>
        <w:pStyle w:val="NormalBold"/>
      </w:pPr>
      <w:r>
        <w:rPr>
          <w:rStyle w:val="HideTWBExt"/>
          <w:b w:val="0"/>
        </w:rPr>
        <w:t>&lt;Article&gt;</w:t>
      </w:r>
      <w:r w:rsidRPr="002E43F3">
        <w:t>Considérant 8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0EEC9F7A" w14:textId="77777777" w:rsidTr="007924BE">
        <w:trPr>
          <w:jc w:val="center"/>
        </w:trPr>
        <w:tc>
          <w:tcPr>
            <w:tcW w:w="9752" w:type="dxa"/>
            <w:gridSpan w:val="2"/>
          </w:tcPr>
          <w:p w14:paraId="341B1B21" w14:textId="77777777" w:rsidR="00BF7ACA" w:rsidRPr="00E502E5" w:rsidRDefault="00BF7ACA" w:rsidP="007924BE">
            <w:pPr>
              <w:keepNext/>
            </w:pPr>
          </w:p>
        </w:tc>
      </w:tr>
      <w:tr w:rsidR="00BF7ACA" w:rsidRPr="00E502E5" w14:paraId="52F94E50" w14:textId="77777777" w:rsidTr="007924BE">
        <w:trPr>
          <w:jc w:val="center"/>
        </w:trPr>
        <w:tc>
          <w:tcPr>
            <w:tcW w:w="4876" w:type="dxa"/>
            <w:hideMark/>
          </w:tcPr>
          <w:p w14:paraId="26AEC0AC" w14:textId="77777777" w:rsidR="00BF7ACA" w:rsidRPr="002E43F3" w:rsidRDefault="00BF7ACA" w:rsidP="007924BE">
            <w:pPr>
              <w:pStyle w:val="ColumnHeading"/>
              <w:keepNext/>
            </w:pPr>
            <w:r w:rsidRPr="002E43F3">
              <w:t>Texte proposé par la Commission</w:t>
            </w:r>
          </w:p>
        </w:tc>
        <w:tc>
          <w:tcPr>
            <w:tcW w:w="4876" w:type="dxa"/>
            <w:hideMark/>
          </w:tcPr>
          <w:p w14:paraId="1922468D" w14:textId="77777777" w:rsidR="00BF7ACA" w:rsidRPr="002E43F3" w:rsidRDefault="00BF7ACA" w:rsidP="007924BE">
            <w:pPr>
              <w:pStyle w:val="ColumnHeading"/>
              <w:keepNext/>
            </w:pPr>
            <w:r w:rsidRPr="002E43F3">
              <w:t>Amendement</w:t>
            </w:r>
          </w:p>
        </w:tc>
      </w:tr>
      <w:tr w:rsidR="00BF7ACA" w:rsidRPr="00E502E5" w14:paraId="0DE4F087" w14:textId="77777777" w:rsidTr="007924BE">
        <w:trPr>
          <w:jc w:val="center"/>
        </w:trPr>
        <w:tc>
          <w:tcPr>
            <w:tcW w:w="4876" w:type="dxa"/>
          </w:tcPr>
          <w:p w14:paraId="413E2AA7" w14:textId="77777777" w:rsidR="00BF7ACA" w:rsidRPr="002E43F3" w:rsidRDefault="00BF7ACA" w:rsidP="007924BE">
            <w:pPr>
              <w:pStyle w:val="Normal6"/>
            </w:pPr>
          </w:p>
        </w:tc>
        <w:tc>
          <w:tcPr>
            <w:tcW w:w="4876" w:type="dxa"/>
            <w:hideMark/>
          </w:tcPr>
          <w:p w14:paraId="08F72F79" w14:textId="77777777" w:rsidR="00BF7ACA" w:rsidRPr="002E43F3" w:rsidRDefault="00BF7ACA" w:rsidP="007924BE">
            <w:pPr>
              <w:pStyle w:val="Normal6"/>
              <w:rPr>
                <w:szCs w:val="24"/>
              </w:rPr>
            </w:pPr>
            <w:r w:rsidRPr="002E43F3">
              <w:rPr>
                <w:b/>
                <w:i/>
              </w:rPr>
              <w:t>(8 bis)</w:t>
            </w:r>
            <w:r>
              <w:tab/>
            </w:r>
            <w:r w:rsidRPr="002E43F3">
              <w:rPr>
                <w:b/>
                <w:i/>
              </w:rPr>
              <w:t>La garantie ne doit pas être utilisée pour le financement de grands projets d</w:t>
            </w:r>
            <w:r>
              <w:rPr>
                <w:b/>
                <w:i/>
              </w:rPr>
              <w:t>’</w:t>
            </w:r>
            <w:r w:rsidRPr="002E43F3">
              <w:rPr>
                <w:b/>
                <w:i/>
              </w:rPr>
              <w:t>infrastructure qui ont une faible incidence sur la création d</w:t>
            </w:r>
            <w:r>
              <w:rPr>
                <w:b/>
                <w:i/>
              </w:rPr>
              <w:t>’</w:t>
            </w:r>
            <w:r w:rsidRPr="002E43F3">
              <w:rPr>
                <w:b/>
                <w:i/>
              </w:rPr>
              <w:t>emplois et dont le rapport coût-avantages rend ces investissements non durables. La garantie devrait financer exclusivement des projets dont la réalisation ne suscite aucune controverse du point de vue environnemental, financier et social sur la base d</w:t>
            </w:r>
            <w:r>
              <w:rPr>
                <w:b/>
                <w:i/>
              </w:rPr>
              <w:t>’</w:t>
            </w:r>
            <w:r w:rsidRPr="002E43F3">
              <w:rPr>
                <w:b/>
                <w:i/>
              </w:rPr>
              <w:t>une évaluation approfondie ex ante et d</w:t>
            </w:r>
            <w:r>
              <w:rPr>
                <w:b/>
                <w:i/>
              </w:rPr>
              <w:t>’</w:t>
            </w:r>
            <w:r w:rsidRPr="002E43F3">
              <w:rPr>
                <w:b/>
                <w:i/>
              </w:rPr>
              <w:t>une analyse appropriée des coûts et des avantages.</w:t>
            </w:r>
          </w:p>
        </w:tc>
      </w:tr>
    </w:tbl>
    <w:p w14:paraId="22EC2E08"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{IT}</w:t>
      </w:r>
      <w:r w:rsidRPr="00BF7ACA">
        <w:rPr>
          <w:noProof w:val="0"/>
        </w:rPr>
        <w:t>it</w:t>
      </w:r>
      <w:r w:rsidRPr="00BF7ACA">
        <w:rPr>
          <w:rStyle w:val="HideTWBExt"/>
          <w:noProof w:val="0"/>
        </w:rPr>
        <w:t>&lt;/Original&gt;</w:t>
      </w:r>
    </w:p>
    <w:p w14:paraId="59AEAB37" w14:textId="77777777" w:rsidR="00BF7ACA" w:rsidRPr="00BF7ACA" w:rsidRDefault="00BF7ACA" w:rsidP="00BF7ACA">
      <w:r w:rsidRPr="00BF7ACA">
        <w:rPr>
          <w:rStyle w:val="HideTWBExt"/>
        </w:rPr>
        <w:t>&lt;/Amend&gt;</w:t>
      </w:r>
    </w:p>
    <w:p w14:paraId="5FFD9F2C"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136</w:t>
      </w:r>
      <w:r w:rsidRPr="00BF7ACA">
        <w:rPr>
          <w:rStyle w:val="HideTWBExt"/>
          <w:b w:val="0"/>
        </w:rPr>
        <w:t>&lt;/NumAm&gt;</w:t>
      </w:r>
    </w:p>
    <w:p w14:paraId="1FD04862" w14:textId="77777777"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14:paraId="14759293" w14:textId="77777777" w:rsidR="00BF7ACA" w:rsidRPr="005A5903" w:rsidRDefault="00BF7ACA" w:rsidP="00BF7ACA">
      <w:r>
        <w:rPr>
          <w:rStyle w:val="HideTWBExt"/>
        </w:rPr>
        <w:t>&lt;/RepeatBlock-By&gt;</w:t>
      </w:r>
    </w:p>
    <w:p w14:paraId="7D84C300"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6939E0A4" w14:textId="77777777" w:rsidR="00BF7ACA" w:rsidRPr="005A5903" w:rsidRDefault="00BF7ACA" w:rsidP="00BF7ACA">
      <w:pPr>
        <w:pStyle w:val="NormalBold"/>
      </w:pPr>
      <w:r>
        <w:rPr>
          <w:rStyle w:val="HideTWBExt"/>
          <w:b w:val="0"/>
        </w:rPr>
        <w:t>&lt;Article&gt;</w:t>
      </w:r>
      <w:r w:rsidRPr="0019144F">
        <w:t>Considérant 8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0296E6CD" w14:textId="77777777" w:rsidTr="007924BE">
        <w:trPr>
          <w:jc w:val="center"/>
        </w:trPr>
        <w:tc>
          <w:tcPr>
            <w:tcW w:w="9752" w:type="dxa"/>
            <w:gridSpan w:val="2"/>
          </w:tcPr>
          <w:p w14:paraId="6C6BE757" w14:textId="77777777" w:rsidR="00BF7ACA" w:rsidRPr="005A5903" w:rsidRDefault="00BF7ACA" w:rsidP="007924BE">
            <w:pPr>
              <w:keepNext/>
            </w:pPr>
          </w:p>
        </w:tc>
      </w:tr>
      <w:tr w:rsidR="00BF7ACA" w:rsidRPr="005A5903" w14:paraId="64403CCD" w14:textId="77777777" w:rsidTr="007924BE">
        <w:trPr>
          <w:jc w:val="center"/>
        </w:trPr>
        <w:tc>
          <w:tcPr>
            <w:tcW w:w="4876" w:type="dxa"/>
            <w:hideMark/>
          </w:tcPr>
          <w:p w14:paraId="7220F30D" w14:textId="77777777" w:rsidR="00BF7ACA" w:rsidRPr="0019144F" w:rsidRDefault="00BF7ACA" w:rsidP="007924BE">
            <w:pPr>
              <w:pStyle w:val="ColumnHeading"/>
              <w:keepNext/>
            </w:pPr>
            <w:r w:rsidRPr="0019144F">
              <w:t>Texte proposé par la Commission</w:t>
            </w:r>
          </w:p>
        </w:tc>
        <w:tc>
          <w:tcPr>
            <w:tcW w:w="4876" w:type="dxa"/>
            <w:hideMark/>
          </w:tcPr>
          <w:p w14:paraId="75193CD9" w14:textId="77777777" w:rsidR="00BF7ACA" w:rsidRPr="0019144F" w:rsidRDefault="00BF7ACA" w:rsidP="007924BE">
            <w:pPr>
              <w:pStyle w:val="ColumnHeading"/>
              <w:keepNext/>
            </w:pPr>
            <w:r w:rsidRPr="0019144F">
              <w:t>Amendement</w:t>
            </w:r>
          </w:p>
        </w:tc>
      </w:tr>
      <w:tr w:rsidR="00BF7ACA" w:rsidRPr="005A5903" w14:paraId="34F2ABEC" w14:textId="77777777" w:rsidTr="007924BE">
        <w:trPr>
          <w:jc w:val="center"/>
        </w:trPr>
        <w:tc>
          <w:tcPr>
            <w:tcW w:w="4876" w:type="dxa"/>
          </w:tcPr>
          <w:p w14:paraId="0F697AF0" w14:textId="77777777" w:rsidR="00BF7ACA" w:rsidRPr="0019144F" w:rsidRDefault="00BF7ACA" w:rsidP="007924BE">
            <w:pPr>
              <w:pStyle w:val="Normal6"/>
            </w:pPr>
          </w:p>
        </w:tc>
        <w:tc>
          <w:tcPr>
            <w:tcW w:w="4876" w:type="dxa"/>
            <w:hideMark/>
          </w:tcPr>
          <w:p w14:paraId="5C9E0355" w14:textId="77777777" w:rsidR="00BF7ACA" w:rsidRPr="0019144F" w:rsidRDefault="00BF7ACA" w:rsidP="007924BE">
            <w:pPr>
              <w:pStyle w:val="Normal6"/>
              <w:rPr>
                <w:szCs w:val="24"/>
              </w:rPr>
            </w:pPr>
            <w:r w:rsidRPr="0019144F">
              <w:rPr>
                <w:b/>
                <w:i/>
              </w:rPr>
              <w:t>(8 bis)</w:t>
            </w:r>
            <w:r>
              <w:tab/>
            </w:r>
            <w:r w:rsidRPr="0019144F">
              <w:rPr>
                <w:b/>
                <w:i/>
              </w:rPr>
              <w:t xml:space="preserve"> Les délégations de l</w:t>
            </w:r>
            <w:r>
              <w:rPr>
                <w:b/>
                <w:i/>
              </w:rPr>
              <w:t>’</w:t>
            </w:r>
            <w:r w:rsidRPr="0019144F">
              <w:rPr>
                <w:b/>
                <w:i/>
              </w:rPr>
              <w:t>Union européenne dans les pays partenaires devraient promouvoir l</w:t>
            </w:r>
            <w:r>
              <w:rPr>
                <w:b/>
                <w:i/>
              </w:rPr>
              <w:t>’</w:t>
            </w:r>
            <w:r w:rsidRPr="0019144F">
              <w:rPr>
                <w:b/>
                <w:i/>
              </w:rPr>
              <w:t>accès au FEDD, fournir activement des informations sur celui-ci, et renforcer la cohérence entre l</w:t>
            </w:r>
            <w:r>
              <w:rPr>
                <w:b/>
                <w:i/>
              </w:rPr>
              <w:t>’</w:t>
            </w:r>
            <w:r w:rsidRPr="0019144F">
              <w:rPr>
                <w:b/>
                <w:i/>
              </w:rPr>
              <w:t>utilisation de la garantie, l</w:t>
            </w:r>
            <w:r>
              <w:rPr>
                <w:b/>
                <w:i/>
              </w:rPr>
              <w:t>’</w:t>
            </w:r>
            <w:r w:rsidRPr="0019144F">
              <w:rPr>
                <w:b/>
                <w:i/>
              </w:rPr>
              <w:t>utilisation du financement mixte dans le cadre des plateformes régionales, l</w:t>
            </w:r>
            <w:r>
              <w:rPr>
                <w:b/>
                <w:i/>
              </w:rPr>
              <w:t>’</w:t>
            </w:r>
            <w:r w:rsidRPr="0019144F">
              <w:rPr>
                <w:b/>
                <w:i/>
              </w:rPr>
              <w:t>apport d</w:t>
            </w:r>
            <w:r>
              <w:rPr>
                <w:b/>
                <w:i/>
              </w:rPr>
              <w:t>’</w:t>
            </w:r>
            <w:r w:rsidRPr="0019144F">
              <w:rPr>
                <w:b/>
                <w:i/>
              </w:rPr>
              <w:t>une assistance technique ciblée améliorée et les dialogues stratégiques dans le pays où elles se trouvent.</w:t>
            </w:r>
          </w:p>
        </w:tc>
      </w:tr>
    </w:tbl>
    <w:p w14:paraId="5CBA409E"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04DDCF7" w14:textId="77777777" w:rsidR="00BF7ACA" w:rsidRPr="00BF7ACA" w:rsidRDefault="00BF7ACA" w:rsidP="00BF7ACA">
      <w:r w:rsidRPr="00BF7ACA">
        <w:rPr>
          <w:rStyle w:val="HideTWBExt"/>
        </w:rPr>
        <w:t>&lt;/Amend&gt;</w:t>
      </w:r>
    </w:p>
    <w:p w14:paraId="2C150039"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137</w:t>
      </w:r>
      <w:r w:rsidRPr="00BF7ACA">
        <w:rPr>
          <w:rStyle w:val="HideTWBExt"/>
          <w:b w:val="0"/>
        </w:rPr>
        <w:t>&lt;/NumAm&gt;</w:t>
      </w:r>
    </w:p>
    <w:p w14:paraId="3CB65DBA" w14:textId="77777777"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14:paraId="3B368C4D" w14:textId="77777777" w:rsidR="00BF7ACA" w:rsidRPr="005A5903" w:rsidRDefault="00BF7ACA" w:rsidP="00BF7ACA">
      <w:r>
        <w:rPr>
          <w:rStyle w:val="HideTWBExt"/>
        </w:rPr>
        <w:t>&lt;/RepeatBlock-By&gt;</w:t>
      </w:r>
    </w:p>
    <w:p w14:paraId="36B136BF"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478E0FE2" w14:textId="77777777" w:rsidR="00BF7ACA" w:rsidRPr="005A5903" w:rsidRDefault="00BF7ACA" w:rsidP="00BF7ACA">
      <w:pPr>
        <w:pStyle w:val="NormalBold"/>
      </w:pPr>
      <w:r>
        <w:rPr>
          <w:rStyle w:val="HideTWBExt"/>
          <w:b w:val="0"/>
        </w:rPr>
        <w:t>&lt;Article&gt;</w:t>
      </w:r>
      <w:r w:rsidRPr="0019144F">
        <w:t>Considérant 8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2ADC1221" w14:textId="77777777" w:rsidTr="007924BE">
        <w:trPr>
          <w:jc w:val="center"/>
        </w:trPr>
        <w:tc>
          <w:tcPr>
            <w:tcW w:w="9752" w:type="dxa"/>
            <w:gridSpan w:val="2"/>
          </w:tcPr>
          <w:p w14:paraId="30042A6B" w14:textId="77777777" w:rsidR="00BF7ACA" w:rsidRPr="005A5903" w:rsidRDefault="00BF7ACA" w:rsidP="007924BE">
            <w:pPr>
              <w:keepNext/>
            </w:pPr>
          </w:p>
        </w:tc>
      </w:tr>
      <w:tr w:rsidR="00BF7ACA" w:rsidRPr="005A5903" w14:paraId="413C70DE" w14:textId="77777777" w:rsidTr="007924BE">
        <w:trPr>
          <w:jc w:val="center"/>
        </w:trPr>
        <w:tc>
          <w:tcPr>
            <w:tcW w:w="4876" w:type="dxa"/>
            <w:hideMark/>
          </w:tcPr>
          <w:p w14:paraId="57B04BDC" w14:textId="77777777" w:rsidR="00BF7ACA" w:rsidRPr="0019144F" w:rsidRDefault="00BF7ACA" w:rsidP="007924BE">
            <w:pPr>
              <w:pStyle w:val="ColumnHeading"/>
              <w:keepNext/>
            </w:pPr>
            <w:r w:rsidRPr="0019144F">
              <w:t>Texte proposé par la Commission</w:t>
            </w:r>
          </w:p>
        </w:tc>
        <w:tc>
          <w:tcPr>
            <w:tcW w:w="4876" w:type="dxa"/>
            <w:hideMark/>
          </w:tcPr>
          <w:p w14:paraId="215B28E4" w14:textId="77777777" w:rsidR="00BF7ACA" w:rsidRPr="0019144F" w:rsidRDefault="00BF7ACA" w:rsidP="007924BE">
            <w:pPr>
              <w:pStyle w:val="ColumnHeading"/>
              <w:keepNext/>
            </w:pPr>
            <w:r w:rsidRPr="0019144F">
              <w:t>Amendement</w:t>
            </w:r>
          </w:p>
        </w:tc>
      </w:tr>
      <w:tr w:rsidR="00BF7ACA" w:rsidRPr="005A5903" w14:paraId="179A57B7" w14:textId="77777777" w:rsidTr="007924BE">
        <w:trPr>
          <w:jc w:val="center"/>
        </w:trPr>
        <w:tc>
          <w:tcPr>
            <w:tcW w:w="4876" w:type="dxa"/>
          </w:tcPr>
          <w:p w14:paraId="46C2DDC6" w14:textId="77777777" w:rsidR="00BF7ACA" w:rsidRPr="0019144F" w:rsidRDefault="00BF7ACA" w:rsidP="007924BE">
            <w:pPr>
              <w:pStyle w:val="Normal6"/>
            </w:pPr>
          </w:p>
        </w:tc>
        <w:tc>
          <w:tcPr>
            <w:tcW w:w="4876" w:type="dxa"/>
            <w:hideMark/>
          </w:tcPr>
          <w:p w14:paraId="3CC2C8B3" w14:textId="77777777" w:rsidR="00BF7ACA" w:rsidRPr="0019144F" w:rsidRDefault="00BF7ACA" w:rsidP="007924BE">
            <w:pPr>
              <w:pStyle w:val="Normal6"/>
              <w:rPr>
                <w:szCs w:val="24"/>
              </w:rPr>
            </w:pPr>
            <w:r w:rsidRPr="0019144F">
              <w:rPr>
                <w:b/>
                <w:i/>
              </w:rPr>
              <w:t>(8 bis)</w:t>
            </w:r>
            <w:r>
              <w:tab/>
            </w:r>
            <w:r w:rsidRPr="0019144F">
              <w:rPr>
                <w:b/>
                <w:i/>
              </w:rPr>
              <w:t>Le FEDD devrait lever les obstacles à l</w:t>
            </w:r>
            <w:r>
              <w:rPr>
                <w:b/>
                <w:i/>
              </w:rPr>
              <w:t>’</w:t>
            </w:r>
            <w:r w:rsidRPr="0019144F">
              <w:rPr>
                <w:b/>
                <w:i/>
              </w:rPr>
              <w:t>investissement privé et mobiliser des instruments innovants pour faciliter l</w:t>
            </w:r>
            <w:r>
              <w:rPr>
                <w:b/>
                <w:i/>
              </w:rPr>
              <w:t>’</w:t>
            </w:r>
            <w:r w:rsidRPr="0019144F">
              <w:rPr>
                <w:b/>
                <w:i/>
              </w:rPr>
              <w:t>accès aux financements offerts par les investisseurs nationaux et étrangers, notamment aux entreprises locales et européennes ainsi qu</w:t>
            </w:r>
            <w:r>
              <w:rPr>
                <w:b/>
                <w:i/>
              </w:rPr>
              <w:t>’</w:t>
            </w:r>
            <w:r w:rsidRPr="0019144F">
              <w:rPr>
                <w:b/>
                <w:i/>
              </w:rPr>
              <w:t>aux micro, petites et moyennes entreprises.</w:t>
            </w:r>
          </w:p>
        </w:tc>
      </w:tr>
    </w:tbl>
    <w:p w14:paraId="1723D56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4BECD06" w14:textId="77777777" w:rsidR="00BF7ACA" w:rsidRPr="00BF7ACA" w:rsidRDefault="00BF7ACA" w:rsidP="00BF7ACA">
      <w:r w:rsidRPr="00BF7ACA">
        <w:rPr>
          <w:rStyle w:val="HideTWBExt"/>
        </w:rPr>
        <w:t>&lt;/Amend&gt;</w:t>
      </w:r>
    </w:p>
    <w:p w14:paraId="68C7595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138</w:t>
      </w:r>
      <w:r w:rsidRPr="00BF7ACA">
        <w:rPr>
          <w:rStyle w:val="HideTWBExt"/>
          <w:b w:val="0"/>
        </w:rPr>
        <w:t>&lt;/NumAm&gt;</w:t>
      </w:r>
    </w:p>
    <w:p w14:paraId="42BABBB0" w14:textId="77777777" w:rsidR="00BF7ACA" w:rsidRPr="00BF7ACA" w:rsidRDefault="00BF7ACA" w:rsidP="00BF7ACA">
      <w:pPr>
        <w:pStyle w:val="NormalBold"/>
      </w:pPr>
      <w:r w:rsidRPr="00BF7ACA">
        <w:rPr>
          <w:rStyle w:val="HideTWBExt"/>
          <w:b w:val="0"/>
        </w:rPr>
        <w:t>&lt;RepeatBlock-By&gt;&lt;Members&gt;</w:t>
      </w:r>
      <w:r w:rsidRPr="00BF7ACA">
        <w:t>Maurice Ponga, Paul Rübig, Bogdan Brunon Wenta</w:t>
      </w:r>
      <w:r w:rsidRPr="00BF7ACA">
        <w:rPr>
          <w:rStyle w:val="HideTWBExt"/>
          <w:b w:val="0"/>
        </w:rPr>
        <w:t>&lt;/Members&gt;</w:t>
      </w:r>
    </w:p>
    <w:p w14:paraId="10BF366B" w14:textId="77777777" w:rsidR="00BF7ACA" w:rsidRPr="005A5903" w:rsidRDefault="00BF7ACA" w:rsidP="00BF7ACA">
      <w:r>
        <w:rPr>
          <w:rStyle w:val="HideTWBExt"/>
        </w:rPr>
        <w:t>&lt;/RepeatBlock-By&gt;</w:t>
      </w:r>
    </w:p>
    <w:p w14:paraId="1297546E"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528EC438" w14:textId="77777777" w:rsidR="00BF7ACA" w:rsidRPr="005A5903" w:rsidRDefault="00BF7ACA" w:rsidP="00BF7ACA">
      <w:pPr>
        <w:pStyle w:val="NormalBold"/>
      </w:pPr>
      <w:r>
        <w:rPr>
          <w:rStyle w:val="HideTWBExt"/>
          <w:b w:val="0"/>
        </w:rPr>
        <w:t>&lt;Article&gt;</w:t>
      </w:r>
      <w:r w:rsidRPr="0019144F">
        <w:t>Considérant 9</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1085C753" w14:textId="77777777" w:rsidTr="007924BE">
        <w:trPr>
          <w:jc w:val="center"/>
        </w:trPr>
        <w:tc>
          <w:tcPr>
            <w:tcW w:w="9752" w:type="dxa"/>
            <w:gridSpan w:val="2"/>
          </w:tcPr>
          <w:p w14:paraId="4A0A8464" w14:textId="77777777" w:rsidR="00BF7ACA" w:rsidRPr="005A5903" w:rsidRDefault="00BF7ACA" w:rsidP="007924BE">
            <w:pPr>
              <w:keepNext/>
            </w:pPr>
          </w:p>
        </w:tc>
      </w:tr>
      <w:tr w:rsidR="00BF7ACA" w:rsidRPr="005A5903" w14:paraId="56D8DECF" w14:textId="77777777" w:rsidTr="007924BE">
        <w:trPr>
          <w:jc w:val="center"/>
        </w:trPr>
        <w:tc>
          <w:tcPr>
            <w:tcW w:w="4876" w:type="dxa"/>
            <w:hideMark/>
          </w:tcPr>
          <w:p w14:paraId="773C6A34" w14:textId="77777777" w:rsidR="00BF7ACA" w:rsidRPr="0019144F" w:rsidRDefault="00BF7ACA" w:rsidP="007924BE">
            <w:pPr>
              <w:pStyle w:val="ColumnHeading"/>
              <w:keepNext/>
            </w:pPr>
            <w:r w:rsidRPr="0019144F">
              <w:t>Texte proposé par la Commission</w:t>
            </w:r>
          </w:p>
        </w:tc>
        <w:tc>
          <w:tcPr>
            <w:tcW w:w="4876" w:type="dxa"/>
            <w:hideMark/>
          </w:tcPr>
          <w:p w14:paraId="63C34FCA" w14:textId="77777777" w:rsidR="00BF7ACA" w:rsidRPr="0019144F" w:rsidRDefault="00BF7ACA" w:rsidP="007924BE">
            <w:pPr>
              <w:pStyle w:val="ColumnHeading"/>
              <w:keepNext/>
            </w:pPr>
            <w:r w:rsidRPr="0019144F">
              <w:t>Amendement</w:t>
            </w:r>
          </w:p>
        </w:tc>
      </w:tr>
      <w:tr w:rsidR="00BF7ACA" w:rsidRPr="005A5903" w14:paraId="07B580C8" w14:textId="77777777" w:rsidTr="007924BE">
        <w:trPr>
          <w:jc w:val="center"/>
        </w:trPr>
        <w:tc>
          <w:tcPr>
            <w:tcW w:w="4876" w:type="dxa"/>
            <w:hideMark/>
          </w:tcPr>
          <w:p w14:paraId="58E890A7" w14:textId="77777777" w:rsidR="00BF7ACA" w:rsidRPr="0019144F" w:rsidRDefault="00BF7ACA" w:rsidP="007924BE">
            <w:pPr>
              <w:pStyle w:val="Normal6"/>
            </w:pPr>
            <w:r w:rsidRPr="0019144F">
              <w:t>(9)</w:t>
            </w:r>
            <w:r>
              <w:tab/>
            </w:r>
            <w:r w:rsidRPr="0019144F">
              <w:t>La garantie FEDD devrait être accordée aux contreparties éligibles pour des opérations de financement et d</w:t>
            </w:r>
            <w:r>
              <w:t>’</w:t>
            </w:r>
            <w:r w:rsidRPr="0019144F">
              <w:t>investissement ou des instruments de garantie pour une période initiale d</w:t>
            </w:r>
            <w:r>
              <w:t>’</w:t>
            </w:r>
            <w:r w:rsidRPr="0019144F">
              <w:t>investissement allant jusqu</w:t>
            </w:r>
            <w:r>
              <w:t>’</w:t>
            </w:r>
            <w:r w:rsidRPr="0019144F">
              <w:t>au 31 décembre 2020.</w:t>
            </w:r>
          </w:p>
        </w:tc>
        <w:tc>
          <w:tcPr>
            <w:tcW w:w="4876" w:type="dxa"/>
            <w:hideMark/>
          </w:tcPr>
          <w:p w14:paraId="6D022E42" w14:textId="77777777" w:rsidR="00BF7ACA" w:rsidRPr="0019144F" w:rsidRDefault="00BF7ACA" w:rsidP="007924BE">
            <w:pPr>
              <w:pStyle w:val="Normal6"/>
              <w:rPr>
                <w:szCs w:val="24"/>
              </w:rPr>
            </w:pPr>
            <w:r w:rsidRPr="0019144F">
              <w:t>(9)</w:t>
            </w:r>
            <w:r>
              <w:tab/>
            </w:r>
            <w:r w:rsidRPr="0019144F">
              <w:t>La garantie FEDD devrait être accordée aux contreparties éligibles pour des opérations de financement et d</w:t>
            </w:r>
            <w:r>
              <w:t>’</w:t>
            </w:r>
            <w:r w:rsidRPr="0019144F">
              <w:t>investissement ou des instruments de garantie pour une période initiale d</w:t>
            </w:r>
            <w:r>
              <w:t>’</w:t>
            </w:r>
            <w:r w:rsidRPr="0019144F">
              <w:t>investissement allant jusqu</w:t>
            </w:r>
            <w:r>
              <w:t>’</w:t>
            </w:r>
            <w:r w:rsidRPr="0019144F">
              <w:t xml:space="preserve">au 31 décembre 2020. </w:t>
            </w:r>
            <w:r w:rsidRPr="0019144F">
              <w:rPr>
                <w:b/>
                <w:i/>
              </w:rPr>
              <w:t>La garantie FEDD est mise en œuvre, dans la mesure du possible, sous la direction d</w:t>
            </w:r>
            <w:r>
              <w:rPr>
                <w:b/>
                <w:i/>
              </w:rPr>
              <w:t>’</w:t>
            </w:r>
            <w:r w:rsidRPr="0019144F">
              <w:rPr>
                <w:b/>
                <w:i/>
              </w:rPr>
              <w:t>une contrepartie éligible européenne.</w:t>
            </w:r>
          </w:p>
        </w:tc>
      </w:tr>
    </w:tbl>
    <w:p w14:paraId="591A343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D52580E" w14:textId="77777777" w:rsidR="00BF7ACA" w:rsidRPr="00BF7ACA" w:rsidRDefault="00BF7ACA" w:rsidP="00BF7ACA">
      <w:r w:rsidRPr="00BF7ACA">
        <w:rPr>
          <w:rStyle w:val="HideTWBExt"/>
        </w:rPr>
        <w:t>&lt;/Amend&gt;</w:t>
      </w:r>
    </w:p>
    <w:p w14:paraId="253A57F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139</w:t>
      </w:r>
      <w:r w:rsidRPr="00BF7ACA">
        <w:rPr>
          <w:rStyle w:val="HideTWBExt"/>
          <w:b w:val="0"/>
        </w:rPr>
        <w:t>&lt;/NumAm&gt;</w:t>
      </w:r>
    </w:p>
    <w:p w14:paraId="4A4E08F5" w14:textId="77777777"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14:paraId="2EBA7180" w14:textId="77777777" w:rsidR="00BF7ACA" w:rsidRPr="005A5903" w:rsidRDefault="00BF7ACA" w:rsidP="00BF7ACA">
      <w:r>
        <w:rPr>
          <w:rStyle w:val="HideTWBExt"/>
        </w:rPr>
        <w:t>&lt;/RepeatBlock-By&gt;</w:t>
      </w:r>
    </w:p>
    <w:p w14:paraId="41A114D1"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5BA85D2E" w14:textId="77777777" w:rsidR="00BF7ACA" w:rsidRPr="005A5903" w:rsidRDefault="00BF7ACA" w:rsidP="00BF7ACA">
      <w:pPr>
        <w:pStyle w:val="NormalBold"/>
      </w:pPr>
      <w:r>
        <w:rPr>
          <w:rStyle w:val="HideTWBExt"/>
          <w:b w:val="0"/>
        </w:rPr>
        <w:t>&lt;Article&gt;</w:t>
      </w:r>
      <w:r w:rsidRPr="0019144F">
        <w:t>Considérant 9</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0A9D6CE2" w14:textId="77777777" w:rsidTr="007924BE">
        <w:trPr>
          <w:jc w:val="center"/>
        </w:trPr>
        <w:tc>
          <w:tcPr>
            <w:tcW w:w="9752" w:type="dxa"/>
            <w:gridSpan w:val="2"/>
          </w:tcPr>
          <w:p w14:paraId="650BA3F2" w14:textId="77777777" w:rsidR="00BF7ACA" w:rsidRPr="005A5903" w:rsidRDefault="00BF7ACA" w:rsidP="007924BE">
            <w:pPr>
              <w:keepNext/>
            </w:pPr>
          </w:p>
        </w:tc>
      </w:tr>
      <w:tr w:rsidR="00BF7ACA" w:rsidRPr="005A5903" w14:paraId="02868CAA" w14:textId="77777777" w:rsidTr="007924BE">
        <w:trPr>
          <w:jc w:val="center"/>
        </w:trPr>
        <w:tc>
          <w:tcPr>
            <w:tcW w:w="4876" w:type="dxa"/>
            <w:hideMark/>
          </w:tcPr>
          <w:p w14:paraId="5466D824" w14:textId="77777777" w:rsidR="00BF7ACA" w:rsidRPr="0019144F" w:rsidRDefault="00BF7ACA" w:rsidP="007924BE">
            <w:pPr>
              <w:pStyle w:val="ColumnHeading"/>
              <w:keepNext/>
            </w:pPr>
            <w:r w:rsidRPr="0019144F">
              <w:t>Texte proposé par la Commission</w:t>
            </w:r>
          </w:p>
        </w:tc>
        <w:tc>
          <w:tcPr>
            <w:tcW w:w="4876" w:type="dxa"/>
            <w:hideMark/>
          </w:tcPr>
          <w:p w14:paraId="087EC635" w14:textId="77777777" w:rsidR="00BF7ACA" w:rsidRPr="0019144F" w:rsidRDefault="00BF7ACA" w:rsidP="007924BE">
            <w:pPr>
              <w:pStyle w:val="ColumnHeading"/>
              <w:keepNext/>
            </w:pPr>
            <w:r w:rsidRPr="0019144F">
              <w:t>Amendement</w:t>
            </w:r>
          </w:p>
        </w:tc>
      </w:tr>
      <w:tr w:rsidR="00BF7ACA" w:rsidRPr="005A5903" w14:paraId="2E6BE7E8" w14:textId="77777777" w:rsidTr="007924BE">
        <w:trPr>
          <w:jc w:val="center"/>
        </w:trPr>
        <w:tc>
          <w:tcPr>
            <w:tcW w:w="4876" w:type="dxa"/>
            <w:hideMark/>
          </w:tcPr>
          <w:p w14:paraId="7ECF0C14" w14:textId="77777777" w:rsidR="00BF7ACA" w:rsidRPr="0019144F" w:rsidRDefault="00BF7ACA" w:rsidP="007924BE">
            <w:pPr>
              <w:pStyle w:val="Normal6"/>
            </w:pPr>
            <w:r w:rsidRPr="0019144F">
              <w:t>(9)</w:t>
            </w:r>
            <w:r>
              <w:tab/>
            </w:r>
            <w:r w:rsidRPr="0019144F">
              <w:t>La garantie FEDD devrait être accordée aux contreparties éligibles pour des opérations de financement et d</w:t>
            </w:r>
            <w:r>
              <w:t>’</w:t>
            </w:r>
            <w:r w:rsidRPr="0019144F">
              <w:t>investissement ou des instruments de garantie pour une période initiale d</w:t>
            </w:r>
            <w:r>
              <w:t>’</w:t>
            </w:r>
            <w:r w:rsidRPr="0019144F">
              <w:t>investissement allant jusqu</w:t>
            </w:r>
            <w:r>
              <w:t>’</w:t>
            </w:r>
            <w:r w:rsidRPr="0019144F">
              <w:t>au 31</w:t>
            </w:r>
            <w:r w:rsidRPr="0019144F">
              <w:rPr>
                <w:b/>
                <w:i/>
              </w:rPr>
              <w:t> </w:t>
            </w:r>
            <w:r w:rsidRPr="0019144F">
              <w:t>décembre 2020.</w:t>
            </w:r>
          </w:p>
        </w:tc>
        <w:tc>
          <w:tcPr>
            <w:tcW w:w="4876" w:type="dxa"/>
            <w:hideMark/>
          </w:tcPr>
          <w:p w14:paraId="680F4F8E" w14:textId="77777777" w:rsidR="00BF7ACA" w:rsidRPr="0019144F" w:rsidRDefault="00BF7ACA" w:rsidP="007924BE">
            <w:pPr>
              <w:pStyle w:val="Normal6"/>
              <w:rPr>
                <w:szCs w:val="24"/>
              </w:rPr>
            </w:pPr>
            <w:r w:rsidRPr="0019144F">
              <w:t>(9)</w:t>
            </w:r>
            <w:r>
              <w:tab/>
            </w:r>
            <w:r w:rsidRPr="0019144F">
              <w:t>La garantie FEDD devrait être accordée aux contreparties éligibles pour des opérations de financement et d</w:t>
            </w:r>
            <w:r>
              <w:t>’</w:t>
            </w:r>
            <w:r w:rsidRPr="0019144F">
              <w:t>investissement ou des instruments de garantie pour une période initiale d</w:t>
            </w:r>
            <w:r>
              <w:t>’</w:t>
            </w:r>
            <w:r w:rsidRPr="0019144F">
              <w:t>investissement allant jusqu</w:t>
            </w:r>
            <w:r>
              <w:t>’</w:t>
            </w:r>
            <w:r w:rsidRPr="0019144F">
              <w:t>au 31</w:t>
            </w:r>
            <w:r>
              <w:rPr>
                <w:b/>
                <w:i/>
              </w:rPr>
              <w:t> </w:t>
            </w:r>
            <w:r w:rsidRPr="0019144F">
              <w:t>décembre 2020</w:t>
            </w:r>
            <w:r w:rsidRPr="0019144F">
              <w:rPr>
                <w:b/>
                <w:i/>
              </w:rPr>
              <w:t>, qui pourrait être prolongée si nécessaire</w:t>
            </w:r>
            <w:r w:rsidRPr="0019144F">
              <w:t>.</w:t>
            </w:r>
          </w:p>
        </w:tc>
      </w:tr>
    </w:tbl>
    <w:p w14:paraId="7CAC89A4"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2295B08" w14:textId="77777777" w:rsidR="00BF7ACA" w:rsidRPr="00BF7ACA" w:rsidRDefault="00BF7ACA" w:rsidP="00BF7ACA">
      <w:r w:rsidRPr="00BF7ACA">
        <w:rPr>
          <w:rStyle w:val="HideTWBExt"/>
        </w:rPr>
        <w:t>&lt;/Amend&gt;</w:t>
      </w:r>
    </w:p>
    <w:p w14:paraId="7C5D15B6"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140</w:t>
      </w:r>
      <w:r w:rsidRPr="00BF7ACA">
        <w:rPr>
          <w:rStyle w:val="HideTWBExt"/>
          <w:b w:val="0"/>
        </w:rPr>
        <w:t>&lt;/NumAm&gt;</w:t>
      </w:r>
    </w:p>
    <w:p w14:paraId="1A16D26B" w14:textId="77777777" w:rsidR="00BF7ACA" w:rsidRPr="00BF7ACA" w:rsidRDefault="00BF7ACA" w:rsidP="00BF7ACA">
      <w:pPr>
        <w:pStyle w:val="NormalBold"/>
      </w:pPr>
      <w:r w:rsidRPr="00BF7ACA">
        <w:rPr>
          <w:rStyle w:val="HideTWBExt"/>
          <w:b w:val="0"/>
        </w:rPr>
        <w:t>&lt;RepeatBlock-By&gt;&lt;Members&gt;</w:t>
      </w:r>
      <w:r w:rsidRPr="00BF7ACA">
        <w:t>Maurice Ponga, Paul Rübig, Bogdan Brunon Wenta</w:t>
      </w:r>
      <w:r w:rsidRPr="00BF7ACA">
        <w:rPr>
          <w:rStyle w:val="HideTWBExt"/>
          <w:b w:val="0"/>
        </w:rPr>
        <w:t>&lt;/Members&gt;</w:t>
      </w:r>
    </w:p>
    <w:p w14:paraId="78930A8A" w14:textId="77777777" w:rsidR="00BF7ACA" w:rsidRPr="005A5903" w:rsidRDefault="00BF7ACA" w:rsidP="00BF7ACA">
      <w:r>
        <w:rPr>
          <w:rStyle w:val="HideTWBExt"/>
        </w:rPr>
        <w:t>&lt;/RepeatBlock-By&gt;</w:t>
      </w:r>
    </w:p>
    <w:p w14:paraId="3C084EC3"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25C267C8" w14:textId="77777777" w:rsidR="00BF7ACA" w:rsidRPr="005A5903" w:rsidRDefault="00BF7ACA" w:rsidP="00BF7ACA">
      <w:pPr>
        <w:pStyle w:val="NormalBold"/>
      </w:pPr>
      <w:r>
        <w:rPr>
          <w:rStyle w:val="HideTWBExt"/>
          <w:b w:val="0"/>
        </w:rPr>
        <w:t>&lt;Article&gt;</w:t>
      </w:r>
      <w:r w:rsidRPr="0019144F">
        <w:t>Considérant 9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57463CCD" w14:textId="77777777" w:rsidTr="007924BE">
        <w:trPr>
          <w:jc w:val="center"/>
        </w:trPr>
        <w:tc>
          <w:tcPr>
            <w:tcW w:w="9752" w:type="dxa"/>
            <w:gridSpan w:val="2"/>
          </w:tcPr>
          <w:p w14:paraId="2E142E70" w14:textId="77777777" w:rsidR="00BF7ACA" w:rsidRPr="005A5903" w:rsidRDefault="00BF7ACA" w:rsidP="007924BE">
            <w:pPr>
              <w:keepNext/>
            </w:pPr>
          </w:p>
        </w:tc>
      </w:tr>
      <w:tr w:rsidR="00BF7ACA" w:rsidRPr="005A5903" w14:paraId="06AF8338" w14:textId="77777777" w:rsidTr="007924BE">
        <w:trPr>
          <w:jc w:val="center"/>
        </w:trPr>
        <w:tc>
          <w:tcPr>
            <w:tcW w:w="4876" w:type="dxa"/>
            <w:hideMark/>
          </w:tcPr>
          <w:p w14:paraId="3C977491" w14:textId="77777777" w:rsidR="00BF7ACA" w:rsidRPr="0019144F" w:rsidRDefault="00BF7ACA" w:rsidP="007924BE">
            <w:pPr>
              <w:pStyle w:val="ColumnHeading"/>
              <w:keepNext/>
            </w:pPr>
            <w:r w:rsidRPr="0019144F">
              <w:t>Texte proposé par la Commission</w:t>
            </w:r>
          </w:p>
        </w:tc>
        <w:tc>
          <w:tcPr>
            <w:tcW w:w="4876" w:type="dxa"/>
            <w:hideMark/>
          </w:tcPr>
          <w:p w14:paraId="195FAE54" w14:textId="77777777" w:rsidR="00BF7ACA" w:rsidRPr="0019144F" w:rsidRDefault="00BF7ACA" w:rsidP="007924BE">
            <w:pPr>
              <w:pStyle w:val="ColumnHeading"/>
              <w:keepNext/>
            </w:pPr>
            <w:r w:rsidRPr="0019144F">
              <w:t>Amendement</w:t>
            </w:r>
          </w:p>
        </w:tc>
      </w:tr>
      <w:tr w:rsidR="00BF7ACA" w:rsidRPr="005A5903" w14:paraId="07C4A449" w14:textId="77777777" w:rsidTr="007924BE">
        <w:trPr>
          <w:jc w:val="center"/>
        </w:trPr>
        <w:tc>
          <w:tcPr>
            <w:tcW w:w="4876" w:type="dxa"/>
          </w:tcPr>
          <w:p w14:paraId="16499F63" w14:textId="77777777" w:rsidR="00BF7ACA" w:rsidRPr="0019144F" w:rsidRDefault="00BF7ACA" w:rsidP="007924BE">
            <w:pPr>
              <w:pStyle w:val="Normal6"/>
            </w:pPr>
          </w:p>
        </w:tc>
        <w:tc>
          <w:tcPr>
            <w:tcW w:w="4876" w:type="dxa"/>
            <w:hideMark/>
          </w:tcPr>
          <w:p w14:paraId="21745A9B" w14:textId="77777777" w:rsidR="00BF7ACA" w:rsidRPr="0019144F" w:rsidRDefault="00BF7ACA" w:rsidP="007924BE">
            <w:pPr>
              <w:pStyle w:val="Normal6"/>
              <w:rPr>
                <w:szCs w:val="24"/>
              </w:rPr>
            </w:pPr>
            <w:r w:rsidRPr="0019144F">
              <w:rPr>
                <w:b/>
                <w:i/>
              </w:rPr>
              <w:t>(9 bis)</w:t>
            </w:r>
            <w:r>
              <w:tab/>
            </w:r>
            <w:r w:rsidRPr="0019144F">
              <w:rPr>
                <w:b/>
                <w:i/>
              </w:rPr>
              <w:t>La Commission devrait encourager les contreparties européennes éligibles à aider la BEI dans la gestion de la garantie FEDD en participant à un groupe de travail technique.</w:t>
            </w:r>
          </w:p>
        </w:tc>
      </w:tr>
    </w:tbl>
    <w:p w14:paraId="1DDF2BEF" w14:textId="77777777" w:rsidR="00BF7ACA" w:rsidRPr="00627C55" w:rsidRDefault="00BF7ACA" w:rsidP="00BF7ACA">
      <w:pPr>
        <w:pStyle w:val="Olang"/>
        <w:rPr>
          <w:noProof w:val="0"/>
          <w:szCs w:val="24"/>
          <w:lang w:val="en-GB"/>
        </w:rPr>
      </w:pPr>
      <w:r w:rsidRPr="00627C55">
        <w:rPr>
          <w:noProof w:val="0"/>
          <w:lang w:val="en-GB"/>
        </w:rPr>
        <w:t xml:space="preserve">Or. </w:t>
      </w:r>
      <w:r w:rsidRPr="00627C55">
        <w:rPr>
          <w:rStyle w:val="HideTWBExt"/>
          <w:noProof w:val="0"/>
          <w:lang w:val="en-GB"/>
        </w:rPr>
        <w:t>&lt;Original&gt;</w:t>
      </w:r>
      <w:r w:rsidRPr="00627C55">
        <w:rPr>
          <w:rStyle w:val="HideTWBInt"/>
          <w:noProof w:val="0"/>
          <w:lang w:val="en-GB"/>
        </w:rPr>
        <w:t>{EN}</w:t>
      </w:r>
      <w:r w:rsidRPr="00627C55">
        <w:rPr>
          <w:noProof w:val="0"/>
          <w:lang w:val="en-GB"/>
        </w:rPr>
        <w:t>en</w:t>
      </w:r>
      <w:r w:rsidRPr="00627C55">
        <w:rPr>
          <w:rStyle w:val="HideTWBExt"/>
          <w:noProof w:val="0"/>
          <w:lang w:val="en-GB"/>
        </w:rPr>
        <w:t>&lt;/Original&gt;</w:t>
      </w:r>
    </w:p>
    <w:p w14:paraId="15A53822" w14:textId="77777777" w:rsidR="00BF7ACA" w:rsidRPr="00627C55" w:rsidRDefault="00BF7ACA" w:rsidP="00BF7ACA">
      <w:pPr>
        <w:rPr>
          <w:lang w:val="en-GB"/>
        </w:rPr>
      </w:pPr>
      <w:r w:rsidRPr="00627C55">
        <w:rPr>
          <w:rStyle w:val="HideTWBExt"/>
          <w:lang w:val="en-GB"/>
        </w:rPr>
        <w:t>&lt;/Amend&gt;</w:t>
      </w:r>
    </w:p>
    <w:p w14:paraId="1E38401A" w14:textId="77777777"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141</w:t>
      </w:r>
      <w:r w:rsidRPr="000C3237">
        <w:rPr>
          <w:rStyle w:val="HideTWBExt"/>
          <w:b w:val="0"/>
          <w:lang w:val="en-GB"/>
        </w:rPr>
        <w:t>&lt;/NumAm&gt;</w:t>
      </w:r>
    </w:p>
    <w:p w14:paraId="6EFFF4A4" w14:textId="77777777"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Fabio Massimo Castaldo, Ignazio Corrao, Marco Valli</w:t>
      </w:r>
      <w:r w:rsidRPr="000C3237">
        <w:rPr>
          <w:rStyle w:val="HideTWBExt"/>
          <w:b w:val="0"/>
          <w:lang w:val="en-GB"/>
        </w:rPr>
        <w:t>&lt;/Members&gt;</w:t>
      </w:r>
    </w:p>
    <w:p w14:paraId="6C59378E" w14:textId="77777777" w:rsidR="00BF7ACA" w:rsidRPr="000C3237" w:rsidRDefault="00BF7ACA" w:rsidP="00BF7ACA">
      <w:pPr>
        <w:rPr>
          <w:lang w:val="en-GB"/>
        </w:rPr>
      </w:pPr>
      <w:r w:rsidRPr="000C3237">
        <w:rPr>
          <w:rStyle w:val="HideTWBExt"/>
          <w:lang w:val="en-GB"/>
        </w:rPr>
        <w:t>&lt;/RepeatBlock-By&gt;</w:t>
      </w:r>
    </w:p>
    <w:p w14:paraId="35B525B8" w14:textId="77777777" w:rsidR="00BF7ACA" w:rsidRPr="000C3237" w:rsidRDefault="00BF7ACA" w:rsidP="00BF7ACA">
      <w:pPr>
        <w:pStyle w:val="NormalBold"/>
        <w:keepNext/>
        <w:rPr>
          <w:lang w:val="en-GB"/>
        </w:rPr>
      </w:pPr>
      <w:r w:rsidRPr="000C3237">
        <w:rPr>
          <w:rStyle w:val="HideTWBExt"/>
          <w:b w:val="0"/>
          <w:lang w:val="en-GB"/>
        </w:rPr>
        <w:t>&lt;DocAmend&gt;</w:t>
      </w:r>
      <w:r w:rsidRPr="000C3237">
        <w:rPr>
          <w:lang w:val="en-GB"/>
        </w:rPr>
        <w:t>Proposition de règlement</w:t>
      </w:r>
      <w:r w:rsidRPr="000C3237">
        <w:rPr>
          <w:rStyle w:val="HideTWBExt"/>
          <w:b w:val="0"/>
          <w:lang w:val="en-GB"/>
        </w:rPr>
        <w:t>&lt;/DocAmend&gt;</w:t>
      </w:r>
    </w:p>
    <w:p w14:paraId="0174C350" w14:textId="77777777" w:rsidR="00BF7ACA" w:rsidRPr="00E502E5" w:rsidRDefault="00BF7ACA" w:rsidP="00BF7ACA">
      <w:pPr>
        <w:pStyle w:val="NormalBold"/>
      </w:pPr>
      <w:r>
        <w:rPr>
          <w:rStyle w:val="HideTWBExt"/>
          <w:b w:val="0"/>
        </w:rPr>
        <w:t>&lt;Article&gt;</w:t>
      </w:r>
      <w:r w:rsidRPr="002E43F3">
        <w:t>Considérant 10</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720034C3" w14:textId="77777777" w:rsidTr="007924BE">
        <w:trPr>
          <w:jc w:val="center"/>
        </w:trPr>
        <w:tc>
          <w:tcPr>
            <w:tcW w:w="9752" w:type="dxa"/>
            <w:gridSpan w:val="2"/>
          </w:tcPr>
          <w:p w14:paraId="777581C4" w14:textId="77777777" w:rsidR="00BF7ACA" w:rsidRPr="00E502E5" w:rsidRDefault="00BF7ACA" w:rsidP="007924BE">
            <w:pPr>
              <w:keepNext/>
            </w:pPr>
          </w:p>
        </w:tc>
      </w:tr>
      <w:tr w:rsidR="00BF7ACA" w:rsidRPr="00E502E5" w14:paraId="5D54B1DF" w14:textId="77777777" w:rsidTr="007924BE">
        <w:trPr>
          <w:jc w:val="center"/>
        </w:trPr>
        <w:tc>
          <w:tcPr>
            <w:tcW w:w="4876" w:type="dxa"/>
            <w:hideMark/>
          </w:tcPr>
          <w:p w14:paraId="0CF50C43" w14:textId="77777777" w:rsidR="00BF7ACA" w:rsidRPr="002E43F3" w:rsidRDefault="00BF7ACA" w:rsidP="007924BE">
            <w:pPr>
              <w:pStyle w:val="ColumnHeading"/>
              <w:keepNext/>
            </w:pPr>
            <w:r w:rsidRPr="002E43F3">
              <w:t>Texte proposé par la Commission</w:t>
            </w:r>
          </w:p>
        </w:tc>
        <w:tc>
          <w:tcPr>
            <w:tcW w:w="4876" w:type="dxa"/>
            <w:hideMark/>
          </w:tcPr>
          <w:p w14:paraId="2FE41DB7" w14:textId="77777777" w:rsidR="00BF7ACA" w:rsidRPr="002E43F3" w:rsidRDefault="00BF7ACA" w:rsidP="007924BE">
            <w:pPr>
              <w:pStyle w:val="ColumnHeading"/>
              <w:keepNext/>
            </w:pPr>
            <w:r w:rsidRPr="002E43F3">
              <w:t>Amendement</w:t>
            </w:r>
          </w:p>
        </w:tc>
      </w:tr>
      <w:tr w:rsidR="00BF7ACA" w:rsidRPr="00E502E5" w14:paraId="133C3884" w14:textId="77777777" w:rsidTr="007924BE">
        <w:trPr>
          <w:jc w:val="center"/>
        </w:trPr>
        <w:tc>
          <w:tcPr>
            <w:tcW w:w="4876" w:type="dxa"/>
            <w:hideMark/>
          </w:tcPr>
          <w:p w14:paraId="1538A14A" w14:textId="77777777" w:rsidR="00BF7ACA" w:rsidRPr="002E43F3" w:rsidRDefault="00BF7ACA" w:rsidP="007924BE">
            <w:pPr>
              <w:pStyle w:val="Normal6"/>
            </w:pPr>
            <w:r w:rsidRPr="002E43F3">
              <w:rPr>
                <w:b/>
                <w:i/>
              </w:rPr>
              <w:t>(10)</w:t>
            </w:r>
            <w:r>
              <w:tab/>
            </w:r>
            <w:r>
              <w:rPr>
                <w:b/>
                <w:i/>
              </w:rPr>
              <w:t>Afin d’offrir une certaine souplesse, d’accroître l’attractivité pour le secteur privé et de maximiser l’effet des investissements, il convient de prévoir une dérogation aux dispositions de l’article 58, paragraphe 1, point c) vii), du règlement (UE, Euratom) nº 966/2012 du Parlement européen et du Conseil</w:t>
            </w:r>
            <w:r w:rsidRPr="002E43F3">
              <w:rPr>
                <w:b/>
                <w:i/>
                <w:vertAlign w:val="superscript"/>
              </w:rPr>
              <w:t>24</w:t>
            </w:r>
            <w:r>
              <w:rPr>
                <w:b/>
                <w:i/>
              </w:rPr>
              <w:t xml:space="preserve"> en vertu de laquelle les contreparties éligibles qui sont des organismes de droit privé pourraient également être des organismes qui ne sont pas chargés de la mise en œuvre d’un partenariat public-privé ainsi que des organismes de droit privé d’un pays partenaire.</w:t>
            </w:r>
          </w:p>
        </w:tc>
        <w:tc>
          <w:tcPr>
            <w:tcW w:w="4876" w:type="dxa"/>
            <w:hideMark/>
          </w:tcPr>
          <w:p w14:paraId="38904F3A" w14:textId="77777777" w:rsidR="00BF7ACA" w:rsidRPr="002E43F3" w:rsidRDefault="00BF7ACA" w:rsidP="007924BE">
            <w:pPr>
              <w:pStyle w:val="Normal6"/>
              <w:rPr>
                <w:szCs w:val="24"/>
              </w:rPr>
            </w:pPr>
            <w:r w:rsidRPr="002E43F3">
              <w:rPr>
                <w:b/>
                <w:i/>
              </w:rPr>
              <w:t>supprimé</w:t>
            </w:r>
          </w:p>
        </w:tc>
      </w:tr>
      <w:tr w:rsidR="00BF7ACA" w:rsidRPr="00E502E5" w14:paraId="4C4CEA8D" w14:textId="77777777" w:rsidTr="007924BE">
        <w:trPr>
          <w:jc w:val="center"/>
        </w:trPr>
        <w:tc>
          <w:tcPr>
            <w:tcW w:w="4876" w:type="dxa"/>
            <w:hideMark/>
          </w:tcPr>
          <w:p w14:paraId="0850EEA2" w14:textId="77777777" w:rsidR="00BF7ACA" w:rsidRPr="002E43F3" w:rsidRDefault="00BF7ACA" w:rsidP="007924BE">
            <w:pPr>
              <w:pStyle w:val="Normal6"/>
            </w:pPr>
            <w:r w:rsidRPr="002E43F3">
              <w:rPr>
                <w:b/>
                <w:i/>
              </w:rPr>
              <w:t>__________________</w:t>
            </w:r>
          </w:p>
        </w:tc>
        <w:tc>
          <w:tcPr>
            <w:tcW w:w="4876" w:type="dxa"/>
          </w:tcPr>
          <w:p w14:paraId="23DF65B1" w14:textId="77777777" w:rsidR="00BF7ACA" w:rsidRPr="002E43F3" w:rsidRDefault="00BF7ACA" w:rsidP="007924BE">
            <w:pPr>
              <w:pStyle w:val="Normal6"/>
              <w:rPr>
                <w:szCs w:val="24"/>
              </w:rPr>
            </w:pPr>
          </w:p>
        </w:tc>
      </w:tr>
      <w:tr w:rsidR="00BF7ACA" w:rsidRPr="00E502E5" w14:paraId="373958E1" w14:textId="77777777" w:rsidTr="007924BE">
        <w:trPr>
          <w:jc w:val="center"/>
        </w:trPr>
        <w:tc>
          <w:tcPr>
            <w:tcW w:w="4876" w:type="dxa"/>
            <w:hideMark/>
          </w:tcPr>
          <w:p w14:paraId="3DCF065A" w14:textId="77777777" w:rsidR="00BF7ACA" w:rsidRPr="002E43F3" w:rsidRDefault="00BF7ACA" w:rsidP="007924BE">
            <w:pPr>
              <w:pStyle w:val="Normal6"/>
            </w:pPr>
            <w:r>
              <w:rPr>
                <w:b/>
                <w:i/>
                <w:vertAlign w:val="superscript"/>
              </w:rPr>
              <w:t>24</w:t>
            </w:r>
            <w:r w:rsidRPr="002E43F3">
              <w:rPr>
                <w:b/>
                <w:i/>
              </w:rPr>
              <w:t xml:space="preserve"> Règlement (UE, Euratom) nº 966/2012 du Parlement européen et du Conseil du 25 octobre 2012 relatif aux règles financières applicables au budget général de l</w:t>
            </w:r>
            <w:r>
              <w:rPr>
                <w:b/>
                <w:i/>
              </w:rPr>
              <w:t>’</w:t>
            </w:r>
            <w:r w:rsidRPr="002E43F3">
              <w:rPr>
                <w:b/>
                <w:i/>
              </w:rPr>
              <w:t>Union et abrogeant le règlement (CE, Euratom) nº 1605/2002 du Conseil (JO L 298 du 26.10.2012, p. 1).</w:t>
            </w:r>
          </w:p>
        </w:tc>
        <w:tc>
          <w:tcPr>
            <w:tcW w:w="4876" w:type="dxa"/>
          </w:tcPr>
          <w:p w14:paraId="4A339073" w14:textId="77777777" w:rsidR="00BF7ACA" w:rsidRPr="002E43F3" w:rsidRDefault="00BF7ACA" w:rsidP="007924BE">
            <w:pPr>
              <w:pStyle w:val="Normal6"/>
              <w:rPr>
                <w:szCs w:val="24"/>
              </w:rPr>
            </w:pPr>
          </w:p>
        </w:tc>
      </w:tr>
    </w:tbl>
    <w:p w14:paraId="2E13860F" w14:textId="77777777"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&lt;Original&gt;</w:t>
      </w:r>
      <w:r w:rsidRPr="000C3237">
        <w:rPr>
          <w:rStyle w:val="HideTWBInt"/>
          <w:noProof w:val="0"/>
          <w:lang w:val="en-GB"/>
        </w:rPr>
        <w:t>{IT}</w:t>
      </w:r>
      <w:r w:rsidRPr="000C3237">
        <w:rPr>
          <w:noProof w:val="0"/>
          <w:lang w:val="en-GB"/>
        </w:rPr>
        <w:t>it</w:t>
      </w:r>
      <w:r w:rsidRPr="000C3237">
        <w:rPr>
          <w:rStyle w:val="HideTWBExt"/>
          <w:noProof w:val="0"/>
          <w:lang w:val="en-GB"/>
        </w:rPr>
        <w:t>&lt;/Original&gt;</w:t>
      </w:r>
    </w:p>
    <w:p w14:paraId="3E0AAA84" w14:textId="77777777" w:rsidR="00BF7ACA" w:rsidRPr="000C3237" w:rsidRDefault="00BF7ACA" w:rsidP="00BF7ACA">
      <w:pPr>
        <w:rPr>
          <w:lang w:val="en-GB"/>
        </w:rPr>
      </w:pPr>
      <w:r w:rsidRPr="000C3237">
        <w:rPr>
          <w:rStyle w:val="HideTWBExt"/>
          <w:lang w:val="en-GB"/>
        </w:rPr>
        <w:t>&lt;/Amend&gt;</w:t>
      </w:r>
    </w:p>
    <w:p w14:paraId="2D270892" w14:textId="77777777"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142</w:t>
      </w:r>
      <w:r w:rsidRPr="00627C55">
        <w:rPr>
          <w:rStyle w:val="HideTWBExt"/>
          <w:b w:val="0"/>
          <w:lang w:val="en-GB"/>
        </w:rPr>
        <w:t>&lt;/NumAm&gt;</w:t>
      </w:r>
    </w:p>
    <w:p w14:paraId="4D8085A8" w14:textId="77777777"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Sabine Lösing</w:t>
      </w:r>
      <w:r w:rsidRPr="00627C55">
        <w:rPr>
          <w:rStyle w:val="HideTWBExt"/>
          <w:b w:val="0"/>
          <w:lang w:val="en-GB"/>
        </w:rPr>
        <w:t>&lt;/Members&gt;</w:t>
      </w:r>
    </w:p>
    <w:p w14:paraId="569455D9" w14:textId="77777777" w:rsidR="00BF7ACA" w:rsidRPr="00BF7ACA" w:rsidRDefault="00BF7ACA" w:rsidP="00BF7ACA">
      <w:pPr>
        <w:rPr>
          <w:lang w:val="en-GB"/>
        </w:rPr>
      </w:pPr>
      <w:r w:rsidRPr="00BF7ACA">
        <w:rPr>
          <w:rStyle w:val="HideTWBExt"/>
          <w:lang w:val="en-GB"/>
        </w:rPr>
        <w:t>&lt;/RepeatBlock-By&gt;</w:t>
      </w:r>
    </w:p>
    <w:p w14:paraId="13AE3B2E"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1E2102EB" w14:textId="77777777" w:rsidR="00BF7ACA" w:rsidRPr="005A5903" w:rsidRDefault="00BF7ACA" w:rsidP="00BF7ACA">
      <w:pPr>
        <w:pStyle w:val="NormalBold"/>
      </w:pPr>
      <w:r>
        <w:rPr>
          <w:rStyle w:val="HideTWBExt"/>
          <w:b w:val="0"/>
        </w:rPr>
        <w:t>&lt;Article&gt;</w:t>
      </w:r>
      <w:r w:rsidRPr="0019144F">
        <w:t>Considérant 10</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1F340DCC" w14:textId="77777777" w:rsidTr="007924BE">
        <w:trPr>
          <w:jc w:val="center"/>
        </w:trPr>
        <w:tc>
          <w:tcPr>
            <w:tcW w:w="9752" w:type="dxa"/>
            <w:gridSpan w:val="2"/>
          </w:tcPr>
          <w:p w14:paraId="7379B57A" w14:textId="77777777" w:rsidR="00BF7ACA" w:rsidRPr="005A5903" w:rsidRDefault="00BF7ACA" w:rsidP="007924BE">
            <w:pPr>
              <w:keepNext/>
            </w:pPr>
          </w:p>
        </w:tc>
      </w:tr>
      <w:tr w:rsidR="00BF7ACA" w:rsidRPr="005A5903" w14:paraId="7711F6C6" w14:textId="77777777" w:rsidTr="007924BE">
        <w:trPr>
          <w:jc w:val="center"/>
        </w:trPr>
        <w:tc>
          <w:tcPr>
            <w:tcW w:w="4876" w:type="dxa"/>
            <w:hideMark/>
          </w:tcPr>
          <w:p w14:paraId="2B0203FB" w14:textId="77777777" w:rsidR="00BF7ACA" w:rsidRPr="0019144F" w:rsidRDefault="00BF7ACA" w:rsidP="007924BE">
            <w:pPr>
              <w:pStyle w:val="ColumnHeading"/>
              <w:keepNext/>
            </w:pPr>
            <w:r w:rsidRPr="0019144F">
              <w:t>Texte proposé par la Commission</w:t>
            </w:r>
          </w:p>
        </w:tc>
        <w:tc>
          <w:tcPr>
            <w:tcW w:w="4876" w:type="dxa"/>
            <w:hideMark/>
          </w:tcPr>
          <w:p w14:paraId="075F88DB" w14:textId="77777777" w:rsidR="00BF7ACA" w:rsidRPr="0019144F" w:rsidRDefault="00BF7ACA" w:rsidP="007924BE">
            <w:pPr>
              <w:pStyle w:val="ColumnHeading"/>
              <w:keepNext/>
            </w:pPr>
            <w:r w:rsidRPr="0019144F">
              <w:t>Amendement</w:t>
            </w:r>
          </w:p>
        </w:tc>
      </w:tr>
      <w:tr w:rsidR="00BF7ACA" w:rsidRPr="005A5903" w14:paraId="21E19F23" w14:textId="77777777" w:rsidTr="007924BE">
        <w:trPr>
          <w:jc w:val="center"/>
        </w:trPr>
        <w:tc>
          <w:tcPr>
            <w:tcW w:w="4876" w:type="dxa"/>
            <w:hideMark/>
          </w:tcPr>
          <w:p w14:paraId="0734F322" w14:textId="77777777" w:rsidR="00BF7ACA" w:rsidRPr="00627C55" w:rsidRDefault="00BF7ACA" w:rsidP="007924BE">
            <w:pPr>
              <w:pStyle w:val="Normal6"/>
              <w:rPr>
                <w:b/>
                <w:i/>
              </w:rPr>
            </w:pPr>
            <w:r w:rsidRPr="00627C55">
              <w:rPr>
                <w:b/>
                <w:i/>
              </w:rPr>
              <w:t>(10)</w:t>
            </w:r>
            <w:r w:rsidRPr="00627C55">
              <w:rPr>
                <w:b/>
                <w:i/>
              </w:rPr>
              <w:tab/>
              <w:t>Afin d’offrir une certaine souplesse, d’accroître l’attractivité pour le secteur privé et de maximiser l’effet des investissements, il convient de prévoir une dérogation aux dispositions de l’article 58, paragraphe 1, point c) vii), du règlement (UE, Euratom) nº 966/2012 du Parlement européen et du Conseil</w:t>
            </w:r>
            <w:r w:rsidRPr="00627C55">
              <w:rPr>
                <w:b/>
                <w:i/>
                <w:vertAlign w:val="superscript"/>
              </w:rPr>
              <w:t>24</w:t>
            </w:r>
            <w:r w:rsidRPr="00627C55">
              <w:rPr>
                <w:b/>
                <w:i/>
              </w:rPr>
              <w:t xml:space="preserve"> en vertu de laquelle les contreparties éligibles qui sont des organismes de droit privé pourraient également être des organismes qui ne sont pas chargés de la mise en œuvre d’un partenariat public-privé ainsi que des organismes de droit privé d’un pays partenaire.</w:t>
            </w:r>
          </w:p>
        </w:tc>
        <w:tc>
          <w:tcPr>
            <w:tcW w:w="4876" w:type="dxa"/>
            <w:hideMark/>
          </w:tcPr>
          <w:p w14:paraId="156013BB" w14:textId="77777777" w:rsidR="00BF7ACA" w:rsidRPr="0019144F" w:rsidRDefault="00BF7ACA" w:rsidP="007924BE">
            <w:pPr>
              <w:pStyle w:val="Normal6"/>
              <w:rPr>
                <w:szCs w:val="24"/>
              </w:rPr>
            </w:pPr>
            <w:r w:rsidRPr="0019144F">
              <w:rPr>
                <w:b/>
                <w:i/>
              </w:rPr>
              <w:t>supprimé</w:t>
            </w:r>
          </w:p>
        </w:tc>
      </w:tr>
      <w:tr w:rsidR="00BF7ACA" w:rsidRPr="005A5903" w14:paraId="2F611235" w14:textId="77777777" w:rsidTr="007924BE">
        <w:trPr>
          <w:jc w:val="center"/>
        </w:trPr>
        <w:tc>
          <w:tcPr>
            <w:tcW w:w="4876" w:type="dxa"/>
            <w:hideMark/>
          </w:tcPr>
          <w:p w14:paraId="67A2D003" w14:textId="77777777" w:rsidR="00BF7ACA" w:rsidRPr="0019144F" w:rsidRDefault="00BF7ACA" w:rsidP="007924BE">
            <w:pPr>
              <w:pStyle w:val="Normal6"/>
            </w:pPr>
            <w:r w:rsidRPr="0019144F">
              <w:rPr>
                <w:b/>
                <w:i/>
              </w:rPr>
              <w:t>__________________</w:t>
            </w:r>
          </w:p>
        </w:tc>
        <w:tc>
          <w:tcPr>
            <w:tcW w:w="4876" w:type="dxa"/>
          </w:tcPr>
          <w:p w14:paraId="6C12FC2C" w14:textId="77777777" w:rsidR="00BF7ACA" w:rsidRPr="0019144F" w:rsidRDefault="00BF7ACA" w:rsidP="007924BE">
            <w:pPr>
              <w:pStyle w:val="Normal6"/>
              <w:rPr>
                <w:szCs w:val="24"/>
              </w:rPr>
            </w:pPr>
          </w:p>
        </w:tc>
      </w:tr>
      <w:tr w:rsidR="00BF7ACA" w:rsidRPr="005A5903" w14:paraId="11A3A9C4" w14:textId="77777777" w:rsidTr="007924BE">
        <w:trPr>
          <w:jc w:val="center"/>
        </w:trPr>
        <w:tc>
          <w:tcPr>
            <w:tcW w:w="4876" w:type="dxa"/>
            <w:hideMark/>
          </w:tcPr>
          <w:p w14:paraId="3A043639" w14:textId="77777777" w:rsidR="00BF7ACA" w:rsidRPr="0019144F" w:rsidRDefault="00BF7ACA" w:rsidP="007924BE">
            <w:pPr>
              <w:pStyle w:val="Normal6"/>
            </w:pPr>
            <w:r w:rsidRPr="0019144F">
              <w:rPr>
                <w:b/>
                <w:i/>
                <w:vertAlign w:val="superscript"/>
              </w:rPr>
              <w:t>24</w:t>
            </w:r>
            <w:r w:rsidRPr="0019144F">
              <w:t xml:space="preserve"> </w:t>
            </w:r>
            <w:r w:rsidRPr="0019144F">
              <w:rPr>
                <w:b/>
                <w:i/>
              </w:rPr>
              <w:t>Règlement (UE, Euratom) nº 966/2012 du Parlement européen et du Conseil du 25 octobre 2012 relatif aux règles financières applicables au budget général de l</w:t>
            </w:r>
            <w:r>
              <w:rPr>
                <w:b/>
                <w:i/>
              </w:rPr>
              <w:t>’</w:t>
            </w:r>
            <w:r w:rsidRPr="0019144F">
              <w:rPr>
                <w:b/>
                <w:i/>
              </w:rPr>
              <w:t>Union et abrogeant le règlement (CE, Euratom) nº 1605/2002 du Conseil (JO L 298 du 26.10.2012, p. 1).</w:t>
            </w:r>
          </w:p>
        </w:tc>
        <w:tc>
          <w:tcPr>
            <w:tcW w:w="4876" w:type="dxa"/>
          </w:tcPr>
          <w:p w14:paraId="4EA100AC" w14:textId="77777777" w:rsidR="00BF7ACA" w:rsidRPr="0019144F" w:rsidRDefault="00BF7ACA" w:rsidP="007924BE">
            <w:pPr>
              <w:pStyle w:val="Normal6"/>
              <w:rPr>
                <w:szCs w:val="24"/>
              </w:rPr>
            </w:pPr>
          </w:p>
        </w:tc>
      </w:tr>
    </w:tbl>
    <w:p w14:paraId="4EB49187"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03FD345" w14:textId="77777777" w:rsidR="00BF7ACA" w:rsidRPr="00BF7ACA" w:rsidRDefault="00BF7ACA" w:rsidP="00BF7ACA">
      <w:r w:rsidRPr="00BF7ACA">
        <w:rPr>
          <w:rStyle w:val="HideTWBExt"/>
        </w:rPr>
        <w:t>&lt;/Amend&gt;</w:t>
      </w:r>
    </w:p>
    <w:p w14:paraId="4EE593E4"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143</w:t>
      </w:r>
      <w:r w:rsidRPr="00BF7ACA">
        <w:rPr>
          <w:rStyle w:val="HideTWBExt"/>
          <w:b w:val="0"/>
        </w:rPr>
        <w:t>&lt;/NumAm&gt;</w:t>
      </w:r>
    </w:p>
    <w:p w14:paraId="58677D46"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153DD267" w14:textId="77777777" w:rsidR="00BF7ACA" w:rsidRPr="005A5903" w:rsidRDefault="00BF7ACA" w:rsidP="00BF7ACA">
      <w:r>
        <w:rPr>
          <w:rStyle w:val="HideTWBExt"/>
        </w:rPr>
        <w:t>&lt;/RepeatBlock-By&gt;</w:t>
      </w:r>
    </w:p>
    <w:p w14:paraId="7FBD8970"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254E8D98" w14:textId="77777777" w:rsidR="00BF7ACA" w:rsidRPr="005A5903" w:rsidRDefault="00BF7ACA" w:rsidP="00BF7ACA">
      <w:pPr>
        <w:pStyle w:val="NormalBold"/>
      </w:pPr>
      <w:r>
        <w:rPr>
          <w:rStyle w:val="HideTWBExt"/>
          <w:b w:val="0"/>
        </w:rPr>
        <w:t>&lt;Article&gt;</w:t>
      </w:r>
      <w:r w:rsidRPr="0019144F">
        <w:t>Considérant 10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37488133" w14:textId="77777777" w:rsidTr="007924BE">
        <w:trPr>
          <w:jc w:val="center"/>
        </w:trPr>
        <w:tc>
          <w:tcPr>
            <w:tcW w:w="9752" w:type="dxa"/>
            <w:gridSpan w:val="2"/>
          </w:tcPr>
          <w:p w14:paraId="519AB617" w14:textId="77777777" w:rsidR="00BF7ACA" w:rsidRPr="005A5903" w:rsidRDefault="00BF7ACA" w:rsidP="007924BE">
            <w:pPr>
              <w:keepNext/>
            </w:pPr>
          </w:p>
        </w:tc>
      </w:tr>
      <w:tr w:rsidR="00BF7ACA" w:rsidRPr="005A5903" w14:paraId="51488CD3" w14:textId="77777777" w:rsidTr="007924BE">
        <w:trPr>
          <w:jc w:val="center"/>
        </w:trPr>
        <w:tc>
          <w:tcPr>
            <w:tcW w:w="4876" w:type="dxa"/>
            <w:hideMark/>
          </w:tcPr>
          <w:p w14:paraId="73914A21" w14:textId="77777777" w:rsidR="00BF7ACA" w:rsidRPr="0019144F" w:rsidRDefault="00BF7ACA" w:rsidP="007924BE">
            <w:pPr>
              <w:pStyle w:val="ColumnHeading"/>
              <w:keepNext/>
            </w:pPr>
            <w:r w:rsidRPr="0019144F">
              <w:t>Texte proposé par la Commission</w:t>
            </w:r>
          </w:p>
        </w:tc>
        <w:tc>
          <w:tcPr>
            <w:tcW w:w="4876" w:type="dxa"/>
            <w:hideMark/>
          </w:tcPr>
          <w:p w14:paraId="27D5D491" w14:textId="77777777" w:rsidR="00BF7ACA" w:rsidRPr="0019144F" w:rsidRDefault="00BF7ACA" w:rsidP="007924BE">
            <w:pPr>
              <w:pStyle w:val="ColumnHeading"/>
              <w:keepNext/>
            </w:pPr>
            <w:r w:rsidRPr="0019144F">
              <w:t>Amendement</w:t>
            </w:r>
          </w:p>
        </w:tc>
      </w:tr>
      <w:tr w:rsidR="00BF7ACA" w:rsidRPr="005A5903" w14:paraId="060A768D" w14:textId="77777777" w:rsidTr="007924BE">
        <w:trPr>
          <w:jc w:val="center"/>
        </w:trPr>
        <w:tc>
          <w:tcPr>
            <w:tcW w:w="4876" w:type="dxa"/>
          </w:tcPr>
          <w:p w14:paraId="674F65CC" w14:textId="77777777" w:rsidR="00BF7ACA" w:rsidRPr="0019144F" w:rsidRDefault="00BF7ACA" w:rsidP="007924BE">
            <w:pPr>
              <w:pStyle w:val="Normal6"/>
            </w:pPr>
          </w:p>
        </w:tc>
        <w:tc>
          <w:tcPr>
            <w:tcW w:w="4876" w:type="dxa"/>
            <w:hideMark/>
          </w:tcPr>
          <w:p w14:paraId="6C013992" w14:textId="77777777" w:rsidR="00BF7ACA" w:rsidRPr="0019144F" w:rsidRDefault="00BF7ACA" w:rsidP="007924BE">
            <w:pPr>
              <w:pStyle w:val="Normal6"/>
              <w:rPr>
                <w:szCs w:val="24"/>
              </w:rPr>
            </w:pPr>
            <w:r w:rsidRPr="0019144F">
              <w:rPr>
                <w:b/>
                <w:i/>
              </w:rPr>
              <w:t>(10 bis)</w:t>
            </w:r>
            <w:r>
              <w:tab/>
            </w:r>
            <w:r w:rsidRPr="0019144F">
              <w:rPr>
                <w:b/>
                <w:i/>
              </w:rPr>
              <w:t>Il est extrêmement important de surveiller la qualité des opérations de financement et d</w:t>
            </w:r>
            <w:r>
              <w:rPr>
                <w:b/>
                <w:i/>
              </w:rPr>
              <w:t>’</w:t>
            </w:r>
            <w:r w:rsidRPr="0019144F">
              <w:rPr>
                <w:b/>
                <w:i/>
              </w:rPr>
              <w:t>investissement soutenues afin de garantir qu</w:t>
            </w:r>
            <w:r>
              <w:rPr>
                <w:b/>
                <w:i/>
              </w:rPr>
              <w:t>’</w:t>
            </w:r>
            <w:r w:rsidRPr="0019144F">
              <w:rPr>
                <w:b/>
                <w:i/>
              </w:rPr>
              <w:t>elles contribuent efficacement au développement durable. Les délégations de l</w:t>
            </w:r>
            <w:r>
              <w:rPr>
                <w:b/>
                <w:i/>
              </w:rPr>
              <w:t>’</w:t>
            </w:r>
            <w:r w:rsidRPr="0019144F">
              <w:rPr>
                <w:b/>
                <w:i/>
              </w:rPr>
              <w:t>Union européenne seraient bien placées pour effectuer ces tâches mais, leurs capacités étant limitées, il est primordial d</w:t>
            </w:r>
            <w:r>
              <w:rPr>
                <w:b/>
                <w:i/>
              </w:rPr>
              <w:t>’</w:t>
            </w:r>
            <w:r w:rsidRPr="0019144F">
              <w:rPr>
                <w:b/>
                <w:i/>
              </w:rPr>
              <w:t>inclure des organisations de la société civile fiables, tant à l</w:t>
            </w:r>
            <w:r>
              <w:rPr>
                <w:b/>
                <w:i/>
              </w:rPr>
              <w:t>’</w:t>
            </w:r>
            <w:r w:rsidRPr="0019144F">
              <w:rPr>
                <w:b/>
                <w:i/>
              </w:rPr>
              <w:t>échelon local qu</w:t>
            </w:r>
            <w:r>
              <w:rPr>
                <w:b/>
                <w:i/>
              </w:rPr>
              <w:t>’</w:t>
            </w:r>
            <w:r w:rsidRPr="0019144F">
              <w:rPr>
                <w:b/>
                <w:i/>
              </w:rPr>
              <w:t>à l</w:t>
            </w:r>
            <w:r>
              <w:rPr>
                <w:b/>
                <w:i/>
              </w:rPr>
              <w:t>’</w:t>
            </w:r>
            <w:r w:rsidRPr="0019144F">
              <w:rPr>
                <w:b/>
                <w:i/>
              </w:rPr>
              <w:t>échelon international.</w:t>
            </w:r>
          </w:p>
        </w:tc>
      </w:tr>
    </w:tbl>
    <w:p w14:paraId="5A72B0E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CF951CD" w14:textId="77777777" w:rsidR="00BF7ACA" w:rsidRPr="00BF7ACA" w:rsidRDefault="00BF7ACA" w:rsidP="00BF7ACA">
      <w:r w:rsidRPr="00BF7ACA">
        <w:rPr>
          <w:rStyle w:val="HideTWBExt"/>
        </w:rPr>
        <w:t>&lt;/Amend&gt;</w:t>
      </w:r>
    </w:p>
    <w:p w14:paraId="497296A4"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144</w:t>
      </w:r>
      <w:r w:rsidRPr="00BF7ACA">
        <w:rPr>
          <w:rStyle w:val="HideTWBExt"/>
          <w:b w:val="0"/>
        </w:rPr>
        <w:t>&lt;/NumAm&gt;</w:t>
      </w:r>
    </w:p>
    <w:p w14:paraId="4C09F35C" w14:textId="77777777"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14:paraId="34C9EBD6" w14:textId="77777777" w:rsidR="00BF7ACA" w:rsidRPr="005A5903" w:rsidRDefault="00BF7ACA" w:rsidP="00BF7ACA">
      <w:r>
        <w:rPr>
          <w:rStyle w:val="HideTWBExt"/>
        </w:rPr>
        <w:t>&lt;/RepeatBlock-By&gt;</w:t>
      </w:r>
    </w:p>
    <w:p w14:paraId="41693B4C"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7D14A22E" w14:textId="77777777" w:rsidR="00BF7ACA" w:rsidRPr="005A5903" w:rsidRDefault="00BF7ACA" w:rsidP="00BF7ACA">
      <w:pPr>
        <w:pStyle w:val="NormalBold"/>
      </w:pPr>
      <w:r>
        <w:rPr>
          <w:rStyle w:val="HideTWBExt"/>
          <w:b w:val="0"/>
        </w:rPr>
        <w:t>&lt;Article&gt;</w:t>
      </w:r>
      <w:r w:rsidRPr="0019144F">
        <w:t>Considérant 10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337F2F39" w14:textId="77777777" w:rsidTr="007924BE">
        <w:trPr>
          <w:jc w:val="center"/>
        </w:trPr>
        <w:tc>
          <w:tcPr>
            <w:tcW w:w="9752" w:type="dxa"/>
            <w:gridSpan w:val="2"/>
          </w:tcPr>
          <w:p w14:paraId="1B9EBB2B" w14:textId="77777777" w:rsidR="00BF7ACA" w:rsidRPr="005A5903" w:rsidRDefault="00BF7ACA" w:rsidP="007924BE">
            <w:pPr>
              <w:keepNext/>
            </w:pPr>
          </w:p>
        </w:tc>
      </w:tr>
      <w:tr w:rsidR="00BF7ACA" w:rsidRPr="005A5903" w14:paraId="05E0917E" w14:textId="77777777" w:rsidTr="007924BE">
        <w:trPr>
          <w:jc w:val="center"/>
        </w:trPr>
        <w:tc>
          <w:tcPr>
            <w:tcW w:w="4876" w:type="dxa"/>
            <w:hideMark/>
          </w:tcPr>
          <w:p w14:paraId="314365F0" w14:textId="77777777" w:rsidR="00BF7ACA" w:rsidRPr="0019144F" w:rsidRDefault="00BF7ACA" w:rsidP="007924BE">
            <w:pPr>
              <w:pStyle w:val="ColumnHeading"/>
              <w:keepNext/>
            </w:pPr>
            <w:r w:rsidRPr="0019144F">
              <w:t>Texte proposé par la Commission</w:t>
            </w:r>
          </w:p>
        </w:tc>
        <w:tc>
          <w:tcPr>
            <w:tcW w:w="4876" w:type="dxa"/>
            <w:hideMark/>
          </w:tcPr>
          <w:p w14:paraId="01AA85ED" w14:textId="77777777" w:rsidR="00BF7ACA" w:rsidRPr="0019144F" w:rsidRDefault="00BF7ACA" w:rsidP="007924BE">
            <w:pPr>
              <w:pStyle w:val="ColumnHeading"/>
              <w:keepNext/>
            </w:pPr>
            <w:r w:rsidRPr="0019144F">
              <w:t>Amendement</w:t>
            </w:r>
          </w:p>
        </w:tc>
      </w:tr>
      <w:tr w:rsidR="00BF7ACA" w:rsidRPr="005A5903" w14:paraId="5F5722EC" w14:textId="77777777" w:rsidTr="007924BE">
        <w:trPr>
          <w:jc w:val="center"/>
        </w:trPr>
        <w:tc>
          <w:tcPr>
            <w:tcW w:w="4876" w:type="dxa"/>
          </w:tcPr>
          <w:p w14:paraId="133A51B1" w14:textId="77777777" w:rsidR="00BF7ACA" w:rsidRPr="0019144F" w:rsidRDefault="00BF7ACA" w:rsidP="007924BE">
            <w:pPr>
              <w:pStyle w:val="Normal6"/>
            </w:pPr>
          </w:p>
        </w:tc>
        <w:tc>
          <w:tcPr>
            <w:tcW w:w="4876" w:type="dxa"/>
            <w:hideMark/>
          </w:tcPr>
          <w:p w14:paraId="3F5C9F46" w14:textId="77777777" w:rsidR="00BF7ACA" w:rsidRPr="0019144F" w:rsidRDefault="00BF7ACA" w:rsidP="007924BE">
            <w:pPr>
              <w:pStyle w:val="Normal6"/>
              <w:rPr>
                <w:szCs w:val="24"/>
              </w:rPr>
            </w:pPr>
            <w:r w:rsidRPr="0019144F">
              <w:rPr>
                <w:b/>
                <w:i/>
              </w:rPr>
              <w:t>(10 bis)</w:t>
            </w:r>
            <w:r>
              <w:tab/>
            </w:r>
            <w:r w:rsidRPr="0019144F">
              <w:rPr>
                <w:b/>
                <w:i/>
              </w:rPr>
              <w:t>La garantie FEDD devrait être gérée de manière à fournir des conditions équitables aux contreparties éligibles, à éviter les conflits d</w:t>
            </w:r>
            <w:r>
              <w:rPr>
                <w:b/>
                <w:i/>
              </w:rPr>
              <w:t>’</w:t>
            </w:r>
            <w:r w:rsidRPr="0019144F">
              <w:rPr>
                <w:b/>
                <w:i/>
              </w:rPr>
              <w:t>intérêts et à faire preuve d</w:t>
            </w:r>
            <w:r>
              <w:rPr>
                <w:b/>
                <w:i/>
              </w:rPr>
              <w:t>’</w:t>
            </w:r>
            <w:r w:rsidRPr="0019144F">
              <w:rPr>
                <w:b/>
                <w:i/>
              </w:rPr>
              <w:t>efficacité en tenant dûment compte de l</w:t>
            </w:r>
            <w:r>
              <w:rPr>
                <w:b/>
                <w:i/>
              </w:rPr>
              <w:t>’</w:t>
            </w:r>
            <w:r w:rsidRPr="0019144F">
              <w:rPr>
                <w:b/>
                <w:i/>
              </w:rPr>
              <w:t>objectif consistant à attirer le secteur privé afin de financer les investissements et d</w:t>
            </w:r>
            <w:r>
              <w:rPr>
                <w:b/>
                <w:i/>
              </w:rPr>
              <w:t>’</w:t>
            </w:r>
            <w:r w:rsidRPr="0019144F">
              <w:rPr>
                <w:b/>
                <w:i/>
              </w:rPr>
              <w:t>exploiter au mieux l</w:t>
            </w:r>
            <w:r>
              <w:rPr>
                <w:b/>
                <w:i/>
              </w:rPr>
              <w:t>’</w:t>
            </w:r>
            <w:r w:rsidRPr="0019144F">
              <w:rPr>
                <w:b/>
                <w:i/>
              </w:rPr>
              <w:t>additionnalité.</w:t>
            </w:r>
          </w:p>
        </w:tc>
      </w:tr>
    </w:tbl>
    <w:p w14:paraId="2CE39BD7"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2DE545C" w14:textId="77777777" w:rsidR="00BF7ACA" w:rsidRPr="00BF7ACA" w:rsidRDefault="00BF7ACA" w:rsidP="00BF7ACA">
      <w:r w:rsidRPr="00BF7ACA">
        <w:rPr>
          <w:rStyle w:val="HideTWBExt"/>
        </w:rPr>
        <w:t>&lt;/Amend&gt;</w:t>
      </w:r>
    </w:p>
    <w:p w14:paraId="23F8CD4F"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145</w:t>
      </w:r>
      <w:r w:rsidRPr="00E502E5">
        <w:rPr>
          <w:rStyle w:val="HideTWBExt"/>
          <w:b w:val="0"/>
        </w:rPr>
        <w:t>&lt;/NumAm&gt;</w:t>
      </w:r>
    </w:p>
    <w:p w14:paraId="1AE920B3" w14:textId="77777777" w:rsidR="00BF7ACA" w:rsidRPr="00E502E5" w:rsidRDefault="00BF7ACA" w:rsidP="00BF7ACA">
      <w:pPr>
        <w:pStyle w:val="NormalBold"/>
      </w:pPr>
      <w:r w:rsidRPr="00E502E5">
        <w:rPr>
          <w:rStyle w:val="HideTWBExt"/>
          <w:b w:val="0"/>
        </w:rPr>
        <w:t>&lt;RepeatBlock-By&gt;&lt;Members&gt;</w:t>
      </w:r>
      <w:r w:rsidRPr="00E502E5">
        <w:t>Jean-Luc Schaffhauser</w:t>
      </w:r>
      <w:r w:rsidRPr="00E502E5">
        <w:rPr>
          <w:rStyle w:val="HideTWBExt"/>
          <w:b w:val="0"/>
        </w:rPr>
        <w:t>&lt;/Members&gt;</w:t>
      </w:r>
    </w:p>
    <w:p w14:paraId="7C983410" w14:textId="77777777" w:rsidR="00BF7ACA" w:rsidRPr="00E502E5" w:rsidRDefault="00BF7ACA" w:rsidP="00BF7ACA">
      <w:r w:rsidRPr="00E502E5">
        <w:rPr>
          <w:rStyle w:val="HideTWBExt"/>
        </w:rPr>
        <w:t>&lt;/RepeatBlock-By&gt;</w:t>
      </w:r>
    </w:p>
    <w:p w14:paraId="76123D20"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34BFE372" w14:textId="77777777" w:rsidR="00BF7ACA" w:rsidRPr="00E502E5" w:rsidRDefault="00BF7ACA" w:rsidP="00BF7ACA">
      <w:pPr>
        <w:pStyle w:val="NormalBold"/>
      </w:pPr>
      <w:r w:rsidRPr="00E502E5">
        <w:rPr>
          <w:rStyle w:val="HideTWBExt"/>
          <w:b w:val="0"/>
        </w:rPr>
        <w:t>&lt;Article&gt;</w:t>
      </w:r>
      <w:r w:rsidRPr="00E502E5">
        <w:t>Considérant 12</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56AB3490" w14:textId="77777777" w:rsidTr="007924BE">
        <w:trPr>
          <w:jc w:val="center"/>
        </w:trPr>
        <w:tc>
          <w:tcPr>
            <w:tcW w:w="9752" w:type="dxa"/>
            <w:gridSpan w:val="2"/>
          </w:tcPr>
          <w:p w14:paraId="408558C4" w14:textId="77777777" w:rsidR="00BF7ACA" w:rsidRPr="00E502E5" w:rsidRDefault="00BF7ACA" w:rsidP="007924BE">
            <w:pPr>
              <w:keepNext/>
            </w:pPr>
          </w:p>
        </w:tc>
      </w:tr>
      <w:tr w:rsidR="00BF7ACA" w:rsidRPr="00E502E5" w14:paraId="50E98258" w14:textId="77777777" w:rsidTr="007924BE">
        <w:trPr>
          <w:jc w:val="center"/>
        </w:trPr>
        <w:tc>
          <w:tcPr>
            <w:tcW w:w="4876" w:type="dxa"/>
            <w:hideMark/>
          </w:tcPr>
          <w:p w14:paraId="010C5E98" w14:textId="77777777" w:rsidR="00BF7ACA" w:rsidRPr="00E502E5" w:rsidRDefault="00BF7ACA" w:rsidP="007924BE">
            <w:pPr>
              <w:pStyle w:val="ColumnHeading"/>
              <w:keepNext/>
            </w:pPr>
            <w:r w:rsidRPr="00E502E5">
              <w:t>Texte proposé par la Commission</w:t>
            </w:r>
          </w:p>
        </w:tc>
        <w:tc>
          <w:tcPr>
            <w:tcW w:w="4876" w:type="dxa"/>
            <w:hideMark/>
          </w:tcPr>
          <w:p w14:paraId="52959E5F" w14:textId="77777777" w:rsidR="00BF7ACA" w:rsidRPr="00E502E5" w:rsidRDefault="00BF7ACA" w:rsidP="007924BE">
            <w:pPr>
              <w:pStyle w:val="ColumnHeading"/>
              <w:keepNext/>
            </w:pPr>
            <w:r w:rsidRPr="00E502E5">
              <w:t>Amendement</w:t>
            </w:r>
          </w:p>
        </w:tc>
      </w:tr>
      <w:tr w:rsidR="00BF7ACA" w:rsidRPr="00E502E5" w14:paraId="79FF52D9" w14:textId="77777777" w:rsidTr="007924BE">
        <w:trPr>
          <w:jc w:val="center"/>
        </w:trPr>
        <w:tc>
          <w:tcPr>
            <w:tcW w:w="4876" w:type="dxa"/>
            <w:hideMark/>
          </w:tcPr>
          <w:p w14:paraId="293A5B7D" w14:textId="77777777" w:rsidR="00BF7ACA" w:rsidRPr="00E502E5" w:rsidRDefault="00BF7ACA" w:rsidP="007924BE">
            <w:pPr>
              <w:pStyle w:val="Normal6"/>
            </w:pPr>
            <w:r w:rsidRPr="00E502E5">
              <w:t>(12)</w:t>
            </w:r>
            <w:r w:rsidRPr="00E502E5">
              <w:tab/>
              <w:t>L</w:t>
            </w:r>
            <w:r>
              <w:t>’</w:t>
            </w:r>
            <w:r w:rsidRPr="00E502E5">
              <w:t xml:space="preserve">Union </w:t>
            </w:r>
            <w:r w:rsidRPr="00E502E5">
              <w:rPr>
                <w:b/>
                <w:i/>
              </w:rPr>
              <w:t xml:space="preserve">devrait débloquer une </w:t>
            </w:r>
            <w:r>
              <w:rPr>
                <w:b/>
                <w:i/>
              </w:rPr>
              <w:t>garantie de 1 500 000 000 </w:t>
            </w:r>
            <w:r w:rsidRPr="00E502E5">
              <w:rPr>
                <w:b/>
                <w:i/>
              </w:rPr>
              <w:t>EUR pour instituer la garantie FEDD. Les États membres et les autres contributeurs sont invités à compléter cette contribution pour soutenir le fonds de garantie FEDD sous forme de liquidités (États membres et autres contributeurs) ou de</w:t>
            </w:r>
            <w:r w:rsidRPr="00E502E5">
              <w:t xml:space="preserve"> garanties </w:t>
            </w:r>
            <w:r w:rsidRPr="00E502E5">
              <w:rPr>
                <w:b/>
                <w:i/>
              </w:rPr>
              <w:t>(États membres) afin d</w:t>
            </w:r>
            <w:r>
              <w:rPr>
                <w:b/>
                <w:i/>
              </w:rPr>
              <w:t>’</w:t>
            </w:r>
            <w:r w:rsidRPr="00E502E5">
              <w:rPr>
                <w:b/>
                <w:i/>
              </w:rPr>
              <w:t>accroître la réserve de liquidités et, partant, d</w:t>
            </w:r>
            <w:r>
              <w:rPr>
                <w:b/>
                <w:i/>
              </w:rPr>
              <w:t>’</w:t>
            </w:r>
            <w:r w:rsidRPr="00E502E5">
              <w:rPr>
                <w:b/>
                <w:i/>
              </w:rPr>
              <w:t>augmenter le volume total de la garantie FEDD. L</w:t>
            </w:r>
            <w:r>
              <w:rPr>
                <w:b/>
                <w:i/>
              </w:rPr>
              <w:t>’</w:t>
            </w:r>
            <w:r w:rsidRPr="00E502E5">
              <w:rPr>
                <w:b/>
                <w:i/>
              </w:rPr>
              <w:t>Union devr</w:t>
            </w:r>
            <w:r>
              <w:rPr>
                <w:b/>
                <w:i/>
              </w:rPr>
              <w:t>ait débloquer une garantie de 1 500 000 000 </w:t>
            </w:r>
            <w:r w:rsidRPr="00E502E5">
              <w:rPr>
                <w:b/>
                <w:i/>
              </w:rPr>
              <w:t>EUR pour instituer la garantie FEDD. Les États membres, les institutions financières publiques et les autres contributeurs devraient être invités à apporter un financement supplémentaire au fonds de garantie FEDD selon les conditions qui devraient être fixées dans un accord conclu entre la Commission, au nom de l</w:t>
            </w:r>
            <w:r>
              <w:rPr>
                <w:b/>
                <w:i/>
              </w:rPr>
              <w:t>’</w:t>
            </w:r>
            <w:r w:rsidRPr="00E502E5">
              <w:rPr>
                <w:b/>
                <w:i/>
              </w:rPr>
              <w:t>Union, et l</w:t>
            </w:r>
            <w:r>
              <w:rPr>
                <w:b/>
                <w:i/>
              </w:rPr>
              <w:t>’</w:t>
            </w:r>
            <w:r w:rsidRPr="00E502E5">
              <w:rPr>
                <w:b/>
                <w:i/>
              </w:rPr>
              <w:t>ensemble des contributeurs.</w:t>
            </w:r>
          </w:p>
        </w:tc>
        <w:tc>
          <w:tcPr>
            <w:tcW w:w="4876" w:type="dxa"/>
            <w:hideMark/>
          </w:tcPr>
          <w:p w14:paraId="3ED48501" w14:textId="77777777" w:rsidR="00BF7ACA" w:rsidRPr="00E502E5" w:rsidRDefault="00BF7ACA" w:rsidP="007924BE">
            <w:pPr>
              <w:pStyle w:val="Normal6"/>
              <w:rPr>
                <w:szCs w:val="24"/>
              </w:rPr>
            </w:pPr>
            <w:r w:rsidRPr="00E502E5">
              <w:t>(12)</w:t>
            </w:r>
            <w:r w:rsidRPr="00E502E5">
              <w:tab/>
              <w:t>L</w:t>
            </w:r>
            <w:r>
              <w:t>’</w:t>
            </w:r>
            <w:r w:rsidRPr="00E502E5">
              <w:t xml:space="preserve">Union </w:t>
            </w:r>
            <w:r w:rsidRPr="00E502E5">
              <w:rPr>
                <w:b/>
                <w:i/>
              </w:rPr>
              <w:t>ne produisant rien, les éventuelles garanties qui pourraient être prises, sont en fait des</w:t>
            </w:r>
            <w:r w:rsidRPr="00E502E5">
              <w:t xml:space="preserve"> garanties </w:t>
            </w:r>
            <w:r w:rsidRPr="00E502E5">
              <w:rPr>
                <w:b/>
                <w:i/>
              </w:rPr>
              <w:t xml:space="preserve">prises par les </w:t>
            </w:r>
            <w:r>
              <w:rPr>
                <w:b/>
                <w:i/>
              </w:rPr>
              <w:t>É</w:t>
            </w:r>
            <w:r w:rsidRPr="00E502E5">
              <w:rPr>
                <w:b/>
                <w:i/>
              </w:rPr>
              <w:t>tats ce dont les pays bénéficiaires doivent être tenus informés de manière directe et transparente;</w:t>
            </w:r>
          </w:p>
        </w:tc>
      </w:tr>
    </w:tbl>
    <w:p w14:paraId="531A46B7"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3217CC4C" w14:textId="77777777" w:rsidR="00BF7ACA" w:rsidRPr="00E502E5" w:rsidRDefault="00BF7ACA" w:rsidP="00BF7ACA">
      <w:r w:rsidRPr="00E502E5">
        <w:rPr>
          <w:rStyle w:val="HideTWBExt"/>
        </w:rPr>
        <w:t>&lt;/Amend&gt;</w:t>
      </w:r>
    </w:p>
    <w:p w14:paraId="38097BAD" w14:textId="77777777" w:rsidR="00BF7ACA" w:rsidRPr="00E502E5" w:rsidRDefault="00BF7ACA" w:rsidP="00BF7ACA">
      <w:pPr>
        <w:pStyle w:val="AMNumberTabs"/>
        <w:keepNext/>
      </w:pPr>
      <w:r>
        <w:rPr>
          <w:rStyle w:val="HideTWBExt"/>
          <w:b w:val="0"/>
        </w:rPr>
        <w:t>&lt;Amend&gt;</w:t>
      </w:r>
      <w:r w:rsidRPr="007F121D">
        <w:t>Amendement</w:t>
      </w:r>
      <w:r>
        <w:tab/>
      </w:r>
      <w:r>
        <w:tab/>
      </w:r>
      <w:r>
        <w:rPr>
          <w:rStyle w:val="HideTWBExt"/>
          <w:b w:val="0"/>
        </w:rPr>
        <w:t>&lt;NumAm&gt;</w:t>
      </w:r>
      <w:r w:rsidRPr="007F121D">
        <w:t>146</w:t>
      </w:r>
      <w:r>
        <w:rPr>
          <w:rStyle w:val="HideTWBExt"/>
          <w:b w:val="0"/>
        </w:rPr>
        <w:t>&lt;/NumAm&gt;</w:t>
      </w:r>
    </w:p>
    <w:p w14:paraId="5EDA649A" w14:textId="77777777" w:rsidR="00BF7ACA" w:rsidRPr="00E502E5" w:rsidRDefault="00BF7ACA" w:rsidP="00BF7ACA">
      <w:pPr>
        <w:pStyle w:val="NormalBold"/>
      </w:pPr>
      <w:r>
        <w:rPr>
          <w:rStyle w:val="HideTWBExt"/>
          <w:b w:val="0"/>
        </w:rPr>
        <w:t>&lt;RepeatBlock-By&gt;&lt;Members&gt;</w:t>
      </w:r>
      <w:r w:rsidRPr="007F121D">
        <w:t>Georgios Epitideios</w:t>
      </w:r>
      <w:r>
        <w:rPr>
          <w:rStyle w:val="HideTWBExt"/>
          <w:b w:val="0"/>
        </w:rPr>
        <w:t>&lt;/Members&gt;</w:t>
      </w:r>
    </w:p>
    <w:p w14:paraId="7B525018" w14:textId="77777777" w:rsidR="00BF7ACA" w:rsidRPr="00E502E5" w:rsidRDefault="00BF7ACA" w:rsidP="00BF7ACA">
      <w:r>
        <w:rPr>
          <w:rStyle w:val="HideTWBExt"/>
        </w:rPr>
        <w:t>&lt;/RepeatBlock-By&gt;</w:t>
      </w:r>
    </w:p>
    <w:p w14:paraId="1FD794FE" w14:textId="77777777" w:rsidR="00BF7ACA" w:rsidRPr="00E502E5" w:rsidRDefault="00BF7ACA" w:rsidP="00BF7ACA">
      <w:pPr>
        <w:pStyle w:val="NormalBold"/>
        <w:keepNext/>
      </w:pPr>
      <w:r>
        <w:rPr>
          <w:rStyle w:val="HideTWBExt"/>
          <w:b w:val="0"/>
        </w:rPr>
        <w:t>&lt;DocAmend&gt;</w:t>
      </w:r>
      <w:r w:rsidRPr="007F121D">
        <w:t>Proposition de règlement</w:t>
      </w:r>
      <w:r>
        <w:rPr>
          <w:rStyle w:val="HideTWBExt"/>
          <w:b w:val="0"/>
        </w:rPr>
        <w:t>&lt;/DocAmend&gt;</w:t>
      </w:r>
    </w:p>
    <w:p w14:paraId="2C7B99E2" w14:textId="77777777" w:rsidR="00BF7ACA" w:rsidRPr="00E502E5" w:rsidRDefault="00BF7ACA" w:rsidP="00BF7ACA">
      <w:pPr>
        <w:pStyle w:val="NormalBold"/>
      </w:pPr>
      <w:r>
        <w:rPr>
          <w:rStyle w:val="HideTWBExt"/>
          <w:b w:val="0"/>
        </w:rPr>
        <w:t>&lt;Article&gt;</w:t>
      </w:r>
      <w:r w:rsidRPr="007F121D">
        <w:t>Considérant 12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3CDAFC2A" w14:textId="77777777" w:rsidTr="007924BE">
        <w:trPr>
          <w:jc w:val="center"/>
        </w:trPr>
        <w:tc>
          <w:tcPr>
            <w:tcW w:w="9752" w:type="dxa"/>
            <w:gridSpan w:val="2"/>
          </w:tcPr>
          <w:p w14:paraId="1CCB4321" w14:textId="77777777" w:rsidR="00BF7ACA" w:rsidRPr="00E502E5" w:rsidRDefault="00BF7ACA" w:rsidP="007924BE">
            <w:pPr>
              <w:keepNext/>
            </w:pPr>
          </w:p>
        </w:tc>
      </w:tr>
      <w:tr w:rsidR="00BF7ACA" w:rsidRPr="00E502E5" w14:paraId="3894E11D" w14:textId="77777777" w:rsidTr="007924BE">
        <w:trPr>
          <w:jc w:val="center"/>
        </w:trPr>
        <w:tc>
          <w:tcPr>
            <w:tcW w:w="4876" w:type="dxa"/>
            <w:hideMark/>
          </w:tcPr>
          <w:p w14:paraId="3808B36C" w14:textId="77777777" w:rsidR="00BF7ACA" w:rsidRPr="007F121D" w:rsidRDefault="00BF7ACA" w:rsidP="007924BE">
            <w:pPr>
              <w:pStyle w:val="ColumnHeading"/>
              <w:keepNext/>
            </w:pPr>
            <w:r w:rsidRPr="007F121D">
              <w:t>Texte proposé par la Commission</w:t>
            </w:r>
          </w:p>
        </w:tc>
        <w:tc>
          <w:tcPr>
            <w:tcW w:w="4876" w:type="dxa"/>
            <w:hideMark/>
          </w:tcPr>
          <w:p w14:paraId="40D7F9BF" w14:textId="77777777" w:rsidR="00BF7ACA" w:rsidRPr="007F121D" w:rsidRDefault="00BF7ACA" w:rsidP="007924BE">
            <w:pPr>
              <w:pStyle w:val="ColumnHeading"/>
              <w:keepNext/>
            </w:pPr>
            <w:r w:rsidRPr="007F121D">
              <w:t>Amendement</w:t>
            </w:r>
          </w:p>
        </w:tc>
      </w:tr>
      <w:tr w:rsidR="00BF7ACA" w:rsidRPr="00E502E5" w14:paraId="1BD65F40" w14:textId="77777777" w:rsidTr="007924BE">
        <w:trPr>
          <w:jc w:val="center"/>
        </w:trPr>
        <w:tc>
          <w:tcPr>
            <w:tcW w:w="4876" w:type="dxa"/>
            <w:hideMark/>
          </w:tcPr>
          <w:p w14:paraId="428CEF60" w14:textId="77777777" w:rsidR="00BF7ACA" w:rsidRPr="007F121D" w:rsidRDefault="00BF7ACA" w:rsidP="007924BE">
            <w:pPr>
              <w:pStyle w:val="Normal6"/>
            </w:pPr>
            <w:r w:rsidRPr="007F121D">
              <w:t>(12)</w:t>
            </w:r>
            <w:r>
              <w:tab/>
            </w:r>
            <w:r w:rsidRPr="007F121D">
              <w:t>L</w:t>
            </w:r>
            <w:r>
              <w:t>’</w:t>
            </w:r>
            <w:r w:rsidRPr="007F121D">
              <w:t>Union devrait débloquer une garantie de 1 500 000 000 EUR pour instituer la garantie FEDD.</w:t>
            </w:r>
            <w:r w:rsidRPr="007F121D">
              <w:rPr>
                <w:b/>
                <w:i/>
              </w:rPr>
              <w:t xml:space="preserve"> Les États membres et les autres contributeurs sont invités à compléter cette contribution pour soutenir le fonds de garantie FEDD sous forme de liquidités (États membres et autres contributeurs) ou de garanties (États membres) afin d</w:t>
            </w:r>
            <w:r>
              <w:rPr>
                <w:b/>
                <w:i/>
              </w:rPr>
              <w:t>’</w:t>
            </w:r>
            <w:r w:rsidRPr="007F121D">
              <w:rPr>
                <w:b/>
                <w:i/>
              </w:rPr>
              <w:t>accroître la réserve de liquidités et, partant, d</w:t>
            </w:r>
            <w:r>
              <w:rPr>
                <w:b/>
                <w:i/>
              </w:rPr>
              <w:t>’</w:t>
            </w:r>
            <w:r w:rsidRPr="007F121D">
              <w:rPr>
                <w:b/>
                <w:i/>
              </w:rPr>
              <w:t>augmenter le volume total de la garantie FEDD.</w:t>
            </w:r>
            <w:r w:rsidRPr="007F121D">
              <w:t xml:space="preserve"> L</w:t>
            </w:r>
            <w:r>
              <w:t>’</w:t>
            </w:r>
            <w:r w:rsidRPr="007F121D">
              <w:t xml:space="preserve">Union devrait débloquer une garantie de 1 500 000 000 EUR pour instituer la garantie FEDD. </w:t>
            </w:r>
            <w:r w:rsidRPr="007F121D">
              <w:rPr>
                <w:b/>
                <w:i/>
              </w:rPr>
              <w:t>Les États membres,</w:t>
            </w:r>
            <w:r w:rsidRPr="007F121D">
              <w:t xml:space="preserve"> les institutions financières publiques et les autres contributeurs devraient être invités à apporter un financement supplémentaire au fonds de garantie FEDD selon les conditions qui devraient être fixées dans un accord conclu entre la Commission, au nom de l</w:t>
            </w:r>
            <w:r>
              <w:t>’</w:t>
            </w:r>
            <w:r w:rsidRPr="007F121D">
              <w:t>Union, et l</w:t>
            </w:r>
            <w:r>
              <w:t>’</w:t>
            </w:r>
            <w:r w:rsidRPr="007F121D">
              <w:t>ensemble des contributeurs.</w:t>
            </w:r>
          </w:p>
        </w:tc>
        <w:tc>
          <w:tcPr>
            <w:tcW w:w="4876" w:type="dxa"/>
            <w:hideMark/>
          </w:tcPr>
          <w:p w14:paraId="33C8078C" w14:textId="77777777" w:rsidR="00BF7ACA" w:rsidRPr="007F121D" w:rsidRDefault="00BF7ACA" w:rsidP="007924BE">
            <w:pPr>
              <w:pStyle w:val="Normal6"/>
              <w:rPr>
                <w:szCs w:val="24"/>
              </w:rPr>
            </w:pPr>
            <w:r w:rsidRPr="007F121D">
              <w:t>(12)</w:t>
            </w:r>
            <w:r>
              <w:tab/>
            </w:r>
            <w:r w:rsidRPr="007F121D">
              <w:t>L</w:t>
            </w:r>
            <w:r>
              <w:t>’</w:t>
            </w:r>
            <w:r w:rsidRPr="007F121D">
              <w:t>Union devrait débloquer une garantie de 1 500 000 000 EUR pour instituer la garantie FEDD. L</w:t>
            </w:r>
            <w:r>
              <w:t>’</w:t>
            </w:r>
            <w:r w:rsidRPr="007F121D">
              <w:t>Union devrait débloquer une garantie de 1 500 000 000 EUR pour instituer la garantie FEDD. Les institutions financières publiques et les autres contributeurs devraient être invités à apporter un financement supplémentaire au fonds de garantie FEDD selon les conditions qui devraient être fixées dans un accord conclu entre la Commission, au nom de l</w:t>
            </w:r>
            <w:r>
              <w:t>’</w:t>
            </w:r>
            <w:r w:rsidRPr="007F121D">
              <w:t>Union, et l</w:t>
            </w:r>
            <w:r>
              <w:t>’</w:t>
            </w:r>
            <w:r w:rsidRPr="007F121D">
              <w:t>ensemble des contributeurs.</w:t>
            </w:r>
          </w:p>
        </w:tc>
      </w:tr>
    </w:tbl>
    <w:p w14:paraId="0A10E87B" w14:textId="77777777" w:rsidR="00BF7ACA" w:rsidRPr="00E502E5" w:rsidRDefault="00BF7ACA" w:rsidP="00BF7ACA">
      <w:pPr>
        <w:pStyle w:val="Olang"/>
        <w:rPr>
          <w:noProof w:val="0"/>
          <w:szCs w:val="24"/>
        </w:rPr>
      </w:pPr>
      <w:r w:rsidRPr="007F121D">
        <w:rPr>
          <w:noProof w:val="0"/>
        </w:rPr>
        <w:t xml:space="preserve">Or. </w:t>
      </w:r>
      <w:r w:rsidRPr="00D829AF">
        <w:rPr>
          <w:rStyle w:val="HideTWBExt"/>
          <w:noProof w:val="0"/>
        </w:rPr>
        <w:t>&lt;Original&gt;</w:t>
      </w:r>
      <w:r w:rsidRPr="00D829AF">
        <w:rPr>
          <w:rStyle w:val="HideTWBInt"/>
          <w:noProof w:val="0"/>
        </w:rPr>
        <w:t>{EL}</w:t>
      </w:r>
      <w:r w:rsidRPr="007F121D">
        <w:rPr>
          <w:noProof w:val="0"/>
        </w:rPr>
        <w:t>el</w:t>
      </w:r>
      <w:r w:rsidRPr="00D829AF">
        <w:rPr>
          <w:rStyle w:val="HideTWBExt"/>
          <w:noProof w:val="0"/>
        </w:rPr>
        <w:t>&lt;/Original&gt;</w:t>
      </w:r>
    </w:p>
    <w:p w14:paraId="5FBB8C12" w14:textId="694C463B" w:rsidR="00BF7ACA" w:rsidRPr="00BF7ACA" w:rsidRDefault="00BF7ACA" w:rsidP="00BF7ACA">
      <w:pPr>
        <w:pStyle w:val="AMNumberTabs"/>
        <w:keepNext/>
      </w:pPr>
      <w:r>
        <w:rPr>
          <w:rStyle w:val="HideTWBExt"/>
        </w:rPr>
        <w:t>&lt;/Amend&gt;</w:t>
      </w:r>
      <w:r w:rsidRPr="00BF7ACA">
        <w:rPr>
          <w:rStyle w:val="HideTWBExt"/>
          <w:b w:val="0"/>
        </w:rPr>
        <w:t>&lt;Amend&gt;</w:t>
      </w:r>
      <w:r w:rsidRPr="00BF7ACA">
        <w:t>Amendement</w:t>
      </w:r>
      <w:r w:rsidRPr="00BF7ACA">
        <w:tab/>
      </w:r>
      <w:r w:rsidRPr="00BF7ACA">
        <w:tab/>
      </w:r>
      <w:r w:rsidRPr="00BF7ACA">
        <w:rPr>
          <w:rStyle w:val="HideTWBExt"/>
          <w:b w:val="0"/>
        </w:rPr>
        <w:t>&lt;NumAm&gt;</w:t>
      </w:r>
      <w:r w:rsidRPr="00BF7ACA">
        <w:t>147</w:t>
      </w:r>
      <w:r w:rsidRPr="00BF7ACA">
        <w:rPr>
          <w:rStyle w:val="HideTWBExt"/>
          <w:b w:val="0"/>
        </w:rPr>
        <w:t>&lt;/NumAm&gt;</w:t>
      </w:r>
    </w:p>
    <w:p w14:paraId="38F98779" w14:textId="77777777" w:rsidR="00BF7ACA" w:rsidRPr="00BF7ACA" w:rsidRDefault="00BF7ACA" w:rsidP="00BF7ACA">
      <w:pPr>
        <w:pStyle w:val="NormalBold"/>
      </w:pPr>
      <w:r w:rsidRPr="00BF7ACA">
        <w:rPr>
          <w:rStyle w:val="HideTWBExt"/>
          <w:b w:val="0"/>
        </w:rPr>
        <w:t>&lt;RepeatBlock-By&gt;&lt;Members&gt;</w:t>
      </w:r>
      <w:r w:rsidRPr="00BF7ACA">
        <w:t>Xabier Benito Ziluaga, Miguel Urbán Crespo</w:t>
      </w:r>
      <w:r w:rsidRPr="00BF7ACA">
        <w:rPr>
          <w:rStyle w:val="HideTWBExt"/>
          <w:b w:val="0"/>
        </w:rPr>
        <w:t>&lt;/Members&gt;</w:t>
      </w:r>
    </w:p>
    <w:p w14:paraId="57CF0D3D" w14:textId="77777777" w:rsidR="00BF7ACA" w:rsidRPr="00BF7ACA" w:rsidRDefault="00BF7ACA" w:rsidP="00BF7ACA">
      <w:r w:rsidRPr="00BF7ACA">
        <w:rPr>
          <w:rStyle w:val="HideTWBExt"/>
        </w:rPr>
        <w:t>&lt;/RepeatBlock-By&gt;</w:t>
      </w:r>
    </w:p>
    <w:p w14:paraId="3D3BC6A9"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394111A5" w14:textId="77777777" w:rsidR="00BF7ACA" w:rsidRPr="005A5903" w:rsidRDefault="00BF7ACA" w:rsidP="00BF7ACA">
      <w:pPr>
        <w:pStyle w:val="NormalBold"/>
      </w:pPr>
      <w:r>
        <w:rPr>
          <w:rStyle w:val="HideTWBExt"/>
          <w:b w:val="0"/>
        </w:rPr>
        <w:t>&lt;Article&gt;</w:t>
      </w:r>
      <w:r w:rsidRPr="0019144F">
        <w:t>Considérant 12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359D48FB" w14:textId="77777777" w:rsidTr="007924BE">
        <w:trPr>
          <w:jc w:val="center"/>
        </w:trPr>
        <w:tc>
          <w:tcPr>
            <w:tcW w:w="9752" w:type="dxa"/>
            <w:gridSpan w:val="2"/>
          </w:tcPr>
          <w:p w14:paraId="104EAF07" w14:textId="77777777" w:rsidR="00BF7ACA" w:rsidRPr="005A5903" w:rsidRDefault="00BF7ACA" w:rsidP="007924BE">
            <w:pPr>
              <w:keepNext/>
            </w:pPr>
          </w:p>
        </w:tc>
      </w:tr>
      <w:tr w:rsidR="00BF7ACA" w:rsidRPr="005A5903" w14:paraId="3A48C79A" w14:textId="77777777" w:rsidTr="007924BE">
        <w:trPr>
          <w:jc w:val="center"/>
        </w:trPr>
        <w:tc>
          <w:tcPr>
            <w:tcW w:w="4876" w:type="dxa"/>
            <w:hideMark/>
          </w:tcPr>
          <w:p w14:paraId="6E0589D1" w14:textId="77777777" w:rsidR="00BF7ACA" w:rsidRPr="0019144F" w:rsidRDefault="00BF7ACA" w:rsidP="007924BE">
            <w:pPr>
              <w:pStyle w:val="ColumnHeading"/>
              <w:keepNext/>
            </w:pPr>
            <w:r w:rsidRPr="0019144F">
              <w:t>Texte proposé par la Commission</w:t>
            </w:r>
          </w:p>
        </w:tc>
        <w:tc>
          <w:tcPr>
            <w:tcW w:w="4876" w:type="dxa"/>
            <w:hideMark/>
          </w:tcPr>
          <w:p w14:paraId="6584FF73" w14:textId="77777777" w:rsidR="00BF7ACA" w:rsidRPr="0019144F" w:rsidRDefault="00BF7ACA" w:rsidP="007924BE">
            <w:pPr>
              <w:pStyle w:val="ColumnHeading"/>
              <w:keepNext/>
            </w:pPr>
            <w:r w:rsidRPr="0019144F">
              <w:t>Amendement</w:t>
            </w:r>
          </w:p>
        </w:tc>
      </w:tr>
      <w:tr w:rsidR="00BF7ACA" w:rsidRPr="005A5903" w14:paraId="6FACEF3D" w14:textId="77777777" w:rsidTr="007924BE">
        <w:trPr>
          <w:jc w:val="center"/>
        </w:trPr>
        <w:tc>
          <w:tcPr>
            <w:tcW w:w="4876" w:type="dxa"/>
            <w:hideMark/>
          </w:tcPr>
          <w:p w14:paraId="151E3D35" w14:textId="77777777" w:rsidR="00BF7ACA" w:rsidRPr="0019144F" w:rsidRDefault="00BF7ACA" w:rsidP="007924BE">
            <w:pPr>
              <w:pStyle w:val="Normal6"/>
            </w:pPr>
            <w:r w:rsidRPr="0019144F">
              <w:t>(12)</w:t>
            </w:r>
            <w:r>
              <w:tab/>
            </w:r>
            <w:r w:rsidRPr="0019144F">
              <w:t>L</w:t>
            </w:r>
            <w:r>
              <w:t>’</w:t>
            </w:r>
            <w:r w:rsidRPr="0019144F">
              <w:t xml:space="preserve">Union devrait débloquer une garantie de </w:t>
            </w:r>
            <w:r w:rsidRPr="0019144F">
              <w:rPr>
                <w:b/>
                <w:i/>
              </w:rPr>
              <w:t>1 500 000 000</w:t>
            </w:r>
            <w:r w:rsidRPr="0019144F">
              <w:t> EUR pour instituer la garantie FEDD. Les États membres et les autres contributeurs sont invités à compléter cette contribution pour soutenir le fonds de garantie FEDD sous forme de liquidités (États membres et autres contributeurs) ou de garanties (États membres) afin d</w:t>
            </w:r>
            <w:r>
              <w:t>’</w:t>
            </w:r>
            <w:r w:rsidRPr="0019144F">
              <w:t>accroître la réserve de liquidités et, partant, d</w:t>
            </w:r>
            <w:r>
              <w:t>’</w:t>
            </w:r>
            <w:r w:rsidRPr="0019144F">
              <w:t>augmenter le volume total de la garantie FEDD. L</w:t>
            </w:r>
            <w:r>
              <w:t>’</w:t>
            </w:r>
            <w:r w:rsidRPr="0019144F">
              <w:t xml:space="preserve">Union devrait débloquer une garantie de </w:t>
            </w:r>
            <w:r w:rsidRPr="0019144F">
              <w:rPr>
                <w:b/>
                <w:i/>
              </w:rPr>
              <w:t>1 500 000 000</w:t>
            </w:r>
            <w:r w:rsidRPr="0019144F">
              <w:t> EUR pour instituer la garantie FEDD. Les États membres, les institutions financières publiques et les autres contributeurs devraient être invités à apporter un financement supplémentaire au fonds de garantie FEDD selon les conditions qui devraient être fixées dans un accord conclu entre la Commission, au nom de l</w:t>
            </w:r>
            <w:r>
              <w:t>’</w:t>
            </w:r>
            <w:r w:rsidRPr="0019144F">
              <w:t>Union, et l</w:t>
            </w:r>
            <w:r>
              <w:t>’</w:t>
            </w:r>
            <w:r w:rsidRPr="0019144F">
              <w:t>ensemble des contributeurs.</w:t>
            </w:r>
          </w:p>
        </w:tc>
        <w:tc>
          <w:tcPr>
            <w:tcW w:w="4876" w:type="dxa"/>
            <w:hideMark/>
          </w:tcPr>
          <w:p w14:paraId="441EE110" w14:textId="77777777" w:rsidR="00BF7ACA" w:rsidRPr="0019144F" w:rsidRDefault="00BF7ACA" w:rsidP="007924BE">
            <w:pPr>
              <w:pStyle w:val="Normal6"/>
              <w:rPr>
                <w:szCs w:val="24"/>
              </w:rPr>
            </w:pPr>
            <w:r w:rsidRPr="0019144F">
              <w:t>(12)</w:t>
            </w:r>
            <w:r>
              <w:tab/>
            </w:r>
            <w:r w:rsidRPr="0019144F">
              <w:t>L</w:t>
            </w:r>
            <w:r>
              <w:t>’</w:t>
            </w:r>
            <w:r w:rsidRPr="0019144F">
              <w:t xml:space="preserve">Union devrait débloquer une garantie de </w:t>
            </w:r>
            <w:r w:rsidRPr="0019144F">
              <w:rPr>
                <w:b/>
                <w:i/>
              </w:rPr>
              <w:t>1 000 000 000</w:t>
            </w:r>
            <w:r w:rsidRPr="0019144F">
              <w:t> EUR pour instituer la garantie FEDD. Les États membres et les autres contributeurs sont invités à compléter cette contribution pour soutenir le fonds de garantie FEDD sous forme de liquidités (États membres et autres contributeurs) ou de garanties (États membres) afin d</w:t>
            </w:r>
            <w:r>
              <w:t>’</w:t>
            </w:r>
            <w:r w:rsidRPr="0019144F">
              <w:t>accroître la réserve de liquidités et, partant, d</w:t>
            </w:r>
            <w:r>
              <w:t>’</w:t>
            </w:r>
            <w:r w:rsidRPr="0019144F">
              <w:t>augmenter le volume total de la garantie FEDD. L</w:t>
            </w:r>
            <w:r>
              <w:t>’</w:t>
            </w:r>
            <w:r w:rsidRPr="0019144F">
              <w:t xml:space="preserve">Union devrait débloquer une garantie de </w:t>
            </w:r>
            <w:r w:rsidRPr="0019144F">
              <w:rPr>
                <w:b/>
                <w:i/>
              </w:rPr>
              <w:t>1 000 000 000</w:t>
            </w:r>
            <w:r w:rsidRPr="0019144F">
              <w:t> EUR pour instituer la garantie FEDD. Les États membres, les institutions financières publiques et les autres contributeurs devraient être invités à apporter un financement supplémentaire au fonds de garantie FEDD selon les conditions qui devraient être fixées dans un accord conclu entre la Commission, au nom de l</w:t>
            </w:r>
            <w:r>
              <w:t>’</w:t>
            </w:r>
            <w:r w:rsidRPr="0019144F">
              <w:t>Union, et l</w:t>
            </w:r>
            <w:r>
              <w:t>’</w:t>
            </w:r>
            <w:r w:rsidRPr="0019144F">
              <w:t>ensemble des contributeurs.</w:t>
            </w:r>
          </w:p>
        </w:tc>
      </w:tr>
    </w:tbl>
    <w:p w14:paraId="5862DB7D"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38B2CA4" w14:textId="77777777" w:rsidR="00BF7ACA" w:rsidRPr="00BF7ACA" w:rsidRDefault="00BF7ACA" w:rsidP="00BF7ACA">
      <w:r w:rsidRPr="00BF7ACA">
        <w:rPr>
          <w:rStyle w:val="HideTWBExt"/>
        </w:rPr>
        <w:t>&lt;/Amend&gt;</w:t>
      </w:r>
    </w:p>
    <w:p w14:paraId="104F92EE"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148</w:t>
      </w:r>
      <w:r w:rsidRPr="00BF7ACA">
        <w:rPr>
          <w:rStyle w:val="HideTWBExt"/>
          <w:b w:val="0"/>
        </w:rPr>
        <w:t>&lt;/NumAm&gt;</w:t>
      </w:r>
    </w:p>
    <w:p w14:paraId="57C47C9E"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27EDA72C" w14:textId="77777777" w:rsidR="00BF7ACA" w:rsidRPr="005A5903" w:rsidRDefault="00BF7ACA" w:rsidP="00BF7ACA">
      <w:r>
        <w:rPr>
          <w:rStyle w:val="HideTWBExt"/>
        </w:rPr>
        <w:t>&lt;/RepeatBlock-By&gt;</w:t>
      </w:r>
    </w:p>
    <w:p w14:paraId="6332FA6E"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35BE37B0" w14:textId="77777777" w:rsidR="00BF7ACA" w:rsidRPr="005A5903" w:rsidRDefault="00BF7ACA" w:rsidP="00BF7ACA">
      <w:pPr>
        <w:pStyle w:val="NormalBold"/>
      </w:pPr>
      <w:r>
        <w:rPr>
          <w:rStyle w:val="HideTWBExt"/>
          <w:b w:val="0"/>
        </w:rPr>
        <w:t>&lt;Article&gt;</w:t>
      </w:r>
      <w:r w:rsidRPr="0019144F">
        <w:t>Considérant 14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70C6D6A6" w14:textId="77777777" w:rsidTr="007924BE">
        <w:trPr>
          <w:jc w:val="center"/>
        </w:trPr>
        <w:tc>
          <w:tcPr>
            <w:tcW w:w="9752" w:type="dxa"/>
            <w:gridSpan w:val="2"/>
          </w:tcPr>
          <w:p w14:paraId="5D6B19BA" w14:textId="77777777" w:rsidR="00BF7ACA" w:rsidRPr="005A5903" w:rsidRDefault="00BF7ACA" w:rsidP="007924BE">
            <w:pPr>
              <w:keepNext/>
            </w:pPr>
          </w:p>
        </w:tc>
      </w:tr>
      <w:tr w:rsidR="00BF7ACA" w:rsidRPr="005A5903" w14:paraId="52A6C1F4" w14:textId="77777777" w:rsidTr="007924BE">
        <w:trPr>
          <w:jc w:val="center"/>
        </w:trPr>
        <w:tc>
          <w:tcPr>
            <w:tcW w:w="4876" w:type="dxa"/>
            <w:hideMark/>
          </w:tcPr>
          <w:p w14:paraId="17259598" w14:textId="77777777" w:rsidR="00BF7ACA" w:rsidRPr="0019144F" w:rsidRDefault="00BF7ACA" w:rsidP="007924BE">
            <w:pPr>
              <w:pStyle w:val="ColumnHeading"/>
              <w:keepNext/>
            </w:pPr>
            <w:r w:rsidRPr="0019144F">
              <w:t>Texte proposé par la Commission</w:t>
            </w:r>
          </w:p>
        </w:tc>
        <w:tc>
          <w:tcPr>
            <w:tcW w:w="4876" w:type="dxa"/>
            <w:hideMark/>
          </w:tcPr>
          <w:p w14:paraId="17E8A24A" w14:textId="77777777" w:rsidR="00BF7ACA" w:rsidRPr="0019144F" w:rsidRDefault="00BF7ACA" w:rsidP="007924BE">
            <w:pPr>
              <w:pStyle w:val="ColumnHeading"/>
              <w:keepNext/>
            </w:pPr>
            <w:r w:rsidRPr="0019144F">
              <w:t>Amendement</w:t>
            </w:r>
          </w:p>
        </w:tc>
      </w:tr>
      <w:tr w:rsidR="00BF7ACA" w:rsidRPr="005A5903" w14:paraId="026A117E" w14:textId="77777777" w:rsidTr="007924BE">
        <w:trPr>
          <w:jc w:val="center"/>
        </w:trPr>
        <w:tc>
          <w:tcPr>
            <w:tcW w:w="4876" w:type="dxa"/>
            <w:hideMark/>
          </w:tcPr>
          <w:p w14:paraId="626B9C02" w14:textId="77777777" w:rsidR="00BF7ACA" w:rsidRPr="0019144F" w:rsidRDefault="00BF7ACA" w:rsidP="007924BE">
            <w:pPr>
              <w:pStyle w:val="Normal6"/>
            </w:pPr>
            <w:r w:rsidRPr="0019144F">
              <w:t>(14)</w:t>
            </w:r>
            <w:r>
              <w:tab/>
            </w:r>
            <w:r w:rsidRPr="0019144F">
              <w:t>En vue d</w:t>
            </w:r>
            <w:r>
              <w:t>’</w:t>
            </w:r>
            <w:r w:rsidRPr="0019144F">
              <w:t>accroître l</w:t>
            </w:r>
            <w:r>
              <w:t>’</w:t>
            </w:r>
            <w:r w:rsidRPr="0019144F">
              <w:t xml:space="preserve">impact de la garantie FEDD eu égard aux besoins des régions concernées, les États membres devraient </w:t>
            </w:r>
            <w:r w:rsidRPr="0019144F">
              <w:rPr>
                <w:b/>
                <w:i/>
              </w:rPr>
              <w:t xml:space="preserve">avoir la possibilité de </w:t>
            </w:r>
            <w:r w:rsidRPr="0019144F">
              <w:t>fournir des contributions sous forme de liquidités ou d</w:t>
            </w:r>
            <w:r>
              <w:t>’</w:t>
            </w:r>
            <w:r w:rsidRPr="0019144F">
              <w:t xml:space="preserve">une garantie. </w:t>
            </w:r>
            <w:r w:rsidRPr="0019144F">
              <w:rPr>
                <w:b/>
                <w:i/>
              </w:rPr>
              <w:t>Ces contributions pourraient être affectées par région, par secteur ou par volet d</w:t>
            </w:r>
            <w:r>
              <w:rPr>
                <w:b/>
                <w:i/>
              </w:rPr>
              <w:t>’</w:t>
            </w:r>
            <w:r w:rsidRPr="0019144F">
              <w:rPr>
                <w:b/>
                <w:i/>
              </w:rPr>
              <w:t>investissement.</w:t>
            </w:r>
          </w:p>
        </w:tc>
        <w:tc>
          <w:tcPr>
            <w:tcW w:w="4876" w:type="dxa"/>
            <w:hideMark/>
          </w:tcPr>
          <w:p w14:paraId="554CE7EB" w14:textId="77777777" w:rsidR="00BF7ACA" w:rsidRPr="0019144F" w:rsidRDefault="00BF7ACA" w:rsidP="007924BE">
            <w:pPr>
              <w:pStyle w:val="Normal6"/>
              <w:rPr>
                <w:szCs w:val="24"/>
              </w:rPr>
            </w:pPr>
            <w:r w:rsidRPr="0019144F">
              <w:t>(14)</w:t>
            </w:r>
            <w:r>
              <w:tab/>
            </w:r>
            <w:r w:rsidRPr="0019144F">
              <w:t>En vue d</w:t>
            </w:r>
            <w:r>
              <w:t>’</w:t>
            </w:r>
            <w:r w:rsidRPr="0019144F">
              <w:t>accroître l</w:t>
            </w:r>
            <w:r>
              <w:t>’</w:t>
            </w:r>
            <w:r w:rsidRPr="0019144F">
              <w:t>impact de la garantie FEDD eu égard aux besoins des régions concernées, les États membres devraient fournir des contributions sous forme de liquidités ou d</w:t>
            </w:r>
            <w:r>
              <w:t>’</w:t>
            </w:r>
            <w:r w:rsidRPr="0019144F">
              <w:t>une garantie.</w:t>
            </w:r>
          </w:p>
        </w:tc>
      </w:tr>
    </w:tbl>
    <w:p w14:paraId="3A2DD09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AA6EA3A" w14:textId="77777777" w:rsidR="00BF7ACA" w:rsidRPr="00BF7ACA" w:rsidRDefault="00BF7ACA" w:rsidP="00BF7ACA">
      <w:r w:rsidRPr="00BF7ACA">
        <w:rPr>
          <w:rStyle w:val="HideTWBExt"/>
        </w:rPr>
        <w:t>&lt;/Amend&gt;</w:t>
      </w:r>
    </w:p>
    <w:p w14:paraId="3B5CF5E7"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149</w:t>
      </w:r>
      <w:r w:rsidRPr="00BF7ACA">
        <w:rPr>
          <w:rStyle w:val="HideTWBExt"/>
          <w:b w:val="0"/>
        </w:rPr>
        <w:t>&lt;/NumAm&gt;</w:t>
      </w:r>
    </w:p>
    <w:p w14:paraId="7852784E" w14:textId="77777777" w:rsidR="00BF7ACA" w:rsidRPr="00BF7ACA" w:rsidRDefault="00BF7ACA" w:rsidP="00BF7ACA">
      <w:pPr>
        <w:pStyle w:val="NormalBold"/>
      </w:pPr>
      <w:r w:rsidRPr="00BF7ACA">
        <w:rPr>
          <w:rStyle w:val="HideTWBExt"/>
          <w:b w:val="0"/>
        </w:rPr>
        <w:t>&lt;RepeatBlock-By&gt;&lt;Members&gt;</w:t>
      </w:r>
      <w:r w:rsidRPr="00BF7ACA">
        <w:t>Maurice Ponga, Paul Rübig, Eduard Kukan, Bogdan Brunon Wenta</w:t>
      </w:r>
      <w:r w:rsidRPr="00BF7ACA">
        <w:rPr>
          <w:rStyle w:val="HideTWBExt"/>
          <w:b w:val="0"/>
        </w:rPr>
        <w:t>&lt;/Members&gt;</w:t>
      </w:r>
    </w:p>
    <w:p w14:paraId="0EDE3CED" w14:textId="77777777" w:rsidR="00BF7ACA" w:rsidRPr="005A5903" w:rsidRDefault="00BF7ACA" w:rsidP="00BF7ACA">
      <w:r>
        <w:rPr>
          <w:rStyle w:val="HideTWBExt"/>
        </w:rPr>
        <w:t>&lt;/RepeatBlock-By&gt;</w:t>
      </w:r>
    </w:p>
    <w:p w14:paraId="7ED41BD9"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2A3D462D" w14:textId="77777777" w:rsidR="00BF7ACA" w:rsidRPr="005A5903" w:rsidRDefault="00BF7ACA" w:rsidP="00BF7ACA">
      <w:pPr>
        <w:pStyle w:val="NormalBold"/>
      </w:pPr>
      <w:r>
        <w:rPr>
          <w:rStyle w:val="HideTWBExt"/>
          <w:b w:val="0"/>
        </w:rPr>
        <w:t>&lt;Article&gt;</w:t>
      </w:r>
      <w:r w:rsidRPr="0019144F">
        <w:t>Considérant 14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75E066E8" w14:textId="77777777" w:rsidTr="007924BE">
        <w:trPr>
          <w:jc w:val="center"/>
        </w:trPr>
        <w:tc>
          <w:tcPr>
            <w:tcW w:w="9752" w:type="dxa"/>
            <w:gridSpan w:val="2"/>
          </w:tcPr>
          <w:p w14:paraId="0BB9E705" w14:textId="77777777" w:rsidR="00BF7ACA" w:rsidRPr="005A5903" w:rsidRDefault="00BF7ACA" w:rsidP="007924BE">
            <w:pPr>
              <w:keepNext/>
            </w:pPr>
          </w:p>
        </w:tc>
      </w:tr>
      <w:tr w:rsidR="00BF7ACA" w:rsidRPr="005A5903" w14:paraId="24559241" w14:textId="77777777" w:rsidTr="007924BE">
        <w:trPr>
          <w:jc w:val="center"/>
        </w:trPr>
        <w:tc>
          <w:tcPr>
            <w:tcW w:w="4876" w:type="dxa"/>
            <w:hideMark/>
          </w:tcPr>
          <w:p w14:paraId="3CD8C60C" w14:textId="77777777" w:rsidR="00BF7ACA" w:rsidRPr="0019144F" w:rsidRDefault="00BF7ACA" w:rsidP="007924BE">
            <w:pPr>
              <w:pStyle w:val="ColumnHeading"/>
              <w:keepNext/>
            </w:pPr>
            <w:r w:rsidRPr="0019144F">
              <w:t>Texte proposé par la Commission</w:t>
            </w:r>
          </w:p>
        </w:tc>
        <w:tc>
          <w:tcPr>
            <w:tcW w:w="4876" w:type="dxa"/>
            <w:hideMark/>
          </w:tcPr>
          <w:p w14:paraId="63328643" w14:textId="77777777" w:rsidR="00BF7ACA" w:rsidRPr="0019144F" w:rsidRDefault="00BF7ACA" w:rsidP="007924BE">
            <w:pPr>
              <w:pStyle w:val="ColumnHeading"/>
              <w:keepNext/>
            </w:pPr>
            <w:r w:rsidRPr="0019144F">
              <w:t>Amendement</w:t>
            </w:r>
          </w:p>
        </w:tc>
      </w:tr>
      <w:tr w:rsidR="00BF7ACA" w:rsidRPr="005A5903" w14:paraId="0D4356B5" w14:textId="77777777" w:rsidTr="007924BE">
        <w:trPr>
          <w:jc w:val="center"/>
        </w:trPr>
        <w:tc>
          <w:tcPr>
            <w:tcW w:w="4876" w:type="dxa"/>
            <w:hideMark/>
          </w:tcPr>
          <w:p w14:paraId="01D8A042" w14:textId="77777777" w:rsidR="00BF7ACA" w:rsidRPr="0019144F" w:rsidRDefault="00BF7ACA" w:rsidP="007924BE">
            <w:pPr>
              <w:pStyle w:val="Normal6"/>
            </w:pPr>
            <w:r w:rsidRPr="0019144F">
              <w:t>(14)</w:t>
            </w:r>
            <w:r>
              <w:tab/>
            </w:r>
            <w:r w:rsidRPr="0019144F">
              <w:t>En vue d</w:t>
            </w:r>
            <w:r>
              <w:t>’</w:t>
            </w:r>
            <w:r w:rsidRPr="0019144F">
              <w:t>accroître l</w:t>
            </w:r>
            <w:r>
              <w:t>’</w:t>
            </w:r>
            <w:r w:rsidRPr="0019144F">
              <w:t>impact de la garantie FEDD eu égard aux besoins des régions concernées, les États membres devraient avoir la possibilité de fournir des contributions sous forme de liquidités ou d</w:t>
            </w:r>
            <w:r>
              <w:t>’</w:t>
            </w:r>
            <w:r w:rsidRPr="0019144F">
              <w:t>une garantie. Ces contributions pourraient être affectées par région, par secteur ou par volet d</w:t>
            </w:r>
            <w:r>
              <w:t>’</w:t>
            </w:r>
            <w:r w:rsidRPr="0019144F">
              <w:t>investissement.</w:t>
            </w:r>
          </w:p>
        </w:tc>
        <w:tc>
          <w:tcPr>
            <w:tcW w:w="4876" w:type="dxa"/>
            <w:hideMark/>
          </w:tcPr>
          <w:p w14:paraId="6E88B2E1" w14:textId="77777777" w:rsidR="00BF7ACA" w:rsidRPr="0019144F" w:rsidRDefault="00BF7ACA" w:rsidP="007924BE">
            <w:pPr>
              <w:pStyle w:val="Normal6"/>
              <w:rPr>
                <w:szCs w:val="24"/>
              </w:rPr>
            </w:pPr>
            <w:r w:rsidRPr="0019144F">
              <w:t>(14)</w:t>
            </w:r>
            <w:r>
              <w:tab/>
            </w:r>
            <w:r w:rsidRPr="0019144F">
              <w:t>En vue d</w:t>
            </w:r>
            <w:r>
              <w:t>’</w:t>
            </w:r>
            <w:r w:rsidRPr="0019144F">
              <w:t>accroître l</w:t>
            </w:r>
            <w:r>
              <w:t>’</w:t>
            </w:r>
            <w:r w:rsidRPr="0019144F">
              <w:t xml:space="preserve">impact de la garantie FEDD eu égard aux besoins des régions concernées, les États membres </w:t>
            </w:r>
            <w:r w:rsidRPr="0019144F">
              <w:rPr>
                <w:b/>
                <w:i/>
              </w:rPr>
              <w:t>et les pays de l</w:t>
            </w:r>
            <w:r>
              <w:rPr>
                <w:b/>
                <w:i/>
              </w:rPr>
              <w:t>’</w:t>
            </w:r>
            <w:r w:rsidRPr="0019144F">
              <w:rPr>
                <w:b/>
                <w:i/>
              </w:rPr>
              <w:t xml:space="preserve">Association européenne de libre-échange </w:t>
            </w:r>
            <w:r w:rsidRPr="0019144F">
              <w:t>devraient avoir la possibilité de fournir des contributions sous forme de liquidités ou d</w:t>
            </w:r>
            <w:r>
              <w:t>’</w:t>
            </w:r>
            <w:r w:rsidRPr="0019144F">
              <w:t>une garantie. Ces contributions pourraient être affectées</w:t>
            </w:r>
            <w:r w:rsidRPr="0019144F">
              <w:rPr>
                <w:b/>
                <w:i/>
              </w:rPr>
              <w:t xml:space="preserve"> par pays,</w:t>
            </w:r>
            <w:r w:rsidRPr="0019144F">
              <w:t xml:space="preserve"> par région, par secteur ou par volet d</w:t>
            </w:r>
            <w:r>
              <w:t>’</w:t>
            </w:r>
            <w:r w:rsidRPr="0019144F">
              <w:t>investissement.</w:t>
            </w:r>
          </w:p>
        </w:tc>
      </w:tr>
    </w:tbl>
    <w:p w14:paraId="6B62169F"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D0ACCCC" w14:textId="77777777" w:rsidR="00BF7ACA" w:rsidRPr="00BF7ACA" w:rsidRDefault="00BF7ACA" w:rsidP="00BF7ACA">
      <w:r w:rsidRPr="00BF7ACA">
        <w:rPr>
          <w:rStyle w:val="HideTWBExt"/>
        </w:rPr>
        <w:t>&lt;/Amend&gt;</w:t>
      </w:r>
    </w:p>
    <w:p w14:paraId="577BBAB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150</w:t>
      </w:r>
      <w:r w:rsidRPr="00BF7ACA">
        <w:rPr>
          <w:rStyle w:val="HideTWBExt"/>
          <w:b w:val="0"/>
        </w:rPr>
        <w:t>&lt;/NumAm&gt;</w:t>
      </w:r>
    </w:p>
    <w:p w14:paraId="40B78315" w14:textId="77777777" w:rsidR="00BF7ACA" w:rsidRPr="00BF7ACA" w:rsidRDefault="00BF7ACA" w:rsidP="00BF7ACA">
      <w:pPr>
        <w:pStyle w:val="NormalBold"/>
      </w:pPr>
      <w:r w:rsidRPr="00BF7ACA">
        <w:rPr>
          <w:rStyle w:val="HideTWBExt"/>
          <w:b w:val="0"/>
        </w:rPr>
        <w:t>&lt;RepeatBlock-By&gt;&lt;Members&gt;</w:t>
      </w:r>
      <w:r w:rsidRPr="00BF7ACA">
        <w:t>Eduard Kukan</w:t>
      </w:r>
      <w:r w:rsidRPr="00BF7ACA">
        <w:rPr>
          <w:rStyle w:val="HideTWBExt"/>
          <w:b w:val="0"/>
        </w:rPr>
        <w:t>&lt;/Members&gt;</w:t>
      </w:r>
    </w:p>
    <w:p w14:paraId="5B2C8CBA" w14:textId="77777777" w:rsidR="00BF7ACA" w:rsidRPr="005A5903" w:rsidRDefault="00BF7ACA" w:rsidP="00BF7ACA">
      <w:r>
        <w:rPr>
          <w:rStyle w:val="HideTWBExt"/>
        </w:rPr>
        <w:t>&lt;/RepeatBlock-By&gt;</w:t>
      </w:r>
    </w:p>
    <w:p w14:paraId="571F9C14"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72B3834E" w14:textId="77777777" w:rsidR="00BF7ACA" w:rsidRPr="005A5903" w:rsidRDefault="00BF7ACA" w:rsidP="00BF7ACA">
      <w:pPr>
        <w:pStyle w:val="NormalBold"/>
      </w:pPr>
      <w:r>
        <w:rPr>
          <w:rStyle w:val="HideTWBExt"/>
          <w:b w:val="0"/>
        </w:rPr>
        <w:t>&lt;Article&gt;</w:t>
      </w:r>
      <w:r w:rsidRPr="0019144F">
        <w:t>Considérant 14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6D9810D8" w14:textId="77777777" w:rsidTr="007924BE">
        <w:trPr>
          <w:jc w:val="center"/>
        </w:trPr>
        <w:tc>
          <w:tcPr>
            <w:tcW w:w="9752" w:type="dxa"/>
            <w:gridSpan w:val="2"/>
          </w:tcPr>
          <w:p w14:paraId="6BC13195" w14:textId="77777777" w:rsidR="00BF7ACA" w:rsidRPr="005A5903" w:rsidRDefault="00BF7ACA" w:rsidP="007924BE">
            <w:pPr>
              <w:keepNext/>
            </w:pPr>
          </w:p>
        </w:tc>
      </w:tr>
      <w:tr w:rsidR="00BF7ACA" w:rsidRPr="005A5903" w14:paraId="61F3A77C" w14:textId="77777777" w:rsidTr="007924BE">
        <w:trPr>
          <w:jc w:val="center"/>
        </w:trPr>
        <w:tc>
          <w:tcPr>
            <w:tcW w:w="4876" w:type="dxa"/>
            <w:hideMark/>
          </w:tcPr>
          <w:p w14:paraId="7DCB2813" w14:textId="77777777" w:rsidR="00BF7ACA" w:rsidRPr="0019144F" w:rsidRDefault="00BF7ACA" w:rsidP="007924BE">
            <w:pPr>
              <w:pStyle w:val="ColumnHeading"/>
              <w:keepNext/>
            </w:pPr>
            <w:r w:rsidRPr="0019144F">
              <w:t>Texte proposé par la Commission</w:t>
            </w:r>
          </w:p>
        </w:tc>
        <w:tc>
          <w:tcPr>
            <w:tcW w:w="4876" w:type="dxa"/>
            <w:hideMark/>
          </w:tcPr>
          <w:p w14:paraId="75CD599C" w14:textId="77777777" w:rsidR="00BF7ACA" w:rsidRPr="0019144F" w:rsidRDefault="00BF7ACA" w:rsidP="007924BE">
            <w:pPr>
              <w:pStyle w:val="ColumnHeading"/>
              <w:keepNext/>
            </w:pPr>
            <w:r w:rsidRPr="0019144F">
              <w:t>Amendement</w:t>
            </w:r>
          </w:p>
        </w:tc>
      </w:tr>
      <w:tr w:rsidR="00BF7ACA" w:rsidRPr="005A5903" w14:paraId="02B10BF0" w14:textId="77777777" w:rsidTr="007924BE">
        <w:trPr>
          <w:jc w:val="center"/>
        </w:trPr>
        <w:tc>
          <w:tcPr>
            <w:tcW w:w="4876" w:type="dxa"/>
            <w:hideMark/>
          </w:tcPr>
          <w:p w14:paraId="5B6D3CF3" w14:textId="77777777" w:rsidR="00BF7ACA" w:rsidRPr="0019144F" w:rsidRDefault="00BF7ACA" w:rsidP="007924BE">
            <w:pPr>
              <w:pStyle w:val="Normal6"/>
            </w:pPr>
            <w:r w:rsidRPr="0019144F">
              <w:t>(14)</w:t>
            </w:r>
            <w:r>
              <w:tab/>
            </w:r>
            <w:r w:rsidRPr="0019144F">
              <w:t>En vue d</w:t>
            </w:r>
            <w:r>
              <w:t>’</w:t>
            </w:r>
            <w:r w:rsidRPr="0019144F">
              <w:t>accroître l</w:t>
            </w:r>
            <w:r>
              <w:t>’</w:t>
            </w:r>
            <w:r w:rsidRPr="0019144F">
              <w:t>impact de la garantie FEDD eu égard aux besoins des régions concernées, les États membres devraient avoir la possibilité de fournir des contributions sous forme de liquidités ou d</w:t>
            </w:r>
            <w:r>
              <w:t>’</w:t>
            </w:r>
            <w:r w:rsidRPr="0019144F">
              <w:t>une garantie. Ces contributions pourraient être affectées par région, par secteur ou par volet d</w:t>
            </w:r>
            <w:r>
              <w:t>’</w:t>
            </w:r>
            <w:r w:rsidRPr="0019144F">
              <w:t>investissement.</w:t>
            </w:r>
          </w:p>
        </w:tc>
        <w:tc>
          <w:tcPr>
            <w:tcW w:w="4876" w:type="dxa"/>
            <w:hideMark/>
          </w:tcPr>
          <w:p w14:paraId="08C82E9E" w14:textId="77777777" w:rsidR="00BF7ACA" w:rsidRPr="0019144F" w:rsidRDefault="00BF7ACA" w:rsidP="007924BE">
            <w:pPr>
              <w:pStyle w:val="Normal6"/>
              <w:rPr>
                <w:szCs w:val="24"/>
              </w:rPr>
            </w:pPr>
            <w:r w:rsidRPr="0019144F">
              <w:t>(14)</w:t>
            </w:r>
            <w:r>
              <w:tab/>
            </w:r>
            <w:r w:rsidRPr="0019144F">
              <w:t>En vue d</w:t>
            </w:r>
            <w:r>
              <w:t>’</w:t>
            </w:r>
            <w:r w:rsidRPr="0019144F">
              <w:t>accroître l</w:t>
            </w:r>
            <w:r>
              <w:t>’</w:t>
            </w:r>
            <w:r w:rsidRPr="0019144F">
              <w:t>impact de la garantie FEDD eu égard aux besoins des régions concernées, les États membres devraient avoir la possibilité de fournir des contributions sous forme de liquidités ou d</w:t>
            </w:r>
            <w:r>
              <w:t>’</w:t>
            </w:r>
            <w:r w:rsidRPr="0019144F">
              <w:t xml:space="preserve">une garantie. Ces contributions pourraient être affectées par région, </w:t>
            </w:r>
            <w:r w:rsidRPr="0019144F">
              <w:rPr>
                <w:b/>
                <w:i/>
              </w:rPr>
              <w:t>par</w:t>
            </w:r>
            <w:r w:rsidRPr="0019144F">
              <w:t xml:space="preserve"> </w:t>
            </w:r>
            <w:r w:rsidRPr="0019144F">
              <w:rPr>
                <w:b/>
                <w:i/>
              </w:rPr>
              <w:t xml:space="preserve">pays, </w:t>
            </w:r>
            <w:r w:rsidRPr="0019144F">
              <w:t>par</w:t>
            </w:r>
            <w:r w:rsidRPr="0019144F">
              <w:rPr>
                <w:b/>
                <w:i/>
              </w:rPr>
              <w:t xml:space="preserve"> </w:t>
            </w:r>
            <w:r w:rsidRPr="0019144F">
              <w:t>secteur ou par volet d</w:t>
            </w:r>
            <w:r>
              <w:t>’</w:t>
            </w:r>
            <w:r w:rsidRPr="0019144F">
              <w:t>investissement.</w:t>
            </w:r>
          </w:p>
        </w:tc>
      </w:tr>
    </w:tbl>
    <w:p w14:paraId="5D23B3ED"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DBA7EB7" w14:textId="77777777" w:rsidR="00BF7ACA" w:rsidRPr="00BF7ACA" w:rsidRDefault="00BF7ACA" w:rsidP="00BF7ACA">
      <w:r w:rsidRPr="00BF7ACA">
        <w:rPr>
          <w:rStyle w:val="HideTWBExt"/>
        </w:rPr>
        <w:t>&lt;/Amend&gt;</w:t>
      </w:r>
    </w:p>
    <w:p w14:paraId="007B2A7E"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151</w:t>
      </w:r>
      <w:r w:rsidRPr="00BF7ACA">
        <w:rPr>
          <w:rStyle w:val="HideTWBExt"/>
          <w:b w:val="0"/>
        </w:rPr>
        <w:t>&lt;/NumAm&gt;</w:t>
      </w:r>
    </w:p>
    <w:p w14:paraId="1019D72D" w14:textId="77777777"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Jozo Radoš, Ilhan Kyuchyuk, Paavo Väyrynen</w:t>
      </w:r>
      <w:r w:rsidRPr="00BF7ACA">
        <w:rPr>
          <w:rStyle w:val="HideTWBExt"/>
          <w:b w:val="0"/>
        </w:rPr>
        <w:t>&lt;/Members&gt;</w:t>
      </w:r>
    </w:p>
    <w:p w14:paraId="4A60A40D" w14:textId="77777777" w:rsidR="00BF7ACA" w:rsidRPr="005A5903" w:rsidRDefault="00BF7ACA" w:rsidP="00BF7ACA">
      <w:r>
        <w:rPr>
          <w:rStyle w:val="HideTWBExt"/>
        </w:rPr>
        <w:t>&lt;/RepeatBlock-By&gt;</w:t>
      </w:r>
    </w:p>
    <w:p w14:paraId="78826FBB"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3F055BC2" w14:textId="77777777" w:rsidR="00BF7ACA" w:rsidRPr="005A5903" w:rsidRDefault="00BF7ACA" w:rsidP="00BF7ACA">
      <w:pPr>
        <w:pStyle w:val="NormalBold"/>
      </w:pPr>
      <w:r>
        <w:rPr>
          <w:rStyle w:val="HideTWBExt"/>
          <w:b w:val="0"/>
        </w:rPr>
        <w:t>&lt;Article&gt;</w:t>
      </w:r>
      <w:r w:rsidRPr="0019144F">
        <w:t>Considérant 15</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07999A46" w14:textId="77777777" w:rsidTr="007924BE">
        <w:trPr>
          <w:jc w:val="center"/>
        </w:trPr>
        <w:tc>
          <w:tcPr>
            <w:tcW w:w="9752" w:type="dxa"/>
            <w:gridSpan w:val="2"/>
          </w:tcPr>
          <w:p w14:paraId="4B9E0102" w14:textId="77777777" w:rsidR="00BF7ACA" w:rsidRPr="005A5903" w:rsidRDefault="00BF7ACA" w:rsidP="007924BE">
            <w:pPr>
              <w:keepNext/>
            </w:pPr>
          </w:p>
        </w:tc>
      </w:tr>
      <w:tr w:rsidR="00BF7ACA" w:rsidRPr="005A5903" w14:paraId="0ECC02E0" w14:textId="77777777" w:rsidTr="007924BE">
        <w:trPr>
          <w:jc w:val="center"/>
        </w:trPr>
        <w:tc>
          <w:tcPr>
            <w:tcW w:w="4876" w:type="dxa"/>
            <w:hideMark/>
          </w:tcPr>
          <w:p w14:paraId="2AC01C2A" w14:textId="77777777" w:rsidR="00BF7ACA" w:rsidRPr="0019144F" w:rsidRDefault="00BF7ACA" w:rsidP="007924BE">
            <w:pPr>
              <w:pStyle w:val="ColumnHeading"/>
              <w:keepNext/>
            </w:pPr>
            <w:r w:rsidRPr="0019144F">
              <w:t>Texte proposé par la Commission</w:t>
            </w:r>
          </w:p>
        </w:tc>
        <w:tc>
          <w:tcPr>
            <w:tcW w:w="4876" w:type="dxa"/>
            <w:hideMark/>
          </w:tcPr>
          <w:p w14:paraId="27053B98" w14:textId="77777777" w:rsidR="00BF7ACA" w:rsidRPr="0019144F" w:rsidRDefault="00BF7ACA" w:rsidP="007924BE">
            <w:pPr>
              <w:pStyle w:val="ColumnHeading"/>
              <w:keepNext/>
            </w:pPr>
            <w:r w:rsidRPr="0019144F">
              <w:t>Amendement</w:t>
            </w:r>
          </w:p>
        </w:tc>
      </w:tr>
      <w:tr w:rsidR="00BF7ACA" w:rsidRPr="005A5903" w14:paraId="389B2035" w14:textId="77777777" w:rsidTr="007924BE">
        <w:trPr>
          <w:jc w:val="center"/>
        </w:trPr>
        <w:tc>
          <w:tcPr>
            <w:tcW w:w="4876" w:type="dxa"/>
            <w:hideMark/>
          </w:tcPr>
          <w:p w14:paraId="4396F7E2" w14:textId="77777777" w:rsidR="00BF7ACA" w:rsidRPr="0019144F" w:rsidRDefault="00BF7ACA" w:rsidP="007924BE">
            <w:pPr>
              <w:pStyle w:val="Normal6"/>
            </w:pPr>
            <w:r w:rsidRPr="0019144F">
              <w:t>(15)</w:t>
            </w:r>
            <w:r>
              <w:tab/>
            </w:r>
            <w:r w:rsidRPr="0019144F">
              <w:t>Les fonds du FED devant être utilisés pour les pays éligibles au titre du 11</w:t>
            </w:r>
            <w:r w:rsidRPr="0019144F">
              <w:rPr>
                <w:vertAlign w:val="superscript"/>
              </w:rPr>
              <w:t>e</w:t>
            </w:r>
            <w:r w:rsidRPr="0019144F">
              <w:t> Fonds européen de développement (FED)</w:t>
            </w:r>
            <w:r w:rsidRPr="0019144F">
              <w:rPr>
                <w:vertAlign w:val="superscript"/>
              </w:rPr>
              <w:t>25</w:t>
            </w:r>
            <w:r w:rsidRPr="0019144F">
              <w:t>, un montant minimal de 400 000 000 EUR au titre de la garantie FEDD doit être alloué pour les investissements tout au long de la période de mise en œuvre de la garantie FEDD. Cette dernière ne devrait être mise à disposition que lorsque les 400 000 000 EUR au titre du 11</w:t>
            </w:r>
            <w:r w:rsidRPr="0019144F">
              <w:rPr>
                <w:vertAlign w:val="superscript"/>
              </w:rPr>
              <w:t>e</w:t>
            </w:r>
            <w:r w:rsidRPr="0019144F">
              <w:t> FED ont été alloués au fonds de garantie FEDD.</w:t>
            </w:r>
          </w:p>
        </w:tc>
        <w:tc>
          <w:tcPr>
            <w:tcW w:w="4876" w:type="dxa"/>
            <w:hideMark/>
          </w:tcPr>
          <w:p w14:paraId="11B06EE6" w14:textId="77777777" w:rsidR="00BF7ACA" w:rsidRPr="0019144F" w:rsidRDefault="00BF7ACA" w:rsidP="007924BE">
            <w:pPr>
              <w:pStyle w:val="Normal6"/>
              <w:rPr>
                <w:szCs w:val="24"/>
              </w:rPr>
            </w:pPr>
            <w:r w:rsidRPr="0019144F">
              <w:t>(15)</w:t>
            </w:r>
            <w:r>
              <w:tab/>
            </w:r>
            <w:r w:rsidRPr="0019144F">
              <w:t>Les fonds du FED devant être utilisés pour les pays éligibles au titre du 11</w:t>
            </w:r>
            <w:r w:rsidRPr="0019144F">
              <w:rPr>
                <w:vertAlign w:val="superscript"/>
              </w:rPr>
              <w:t>e</w:t>
            </w:r>
            <w:r w:rsidRPr="0019144F">
              <w:t> Fonds européen de développement (FED)</w:t>
            </w:r>
            <w:r w:rsidRPr="0019144F">
              <w:rPr>
                <w:vertAlign w:val="superscript"/>
              </w:rPr>
              <w:t>25</w:t>
            </w:r>
            <w:r w:rsidRPr="0019144F">
              <w:t>, un montant minimal de 400 000 000 EUR au titre de la garantie FEDD doit être alloué pour les investissements tout au long de la période de mise en œuvre de la garantie FEDD. Cette dernière ne devrait être mise à disposition que lorsque les 400 000 000 EUR au titre du 11</w:t>
            </w:r>
            <w:r w:rsidRPr="0019144F">
              <w:rPr>
                <w:vertAlign w:val="superscript"/>
              </w:rPr>
              <w:t>e</w:t>
            </w:r>
            <w:r w:rsidRPr="0019144F">
              <w:t xml:space="preserve"> FED ont été alloués au fonds de garantie FEDD. </w:t>
            </w:r>
            <w:r w:rsidRPr="0019144F">
              <w:rPr>
                <w:b/>
                <w:i/>
              </w:rPr>
              <w:t>Les fonds du FED devant être utilisés, la garantie FEDD devrait comprendre des investissements dans les domaines dont les fonds initiaux ont été réaffectés. Les engagements consistant à veiller à ce que le financement du FED soit éligible à l</w:t>
            </w:r>
            <w:r>
              <w:rPr>
                <w:b/>
                <w:i/>
              </w:rPr>
              <w:t>’</w:t>
            </w:r>
            <w:r w:rsidRPr="0019144F">
              <w:rPr>
                <w:b/>
                <w:i/>
              </w:rPr>
              <w:t>APD ainsi que les décisions prises par la suite par le CAD de l</w:t>
            </w:r>
            <w:r>
              <w:rPr>
                <w:b/>
                <w:i/>
              </w:rPr>
              <w:t>’</w:t>
            </w:r>
            <w:r w:rsidRPr="0019144F">
              <w:rPr>
                <w:b/>
                <w:i/>
              </w:rPr>
              <w:t>OCDE concernant les instruments du secteur privé doivent être respectés.</w:t>
            </w:r>
          </w:p>
        </w:tc>
      </w:tr>
      <w:tr w:rsidR="00BF7ACA" w:rsidRPr="005A5903" w14:paraId="1853AE87" w14:textId="77777777" w:rsidTr="007924BE">
        <w:trPr>
          <w:jc w:val="center"/>
        </w:trPr>
        <w:tc>
          <w:tcPr>
            <w:tcW w:w="4876" w:type="dxa"/>
            <w:hideMark/>
          </w:tcPr>
          <w:p w14:paraId="322F6300" w14:textId="77777777" w:rsidR="00BF7ACA" w:rsidRPr="0019144F" w:rsidRDefault="00BF7ACA" w:rsidP="007924BE">
            <w:pPr>
              <w:pStyle w:val="Normal6"/>
            </w:pPr>
            <w:r w:rsidRPr="0019144F">
              <w:t>__________________</w:t>
            </w:r>
          </w:p>
        </w:tc>
        <w:tc>
          <w:tcPr>
            <w:tcW w:w="4876" w:type="dxa"/>
            <w:hideMark/>
          </w:tcPr>
          <w:p w14:paraId="5EF5D75B" w14:textId="77777777" w:rsidR="00BF7ACA" w:rsidRPr="0019144F" w:rsidRDefault="00BF7ACA" w:rsidP="007924BE">
            <w:pPr>
              <w:pStyle w:val="Normal6"/>
              <w:rPr>
                <w:szCs w:val="24"/>
              </w:rPr>
            </w:pPr>
            <w:r w:rsidRPr="0019144F">
              <w:t>__________________</w:t>
            </w:r>
          </w:p>
        </w:tc>
      </w:tr>
      <w:tr w:rsidR="00BF7ACA" w:rsidRPr="005A5903" w14:paraId="7D138053" w14:textId="77777777" w:rsidTr="007924BE">
        <w:trPr>
          <w:jc w:val="center"/>
        </w:trPr>
        <w:tc>
          <w:tcPr>
            <w:tcW w:w="4876" w:type="dxa"/>
            <w:hideMark/>
          </w:tcPr>
          <w:p w14:paraId="5D5B3D2B" w14:textId="77777777" w:rsidR="00BF7ACA" w:rsidRPr="0019144F" w:rsidRDefault="00BF7ACA" w:rsidP="007924BE">
            <w:pPr>
              <w:pStyle w:val="Normal6"/>
            </w:pPr>
            <w:r w:rsidRPr="0019144F">
              <w:rPr>
                <w:vertAlign w:val="superscript"/>
              </w:rPr>
              <w:t>25</w:t>
            </w:r>
            <w:r w:rsidRPr="0019144F">
              <w:t xml:space="preserve"> Accord interne entre les représentants des gouvernements des États membres de l</w:t>
            </w:r>
            <w:r>
              <w:t>’</w:t>
            </w:r>
            <w:r w:rsidRPr="0019144F">
              <w:t>Union européenne, réunis au sein du Conseil, relatif au financement de l</w:t>
            </w:r>
            <w:r>
              <w:t>’</w:t>
            </w:r>
            <w:r w:rsidRPr="0019144F">
              <w:t>aide de l</w:t>
            </w:r>
            <w:r>
              <w:t>’</w:t>
            </w:r>
            <w:r w:rsidRPr="0019144F">
              <w:t>Union européenne au titre du cadre financier pluriannuel pour la période 2014</w:t>
            </w:r>
            <w:r>
              <w:noBreakHyphen/>
            </w:r>
            <w:r w:rsidRPr="0019144F">
              <w:t>2020 conformément à l</w:t>
            </w:r>
            <w:r>
              <w:t>’</w:t>
            </w:r>
            <w:r w:rsidRPr="0019144F">
              <w:t>accord de partenariat ACP-UE et à l</w:t>
            </w:r>
            <w:r>
              <w:t>’</w:t>
            </w:r>
            <w:r w:rsidRPr="0019144F">
              <w:t>affectation des aides financières destinées aux pays et territoires d</w:t>
            </w:r>
            <w:r>
              <w:t>’</w:t>
            </w:r>
            <w:r w:rsidRPr="0019144F">
              <w:t>outre-mer auxquels s</w:t>
            </w:r>
            <w:r>
              <w:t>’</w:t>
            </w:r>
            <w:r w:rsidRPr="0019144F">
              <w:t>appliquent les dispositions de la quatrième partie du traité sur le fonctionnement de l</w:t>
            </w:r>
            <w:r>
              <w:t>’</w:t>
            </w:r>
            <w:r w:rsidRPr="0019144F">
              <w:t>Union européenne, JO L 210 du 6.8.2013, p. 1.</w:t>
            </w:r>
          </w:p>
        </w:tc>
        <w:tc>
          <w:tcPr>
            <w:tcW w:w="4876" w:type="dxa"/>
            <w:hideMark/>
          </w:tcPr>
          <w:p w14:paraId="10468971" w14:textId="77777777" w:rsidR="00BF7ACA" w:rsidRPr="0019144F" w:rsidRDefault="00BF7ACA" w:rsidP="007924BE">
            <w:pPr>
              <w:pStyle w:val="Normal6"/>
              <w:rPr>
                <w:szCs w:val="24"/>
              </w:rPr>
            </w:pPr>
            <w:r w:rsidRPr="0019144F">
              <w:rPr>
                <w:vertAlign w:val="superscript"/>
              </w:rPr>
              <w:t>25</w:t>
            </w:r>
            <w:r w:rsidRPr="0019144F">
              <w:t xml:space="preserve"> Accord interne entre les représentants des gouvernements des États membres de l</w:t>
            </w:r>
            <w:r>
              <w:t>’</w:t>
            </w:r>
            <w:r w:rsidRPr="0019144F">
              <w:t>Union européenne, réunis au sein du Conseil, relatif au financement de l</w:t>
            </w:r>
            <w:r>
              <w:t>’</w:t>
            </w:r>
            <w:r w:rsidRPr="0019144F">
              <w:t>aide de l</w:t>
            </w:r>
            <w:r>
              <w:t>’</w:t>
            </w:r>
            <w:r w:rsidRPr="0019144F">
              <w:t>Union européenne au titre du cadre financier pluriannuel pour la période 2014</w:t>
            </w:r>
            <w:r>
              <w:noBreakHyphen/>
            </w:r>
            <w:r w:rsidRPr="0019144F">
              <w:t>2020 conformément à l</w:t>
            </w:r>
            <w:r>
              <w:t>’</w:t>
            </w:r>
            <w:r w:rsidRPr="0019144F">
              <w:t>accord de partenariat ACP-UE et à l</w:t>
            </w:r>
            <w:r>
              <w:t>’</w:t>
            </w:r>
            <w:r w:rsidRPr="0019144F">
              <w:t>affectation des aides financières destinées aux pays et territoires d</w:t>
            </w:r>
            <w:r>
              <w:t>’</w:t>
            </w:r>
            <w:r w:rsidRPr="0019144F">
              <w:t>outre-mer auxquels s</w:t>
            </w:r>
            <w:r>
              <w:t>’</w:t>
            </w:r>
            <w:r w:rsidRPr="0019144F">
              <w:t>appliquent les dispositions de la quatrième partie du traité sur le fonctionnement de l</w:t>
            </w:r>
            <w:r>
              <w:t>’</w:t>
            </w:r>
            <w:r w:rsidRPr="0019144F">
              <w:t>Union européenne, JO L 210 du 6.8.2013, p. 1.</w:t>
            </w:r>
          </w:p>
        </w:tc>
      </w:tr>
    </w:tbl>
    <w:p w14:paraId="702EECE8"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3436AC1" w14:textId="77777777" w:rsidR="00BF7ACA" w:rsidRPr="00BF7ACA" w:rsidRDefault="00BF7ACA" w:rsidP="00BF7ACA">
      <w:r w:rsidRPr="00BF7ACA">
        <w:rPr>
          <w:rStyle w:val="HideTWBExt"/>
        </w:rPr>
        <w:t>&lt;/Amend&gt;</w:t>
      </w:r>
    </w:p>
    <w:p w14:paraId="4C648E5F"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152</w:t>
      </w:r>
      <w:r w:rsidRPr="00BF7ACA">
        <w:rPr>
          <w:rStyle w:val="HideTWBExt"/>
          <w:b w:val="0"/>
        </w:rPr>
        <w:t>&lt;/NumAm&gt;</w:t>
      </w:r>
    </w:p>
    <w:p w14:paraId="48B6B411" w14:textId="77777777"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14:paraId="2426DD0C" w14:textId="77777777" w:rsidR="00BF7ACA" w:rsidRPr="005A5903" w:rsidRDefault="00BF7ACA" w:rsidP="00BF7ACA">
      <w:r>
        <w:rPr>
          <w:rStyle w:val="HideTWBExt"/>
        </w:rPr>
        <w:t>&lt;/RepeatBlock-By&gt;</w:t>
      </w:r>
    </w:p>
    <w:p w14:paraId="01FAEC48"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12472E3F" w14:textId="77777777" w:rsidR="00BF7ACA" w:rsidRPr="005A5903" w:rsidRDefault="00BF7ACA" w:rsidP="00BF7ACA">
      <w:pPr>
        <w:pStyle w:val="NormalBold"/>
      </w:pPr>
      <w:r>
        <w:rPr>
          <w:rStyle w:val="HideTWBExt"/>
          <w:b w:val="0"/>
        </w:rPr>
        <w:t>&lt;Article&gt;</w:t>
      </w:r>
      <w:r w:rsidRPr="0019144F">
        <w:t>Considérant 15</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755C9EB0" w14:textId="77777777" w:rsidTr="007924BE">
        <w:trPr>
          <w:jc w:val="center"/>
        </w:trPr>
        <w:tc>
          <w:tcPr>
            <w:tcW w:w="9752" w:type="dxa"/>
            <w:gridSpan w:val="2"/>
          </w:tcPr>
          <w:p w14:paraId="4FC5E12F" w14:textId="77777777" w:rsidR="00BF7ACA" w:rsidRPr="005A5903" w:rsidRDefault="00BF7ACA" w:rsidP="007924BE">
            <w:pPr>
              <w:keepNext/>
            </w:pPr>
          </w:p>
        </w:tc>
      </w:tr>
      <w:tr w:rsidR="00BF7ACA" w:rsidRPr="005A5903" w14:paraId="5D8A9C65" w14:textId="77777777" w:rsidTr="007924BE">
        <w:trPr>
          <w:jc w:val="center"/>
        </w:trPr>
        <w:tc>
          <w:tcPr>
            <w:tcW w:w="4876" w:type="dxa"/>
            <w:hideMark/>
          </w:tcPr>
          <w:p w14:paraId="7D40C53D" w14:textId="77777777" w:rsidR="00BF7ACA" w:rsidRPr="0019144F" w:rsidRDefault="00BF7ACA" w:rsidP="007924BE">
            <w:pPr>
              <w:pStyle w:val="ColumnHeading"/>
              <w:keepNext/>
            </w:pPr>
            <w:r w:rsidRPr="0019144F">
              <w:t>Texte proposé par la Commission</w:t>
            </w:r>
          </w:p>
        </w:tc>
        <w:tc>
          <w:tcPr>
            <w:tcW w:w="4876" w:type="dxa"/>
            <w:hideMark/>
          </w:tcPr>
          <w:p w14:paraId="38DBA661" w14:textId="77777777" w:rsidR="00BF7ACA" w:rsidRPr="0019144F" w:rsidRDefault="00BF7ACA" w:rsidP="007924BE">
            <w:pPr>
              <w:pStyle w:val="ColumnHeading"/>
              <w:keepNext/>
            </w:pPr>
            <w:r w:rsidRPr="0019144F">
              <w:t>Amendement</w:t>
            </w:r>
          </w:p>
        </w:tc>
      </w:tr>
      <w:tr w:rsidR="00BF7ACA" w:rsidRPr="005A5903" w14:paraId="596FD907" w14:textId="77777777" w:rsidTr="007924BE">
        <w:trPr>
          <w:jc w:val="center"/>
        </w:trPr>
        <w:tc>
          <w:tcPr>
            <w:tcW w:w="4876" w:type="dxa"/>
            <w:hideMark/>
          </w:tcPr>
          <w:p w14:paraId="299EC1A2" w14:textId="77777777" w:rsidR="00BF7ACA" w:rsidRPr="0019144F" w:rsidRDefault="00BF7ACA" w:rsidP="007924BE">
            <w:pPr>
              <w:pStyle w:val="Normal6"/>
            </w:pPr>
            <w:r w:rsidRPr="0019144F">
              <w:t>(15)</w:t>
            </w:r>
            <w:r>
              <w:tab/>
            </w:r>
            <w:r w:rsidRPr="0019144F">
              <w:t>Les fonds du FED devant être utilisés pour les pays éligibles au titre du 11</w:t>
            </w:r>
            <w:r w:rsidRPr="0019144F">
              <w:rPr>
                <w:vertAlign w:val="superscript"/>
              </w:rPr>
              <w:t>e</w:t>
            </w:r>
            <w:r w:rsidRPr="0019144F">
              <w:t> Fonds européen de développement (FED)</w:t>
            </w:r>
            <w:r w:rsidRPr="0019144F">
              <w:rPr>
                <w:vertAlign w:val="superscript"/>
              </w:rPr>
              <w:t>25</w:t>
            </w:r>
            <w:r w:rsidRPr="0019144F">
              <w:t xml:space="preserve">, un montant minimal de 400 000 000 EUR au titre de la garantie FEDD doit être alloué pour les investissements tout au long de la période de mise en œuvre de la garantie FEDD. Cette dernière ne devrait être mise à disposition que </w:t>
            </w:r>
            <w:r w:rsidRPr="0019144F">
              <w:rPr>
                <w:b/>
                <w:i/>
              </w:rPr>
              <w:t>lorsque les</w:t>
            </w:r>
            <w:r w:rsidRPr="0019144F">
              <w:t xml:space="preserve"> 400 000 000 EUR au titre du 11</w:t>
            </w:r>
            <w:r w:rsidRPr="0019144F">
              <w:rPr>
                <w:vertAlign w:val="superscript"/>
              </w:rPr>
              <w:t>e</w:t>
            </w:r>
            <w:r w:rsidRPr="0019144F">
              <w:t> FED</w:t>
            </w:r>
            <w:r w:rsidRPr="0019144F">
              <w:rPr>
                <w:b/>
                <w:i/>
              </w:rPr>
              <w:t xml:space="preserve"> ont été alloués</w:t>
            </w:r>
            <w:r w:rsidRPr="0019144F">
              <w:t xml:space="preserve"> au fonds de garantie FEDD.</w:t>
            </w:r>
          </w:p>
        </w:tc>
        <w:tc>
          <w:tcPr>
            <w:tcW w:w="4876" w:type="dxa"/>
            <w:hideMark/>
          </w:tcPr>
          <w:p w14:paraId="4A772FC1" w14:textId="77777777" w:rsidR="00BF7ACA" w:rsidRPr="0019144F" w:rsidRDefault="00BF7ACA" w:rsidP="007924BE">
            <w:pPr>
              <w:pStyle w:val="Normal6"/>
              <w:rPr>
                <w:szCs w:val="24"/>
              </w:rPr>
            </w:pPr>
            <w:r w:rsidRPr="0019144F">
              <w:t>(15)</w:t>
            </w:r>
            <w:r>
              <w:tab/>
            </w:r>
            <w:r w:rsidRPr="0019144F">
              <w:t>Les fonds du FED devant être utilisés pour les pays éligibles au titre du 11</w:t>
            </w:r>
            <w:r w:rsidRPr="0019144F">
              <w:rPr>
                <w:vertAlign w:val="superscript"/>
              </w:rPr>
              <w:t>e</w:t>
            </w:r>
            <w:r w:rsidRPr="0019144F">
              <w:t> Fonds européen de développement (FED)</w:t>
            </w:r>
            <w:r w:rsidRPr="0019144F">
              <w:rPr>
                <w:vertAlign w:val="superscript"/>
              </w:rPr>
              <w:t>25</w:t>
            </w:r>
            <w:r w:rsidRPr="0019144F">
              <w:t xml:space="preserve">, un montant minimal de 400 000 000 EUR au titre de la garantie FEDD doit être alloué pour les investissements tout au long de la période de mise en œuvre de la garantie FEDD. Cette dernière ne devrait être mise à disposition que </w:t>
            </w:r>
            <w:r w:rsidRPr="0019144F">
              <w:rPr>
                <w:b/>
                <w:i/>
              </w:rPr>
              <w:t>lorsqu</w:t>
            </w:r>
            <w:r>
              <w:rPr>
                <w:b/>
                <w:i/>
              </w:rPr>
              <w:t>’</w:t>
            </w:r>
            <w:r w:rsidRPr="0019144F">
              <w:rPr>
                <w:b/>
                <w:i/>
              </w:rPr>
              <w:t>une contribution de</w:t>
            </w:r>
            <w:r w:rsidRPr="0019144F">
              <w:t xml:space="preserve"> 400 000 000 EUR</w:t>
            </w:r>
            <w:r w:rsidRPr="0019144F">
              <w:rPr>
                <w:b/>
                <w:i/>
              </w:rPr>
              <w:t>,</w:t>
            </w:r>
            <w:r w:rsidRPr="0019144F">
              <w:t xml:space="preserve"> au titre du 11</w:t>
            </w:r>
            <w:r w:rsidRPr="0019144F">
              <w:rPr>
                <w:vertAlign w:val="superscript"/>
              </w:rPr>
              <w:t>e</w:t>
            </w:r>
            <w:r w:rsidRPr="0019144F">
              <w:t> FED</w:t>
            </w:r>
            <w:r w:rsidRPr="0019144F">
              <w:rPr>
                <w:b/>
                <w:i/>
              </w:rPr>
              <w:t>,</w:t>
            </w:r>
            <w:r w:rsidRPr="0019144F">
              <w:t xml:space="preserve"> au fonds de garantie FEDD</w:t>
            </w:r>
            <w:r w:rsidRPr="0019144F">
              <w:rPr>
                <w:b/>
                <w:i/>
              </w:rPr>
              <w:t xml:space="preserve"> a été confirmée</w:t>
            </w:r>
            <w:r w:rsidRPr="0019144F">
              <w:t>.</w:t>
            </w:r>
          </w:p>
        </w:tc>
      </w:tr>
      <w:tr w:rsidR="00BF7ACA" w:rsidRPr="005A5903" w14:paraId="3B436892" w14:textId="77777777" w:rsidTr="007924BE">
        <w:trPr>
          <w:jc w:val="center"/>
        </w:trPr>
        <w:tc>
          <w:tcPr>
            <w:tcW w:w="4876" w:type="dxa"/>
            <w:hideMark/>
          </w:tcPr>
          <w:p w14:paraId="32E5BA2F" w14:textId="77777777" w:rsidR="00BF7ACA" w:rsidRPr="0019144F" w:rsidRDefault="00BF7ACA" w:rsidP="007924BE">
            <w:pPr>
              <w:pStyle w:val="Normal6"/>
            </w:pPr>
            <w:r w:rsidRPr="0019144F">
              <w:t>__________________</w:t>
            </w:r>
          </w:p>
        </w:tc>
        <w:tc>
          <w:tcPr>
            <w:tcW w:w="4876" w:type="dxa"/>
            <w:hideMark/>
          </w:tcPr>
          <w:p w14:paraId="32247258" w14:textId="77777777" w:rsidR="00BF7ACA" w:rsidRPr="0019144F" w:rsidRDefault="00BF7ACA" w:rsidP="007924BE">
            <w:pPr>
              <w:pStyle w:val="Normal6"/>
              <w:rPr>
                <w:szCs w:val="24"/>
              </w:rPr>
            </w:pPr>
            <w:r w:rsidRPr="0019144F">
              <w:t>__________________</w:t>
            </w:r>
          </w:p>
        </w:tc>
      </w:tr>
      <w:tr w:rsidR="00BF7ACA" w:rsidRPr="005A5903" w14:paraId="69DE383A" w14:textId="77777777" w:rsidTr="007924BE">
        <w:trPr>
          <w:jc w:val="center"/>
        </w:trPr>
        <w:tc>
          <w:tcPr>
            <w:tcW w:w="4876" w:type="dxa"/>
            <w:hideMark/>
          </w:tcPr>
          <w:p w14:paraId="240F7146" w14:textId="77777777" w:rsidR="00BF7ACA" w:rsidRPr="0019144F" w:rsidRDefault="00BF7ACA" w:rsidP="007924BE">
            <w:pPr>
              <w:pStyle w:val="Normal6"/>
            </w:pPr>
            <w:r w:rsidRPr="0019144F">
              <w:rPr>
                <w:vertAlign w:val="superscript"/>
              </w:rPr>
              <w:t>25</w:t>
            </w:r>
            <w:r w:rsidRPr="0019144F">
              <w:t xml:space="preserve"> Accord interne entre les représentants des gouvernements des États membres de l</w:t>
            </w:r>
            <w:r>
              <w:t>’</w:t>
            </w:r>
            <w:r w:rsidRPr="0019144F">
              <w:t>Union européenne, réunis au sein du Conseil, relatif au financement de l</w:t>
            </w:r>
            <w:r>
              <w:t>’</w:t>
            </w:r>
            <w:r w:rsidRPr="0019144F">
              <w:t>aide de l</w:t>
            </w:r>
            <w:r>
              <w:t>’</w:t>
            </w:r>
            <w:r w:rsidRPr="0019144F">
              <w:t>Union européenne au titre du cadre financier pluriannuel pour la période 2014</w:t>
            </w:r>
            <w:r>
              <w:noBreakHyphen/>
            </w:r>
            <w:r w:rsidRPr="0019144F">
              <w:t>2020 conformément à l</w:t>
            </w:r>
            <w:r>
              <w:t>’</w:t>
            </w:r>
            <w:r w:rsidRPr="0019144F">
              <w:t>accord de partenariat ACP-UE et à l</w:t>
            </w:r>
            <w:r>
              <w:t>’</w:t>
            </w:r>
            <w:r w:rsidRPr="0019144F">
              <w:t>affectation des aides financières destinées aux pays et territoires d</w:t>
            </w:r>
            <w:r>
              <w:t>’</w:t>
            </w:r>
            <w:r w:rsidRPr="0019144F">
              <w:t>outre-mer auxquels s</w:t>
            </w:r>
            <w:r>
              <w:t>’</w:t>
            </w:r>
            <w:r w:rsidRPr="0019144F">
              <w:t>appliquent les dispositions de la quatrième partie du traité sur le fonctionnement de l</w:t>
            </w:r>
            <w:r>
              <w:t>’</w:t>
            </w:r>
            <w:r w:rsidRPr="0019144F">
              <w:t>Union européenne, JO L 210 du 6.8.2013, p. 1.</w:t>
            </w:r>
          </w:p>
        </w:tc>
        <w:tc>
          <w:tcPr>
            <w:tcW w:w="4876" w:type="dxa"/>
            <w:hideMark/>
          </w:tcPr>
          <w:p w14:paraId="7F7941CC" w14:textId="77777777" w:rsidR="00BF7ACA" w:rsidRPr="0019144F" w:rsidRDefault="00BF7ACA" w:rsidP="007924BE">
            <w:pPr>
              <w:pStyle w:val="Normal6"/>
              <w:rPr>
                <w:szCs w:val="24"/>
              </w:rPr>
            </w:pPr>
            <w:r w:rsidRPr="0019144F">
              <w:rPr>
                <w:vertAlign w:val="superscript"/>
              </w:rPr>
              <w:t>25</w:t>
            </w:r>
            <w:r w:rsidRPr="0019144F">
              <w:t xml:space="preserve"> Accord interne entre les représentants des gouvernements des États membres de l</w:t>
            </w:r>
            <w:r>
              <w:t>’</w:t>
            </w:r>
            <w:r w:rsidRPr="0019144F">
              <w:t>Union européenne, réunis au sein du Conseil, relatif au financement de l</w:t>
            </w:r>
            <w:r>
              <w:t>’</w:t>
            </w:r>
            <w:r w:rsidRPr="0019144F">
              <w:t>aide de l</w:t>
            </w:r>
            <w:r>
              <w:t>’</w:t>
            </w:r>
            <w:r w:rsidRPr="0019144F">
              <w:t>Union européenne au titre du cadre financier pluriannuel pour la période 2014</w:t>
            </w:r>
            <w:r>
              <w:noBreakHyphen/>
            </w:r>
            <w:r w:rsidRPr="0019144F">
              <w:t>2020 conformément à l</w:t>
            </w:r>
            <w:r>
              <w:t>’</w:t>
            </w:r>
            <w:r w:rsidRPr="0019144F">
              <w:t>accord de partenariat ACP-UE et à l</w:t>
            </w:r>
            <w:r>
              <w:t>’</w:t>
            </w:r>
            <w:r w:rsidRPr="0019144F">
              <w:t>affectation des aides financières destinées aux pays et territoires d</w:t>
            </w:r>
            <w:r>
              <w:t>’</w:t>
            </w:r>
            <w:r w:rsidRPr="0019144F">
              <w:t>outre-mer auxquels s</w:t>
            </w:r>
            <w:r>
              <w:t>’</w:t>
            </w:r>
            <w:r w:rsidRPr="0019144F">
              <w:t>appliquent les dispositions de la quatrième partie du traité sur le fonctionnement de l</w:t>
            </w:r>
            <w:r>
              <w:t>’</w:t>
            </w:r>
            <w:r w:rsidRPr="0019144F">
              <w:t>Union européenne, JO L 210 du 6.8.2013, p. 1.</w:t>
            </w:r>
          </w:p>
        </w:tc>
      </w:tr>
    </w:tbl>
    <w:p w14:paraId="0D1FF27F"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DA6BB6B" w14:textId="77777777" w:rsidR="00BF7ACA" w:rsidRPr="00BF7ACA" w:rsidRDefault="00BF7ACA" w:rsidP="00BF7ACA">
      <w:r w:rsidRPr="00BF7ACA">
        <w:rPr>
          <w:rStyle w:val="HideTWBExt"/>
        </w:rPr>
        <w:t>&lt;/Amend&gt;</w:t>
      </w:r>
    </w:p>
    <w:p w14:paraId="3698540A"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153</w:t>
      </w:r>
      <w:r w:rsidRPr="00BF7ACA">
        <w:rPr>
          <w:rStyle w:val="HideTWBExt"/>
          <w:b w:val="0"/>
        </w:rPr>
        <w:t>&lt;/NumAm&gt;</w:t>
      </w:r>
    </w:p>
    <w:p w14:paraId="0CDCDFE9" w14:textId="77777777"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14:paraId="1086A864" w14:textId="77777777" w:rsidR="00BF7ACA" w:rsidRPr="005A5903" w:rsidRDefault="00BF7ACA" w:rsidP="00BF7ACA">
      <w:r>
        <w:rPr>
          <w:rStyle w:val="HideTWBExt"/>
        </w:rPr>
        <w:t>&lt;/RepeatBlock-By&gt;</w:t>
      </w:r>
    </w:p>
    <w:p w14:paraId="18F6C764"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4E4C109C" w14:textId="77777777" w:rsidR="00BF7ACA" w:rsidRPr="005A5903" w:rsidRDefault="00BF7ACA" w:rsidP="00BF7ACA">
      <w:pPr>
        <w:pStyle w:val="NormalBold"/>
      </w:pPr>
      <w:r>
        <w:rPr>
          <w:rStyle w:val="HideTWBExt"/>
          <w:b w:val="0"/>
        </w:rPr>
        <w:t>&lt;Article&gt;</w:t>
      </w:r>
      <w:r w:rsidRPr="0019144F">
        <w:t>Considérant 15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6762ECCC" w14:textId="77777777" w:rsidTr="007924BE">
        <w:trPr>
          <w:jc w:val="center"/>
        </w:trPr>
        <w:tc>
          <w:tcPr>
            <w:tcW w:w="9752" w:type="dxa"/>
            <w:gridSpan w:val="2"/>
          </w:tcPr>
          <w:p w14:paraId="5725FCDF" w14:textId="77777777" w:rsidR="00BF7ACA" w:rsidRPr="005A5903" w:rsidRDefault="00BF7ACA" w:rsidP="007924BE">
            <w:pPr>
              <w:keepNext/>
            </w:pPr>
          </w:p>
        </w:tc>
      </w:tr>
      <w:tr w:rsidR="00BF7ACA" w:rsidRPr="005A5903" w14:paraId="38247B7E" w14:textId="77777777" w:rsidTr="007924BE">
        <w:trPr>
          <w:jc w:val="center"/>
        </w:trPr>
        <w:tc>
          <w:tcPr>
            <w:tcW w:w="4876" w:type="dxa"/>
            <w:hideMark/>
          </w:tcPr>
          <w:p w14:paraId="59233CA1" w14:textId="77777777" w:rsidR="00BF7ACA" w:rsidRPr="0019144F" w:rsidRDefault="00BF7ACA" w:rsidP="007924BE">
            <w:pPr>
              <w:pStyle w:val="ColumnHeading"/>
              <w:keepNext/>
            </w:pPr>
            <w:r w:rsidRPr="0019144F">
              <w:t>Texte proposé par la Commission</w:t>
            </w:r>
          </w:p>
        </w:tc>
        <w:tc>
          <w:tcPr>
            <w:tcW w:w="4876" w:type="dxa"/>
            <w:hideMark/>
          </w:tcPr>
          <w:p w14:paraId="37D9C342" w14:textId="77777777" w:rsidR="00BF7ACA" w:rsidRPr="0019144F" w:rsidRDefault="00BF7ACA" w:rsidP="007924BE">
            <w:pPr>
              <w:pStyle w:val="ColumnHeading"/>
              <w:keepNext/>
            </w:pPr>
            <w:r w:rsidRPr="0019144F">
              <w:t>Amendement</w:t>
            </w:r>
          </w:p>
        </w:tc>
      </w:tr>
      <w:tr w:rsidR="00BF7ACA" w:rsidRPr="005A5903" w14:paraId="1CA88726" w14:textId="77777777" w:rsidTr="007924BE">
        <w:trPr>
          <w:jc w:val="center"/>
        </w:trPr>
        <w:tc>
          <w:tcPr>
            <w:tcW w:w="4876" w:type="dxa"/>
          </w:tcPr>
          <w:p w14:paraId="6AA2534F" w14:textId="77777777" w:rsidR="00BF7ACA" w:rsidRPr="0019144F" w:rsidRDefault="00BF7ACA" w:rsidP="007924BE">
            <w:pPr>
              <w:pStyle w:val="Normal6"/>
            </w:pPr>
          </w:p>
        </w:tc>
        <w:tc>
          <w:tcPr>
            <w:tcW w:w="4876" w:type="dxa"/>
            <w:hideMark/>
          </w:tcPr>
          <w:p w14:paraId="7062E2ED" w14:textId="77777777" w:rsidR="00BF7ACA" w:rsidRPr="0019144F" w:rsidRDefault="00BF7ACA" w:rsidP="007924BE">
            <w:pPr>
              <w:pStyle w:val="Normal6"/>
              <w:rPr>
                <w:szCs w:val="24"/>
              </w:rPr>
            </w:pPr>
            <w:r w:rsidRPr="0019144F">
              <w:rPr>
                <w:b/>
                <w:i/>
              </w:rPr>
              <w:t>(15 bis)</w:t>
            </w:r>
            <w:r>
              <w:tab/>
            </w:r>
            <w:r w:rsidRPr="0019144F">
              <w:rPr>
                <w:b/>
                <w:i/>
              </w:rPr>
              <w:t>Puisque les fonds de l</w:t>
            </w:r>
            <w:r>
              <w:rPr>
                <w:b/>
                <w:i/>
              </w:rPr>
              <w:t>’</w:t>
            </w:r>
            <w:r w:rsidRPr="0019144F">
              <w:rPr>
                <w:b/>
                <w:i/>
              </w:rPr>
              <w:t>instrument européen de voisinage, institué par le règlement (UE) nº 232/2014 du Parlement européen et du Conseil</w:t>
            </w:r>
            <w:r w:rsidRPr="0019144F">
              <w:rPr>
                <w:b/>
                <w:i/>
                <w:vertAlign w:val="superscript"/>
              </w:rPr>
              <w:t>1 bis</w:t>
            </w:r>
            <w:r w:rsidRPr="0019144F">
              <w:rPr>
                <w:b/>
                <w:i/>
              </w:rPr>
              <w:t>, doivent être util</w:t>
            </w:r>
            <w:r>
              <w:rPr>
                <w:b/>
                <w:i/>
              </w:rPr>
              <w:t>isés, un montant minimal de 200 000 000 </w:t>
            </w:r>
            <w:r w:rsidRPr="0019144F">
              <w:rPr>
                <w:b/>
                <w:i/>
              </w:rPr>
              <w:t>EUR au titre de la garantie FEDD doit être alloué pour les investissements dans les pays partenaires du voisinage tout au long de la période de mise en œuvre de la garantie FEDD.</w:t>
            </w:r>
          </w:p>
        </w:tc>
      </w:tr>
      <w:tr w:rsidR="00BF7ACA" w:rsidRPr="005A5903" w14:paraId="180B803C" w14:textId="77777777" w:rsidTr="007924BE">
        <w:trPr>
          <w:jc w:val="center"/>
        </w:trPr>
        <w:tc>
          <w:tcPr>
            <w:tcW w:w="4876" w:type="dxa"/>
          </w:tcPr>
          <w:p w14:paraId="085589C3" w14:textId="77777777" w:rsidR="00BF7ACA" w:rsidRPr="0019144F" w:rsidRDefault="00BF7ACA" w:rsidP="007924BE">
            <w:pPr>
              <w:pStyle w:val="Normal6"/>
            </w:pPr>
          </w:p>
        </w:tc>
        <w:tc>
          <w:tcPr>
            <w:tcW w:w="4876" w:type="dxa"/>
            <w:hideMark/>
          </w:tcPr>
          <w:p w14:paraId="54929FDB" w14:textId="77777777" w:rsidR="00BF7ACA" w:rsidRPr="0019144F" w:rsidRDefault="00BF7ACA" w:rsidP="007924BE">
            <w:pPr>
              <w:pStyle w:val="Normal6"/>
              <w:rPr>
                <w:szCs w:val="24"/>
              </w:rPr>
            </w:pPr>
            <w:r w:rsidRPr="0019144F">
              <w:rPr>
                <w:b/>
                <w:i/>
              </w:rPr>
              <w:t>__________________</w:t>
            </w:r>
          </w:p>
        </w:tc>
      </w:tr>
      <w:tr w:rsidR="00BF7ACA" w:rsidRPr="005A5903" w14:paraId="13AAA3DB" w14:textId="77777777" w:rsidTr="007924BE">
        <w:trPr>
          <w:jc w:val="center"/>
        </w:trPr>
        <w:tc>
          <w:tcPr>
            <w:tcW w:w="4876" w:type="dxa"/>
          </w:tcPr>
          <w:p w14:paraId="0C4331F3" w14:textId="77777777" w:rsidR="00BF7ACA" w:rsidRPr="0019144F" w:rsidRDefault="00BF7ACA" w:rsidP="007924BE">
            <w:pPr>
              <w:pStyle w:val="Normal6"/>
            </w:pPr>
          </w:p>
        </w:tc>
        <w:tc>
          <w:tcPr>
            <w:tcW w:w="4876" w:type="dxa"/>
            <w:hideMark/>
          </w:tcPr>
          <w:p w14:paraId="08DFFAF1" w14:textId="77777777" w:rsidR="00BF7ACA" w:rsidRPr="0019144F" w:rsidRDefault="00BF7ACA" w:rsidP="007924BE">
            <w:pPr>
              <w:pStyle w:val="Normal6"/>
              <w:rPr>
                <w:szCs w:val="24"/>
              </w:rPr>
            </w:pPr>
            <w:r w:rsidRPr="0019144F">
              <w:rPr>
                <w:b/>
                <w:i/>
                <w:vertAlign w:val="superscript"/>
              </w:rPr>
              <w:t>1 bis</w:t>
            </w:r>
            <w:r w:rsidRPr="0019144F">
              <w:t xml:space="preserve"> </w:t>
            </w:r>
            <w:r w:rsidRPr="0019144F">
              <w:rPr>
                <w:b/>
                <w:i/>
              </w:rPr>
              <w:t>Règlement (UE) nº 232/2014 du Parlement européen et du Conseil du 11 mars 2014 instituant un instrument européen de voisinage (JO L 77 du 15.3.2014, p. 27).</w:t>
            </w:r>
          </w:p>
        </w:tc>
      </w:tr>
    </w:tbl>
    <w:p w14:paraId="145CB3CC"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36A452B" w14:textId="77777777" w:rsidR="00BF7ACA" w:rsidRPr="00BF7ACA" w:rsidRDefault="00BF7ACA" w:rsidP="00BF7ACA">
      <w:r w:rsidRPr="00BF7ACA">
        <w:rPr>
          <w:rStyle w:val="HideTWBExt"/>
        </w:rPr>
        <w:t>&lt;/Amend&gt;</w:t>
      </w:r>
    </w:p>
    <w:p w14:paraId="607BDC6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154</w:t>
      </w:r>
      <w:r w:rsidRPr="00BF7ACA">
        <w:rPr>
          <w:rStyle w:val="HideTWBExt"/>
          <w:b w:val="0"/>
        </w:rPr>
        <w:t>&lt;/NumAm&gt;</w:t>
      </w:r>
    </w:p>
    <w:p w14:paraId="0AC24F15" w14:textId="77777777"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Nedzhmi Ali, Jozo Radoš, Hilde Vautmans, Ilhan Kyuchyuk</w:t>
      </w:r>
      <w:r w:rsidRPr="00BF7ACA">
        <w:rPr>
          <w:rStyle w:val="HideTWBExt"/>
          <w:b w:val="0"/>
        </w:rPr>
        <w:t>&lt;/Members&gt;</w:t>
      </w:r>
    </w:p>
    <w:p w14:paraId="5B6083F0" w14:textId="77777777" w:rsidR="00BF7ACA" w:rsidRPr="005A5903" w:rsidRDefault="00BF7ACA" w:rsidP="00BF7ACA">
      <w:r>
        <w:rPr>
          <w:rStyle w:val="HideTWBExt"/>
        </w:rPr>
        <w:t>&lt;/RepeatBlock-By&gt;</w:t>
      </w:r>
    </w:p>
    <w:p w14:paraId="20B26794"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773C66FD" w14:textId="77777777" w:rsidR="00BF7ACA" w:rsidRPr="005A5903" w:rsidRDefault="00BF7ACA" w:rsidP="00BF7ACA">
      <w:pPr>
        <w:pStyle w:val="NormalBold"/>
      </w:pPr>
      <w:r>
        <w:rPr>
          <w:rStyle w:val="HideTWBExt"/>
          <w:b w:val="0"/>
        </w:rPr>
        <w:t>&lt;Article&gt;</w:t>
      </w:r>
      <w:r w:rsidRPr="0019144F">
        <w:t>Considérant 15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58E9DA98" w14:textId="77777777" w:rsidTr="007924BE">
        <w:trPr>
          <w:jc w:val="center"/>
        </w:trPr>
        <w:tc>
          <w:tcPr>
            <w:tcW w:w="9752" w:type="dxa"/>
            <w:gridSpan w:val="2"/>
          </w:tcPr>
          <w:p w14:paraId="6347EA06" w14:textId="77777777" w:rsidR="00BF7ACA" w:rsidRPr="005A5903" w:rsidRDefault="00BF7ACA" w:rsidP="007924BE">
            <w:pPr>
              <w:keepNext/>
            </w:pPr>
          </w:p>
        </w:tc>
      </w:tr>
      <w:tr w:rsidR="00BF7ACA" w:rsidRPr="005A5903" w14:paraId="1237B035" w14:textId="77777777" w:rsidTr="007924BE">
        <w:trPr>
          <w:jc w:val="center"/>
        </w:trPr>
        <w:tc>
          <w:tcPr>
            <w:tcW w:w="4876" w:type="dxa"/>
            <w:hideMark/>
          </w:tcPr>
          <w:p w14:paraId="1E73E112" w14:textId="77777777" w:rsidR="00BF7ACA" w:rsidRPr="0019144F" w:rsidRDefault="00BF7ACA" w:rsidP="007924BE">
            <w:pPr>
              <w:pStyle w:val="ColumnHeading"/>
              <w:keepNext/>
            </w:pPr>
            <w:r w:rsidRPr="0019144F">
              <w:t>Texte proposé par la Commission</w:t>
            </w:r>
          </w:p>
        </w:tc>
        <w:tc>
          <w:tcPr>
            <w:tcW w:w="4876" w:type="dxa"/>
            <w:hideMark/>
          </w:tcPr>
          <w:p w14:paraId="5E8E3FF0" w14:textId="77777777" w:rsidR="00BF7ACA" w:rsidRPr="0019144F" w:rsidRDefault="00BF7ACA" w:rsidP="007924BE">
            <w:pPr>
              <w:pStyle w:val="ColumnHeading"/>
              <w:keepNext/>
            </w:pPr>
            <w:r w:rsidRPr="0019144F">
              <w:t>Amendement</w:t>
            </w:r>
          </w:p>
        </w:tc>
      </w:tr>
      <w:tr w:rsidR="00BF7ACA" w:rsidRPr="005A5903" w14:paraId="437A3D8C" w14:textId="77777777" w:rsidTr="007924BE">
        <w:trPr>
          <w:jc w:val="center"/>
        </w:trPr>
        <w:tc>
          <w:tcPr>
            <w:tcW w:w="4876" w:type="dxa"/>
          </w:tcPr>
          <w:p w14:paraId="7D6FA8CF" w14:textId="77777777" w:rsidR="00BF7ACA" w:rsidRPr="0019144F" w:rsidRDefault="00BF7ACA" w:rsidP="007924BE">
            <w:pPr>
              <w:pStyle w:val="Normal6"/>
            </w:pPr>
          </w:p>
        </w:tc>
        <w:tc>
          <w:tcPr>
            <w:tcW w:w="4876" w:type="dxa"/>
            <w:hideMark/>
          </w:tcPr>
          <w:p w14:paraId="3FABF8F2" w14:textId="77777777" w:rsidR="00BF7ACA" w:rsidRPr="0019144F" w:rsidRDefault="00BF7ACA" w:rsidP="007924BE">
            <w:pPr>
              <w:pStyle w:val="Normal6"/>
              <w:rPr>
                <w:szCs w:val="24"/>
              </w:rPr>
            </w:pPr>
            <w:r w:rsidRPr="0019144F">
              <w:rPr>
                <w:b/>
                <w:i/>
              </w:rPr>
              <w:t>(15 bis)</w:t>
            </w:r>
            <w:r>
              <w:tab/>
            </w:r>
            <w:r w:rsidRPr="0019144F">
              <w:rPr>
                <w:b/>
                <w:i/>
              </w:rPr>
              <w:t>Le Parlement européen devrait prendre des mesures pour se doter des capacités maximales en ce qui concerne la prise de décision en matière de financement par l</w:t>
            </w:r>
            <w:r>
              <w:rPr>
                <w:b/>
                <w:i/>
              </w:rPr>
              <w:t>’</w:t>
            </w:r>
            <w:r w:rsidRPr="0019144F">
              <w:rPr>
                <w:b/>
                <w:i/>
              </w:rPr>
              <w:t>emprunt et d</w:t>
            </w:r>
            <w:r>
              <w:rPr>
                <w:b/>
                <w:i/>
              </w:rPr>
              <w:t>’</w:t>
            </w:r>
            <w:r w:rsidRPr="0019144F">
              <w:rPr>
                <w:b/>
                <w:i/>
              </w:rPr>
              <w:t>investissement, afin de garantir la crédibilité et le contrôle du FEDD.</w:t>
            </w:r>
          </w:p>
        </w:tc>
      </w:tr>
    </w:tbl>
    <w:p w14:paraId="4397F15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712430A" w14:textId="77777777" w:rsidR="00BF7ACA" w:rsidRPr="00BF7ACA" w:rsidRDefault="00BF7ACA" w:rsidP="00BF7ACA">
      <w:r w:rsidRPr="00BF7ACA">
        <w:rPr>
          <w:rStyle w:val="HideTWBExt"/>
        </w:rPr>
        <w:t>&lt;/Amend&gt;</w:t>
      </w:r>
    </w:p>
    <w:p w14:paraId="68BD4964"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155</w:t>
      </w:r>
      <w:r w:rsidRPr="00BF7ACA">
        <w:rPr>
          <w:rStyle w:val="HideTWBExt"/>
          <w:b w:val="0"/>
        </w:rPr>
        <w:t>&lt;/NumAm&gt;</w:t>
      </w:r>
    </w:p>
    <w:p w14:paraId="40B56F53"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Ilhan Kyuchyuk, Hilde Vautmans, Nedzhmi Ali, Jasenko Selimovic</w:t>
      </w:r>
      <w:r w:rsidRPr="00BF7ACA">
        <w:rPr>
          <w:rStyle w:val="HideTWBExt"/>
          <w:b w:val="0"/>
        </w:rPr>
        <w:t>&lt;/Members&gt;</w:t>
      </w:r>
    </w:p>
    <w:p w14:paraId="0B7C8F82" w14:textId="77777777" w:rsidR="00BF7ACA" w:rsidRPr="005A5903" w:rsidRDefault="00BF7ACA" w:rsidP="00BF7ACA">
      <w:r>
        <w:rPr>
          <w:rStyle w:val="HideTWBExt"/>
        </w:rPr>
        <w:t>&lt;/RepeatBlock-By&gt;</w:t>
      </w:r>
    </w:p>
    <w:p w14:paraId="449A2539"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6892E1FB" w14:textId="77777777" w:rsidR="00BF7ACA" w:rsidRPr="005A5903" w:rsidRDefault="00BF7ACA" w:rsidP="00BF7ACA">
      <w:pPr>
        <w:pStyle w:val="NormalBold"/>
      </w:pPr>
      <w:r>
        <w:rPr>
          <w:rStyle w:val="HideTWBExt"/>
          <w:b w:val="0"/>
        </w:rPr>
        <w:t>&lt;Article&gt;</w:t>
      </w:r>
      <w:r w:rsidRPr="0019144F">
        <w:t>Considérant 15 ter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69E33DA5" w14:textId="77777777" w:rsidTr="007924BE">
        <w:trPr>
          <w:jc w:val="center"/>
        </w:trPr>
        <w:tc>
          <w:tcPr>
            <w:tcW w:w="9752" w:type="dxa"/>
            <w:gridSpan w:val="2"/>
          </w:tcPr>
          <w:p w14:paraId="65F45810" w14:textId="77777777" w:rsidR="00BF7ACA" w:rsidRPr="005A5903" w:rsidRDefault="00BF7ACA" w:rsidP="007924BE">
            <w:pPr>
              <w:keepNext/>
            </w:pPr>
          </w:p>
        </w:tc>
      </w:tr>
      <w:tr w:rsidR="00BF7ACA" w:rsidRPr="005A5903" w14:paraId="2595DA16" w14:textId="77777777" w:rsidTr="007924BE">
        <w:trPr>
          <w:jc w:val="center"/>
        </w:trPr>
        <w:tc>
          <w:tcPr>
            <w:tcW w:w="4876" w:type="dxa"/>
            <w:hideMark/>
          </w:tcPr>
          <w:p w14:paraId="4DC0C8FE" w14:textId="77777777" w:rsidR="00BF7ACA" w:rsidRPr="0019144F" w:rsidRDefault="00BF7ACA" w:rsidP="007924BE">
            <w:pPr>
              <w:pStyle w:val="ColumnHeading"/>
              <w:keepNext/>
            </w:pPr>
            <w:r w:rsidRPr="0019144F">
              <w:t>Texte proposé par la Commission</w:t>
            </w:r>
          </w:p>
        </w:tc>
        <w:tc>
          <w:tcPr>
            <w:tcW w:w="4876" w:type="dxa"/>
            <w:hideMark/>
          </w:tcPr>
          <w:p w14:paraId="77EBA13F" w14:textId="77777777" w:rsidR="00BF7ACA" w:rsidRPr="0019144F" w:rsidRDefault="00BF7ACA" w:rsidP="007924BE">
            <w:pPr>
              <w:pStyle w:val="ColumnHeading"/>
              <w:keepNext/>
            </w:pPr>
            <w:r w:rsidRPr="0019144F">
              <w:t>Amendement</w:t>
            </w:r>
          </w:p>
        </w:tc>
      </w:tr>
      <w:tr w:rsidR="00BF7ACA" w:rsidRPr="005A5903" w14:paraId="147A33EA" w14:textId="77777777" w:rsidTr="007924BE">
        <w:trPr>
          <w:jc w:val="center"/>
        </w:trPr>
        <w:tc>
          <w:tcPr>
            <w:tcW w:w="4876" w:type="dxa"/>
          </w:tcPr>
          <w:p w14:paraId="00DC3C90" w14:textId="77777777" w:rsidR="00BF7ACA" w:rsidRPr="0019144F" w:rsidRDefault="00BF7ACA" w:rsidP="007924BE">
            <w:pPr>
              <w:pStyle w:val="Normal6"/>
            </w:pPr>
          </w:p>
        </w:tc>
        <w:tc>
          <w:tcPr>
            <w:tcW w:w="4876" w:type="dxa"/>
            <w:hideMark/>
          </w:tcPr>
          <w:p w14:paraId="1C0C0721" w14:textId="77777777" w:rsidR="00BF7ACA" w:rsidRPr="0019144F" w:rsidRDefault="00BF7ACA" w:rsidP="007924BE">
            <w:pPr>
              <w:pStyle w:val="Normal6"/>
              <w:rPr>
                <w:szCs w:val="24"/>
              </w:rPr>
            </w:pPr>
            <w:r w:rsidRPr="0019144F">
              <w:rPr>
                <w:b/>
                <w:i/>
              </w:rPr>
              <w:t>(15 ter)</w:t>
            </w:r>
            <w:r>
              <w:tab/>
            </w:r>
            <w:r w:rsidRPr="0019144F">
              <w:rPr>
                <w:b/>
                <w:i/>
              </w:rPr>
              <w:t>La gestion du financement et des investissements au titre du FEDD doit se faire de la manière la plus rationnelle et la plus efficace possible.</w:t>
            </w:r>
          </w:p>
        </w:tc>
      </w:tr>
    </w:tbl>
    <w:p w14:paraId="2F265C7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DB5B86D" w14:textId="77777777" w:rsidR="00BF7ACA" w:rsidRPr="00BF7ACA" w:rsidRDefault="00BF7ACA" w:rsidP="00BF7ACA">
      <w:r w:rsidRPr="00BF7ACA">
        <w:rPr>
          <w:rStyle w:val="HideTWBExt"/>
        </w:rPr>
        <w:t>&lt;/Amend&gt;</w:t>
      </w:r>
    </w:p>
    <w:p w14:paraId="760D49F2"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156</w:t>
      </w:r>
      <w:r w:rsidRPr="00BF7ACA">
        <w:rPr>
          <w:rStyle w:val="HideTWBExt"/>
          <w:b w:val="0"/>
        </w:rPr>
        <w:t>&lt;/NumAm&gt;</w:t>
      </w:r>
    </w:p>
    <w:p w14:paraId="76DAC9CA"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Nedzhmi Ali</w:t>
      </w:r>
      <w:r w:rsidRPr="00BF7ACA">
        <w:rPr>
          <w:rStyle w:val="HideTWBExt"/>
          <w:b w:val="0"/>
        </w:rPr>
        <w:t>&lt;/Members&gt;</w:t>
      </w:r>
    </w:p>
    <w:p w14:paraId="427C3468" w14:textId="77777777" w:rsidR="00BF7ACA" w:rsidRPr="005A5903" w:rsidRDefault="00BF7ACA" w:rsidP="00BF7ACA">
      <w:r>
        <w:rPr>
          <w:rStyle w:val="HideTWBExt"/>
        </w:rPr>
        <w:t>&lt;/RepeatBlock-By&gt;</w:t>
      </w:r>
    </w:p>
    <w:p w14:paraId="31F35485"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5EFE4AE1" w14:textId="77777777" w:rsidR="00BF7ACA" w:rsidRPr="005A5903" w:rsidRDefault="00BF7ACA" w:rsidP="00BF7ACA">
      <w:pPr>
        <w:pStyle w:val="NormalBold"/>
      </w:pPr>
      <w:r>
        <w:rPr>
          <w:rStyle w:val="HideTWBExt"/>
          <w:b w:val="0"/>
        </w:rPr>
        <w:t>&lt;Article&gt;</w:t>
      </w:r>
      <w:r w:rsidRPr="0019144F">
        <w:t>Considérant 16</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70E2D823" w14:textId="77777777" w:rsidTr="007924BE">
        <w:trPr>
          <w:jc w:val="center"/>
        </w:trPr>
        <w:tc>
          <w:tcPr>
            <w:tcW w:w="9752" w:type="dxa"/>
            <w:gridSpan w:val="2"/>
          </w:tcPr>
          <w:p w14:paraId="5C8B8E66" w14:textId="77777777" w:rsidR="00BF7ACA" w:rsidRPr="005A5903" w:rsidRDefault="00BF7ACA" w:rsidP="007924BE">
            <w:pPr>
              <w:keepNext/>
            </w:pPr>
          </w:p>
        </w:tc>
      </w:tr>
      <w:tr w:rsidR="00BF7ACA" w:rsidRPr="005A5903" w14:paraId="2B1E4480" w14:textId="77777777" w:rsidTr="007924BE">
        <w:trPr>
          <w:jc w:val="center"/>
        </w:trPr>
        <w:tc>
          <w:tcPr>
            <w:tcW w:w="4876" w:type="dxa"/>
            <w:hideMark/>
          </w:tcPr>
          <w:p w14:paraId="498AA4EF" w14:textId="77777777" w:rsidR="00BF7ACA" w:rsidRPr="0019144F" w:rsidRDefault="00BF7ACA" w:rsidP="007924BE">
            <w:pPr>
              <w:pStyle w:val="ColumnHeading"/>
              <w:keepNext/>
            </w:pPr>
            <w:r w:rsidRPr="0019144F">
              <w:t>Texte proposé par la Commission</w:t>
            </w:r>
          </w:p>
        </w:tc>
        <w:tc>
          <w:tcPr>
            <w:tcW w:w="4876" w:type="dxa"/>
            <w:hideMark/>
          </w:tcPr>
          <w:p w14:paraId="66E64627" w14:textId="77777777" w:rsidR="00BF7ACA" w:rsidRPr="0019144F" w:rsidRDefault="00BF7ACA" w:rsidP="007924BE">
            <w:pPr>
              <w:pStyle w:val="ColumnHeading"/>
              <w:keepNext/>
            </w:pPr>
            <w:r w:rsidRPr="0019144F">
              <w:t>Amendement</w:t>
            </w:r>
          </w:p>
        </w:tc>
      </w:tr>
      <w:tr w:rsidR="00BF7ACA" w:rsidRPr="005A5903" w14:paraId="7697FE62" w14:textId="77777777" w:rsidTr="007924BE">
        <w:trPr>
          <w:jc w:val="center"/>
        </w:trPr>
        <w:tc>
          <w:tcPr>
            <w:tcW w:w="4876" w:type="dxa"/>
            <w:hideMark/>
          </w:tcPr>
          <w:p w14:paraId="43369F6B" w14:textId="77777777" w:rsidR="00BF7ACA" w:rsidRPr="0019144F" w:rsidRDefault="00BF7ACA" w:rsidP="007924BE">
            <w:pPr>
              <w:pStyle w:val="Normal6"/>
            </w:pPr>
            <w:r w:rsidRPr="0019144F">
              <w:t>(16)</w:t>
            </w:r>
            <w:r>
              <w:tab/>
            </w:r>
            <w:r w:rsidRPr="0019144F">
              <w:t>La Commission devrait faire rapport annuellement au Parlement européen et au Conseil sur les opérations de financement et d</w:t>
            </w:r>
            <w:r>
              <w:t>’</w:t>
            </w:r>
            <w:r w:rsidRPr="0019144F">
              <w:t>investissement couvertes par la garantie FEDD en vue de garantir l</w:t>
            </w:r>
            <w:r>
              <w:t>’</w:t>
            </w:r>
            <w:r w:rsidRPr="0019144F">
              <w:t>obligation de rendre compte vis-à-vis des citoyens européens. Le rapport devrait être rendu public pour permettre aux différentes parties prenantes, y compris à la société civile, de faire part de leur avis. La Commission devrait également faire rapport annuellement au Parlement européen et au Conseil sur la gestion du fonds de garantie FEDD pour s</w:t>
            </w:r>
            <w:r>
              <w:t>’</w:t>
            </w:r>
            <w:r w:rsidRPr="0019144F">
              <w:t>assurer de la transparence et de l</w:t>
            </w:r>
            <w:r>
              <w:t>’</w:t>
            </w:r>
            <w:r w:rsidRPr="0019144F">
              <w:t>obligation de rendre compte.</w:t>
            </w:r>
          </w:p>
        </w:tc>
        <w:tc>
          <w:tcPr>
            <w:tcW w:w="4876" w:type="dxa"/>
            <w:hideMark/>
          </w:tcPr>
          <w:p w14:paraId="218E9933" w14:textId="77777777" w:rsidR="00BF7ACA" w:rsidRPr="0019144F" w:rsidRDefault="00BF7ACA" w:rsidP="007924BE">
            <w:pPr>
              <w:pStyle w:val="Normal6"/>
              <w:rPr>
                <w:szCs w:val="24"/>
              </w:rPr>
            </w:pPr>
            <w:r w:rsidRPr="0019144F">
              <w:t>(16)</w:t>
            </w:r>
            <w:r>
              <w:tab/>
            </w:r>
            <w:r w:rsidRPr="0019144F">
              <w:t>La Commission devrait faire rapport annuellement au Parlement européen et au Conseil sur les opérations de financement et d</w:t>
            </w:r>
            <w:r>
              <w:t>’</w:t>
            </w:r>
            <w:r w:rsidRPr="0019144F">
              <w:t>investissement couvertes par la garantie FEDD</w:t>
            </w:r>
            <w:r w:rsidRPr="0019144F">
              <w:rPr>
                <w:b/>
                <w:i/>
              </w:rPr>
              <w:t>, ainsi que sur les projets pour l</w:t>
            </w:r>
            <w:r>
              <w:rPr>
                <w:b/>
                <w:i/>
              </w:rPr>
              <w:t>’</w:t>
            </w:r>
            <w:r w:rsidRPr="0019144F">
              <w:rPr>
                <w:b/>
                <w:i/>
              </w:rPr>
              <w:t>année à venir,</w:t>
            </w:r>
            <w:r w:rsidRPr="0019144F">
              <w:t xml:space="preserve"> en vue de garantir l</w:t>
            </w:r>
            <w:r>
              <w:t>’</w:t>
            </w:r>
            <w:r w:rsidRPr="0019144F">
              <w:t>obligation</w:t>
            </w:r>
            <w:r w:rsidRPr="0019144F">
              <w:rPr>
                <w:b/>
                <w:i/>
              </w:rPr>
              <w:t xml:space="preserve"> absolue</w:t>
            </w:r>
            <w:r w:rsidRPr="0019144F">
              <w:t xml:space="preserve"> de rendre compte vis-à-vis des citoyens européens. Le rapport devrait être rendu public pour permettre aux différentes parties prenantes, y compris à la société civile, de faire part de leur avis.</w:t>
            </w:r>
            <w:r w:rsidRPr="0019144F">
              <w:rPr>
                <w:b/>
                <w:i/>
              </w:rPr>
              <w:t xml:space="preserve"> Tous les autres documents relatifs au Fonds devraient être rendus publics et assortis d</w:t>
            </w:r>
            <w:r>
              <w:rPr>
                <w:b/>
                <w:i/>
              </w:rPr>
              <w:t>’</w:t>
            </w:r>
            <w:r w:rsidRPr="0019144F">
              <w:rPr>
                <w:b/>
                <w:i/>
              </w:rPr>
              <w:t>un régime d</w:t>
            </w:r>
            <w:r>
              <w:rPr>
                <w:b/>
                <w:i/>
              </w:rPr>
              <w:t>’</w:t>
            </w:r>
            <w:r w:rsidRPr="0019144F">
              <w:rPr>
                <w:b/>
                <w:i/>
              </w:rPr>
              <w:t>exceptions restreint.</w:t>
            </w:r>
            <w:r w:rsidRPr="0019144F">
              <w:t xml:space="preserve"> La Commission devrait également faire rapport annuellement au Parlement européen et au Conseil sur la gestion du fonds de garantie FEDD pour s</w:t>
            </w:r>
            <w:r>
              <w:t>’</w:t>
            </w:r>
            <w:r w:rsidRPr="0019144F">
              <w:t>assurer de la transparence et de l</w:t>
            </w:r>
            <w:r>
              <w:t>’</w:t>
            </w:r>
            <w:r w:rsidRPr="0019144F">
              <w:t>obligation de rendre compte.</w:t>
            </w:r>
          </w:p>
        </w:tc>
      </w:tr>
    </w:tbl>
    <w:p w14:paraId="4006F308"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5A65671" w14:textId="77777777" w:rsidR="00BF7ACA" w:rsidRPr="00BF7ACA" w:rsidRDefault="00BF7ACA" w:rsidP="00BF7ACA">
      <w:r w:rsidRPr="00BF7ACA">
        <w:rPr>
          <w:rStyle w:val="HideTWBExt"/>
        </w:rPr>
        <w:t>&lt;/Amend&gt;</w:t>
      </w:r>
    </w:p>
    <w:p w14:paraId="63057EAC"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157</w:t>
      </w:r>
      <w:r w:rsidRPr="00BF7ACA">
        <w:rPr>
          <w:rStyle w:val="HideTWBExt"/>
          <w:b w:val="0"/>
        </w:rPr>
        <w:t>&lt;/NumAm&gt;</w:t>
      </w:r>
    </w:p>
    <w:p w14:paraId="64D96665"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033A2FB3" w14:textId="77777777" w:rsidR="00BF7ACA" w:rsidRPr="005A5903" w:rsidRDefault="00BF7ACA" w:rsidP="00BF7ACA">
      <w:r>
        <w:rPr>
          <w:rStyle w:val="HideTWBExt"/>
        </w:rPr>
        <w:t>&lt;/RepeatBlock-By&gt;</w:t>
      </w:r>
    </w:p>
    <w:p w14:paraId="6A4494EE"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6412636D" w14:textId="77777777" w:rsidR="00BF7ACA" w:rsidRPr="005A5903" w:rsidRDefault="00BF7ACA" w:rsidP="00BF7ACA">
      <w:pPr>
        <w:pStyle w:val="NormalBold"/>
      </w:pPr>
      <w:r>
        <w:rPr>
          <w:rStyle w:val="HideTWBExt"/>
          <w:b w:val="0"/>
        </w:rPr>
        <w:t>&lt;Article&gt;</w:t>
      </w:r>
      <w:r w:rsidRPr="0019144F">
        <w:t>Considérant 16</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4D075F0C" w14:textId="77777777" w:rsidTr="007924BE">
        <w:trPr>
          <w:jc w:val="center"/>
        </w:trPr>
        <w:tc>
          <w:tcPr>
            <w:tcW w:w="9752" w:type="dxa"/>
            <w:gridSpan w:val="2"/>
          </w:tcPr>
          <w:p w14:paraId="307D2BD5" w14:textId="77777777" w:rsidR="00BF7ACA" w:rsidRPr="005A5903" w:rsidRDefault="00BF7ACA" w:rsidP="007924BE">
            <w:pPr>
              <w:keepNext/>
            </w:pPr>
          </w:p>
        </w:tc>
      </w:tr>
      <w:tr w:rsidR="00BF7ACA" w:rsidRPr="005A5903" w14:paraId="743452B3" w14:textId="77777777" w:rsidTr="007924BE">
        <w:trPr>
          <w:jc w:val="center"/>
        </w:trPr>
        <w:tc>
          <w:tcPr>
            <w:tcW w:w="4876" w:type="dxa"/>
            <w:hideMark/>
          </w:tcPr>
          <w:p w14:paraId="2ED632F1" w14:textId="77777777" w:rsidR="00BF7ACA" w:rsidRPr="0019144F" w:rsidRDefault="00BF7ACA" w:rsidP="007924BE">
            <w:pPr>
              <w:pStyle w:val="ColumnHeading"/>
              <w:keepNext/>
            </w:pPr>
            <w:r w:rsidRPr="0019144F">
              <w:t>Texte proposé par la Commission</w:t>
            </w:r>
          </w:p>
        </w:tc>
        <w:tc>
          <w:tcPr>
            <w:tcW w:w="4876" w:type="dxa"/>
            <w:hideMark/>
          </w:tcPr>
          <w:p w14:paraId="6A6D0A62" w14:textId="77777777" w:rsidR="00BF7ACA" w:rsidRPr="0019144F" w:rsidRDefault="00BF7ACA" w:rsidP="007924BE">
            <w:pPr>
              <w:pStyle w:val="ColumnHeading"/>
              <w:keepNext/>
            </w:pPr>
            <w:r w:rsidRPr="0019144F">
              <w:t>Amendement</w:t>
            </w:r>
          </w:p>
        </w:tc>
      </w:tr>
      <w:tr w:rsidR="00BF7ACA" w:rsidRPr="005A5903" w14:paraId="377F46CD" w14:textId="77777777" w:rsidTr="007924BE">
        <w:trPr>
          <w:jc w:val="center"/>
        </w:trPr>
        <w:tc>
          <w:tcPr>
            <w:tcW w:w="4876" w:type="dxa"/>
            <w:hideMark/>
          </w:tcPr>
          <w:p w14:paraId="16559BF5" w14:textId="77777777" w:rsidR="00BF7ACA" w:rsidRPr="0019144F" w:rsidRDefault="00BF7ACA" w:rsidP="007924BE">
            <w:pPr>
              <w:pStyle w:val="Normal6"/>
            </w:pPr>
            <w:r w:rsidRPr="0019144F">
              <w:t>(16)</w:t>
            </w:r>
            <w:r>
              <w:tab/>
            </w:r>
            <w:r w:rsidRPr="0019144F">
              <w:t>La Commission devrait faire rapport annuellement au Parlement européen et au Conseil sur les opérations de financement et d</w:t>
            </w:r>
            <w:r>
              <w:t>’</w:t>
            </w:r>
            <w:r w:rsidRPr="0019144F">
              <w:t>investissement couvertes par la garantie FEDD en vue de garantir l</w:t>
            </w:r>
            <w:r>
              <w:t>’</w:t>
            </w:r>
            <w:r w:rsidRPr="0019144F">
              <w:t>obligation de rendre compte vis-à-vis des citoyens européens. Le rapport devrait être rendu public pour permettre aux différentes parties prenantes, y compris à la société civile, de faire part de leur avis. La Commission devrait également faire rapport annuellement au Parlement européen et au Conseil sur la gestion du fonds de garantie FEDD pour s</w:t>
            </w:r>
            <w:r>
              <w:t>’</w:t>
            </w:r>
            <w:r w:rsidRPr="0019144F">
              <w:t>assurer de la transparence et de l</w:t>
            </w:r>
            <w:r>
              <w:t>’</w:t>
            </w:r>
            <w:r w:rsidRPr="0019144F">
              <w:t>obligation de rendre compte.</w:t>
            </w:r>
          </w:p>
        </w:tc>
        <w:tc>
          <w:tcPr>
            <w:tcW w:w="4876" w:type="dxa"/>
            <w:hideMark/>
          </w:tcPr>
          <w:p w14:paraId="6D4CD474" w14:textId="77777777" w:rsidR="00BF7ACA" w:rsidRPr="0019144F" w:rsidRDefault="00BF7ACA" w:rsidP="007924BE">
            <w:pPr>
              <w:pStyle w:val="Normal6"/>
              <w:rPr>
                <w:szCs w:val="24"/>
              </w:rPr>
            </w:pPr>
            <w:r w:rsidRPr="0019144F">
              <w:t>(16)</w:t>
            </w:r>
            <w:r>
              <w:tab/>
            </w:r>
            <w:r w:rsidRPr="0019144F">
              <w:t>La Commission devrait faire rapport annuellement au Parlement européen et au Conseil sur les opérations de financement et d</w:t>
            </w:r>
            <w:r>
              <w:t>’</w:t>
            </w:r>
            <w:r w:rsidRPr="0019144F">
              <w:t>investissement couvertes par la garantie FEDD</w:t>
            </w:r>
            <w:r w:rsidRPr="0019144F">
              <w:rPr>
                <w:b/>
                <w:i/>
              </w:rPr>
              <w:t>, ainsi que sur les projets pour l</w:t>
            </w:r>
            <w:r>
              <w:rPr>
                <w:b/>
                <w:i/>
              </w:rPr>
              <w:t>’</w:t>
            </w:r>
            <w:r w:rsidRPr="0019144F">
              <w:rPr>
                <w:b/>
                <w:i/>
              </w:rPr>
              <w:t>année à venir,</w:t>
            </w:r>
            <w:r w:rsidRPr="0019144F">
              <w:t xml:space="preserve"> en vue de garantir l</w:t>
            </w:r>
            <w:r>
              <w:t>’</w:t>
            </w:r>
            <w:r w:rsidRPr="0019144F">
              <w:t>obligation</w:t>
            </w:r>
            <w:r w:rsidRPr="0019144F">
              <w:rPr>
                <w:b/>
                <w:i/>
              </w:rPr>
              <w:t xml:space="preserve"> absolue</w:t>
            </w:r>
            <w:r w:rsidRPr="0019144F">
              <w:t xml:space="preserve"> de rendre compte vis-à-vis des citoyens européens. Le rapport devrait être rendu public pour permettre aux différentes parties prenantes, y compris à la société civile, de faire part de leur avis.</w:t>
            </w:r>
            <w:r w:rsidRPr="0019144F">
              <w:rPr>
                <w:b/>
                <w:i/>
              </w:rPr>
              <w:t xml:space="preserve"> Tous les autres documents relatifs au Fonds devraient être rendus publics et assortis d</w:t>
            </w:r>
            <w:r>
              <w:rPr>
                <w:b/>
                <w:i/>
              </w:rPr>
              <w:t>’</w:t>
            </w:r>
            <w:r w:rsidRPr="0019144F">
              <w:rPr>
                <w:b/>
                <w:i/>
              </w:rPr>
              <w:t>un régime d</w:t>
            </w:r>
            <w:r>
              <w:rPr>
                <w:b/>
                <w:i/>
              </w:rPr>
              <w:t>’</w:t>
            </w:r>
            <w:r w:rsidRPr="0019144F">
              <w:rPr>
                <w:b/>
                <w:i/>
              </w:rPr>
              <w:t>exceptions restreint.</w:t>
            </w:r>
            <w:r w:rsidRPr="0019144F">
              <w:t xml:space="preserve"> La Commission devrait également faire rapport annuellement au Parlement européen et au Conseil sur la gestion du fonds de garantie FEDD pour s</w:t>
            </w:r>
            <w:r>
              <w:t>’</w:t>
            </w:r>
            <w:r w:rsidRPr="0019144F">
              <w:t>assurer de la transparence et de l</w:t>
            </w:r>
            <w:r>
              <w:t>’</w:t>
            </w:r>
            <w:r w:rsidRPr="0019144F">
              <w:t>obligation de rendre compte.</w:t>
            </w:r>
          </w:p>
        </w:tc>
      </w:tr>
    </w:tbl>
    <w:p w14:paraId="28CBE63D"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14C7BBE" w14:textId="77777777" w:rsidR="00BF7ACA" w:rsidRPr="00BF7ACA" w:rsidRDefault="00BF7ACA" w:rsidP="00BF7ACA">
      <w:r w:rsidRPr="00BF7ACA">
        <w:rPr>
          <w:rStyle w:val="HideTWBExt"/>
        </w:rPr>
        <w:t>&lt;/Amend&gt;</w:t>
      </w:r>
    </w:p>
    <w:p w14:paraId="1ECFCACD"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158</w:t>
      </w:r>
      <w:r w:rsidRPr="00BF7ACA">
        <w:rPr>
          <w:rStyle w:val="HideTWBExt"/>
          <w:b w:val="0"/>
        </w:rPr>
        <w:t>&lt;/NumAm&gt;</w:t>
      </w:r>
    </w:p>
    <w:p w14:paraId="24A3D13F" w14:textId="77777777" w:rsidR="00BF7ACA" w:rsidRPr="00BF7ACA" w:rsidRDefault="00BF7ACA" w:rsidP="00BF7ACA">
      <w:pPr>
        <w:pStyle w:val="NormalBold"/>
      </w:pPr>
      <w:r w:rsidRPr="00BF7ACA">
        <w:rPr>
          <w:rStyle w:val="HideTWBExt"/>
          <w:b w:val="0"/>
        </w:rPr>
        <w:t>&lt;RepeatBlock-By&gt;&lt;Members&gt;</w:t>
      </w:r>
      <w:r w:rsidRPr="00BF7ACA">
        <w:t>Sabine Lösing</w:t>
      </w:r>
      <w:r w:rsidRPr="00BF7ACA">
        <w:rPr>
          <w:rStyle w:val="HideTWBExt"/>
          <w:b w:val="0"/>
        </w:rPr>
        <w:t>&lt;/Members&gt;</w:t>
      </w:r>
    </w:p>
    <w:p w14:paraId="3B9F2F42" w14:textId="77777777" w:rsidR="00BF7ACA" w:rsidRPr="005A5903" w:rsidRDefault="00BF7ACA" w:rsidP="00BF7ACA">
      <w:r>
        <w:rPr>
          <w:rStyle w:val="HideTWBExt"/>
        </w:rPr>
        <w:t>&lt;/RepeatBlock-By&gt;</w:t>
      </w:r>
    </w:p>
    <w:p w14:paraId="64E4DADB"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3AACE245" w14:textId="77777777" w:rsidR="00BF7ACA" w:rsidRPr="005A5903" w:rsidRDefault="00BF7ACA" w:rsidP="00BF7ACA">
      <w:pPr>
        <w:pStyle w:val="NormalBold"/>
      </w:pPr>
      <w:r>
        <w:rPr>
          <w:rStyle w:val="HideTWBExt"/>
          <w:b w:val="0"/>
        </w:rPr>
        <w:t>&lt;Article&gt;</w:t>
      </w:r>
      <w:r w:rsidRPr="0019144F">
        <w:t>Considérant 16</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33FD92DB" w14:textId="77777777" w:rsidTr="007924BE">
        <w:trPr>
          <w:jc w:val="center"/>
        </w:trPr>
        <w:tc>
          <w:tcPr>
            <w:tcW w:w="9752" w:type="dxa"/>
            <w:gridSpan w:val="2"/>
          </w:tcPr>
          <w:p w14:paraId="15713B53" w14:textId="77777777" w:rsidR="00BF7ACA" w:rsidRPr="005A5903" w:rsidRDefault="00BF7ACA" w:rsidP="007924BE">
            <w:pPr>
              <w:keepNext/>
            </w:pPr>
          </w:p>
        </w:tc>
      </w:tr>
      <w:tr w:rsidR="00BF7ACA" w:rsidRPr="005A5903" w14:paraId="6546D15A" w14:textId="77777777" w:rsidTr="007924BE">
        <w:trPr>
          <w:jc w:val="center"/>
        </w:trPr>
        <w:tc>
          <w:tcPr>
            <w:tcW w:w="4876" w:type="dxa"/>
            <w:hideMark/>
          </w:tcPr>
          <w:p w14:paraId="21F79BC6" w14:textId="77777777" w:rsidR="00BF7ACA" w:rsidRPr="0019144F" w:rsidRDefault="00BF7ACA" w:rsidP="007924BE">
            <w:pPr>
              <w:pStyle w:val="ColumnHeading"/>
              <w:keepNext/>
            </w:pPr>
            <w:r w:rsidRPr="0019144F">
              <w:t>Texte proposé par la Commission</w:t>
            </w:r>
          </w:p>
        </w:tc>
        <w:tc>
          <w:tcPr>
            <w:tcW w:w="4876" w:type="dxa"/>
            <w:hideMark/>
          </w:tcPr>
          <w:p w14:paraId="331FC7F5" w14:textId="77777777" w:rsidR="00BF7ACA" w:rsidRPr="0019144F" w:rsidRDefault="00BF7ACA" w:rsidP="007924BE">
            <w:pPr>
              <w:pStyle w:val="ColumnHeading"/>
              <w:keepNext/>
            </w:pPr>
            <w:r w:rsidRPr="0019144F">
              <w:t>Amendement</w:t>
            </w:r>
          </w:p>
        </w:tc>
      </w:tr>
      <w:tr w:rsidR="00BF7ACA" w:rsidRPr="005A5903" w14:paraId="319C6A6F" w14:textId="77777777" w:rsidTr="007924BE">
        <w:trPr>
          <w:jc w:val="center"/>
        </w:trPr>
        <w:tc>
          <w:tcPr>
            <w:tcW w:w="4876" w:type="dxa"/>
            <w:hideMark/>
          </w:tcPr>
          <w:p w14:paraId="68DA513E" w14:textId="77777777" w:rsidR="00BF7ACA" w:rsidRPr="0019144F" w:rsidRDefault="00BF7ACA" w:rsidP="007924BE">
            <w:pPr>
              <w:pStyle w:val="Normal6"/>
            </w:pPr>
            <w:r w:rsidRPr="0019144F">
              <w:t>(16)</w:t>
            </w:r>
            <w:r>
              <w:tab/>
            </w:r>
            <w:r w:rsidRPr="0019144F">
              <w:t>La Commission devrait faire rapport annuellement au Parlement européen et au Conseil sur les opérations de financement et d</w:t>
            </w:r>
            <w:r>
              <w:t>’</w:t>
            </w:r>
            <w:r w:rsidRPr="0019144F">
              <w:t>investissement couvertes par la garantie FEDD en vue de garantir l</w:t>
            </w:r>
            <w:r>
              <w:t>’</w:t>
            </w:r>
            <w:r w:rsidRPr="0019144F">
              <w:t>obligation de rendre compte vis-à-vis des citoyens européens. Le rapport devrait être rendu public pour permettre aux différentes parties prenantes, y compris à la société civile, de faire part de leur avis. La Commission devrait également faire rapport annuellement au Parlement européen et au Conseil sur la gestion du fonds de garantie FEDD pour s</w:t>
            </w:r>
            <w:r>
              <w:t>’</w:t>
            </w:r>
            <w:r w:rsidRPr="0019144F">
              <w:t>assurer de la transparence</w:t>
            </w:r>
            <w:r w:rsidRPr="0019144F">
              <w:rPr>
                <w:b/>
                <w:i/>
              </w:rPr>
              <w:t xml:space="preserve"> et</w:t>
            </w:r>
            <w:r w:rsidRPr="0019144F">
              <w:t xml:space="preserve"> de l</w:t>
            </w:r>
            <w:r>
              <w:t>’</w:t>
            </w:r>
            <w:r w:rsidRPr="0019144F">
              <w:t>obligation de rendre compte.</w:t>
            </w:r>
          </w:p>
        </w:tc>
        <w:tc>
          <w:tcPr>
            <w:tcW w:w="4876" w:type="dxa"/>
            <w:hideMark/>
          </w:tcPr>
          <w:p w14:paraId="1A6BB8C7" w14:textId="77777777" w:rsidR="00BF7ACA" w:rsidRPr="0019144F" w:rsidRDefault="00BF7ACA" w:rsidP="007924BE">
            <w:pPr>
              <w:pStyle w:val="Normal6"/>
              <w:rPr>
                <w:szCs w:val="24"/>
              </w:rPr>
            </w:pPr>
            <w:r w:rsidRPr="0019144F">
              <w:t>(16)</w:t>
            </w:r>
            <w:r>
              <w:tab/>
            </w:r>
            <w:r w:rsidRPr="0019144F">
              <w:t>La Commission devrait faire rapport annuellement au Parlement européen et au Conseil sur les opérations de financement et d</w:t>
            </w:r>
            <w:r>
              <w:t>’</w:t>
            </w:r>
            <w:r w:rsidRPr="0019144F">
              <w:t>investissement couvertes par la garantie FEDD en vue de garantir l</w:t>
            </w:r>
            <w:r>
              <w:t>’</w:t>
            </w:r>
            <w:r w:rsidRPr="0019144F">
              <w:t>obligation de rendre compte vis-à-vis des citoyens européens. Le rapport devrait être rendu public pour permettre aux différentes parties prenantes, y compris à la société civile, de faire part de leur avis. La Commission devrait également faire rapport annuellement au Parlement européen et au Conseil sur la gestion du fonds de garantie FEDD pour s</w:t>
            </w:r>
            <w:r>
              <w:t>’</w:t>
            </w:r>
            <w:r w:rsidRPr="0019144F">
              <w:t>assurer de la transparence</w:t>
            </w:r>
            <w:r w:rsidRPr="0019144F">
              <w:rPr>
                <w:b/>
                <w:i/>
              </w:rPr>
              <w:t>,</w:t>
            </w:r>
            <w:r w:rsidRPr="0019144F">
              <w:t xml:space="preserve"> de l</w:t>
            </w:r>
            <w:r>
              <w:t>’</w:t>
            </w:r>
            <w:r w:rsidRPr="0019144F">
              <w:t>obligation de rendre compte</w:t>
            </w:r>
            <w:r w:rsidRPr="0019144F">
              <w:rPr>
                <w:b/>
                <w:i/>
              </w:rPr>
              <w:t xml:space="preserve"> et de la pleine application du mécanisme de contrôle budgétaire du Parlement européen</w:t>
            </w:r>
            <w:r w:rsidRPr="0019144F">
              <w:t>.</w:t>
            </w:r>
          </w:p>
        </w:tc>
      </w:tr>
    </w:tbl>
    <w:p w14:paraId="58ABEA62"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64B8512" w14:textId="77777777" w:rsidR="00BF7ACA" w:rsidRPr="00BF7ACA" w:rsidRDefault="00BF7ACA" w:rsidP="00BF7ACA">
      <w:r w:rsidRPr="00BF7ACA">
        <w:rPr>
          <w:rStyle w:val="HideTWBExt"/>
        </w:rPr>
        <w:t>&lt;/Amend&gt;</w:t>
      </w:r>
    </w:p>
    <w:p w14:paraId="6F6281FE"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159</w:t>
      </w:r>
      <w:r w:rsidRPr="00BF7ACA">
        <w:rPr>
          <w:rStyle w:val="HideTWBExt"/>
          <w:b w:val="0"/>
        </w:rPr>
        <w:t>&lt;/NumAm&gt;</w:t>
      </w:r>
    </w:p>
    <w:p w14:paraId="3121E7DB" w14:textId="77777777"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14:paraId="7CC89CB0" w14:textId="77777777" w:rsidR="00BF7ACA" w:rsidRPr="005A5903" w:rsidRDefault="00BF7ACA" w:rsidP="00BF7ACA">
      <w:r>
        <w:rPr>
          <w:rStyle w:val="HideTWBExt"/>
        </w:rPr>
        <w:t>&lt;/RepeatBlock-By&gt;</w:t>
      </w:r>
    </w:p>
    <w:p w14:paraId="37300DDD"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4990AFED" w14:textId="77777777" w:rsidR="00BF7ACA" w:rsidRPr="005A5903" w:rsidRDefault="00BF7ACA" w:rsidP="00BF7ACA">
      <w:pPr>
        <w:pStyle w:val="NormalBold"/>
      </w:pPr>
      <w:r>
        <w:rPr>
          <w:rStyle w:val="HideTWBExt"/>
          <w:b w:val="0"/>
        </w:rPr>
        <w:t>&lt;Article&gt;</w:t>
      </w:r>
      <w:r w:rsidRPr="0019144F">
        <w:t>Considérant 16</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4DADA0BF" w14:textId="77777777" w:rsidTr="007924BE">
        <w:trPr>
          <w:jc w:val="center"/>
        </w:trPr>
        <w:tc>
          <w:tcPr>
            <w:tcW w:w="9752" w:type="dxa"/>
            <w:gridSpan w:val="2"/>
          </w:tcPr>
          <w:p w14:paraId="4EB9EC5E" w14:textId="77777777" w:rsidR="00BF7ACA" w:rsidRPr="005A5903" w:rsidRDefault="00BF7ACA" w:rsidP="007924BE">
            <w:pPr>
              <w:keepNext/>
            </w:pPr>
          </w:p>
        </w:tc>
      </w:tr>
      <w:tr w:rsidR="00BF7ACA" w:rsidRPr="005A5903" w14:paraId="37BF4121" w14:textId="77777777" w:rsidTr="007924BE">
        <w:trPr>
          <w:jc w:val="center"/>
        </w:trPr>
        <w:tc>
          <w:tcPr>
            <w:tcW w:w="4876" w:type="dxa"/>
            <w:hideMark/>
          </w:tcPr>
          <w:p w14:paraId="18FCADFC" w14:textId="77777777" w:rsidR="00BF7ACA" w:rsidRPr="0019144F" w:rsidRDefault="00BF7ACA" w:rsidP="007924BE">
            <w:pPr>
              <w:pStyle w:val="ColumnHeading"/>
              <w:keepNext/>
            </w:pPr>
            <w:r w:rsidRPr="0019144F">
              <w:t>Texte proposé par la Commission</w:t>
            </w:r>
          </w:p>
        </w:tc>
        <w:tc>
          <w:tcPr>
            <w:tcW w:w="4876" w:type="dxa"/>
            <w:hideMark/>
          </w:tcPr>
          <w:p w14:paraId="30AB53EC" w14:textId="77777777" w:rsidR="00BF7ACA" w:rsidRPr="0019144F" w:rsidRDefault="00BF7ACA" w:rsidP="007924BE">
            <w:pPr>
              <w:pStyle w:val="ColumnHeading"/>
              <w:keepNext/>
            </w:pPr>
            <w:r w:rsidRPr="0019144F">
              <w:t>Amendement</w:t>
            </w:r>
          </w:p>
        </w:tc>
      </w:tr>
      <w:tr w:rsidR="00BF7ACA" w:rsidRPr="005A5903" w14:paraId="35CECCC9" w14:textId="77777777" w:rsidTr="007924BE">
        <w:trPr>
          <w:jc w:val="center"/>
        </w:trPr>
        <w:tc>
          <w:tcPr>
            <w:tcW w:w="4876" w:type="dxa"/>
            <w:hideMark/>
          </w:tcPr>
          <w:p w14:paraId="3F3251E6" w14:textId="77777777" w:rsidR="00BF7ACA" w:rsidRPr="0019144F" w:rsidRDefault="00BF7ACA" w:rsidP="007924BE">
            <w:pPr>
              <w:pStyle w:val="Normal6"/>
            </w:pPr>
            <w:r w:rsidRPr="0019144F">
              <w:t>(16)</w:t>
            </w:r>
            <w:r>
              <w:tab/>
            </w:r>
            <w:r w:rsidRPr="0019144F">
              <w:t>La Commission devrait faire rapport annuellement au Parlement européen et au Conseil sur les opérations de financement et d</w:t>
            </w:r>
            <w:r>
              <w:t>’</w:t>
            </w:r>
            <w:r w:rsidRPr="0019144F">
              <w:t>investissement couvertes par la garantie FEDD en vue de garantir l</w:t>
            </w:r>
            <w:r>
              <w:t>’</w:t>
            </w:r>
            <w:r w:rsidRPr="0019144F">
              <w:t>obligation de rendre compte vis-à-vis des citoyens européens. Le rapport devrait être rendu public pour permettre aux différentes parties prenantes, y compris à la société civile, de faire part de leur avis. La Commission devrait également faire rapport annuellement au Parlement européen et au Conseil sur la gestion du fonds de garantie FEDD pour s</w:t>
            </w:r>
            <w:r>
              <w:t>’</w:t>
            </w:r>
            <w:r w:rsidRPr="0019144F">
              <w:t>assurer de la transparence et de l</w:t>
            </w:r>
            <w:r>
              <w:t>’</w:t>
            </w:r>
            <w:r w:rsidRPr="0019144F">
              <w:t>obligation de rendre compte.</w:t>
            </w:r>
          </w:p>
        </w:tc>
        <w:tc>
          <w:tcPr>
            <w:tcW w:w="4876" w:type="dxa"/>
            <w:hideMark/>
          </w:tcPr>
          <w:p w14:paraId="087CC644" w14:textId="77777777" w:rsidR="00BF7ACA" w:rsidRPr="0019144F" w:rsidRDefault="00BF7ACA" w:rsidP="007924BE">
            <w:pPr>
              <w:pStyle w:val="Normal6"/>
              <w:rPr>
                <w:szCs w:val="24"/>
              </w:rPr>
            </w:pPr>
            <w:r w:rsidRPr="0019144F">
              <w:t>(16)</w:t>
            </w:r>
            <w:r>
              <w:tab/>
            </w:r>
            <w:r w:rsidRPr="0019144F">
              <w:t>La Commission devrait faire rapport annuellement au Parlement européen et au Conseil</w:t>
            </w:r>
            <w:r w:rsidRPr="0019144F">
              <w:rPr>
                <w:b/>
                <w:i/>
              </w:rPr>
              <w:t>, ainsi qu</w:t>
            </w:r>
            <w:r>
              <w:rPr>
                <w:b/>
                <w:i/>
              </w:rPr>
              <w:t>’</w:t>
            </w:r>
            <w:r w:rsidRPr="0019144F">
              <w:rPr>
                <w:b/>
                <w:i/>
              </w:rPr>
              <w:t>à l</w:t>
            </w:r>
            <w:r>
              <w:rPr>
                <w:b/>
                <w:i/>
              </w:rPr>
              <w:t>’</w:t>
            </w:r>
            <w:r w:rsidRPr="0019144F">
              <w:rPr>
                <w:b/>
                <w:i/>
              </w:rPr>
              <w:t>Assemblée parlementaire paritaire ACP-UE,</w:t>
            </w:r>
            <w:r w:rsidRPr="0019144F">
              <w:t xml:space="preserve"> sur les opérations de financement et d</w:t>
            </w:r>
            <w:r>
              <w:t>’</w:t>
            </w:r>
            <w:r w:rsidRPr="0019144F">
              <w:t>investissement couvertes par la garantie FEDD en vue de garantir l</w:t>
            </w:r>
            <w:r>
              <w:t>’</w:t>
            </w:r>
            <w:r w:rsidRPr="0019144F">
              <w:t>obligation de rendre compte vis-à-vis des citoyens européens</w:t>
            </w:r>
            <w:r w:rsidRPr="0019144F">
              <w:rPr>
                <w:b/>
                <w:i/>
              </w:rPr>
              <w:t xml:space="preserve"> et des pays partenaires</w:t>
            </w:r>
            <w:r w:rsidRPr="0019144F">
              <w:t>. Le rapport devrait être rendu public pour permettre aux différentes parties prenantes, y compris à la société civile, de faire part de leur avis. La Commission devrait également faire rapport annuellement au Parlement européen et au Conseil sur la gestion du fonds de garantie FEDD pour s</w:t>
            </w:r>
            <w:r>
              <w:t>’</w:t>
            </w:r>
            <w:r w:rsidRPr="0019144F">
              <w:t>assurer de la transparence et de l</w:t>
            </w:r>
            <w:r>
              <w:t>’</w:t>
            </w:r>
            <w:r w:rsidRPr="0019144F">
              <w:t>obligation de rendre compte.</w:t>
            </w:r>
          </w:p>
        </w:tc>
      </w:tr>
    </w:tbl>
    <w:p w14:paraId="599309B1" w14:textId="77777777"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14:paraId="78E7C0DC" w14:textId="77777777" w:rsidR="00BF7ACA" w:rsidRPr="00BF7ACA" w:rsidRDefault="00BF7ACA" w:rsidP="00BF7ACA">
      <w:pPr>
        <w:rPr>
          <w:lang w:val="nl-NL"/>
        </w:rPr>
      </w:pPr>
      <w:r w:rsidRPr="00BF7ACA">
        <w:rPr>
          <w:rStyle w:val="HideTWBExt"/>
          <w:lang w:val="nl-NL"/>
        </w:rPr>
        <w:t>&lt;/Amend&gt;</w:t>
      </w:r>
    </w:p>
    <w:p w14:paraId="304C523E" w14:textId="77777777"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160</w:t>
      </w:r>
      <w:r w:rsidRPr="00BF7ACA">
        <w:rPr>
          <w:rStyle w:val="HideTWBExt"/>
          <w:b w:val="0"/>
          <w:lang w:val="nl-NL"/>
        </w:rPr>
        <w:t>&lt;/NumAm&gt;</w:t>
      </w:r>
    </w:p>
    <w:p w14:paraId="7AFBD209" w14:textId="77777777"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14:paraId="29B5A858" w14:textId="77777777" w:rsidR="00BF7ACA" w:rsidRPr="00BF7ACA" w:rsidRDefault="00BF7ACA" w:rsidP="00BF7ACA">
      <w:pPr>
        <w:rPr>
          <w:lang w:val="nl-NL"/>
        </w:rPr>
      </w:pPr>
      <w:r w:rsidRPr="00BF7ACA">
        <w:rPr>
          <w:rStyle w:val="HideTWBExt"/>
          <w:lang w:val="nl-NL"/>
        </w:rPr>
        <w:t>&lt;/RepeatBlock-By&gt;</w:t>
      </w:r>
    </w:p>
    <w:p w14:paraId="39080239"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034A1EC6" w14:textId="77777777" w:rsidR="00BF7ACA" w:rsidRPr="005A5903" w:rsidRDefault="00BF7ACA" w:rsidP="00BF7ACA">
      <w:pPr>
        <w:pStyle w:val="NormalBold"/>
      </w:pPr>
      <w:r>
        <w:rPr>
          <w:rStyle w:val="HideTWBExt"/>
          <w:b w:val="0"/>
        </w:rPr>
        <w:t>&lt;Article&gt;</w:t>
      </w:r>
      <w:r w:rsidRPr="0019144F">
        <w:t>Considérant 16</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74DB2278" w14:textId="77777777" w:rsidTr="007924BE">
        <w:trPr>
          <w:jc w:val="center"/>
        </w:trPr>
        <w:tc>
          <w:tcPr>
            <w:tcW w:w="9752" w:type="dxa"/>
            <w:gridSpan w:val="2"/>
          </w:tcPr>
          <w:p w14:paraId="4D8B5225" w14:textId="77777777" w:rsidR="00BF7ACA" w:rsidRPr="005A5903" w:rsidRDefault="00BF7ACA" w:rsidP="007924BE">
            <w:pPr>
              <w:keepNext/>
            </w:pPr>
          </w:p>
        </w:tc>
      </w:tr>
      <w:tr w:rsidR="00BF7ACA" w:rsidRPr="005A5903" w14:paraId="3E3A9182" w14:textId="77777777" w:rsidTr="007924BE">
        <w:trPr>
          <w:jc w:val="center"/>
        </w:trPr>
        <w:tc>
          <w:tcPr>
            <w:tcW w:w="4876" w:type="dxa"/>
            <w:hideMark/>
          </w:tcPr>
          <w:p w14:paraId="15C63BF3" w14:textId="77777777" w:rsidR="00BF7ACA" w:rsidRPr="0019144F" w:rsidRDefault="00BF7ACA" w:rsidP="007924BE">
            <w:pPr>
              <w:pStyle w:val="ColumnHeading"/>
              <w:keepNext/>
            </w:pPr>
            <w:r w:rsidRPr="0019144F">
              <w:t>Texte proposé par la Commission</w:t>
            </w:r>
          </w:p>
        </w:tc>
        <w:tc>
          <w:tcPr>
            <w:tcW w:w="4876" w:type="dxa"/>
            <w:hideMark/>
          </w:tcPr>
          <w:p w14:paraId="70F6918C" w14:textId="77777777" w:rsidR="00BF7ACA" w:rsidRPr="0019144F" w:rsidRDefault="00BF7ACA" w:rsidP="007924BE">
            <w:pPr>
              <w:pStyle w:val="ColumnHeading"/>
              <w:keepNext/>
            </w:pPr>
            <w:r w:rsidRPr="0019144F">
              <w:t>Amendement</w:t>
            </w:r>
          </w:p>
        </w:tc>
      </w:tr>
      <w:tr w:rsidR="00BF7ACA" w:rsidRPr="005A5903" w14:paraId="21A18AAA" w14:textId="77777777" w:rsidTr="007924BE">
        <w:trPr>
          <w:jc w:val="center"/>
        </w:trPr>
        <w:tc>
          <w:tcPr>
            <w:tcW w:w="4876" w:type="dxa"/>
            <w:hideMark/>
          </w:tcPr>
          <w:p w14:paraId="67ED068F" w14:textId="77777777" w:rsidR="00BF7ACA" w:rsidRPr="0019144F" w:rsidRDefault="00BF7ACA" w:rsidP="007924BE">
            <w:pPr>
              <w:pStyle w:val="Normal6"/>
            </w:pPr>
            <w:r w:rsidRPr="0019144F">
              <w:t>(16)</w:t>
            </w:r>
            <w:r>
              <w:tab/>
            </w:r>
            <w:r w:rsidRPr="0019144F">
              <w:t xml:space="preserve">La Commission </w:t>
            </w:r>
            <w:r w:rsidRPr="0019144F">
              <w:rPr>
                <w:b/>
                <w:i/>
              </w:rPr>
              <w:t>devrait faire</w:t>
            </w:r>
            <w:r w:rsidRPr="0019144F">
              <w:t xml:space="preserve"> rapport annuellement au Parlement européen et au Conseil sur </w:t>
            </w:r>
            <w:r w:rsidRPr="0019144F">
              <w:rPr>
                <w:b/>
                <w:i/>
              </w:rPr>
              <w:t>les opérations de financement et d</w:t>
            </w:r>
            <w:r>
              <w:rPr>
                <w:b/>
                <w:i/>
              </w:rPr>
              <w:t>’</w:t>
            </w:r>
            <w:r w:rsidRPr="0019144F">
              <w:rPr>
                <w:b/>
                <w:i/>
              </w:rPr>
              <w:t>investissement couvertes</w:t>
            </w:r>
            <w:r w:rsidRPr="0019144F">
              <w:t xml:space="preserve"> par la garantie FEDD en vue de garantir l</w:t>
            </w:r>
            <w:r>
              <w:t>’</w:t>
            </w:r>
            <w:r w:rsidRPr="0019144F">
              <w:t xml:space="preserve">obligation de rendre compte vis-à-vis des citoyens européens. Le rapport </w:t>
            </w:r>
            <w:r w:rsidRPr="0019144F">
              <w:rPr>
                <w:b/>
                <w:i/>
              </w:rPr>
              <w:t>devrait être</w:t>
            </w:r>
            <w:r w:rsidRPr="0019144F">
              <w:t xml:space="preserve"> rendu public pour permettre aux différentes parties prenantes, y compris à la société civile, de faire part de leur avis. La Commission </w:t>
            </w:r>
            <w:r w:rsidRPr="0019144F">
              <w:rPr>
                <w:b/>
                <w:i/>
              </w:rPr>
              <w:t>devrait</w:t>
            </w:r>
            <w:r w:rsidRPr="0019144F">
              <w:t xml:space="preserve"> également</w:t>
            </w:r>
            <w:r w:rsidRPr="0019144F">
              <w:rPr>
                <w:b/>
                <w:i/>
              </w:rPr>
              <w:t xml:space="preserve"> faire</w:t>
            </w:r>
            <w:r w:rsidRPr="0019144F">
              <w:t xml:space="preserve"> rapport annuellement au Parlement européen et au Conseil sur la gestion du fonds de garantie FEDD pour s</w:t>
            </w:r>
            <w:r>
              <w:t>’</w:t>
            </w:r>
            <w:r w:rsidRPr="0019144F">
              <w:t>assurer de la transparence et de l</w:t>
            </w:r>
            <w:r>
              <w:t>’</w:t>
            </w:r>
            <w:r w:rsidRPr="0019144F">
              <w:t>obligation de rendre compte.</w:t>
            </w:r>
          </w:p>
        </w:tc>
        <w:tc>
          <w:tcPr>
            <w:tcW w:w="4876" w:type="dxa"/>
            <w:hideMark/>
          </w:tcPr>
          <w:p w14:paraId="0B219017" w14:textId="77777777" w:rsidR="00BF7ACA" w:rsidRPr="0019144F" w:rsidRDefault="00BF7ACA" w:rsidP="007924BE">
            <w:pPr>
              <w:pStyle w:val="Normal6"/>
              <w:rPr>
                <w:szCs w:val="24"/>
              </w:rPr>
            </w:pPr>
            <w:r w:rsidRPr="0019144F">
              <w:t>(16)</w:t>
            </w:r>
            <w:r>
              <w:tab/>
            </w:r>
            <w:r w:rsidRPr="0019144F">
              <w:t xml:space="preserve">La Commission </w:t>
            </w:r>
            <w:r w:rsidRPr="0019144F">
              <w:rPr>
                <w:b/>
                <w:i/>
              </w:rPr>
              <w:t>fait</w:t>
            </w:r>
            <w:r w:rsidRPr="0019144F">
              <w:t xml:space="preserve"> rapport annuellement au Parlement européen et au Conseil sur </w:t>
            </w:r>
            <w:r w:rsidRPr="0019144F">
              <w:rPr>
                <w:b/>
                <w:i/>
              </w:rPr>
              <w:t>l</w:t>
            </w:r>
            <w:r>
              <w:rPr>
                <w:b/>
                <w:i/>
              </w:rPr>
              <w:t>’</w:t>
            </w:r>
            <w:r w:rsidRPr="0019144F">
              <w:rPr>
                <w:b/>
                <w:i/>
              </w:rPr>
              <w:t>efficacité et la réussite des projets financés</w:t>
            </w:r>
            <w:r w:rsidRPr="0019144F">
              <w:t xml:space="preserve"> par la garantie FEDD</w:t>
            </w:r>
            <w:r w:rsidRPr="0019144F">
              <w:rPr>
                <w:b/>
                <w:i/>
              </w:rPr>
              <w:t>, ainsi que des investissements réalisés au titre de celle-ci,</w:t>
            </w:r>
            <w:r w:rsidRPr="0019144F">
              <w:t xml:space="preserve"> en vue de garantir l</w:t>
            </w:r>
            <w:r>
              <w:t>’</w:t>
            </w:r>
            <w:r w:rsidRPr="0019144F">
              <w:t xml:space="preserve">obligation de rendre compte vis-à-vis des citoyens européens. Le rapport </w:t>
            </w:r>
            <w:r w:rsidRPr="0019144F">
              <w:rPr>
                <w:b/>
                <w:i/>
              </w:rPr>
              <w:t>sera</w:t>
            </w:r>
            <w:r w:rsidRPr="0019144F">
              <w:t xml:space="preserve"> rendu public pour permettre aux différentes parties prenantes, y compris à la société civile, de faire part de leur avis. La Commission </w:t>
            </w:r>
            <w:r w:rsidRPr="0019144F">
              <w:rPr>
                <w:b/>
                <w:i/>
              </w:rPr>
              <w:t>fait</w:t>
            </w:r>
            <w:r w:rsidRPr="0019144F">
              <w:t xml:space="preserve"> également rapport annuellement au Parlement européen et au Conseil sur la gestion du fonds de garantie FEDD pour s</w:t>
            </w:r>
            <w:r>
              <w:t>’</w:t>
            </w:r>
            <w:r w:rsidRPr="0019144F">
              <w:t>assurer de la transparence et de l</w:t>
            </w:r>
            <w:r>
              <w:t>’</w:t>
            </w:r>
            <w:r w:rsidRPr="0019144F">
              <w:t>obligation de rendre compte.</w:t>
            </w:r>
          </w:p>
        </w:tc>
      </w:tr>
    </w:tbl>
    <w:p w14:paraId="4D515A1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4FA4FB7" w14:textId="77777777" w:rsidR="00BF7ACA" w:rsidRPr="00BF7ACA" w:rsidRDefault="00BF7ACA" w:rsidP="00BF7ACA">
      <w:r w:rsidRPr="00BF7ACA">
        <w:rPr>
          <w:rStyle w:val="HideTWBExt"/>
        </w:rPr>
        <w:t>&lt;/Amend&gt;</w:t>
      </w:r>
    </w:p>
    <w:p w14:paraId="281B5872"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161</w:t>
      </w:r>
      <w:r w:rsidRPr="00BF7ACA">
        <w:rPr>
          <w:rStyle w:val="HideTWBExt"/>
          <w:b w:val="0"/>
        </w:rPr>
        <w:t>&lt;/NumAm&gt;</w:t>
      </w:r>
    </w:p>
    <w:p w14:paraId="3C1CD293" w14:textId="77777777" w:rsidR="00BF7ACA" w:rsidRPr="00BF7ACA" w:rsidRDefault="00BF7ACA" w:rsidP="00BF7ACA">
      <w:pPr>
        <w:pStyle w:val="NormalBold"/>
      </w:pPr>
      <w:r w:rsidRPr="00BF7ACA">
        <w:rPr>
          <w:rStyle w:val="HideTWBExt"/>
          <w:b w:val="0"/>
        </w:rPr>
        <w:t>&lt;RepeatBlock-By&gt;&lt;Members&gt;</w:t>
      </w:r>
      <w:r w:rsidRPr="00BF7ACA">
        <w:t>Pina Picierno, Nicola Caputo</w:t>
      </w:r>
      <w:r w:rsidRPr="00BF7ACA">
        <w:rPr>
          <w:rStyle w:val="HideTWBExt"/>
          <w:b w:val="0"/>
        </w:rPr>
        <w:t>&lt;/Members&gt;</w:t>
      </w:r>
    </w:p>
    <w:p w14:paraId="38C71DFB" w14:textId="77777777" w:rsidR="00BF7ACA" w:rsidRPr="00BF7ACA" w:rsidRDefault="00BF7ACA" w:rsidP="00BF7ACA">
      <w:r w:rsidRPr="00BF7ACA">
        <w:rPr>
          <w:rStyle w:val="HideTWBExt"/>
        </w:rPr>
        <w:t>&lt;/RepeatBlock-By&gt;</w:t>
      </w:r>
    </w:p>
    <w:p w14:paraId="49D5F216" w14:textId="77777777"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14:paraId="2FB50FE8" w14:textId="77777777" w:rsidR="00BF7ACA" w:rsidRPr="00E502E5" w:rsidRDefault="00BF7ACA" w:rsidP="00BF7ACA">
      <w:pPr>
        <w:pStyle w:val="NormalBold"/>
      </w:pPr>
      <w:r>
        <w:rPr>
          <w:rStyle w:val="HideTWBExt"/>
          <w:b w:val="0"/>
        </w:rPr>
        <w:t>&lt;Article&gt;</w:t>
      </w:r>
      <w:r w:rsidRPr="002E43F3">
        <w:t>Considérant 16</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5EDFA600" w14:textId="77777777" w:rsidTr="007924BE">
        <w:trPr>
          <w:jc w:val="center"/>
        </w:trPr>
        <w:tc>
          <w:tcPr>
            <w:tcW w:w="9752" w:type="dxa"/>
            <w:gridSpan w:val="2"/>
          </w:tcPr>
          <w:p w14:paraId="50300FEC" w14:textId="77777777" w:rsidR="00BF7ACA" w:rsidRPr="00E502E5" w:rsidRDefault="00BF7ACA" w:rsidP="007924BE">
            <w:pPr>
              <w:keepNext/>
            </w:pPr>
          </w:p>
        </w:tc>
      </w:tr>
      <w:tr w:rsidR="00BF7ACA" w:rsidRPr="00E502E5" w14:paraId="1FC84C1B" w14:textId="77777777" w:rsidTr="007924BE">
        <w:trPr>
          <w:jc w:val="center"/>
        </w:trPr>
        <w:tc>
          <w:tcPr>
            <w:tcW w:w="4876" w:type="dxa"/>
            <w:hideMark/>
          </w:tcPr>
          <w:p w14:paraId="44F042F7" w14:textId="77777777" w:rsidR="00BF7ACA" w:rsidRPr="002E43F3" w:rsidRDefault="00BF7ACA" w:rsidP="007924BE">
            <w:pPr>
              <w:pStyle w:val="ColumnHeading"/>
              <w:keepNext/>
            </w:pPr>
            <w:r w:rsidRPr="002E43F3">
              <w:t>Texte proposé par la Commission</w:t>
            </w:r>
          </w:p>
        </w:tc>
        <w:tc>
          <w:tcPr>
            <w:tcW w:w="4876" w:type="dxa"/>
            <w:hideMark/>
          </w:tcPr>
          <w:p w14:paraId="5045C5F6" w14:textId="77777777" w:rsidR="00BF7ACA" w:rsidRPr="002E43F3" w:rsidRDefault="00BF7ACA" w:rsidP="007924BE">
            <w:pPr>
              <w:pStyle w:val="ColumnHeading"/>
              <w:keepNext/>
            </w:pPr>
            <w:r w:rsidRPr="002E43F3">
              <w:t>Amendement</w:t>
            </w:r>
          </w:p>
        </w:tc>
      </w:tr>
      <w:tr w:rsidR="00BF7ACA" w:rsidRPr="00E502E5" w14:paraId="18AF572F" w14:textId="77777777" w:rsidTr="007924BE">
        <w:trPr>
          <w:jc w:val="center"/>
        </w:trPr>
        <w:tc>
          <w:tcPr>
            <w:tcW w:w="4876" w:type="dxa"/>
            <w:hideMark/>
          </w:tcPr>
          <w:p w14:paraId="621C6433" w14:textId="77777777" w:rsidR="00BF7ACA" w:rsidRPr="002E43F3" w:rsidRDefault="00BF7ACA" w:rsidP="007924BE">
            <w:pPr>
              <w:pStyle w:val="Normal6"/>
            </w:pPr>
            <w:r w:rsidRPr="002E43F3">
              <w:t>(16)</w:t>
            </w:r>
            <w:r>
              <w:tab/>
            </w:r>
            <w:r w:rsidRPr="002E43F3">
              <w:t xml:space="preserve">La Commission </w:t>
            </w:r>
            <w:r w:rsidRPr="002E43F3">
              <w:rPr>
                <w:b/>
                <w:i/>
              </w:rPr>
              <w:t>devrait</w:t>
            </w:r>
            <w:r w:rsidRPr="002E43F3">
              <w:t xml:space="preserve"> faire rapport annuellement au Parlement européen et au Conseil sur les opérations de financement et d</w:t>
            </w:r>
            <w:r>
              <w:t>’</w:t>
            </w:r>
            <w:r w:rsidRPr="002E43F3">
              <w:t>investissement couvertes par la garantie FEDD en vue de garantir l</w:t>
            </w:r>
            <w:r>
              <w:t>’</w:t>
            </w:r>
            <w:r w:rsidRPr="002E43F3">
              <w:t xml:space="preserve">obligation de rendre compte vis-à-vis des citoyens européens. Le rapport </w:t>
            </w:r>
            <w:r w:rsidRPr="002E43F3">
              <w:rPr>
                <w:b/>
                <w:i/>
              </w:rPr>
              <w:t>devrait</w:t>
            </w:r>
            <w:r w:rsidRPr="002E43F3">
              <w:t xml:space="preserve"> être rendu public pour permettre aux différentes parties prenantes, y compris à la société civile, de faire part de leur avis. La Commission </w:t>
            </w:r>
            <w:r w:rsidRPr="002E43F3">
              <w:rPr>
                <w:b/>
                <w:i/>
              </w:rPr>
              <w:t>devrait</w:t>
            </w:r>
            <w:r w:rsidRPr="002E43F3">
              <w:t xml:space="preserve"> également faire rapport annuellement au Parlement européen et au Conseil sur la gestion du fonds de garantie FEDD pour s</w:t>
            </w:r>
            <w:r>
              <w:t>’</w:t>
            </w:r>
            <w:r w:rsidRPr="002E43F3">
              <w:t>assurer de la transparence et de l</w:t>
            </w:r>
            <w:r>
              <w:t>’obligation de rendre </w:t>
            </w:r>
            <w:r w:rsidRPr="002E43F3">
              <w:t>compte.</w:t>
            </w:r>
          </w:p>
        </w:tc>
        <w:tc>
          <w:tcPr>
            <w:tcW w:w="4876" w:type="dxa"/>
            <w:hideMark/>
          </w:tcPr>
          <w:p w14:paraId="763CE1CC" w14:textId="77777777" w:rsidR="00BF7ACA" w:rsidRPr="002E43F3" w:rsidRDefault="00BF7ACA" w:rsidP="007924BE">
            <w:pPr>
              <w:pStyle w:val="Normal6"/>
              <w:rPr>
                <w:szCs w:val="24"/>
              </w:rPr>
            </w:pPr>
            <w:r w:rsidRPr="002E43F3">
              <w:t>(16)</w:t>
            </w:r>
            <w:r>
              <w:tab/>
            </w:r>
            <w:r w:rsidRPr="002E43F3">
              <w:t xml:space="preserve">La Commission </w:t>
            </w:r>
            <w:r w:rsidRPr="002E43F3">
              <w:rPr>
                <w:b/>
                <w:i/>
              </w:rPr>
              <w:t>devra</w:t>
            </w:r>
            <w:r w:rsidRPr="002E43F3">
              <w:t xml:space="preserve"> faire rapport annuellement au Parlement européen et au Conseil sur les opérations de financement et d</w:t>
            </w:r>
            <w:r>
              <w:t>’</w:t>
            </w:r>
            <w:r w:rsidRPr="002E43F3">
              <w:t>investissement couvertes par la garantie FEDD en vue de garantir l</w:t>
            </w:r>
            <w:r>
              <w:t>’</w:t>
            </w:r>
            <w:r w:rsidRPr="002E43F3">
              <w:t xml:space="preserve">obligation de rendre compte vis-à-vis des citoyens européens. Le rapport </w:t>
            </w:r>
            <w:r w:rsidRPr="002E43F3">
              <w:rPr>
                <w:b/>
                <w:i/>
              </w:rPr>
              <w:t>devra</w:t>
            </w:r>
            <w:r w:rsidRPr="002E43F3">
              <w:t xml:space="preserve"> être rendu public pour permettre aux différentes parties prenantes, y compris à la société civile, de faire part de leur avis. La Commission </w:t>
            </w:r>
            <w:r w:rsidRPr="002E43F3">
              <w:rPr>
                <w:b/>
                <w:i/>
              </w:rPr>
              <w:t>devra</w:t>
            </w:r>
            <w:r w:rsidRPr="002E43F3">
              <w:t xml:space="preserve"> également faire rapport annuellement au Parlement européen et au Conseil sur la gestion du fonds de garantie FEDD pour s</w:t>
            </w:r>
            <w:r>
              <w:t>’</w:t>
            </w:r>
            <w:r w:rsidRPr="002E43F3">
              <w:t>assurer de la transparence et de l</w:t>
            </w:r>
            <w:r>
              <w:t>’</w:t>
            </w:r>
            <w:r w:rsidRPr="002E43F3">
              <w:t>obligation de rendre compte.</w:t>
            </w:r>
          </w:p>
        </w:tc>
      </w:tr>
    </w:tbl>
    <w:p w14:paraId="19B05428" w14:textId="77777777"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&lt;Original&gt;</w:t>
      </w:r>
      <w:r w:rsidRPr="000C3237">
        <w:rPr>
          <w:rStyle w:val="HideTWBInt"/>
          <w:noProof w:val="0"/>
          <w:lang w:val="en-GB"/>
        </w:rPr>
        <w:t>{IT}</w:t>
      </w:r>
      <w:r w:rsidRPr="000C3237">
        <w:rPr>
          <w:noProof w:val="0"/>
          <w:lang w:val="en-GB"/>
        </w:rPr>
        <w:t>it</w:t>
      </w:r>
      <w:r w:rsidRPr="000C3237">
        <w:rPr>
          <w:rStyle w:val="HideTWBExt"/>
          <w:noProof w:val="0"/>
          <w:lang w:val="en-GB"/>
        </w:rPr>
        <w:t>&lt;/Original&gt;</w:t>
      </w:r>
    </w:p>
    <w:p w14:paraId="1C995135" w14:textId="77777777" w:rsidR="00BF7ACA" w:rsidRPr="000C3237" w:rsidRDefault="00BF7ACA" w:rsidP="00BF7ACA">
      <w:pPr>
        <w:rPr>
          <w:lang w:val="en-GB"/>
        </w:rPr>
      </w:pPr>
      <w:r w:rsidRPr="000C3237">
        <w:rPr>
          <w:rStyle w:val="HideTWBExt"/>
          <w:lang w:val="en-GB"/>
        </w:rPr>
        <w:t>&lt;/Amend&gt;</w:t>
      </w:r>
    </w:p>
    <w:p w14:paraId="638361D5" w14:textId="77777777"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162</w:t>
      </w:r>
      <w:r w:rsidRPr="000C3237">
        <w:rPr>
          <w:rStyle w:val="HideTWBExt"/>
          <w:b w:val="0"/>
          <w:lang w:val="en-GB"/>
        </w:rPr>
        <w:t>&lt;/NumAm&gt;</w:t>
      </w:r>
    </w:p>
    <w:p w14:paraId="424D21EA" w14:textId="77777777"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Fabio Massimo Castaldo, Ignazio Corrao, Marco Valli</w:t>
      </w:r>
      <w:r w:rsidRPr="000C3237">
        <w:rPr>
          <w:rStyle w:val="HideTWBExt"/>
          <w:b w:val="0"/>
          <w:lang w:val="en-GB"/>
        </w:rPr>
        <w:t>&lt;/Members&gt;</w:t>
      </w:r>
    </w:p>
    <w:p w14:paraId="241AD950" w14:textId="77777777" w:rsidR="00BF7ACA" w:rsidRPr="000C3237" w:rsidRDefault="00BF7ACA" w:rsidP="00BF7ACA">
      <w:pPr>
        <w:rPr>
          <w:lang w:val="en-GB"/>
        </w:rPr>
      </w:pPr>
      <w:r w:rsidRPr="000C3237">
        <w:rPr>
          <w:rStyle w:val="HideTWBExt"/>
          <w:lang w:val="en-GB"/>
        </w:rPr>
        <w:t>&lt;/RepeatBlock-By&gt;</w:t>
      </w:r>
    </w:p>
    <w:p w14:paraId="350F9A98" w14:textId="77777777" w:rsidR="00BF7ACA" w:rsidRPr="000C3237" w:rsidRDefault="00BF7ACA" w:rsidP="00BF7ACA">
      <w:pPr>
        <w:pStyle w:val="NormalBold"/>
        <w:keepNext/>
        <w:rPr>
          <w:lang w:val="en-GB"/>
        </w:rPr>
      </w:pPr>
      <w:r w:rsidRPr="000C3237">
        <w:rPr>
          <w:rStyle w:val="HideTWBExt"/>
          <w:b w:val="0"/>
          <w:lang w:val="en-GB"/>
        </w:rPr>
        <w:t>&lt;DocAmend&gt;</w:t>
      </w:r>
      <w:r w:rsidRPr="000C3237">
        <w:rPr>
          <w:lang w:val="en-GB"/>
        </w:rPr>
        <w:t>Proposition de règlement</w:t>
      </w:r>
      <w:r w:rsidRPr="000C3237">
        <w:rPr>
          <w:rStyle w:val="HideTWBExt"/>
          <w:b w:val="0"/>
          <w:lang w:val="en-GB"/>
        </w:rPr>
        <w:t>&lt;/DocAmend&gt;</w:t>
      </w:r>
    </w:p>
    <w:p w14:paraId="32AA8C77" w14:textId="77777777" w:rsidR="00BF7ACA" w:rsidRPr="00E502E5" w:rsidRDefault="00BF7ACA" w:rsidP="00BF7ACA">
      <w:pPr>
        <w:pStyle w:val="NormalBold"/>
      </w:pPr>
      <w:r>
        <w:rPr>
          <w:rStyle w:val="HideTWBExt"/>
          <w:b w:val="0"/>
        </w:rPr>
        <w:t>&lt;Article&gt;</w:t>
      </w:r>
      <w:r w:rsidRPr="002E43F3">
        <w:t>Considérant 16</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2750B046" w14:textId="77777777" w:rsidTr="007924BE">
        <w:trPr>
          <w:jc w:val="center"/>
        </w:trPr>
        <w:tc>
          <w:tcPr>
            <w:tcW w:w="9752" w:type="dxa"/>
            <w:gridSpan w:val="2"/>
          </w:tcPr>
          <w:p w14:paraId="53DB8380" w14:textId="77777777" w:rsidR="00BF7ACA" w:rsidRPr="00E502E5" w:rsidRDefault="00BF7ACA" w:rsidP="007924BE">
            <w:pPr>
              <w:keepNext/>
            </w:pPr>
          </w:p>
        </w:tc>
      </w:tr>
      <w:tr w:rsidR="00BF7ACA" w:rsidRPr="00E502E5" w14:paraId="69501E1F" w14:textId="77777777" w:rsidTr="007924BE">
        <w:trPr>
          <w:jc w:val="center"/>
        </w:trPr>
        <w:tc>
          <w:tcPr>
            <w:tcW w:w="4876" w:type="dxa"/>
            <w:hideMark/>
          </w:tcPr>
          <w:p w14:paraId="5D87410C" w14:textId="77777777" w:rsidR="00BF7ACA" w:rsidRPr="002E43F3" w:rsidRDefault="00BF7ACA" w:rsidP="007924BE">
            <w:pPr>
              <w:pStyle w:val="ColumnHeading"/>
              <w:keepNext/>
            </w:pPr>
            <w:r w:rsidRPr="002E43F3">
              <w:t>Texte proposé par la Commission</w:t>
            </w:r>
          </w:p>
        </w:tc>
        <w:tc>
          <w:tcPr>
            <w:tcW w:w="4876" w:type="dxa"/>
            <w:hideMark/>
          </w:tcPr>
          <w:p w14:paraId="28D75E79" w14:textId="77777777" w:rsidR="00BF7ACA" w:rsidRPr="002E43F3" w:rsidRDefault="00BF7ACA" w:rsidP="007924BE">
            <w:pPr>
              <w:pStyle w:val="ColumnHeading"/>
              <w:keepNext/>
            </w:pPr>
            <w:r w:rsidRPr="002E43F3">
              <w:t>Amendement</w:t>
            </w:r>
          </w:p>
        </w:tc>
      </w:tr>
      <w:tr w:rsidR="00BF7ACA" w:rsidRPr="00E502E5" w14:paraId="48ADEAA6" w14:textId="77777777" w:rsidTr="007924BE">
        <w:trPr>
          <w:jc w:val="center"/>
        </w:trPr>
        <w:tc>
          <w:tcPr>
            <w:tcW w:w="4876" w:type="dxa"/>
            <w:hideMark/>
          </w:tcPr>
          <w:p w14:paraId="41A0871E" w14:textId="77777777" w:rsidR="00BF7ACA" w:rsidRPr="002E43F3" w:rsidRDefault="00BF7ACA" w:rsidP="007924BE">
            <w:pPr>
              <w:pStyle w:val="Normal6"/>
            </w:pPr>
            <w:r w:rsidRPr="002E43F3">
              <w:t>(16)</w:t>
            </w:r>
            <w:r>
              <w:tab/>
            </w:r>
            <w:r w:rsidRPr="002E43F3">
              <w:t xml:space="preserve">La Commission </w:t>
            </w:r>
            <w:r w:rsidRPr="002E43F3">
              <w:rPr>
                <w:b/>
                <w:i/>
              </w:rPr>
              <w:t>devrait</w:t>
            </w:r>
            <w:r w:rsidRPr="002E43F3">
              <w:t xml:space="preserve"> faire rapport annuellement au Parlement européen et au Conseil sur les opérations de financement et d</w:t>
            </w:r>
            <w:r>
              <w:t>’</w:t>
            </w:r>
            <w:r w:rsidRPr="002E43F3">
              <w:t>investissement couvertes par la garantie FEDD en vue de garantir l</w:t>
            </w:r>
            <w:r>
              <w:t>’</w:t>
            </w:r>
            <w:r w:rsidRPr="002E43F3">
              <w:t xml:space="preserve">obligation de rendre compte vis-à-vis des citoyens européens. Le rapport </w:t>
            </w:r>
            <w:r w:rsidRPr="002E43F3">
              <w:rPr>
                <w:b/>
                <w:i/>
              </w:rPr>
              <w:t>devrait</w:t>
            </w:r>
            <w:r w:rsidRPr="002E43F3">
              <w:t xml:space="preserve"> être rendu public pour permettre aux différentes parties prenantes, y compris à la société civile, de faire part de leur avis. La Commission </w:t>
            </w:r>
            <w:r w:rsidRPr="002E43F3">
              <w:rPr>
                <w:b/>
                <w:i/>
              </w:rPr>
              <w:t>devrait</w:t>
            </w:r>
            <w:r w:rsidRPr="002E43F3">
              <w:t xml:space="preserve"> également faire rapport annuellement au Parlement européen et au Conseil sur la gestion du fonds de garantie FEDD pour s</w:t>
            </w:r>
            <w:r>
              <w:t>’</w:t>
            </w:r>
            <w:r w:rsidRPr="002E43F3">
              <w:t>assurer de la transparence et de l</w:t>
            </w:r>
            <w:r>
              <w:t>’obligation de rendre </w:t>
            </w:r>
            <w:r w:rsidRPr="002E43F3">
              <w:t>compte.</w:t>
            </w:r>
          </w:p>
        </w:tc>
        <w:tc>
          <w:tcPr>
            <w:tcW w:w="4876" w:type="dxa"/>
            <w:hideMark/>
          </w:tcPr>
          <w:p w14:paraId="466C6D67" w14:textId="77777777" w:rsidR="00BF7ACA" w:rsidRPr="002E43F3" w:rsidRDefault="00BF7ACA" w:rsidP="007924BE">
            <w:pPr>
              <w:pStyle w:val="Normal6"/>
              <w:rPr>
                <w:szCs w:val="24"/>
              </w:rPr>
            </w:pPr>
            <w:r w:rsidRPr="002E43F3">
              <w:t>(16)</w:t>
            </w:r>
            <w:r>
              <w:tab/>
            </w:r>
            <w:r w:rsidRPr="002E43F3">
              <w:t xml:space="preserve">La Commission </w:t>
            </w:r>
            <w:r w:rsidRPr="002E43F3">
              <w:rPr>
                <w:b/>
                <w:i/>
              </w:rPr>
              <w:t>doit</w:t>
            </w:r>
            <w:r w:rsidRPr="002E43F3">
              <w:t xml:space="preserve"> faire rapport annuellement au Parlement européen et au Conseil sur les opérations de financement et d</w:t>
            </w:r>
            <w:r>
              <w:t>’</w:t>
            </w:r>
            <w:r w:rsidRPr="002E43F3">
              <w:t>investissement couvertes par la garantie FEDD en vue de garantir l</w:t>
            </w:r>
            <w:r>
              <w:t>’</w:t>
            </w:r>
            <w:r w:rsidRPr="002E43F3">
              <w:t>obligation</w:t>
            </w:r>
            <w:r w:rsidRPr="002E43F3">
              <w:rPr>
                <w:b/>
                <w:i/>
              </w:rPr>
              <w:t xml:space="preserve"> absolue</w:t>
            </w:r>
            <w:r w:rsidRPr="002E43F3">
              <w:t xml:space="preserve"> de rendre compte vis-à-vis des citoyens européens. Le rapport </w:t>
            </w:r>
            <w:r w:rsidRPr="002E43F3">
              <w:rPr>
                <w:b/>
                <w:i/>
              </w:rPr>
              <w:t>doit</w:t>
            </w:r>
            <w:r w:rsidRPr="002E43F3">
              <w:t xml:space="preserve"> être rendu public pour permettre aux différentes parties prenantes, y compris à la société civile, de faire part de leur avis. La Commission </w:t>
            </w:r>
            <w:r w:rsidRPr="002E43F3">
              <w:rPr>
                <w:b/>
                <w:i/>
              </w:rPr>
              <w:t>doit</w:t>
            </w:r>
            <w:r w:rsidRPr="002E43F3">
              <w:t xml:space="preserve"> également faire rapport annuellement au Parlement européen et au Conseil sur la gestion du fonds de garantie FEDD pour s</w:t>
            </w:r>
            <w:r>
              <w:t>’</w:t>
            </w:r>
            <w:r w:rsidRPr="002E43F3">
              <w:t>assurer de la transparence et de l</w:t>
            </w:r>
            <w:r>
              <w:t>’</w:t>
            </w:r>
            <w:r w:rsidRPr="002E43F3">
              <w:t>obligation de rendre compte.</w:t>
            </w:r>
          </w:p>
        </w:tc>
      </w:tr>
    </w:tbl>
    <w:p w14:paraId="530FC12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{IT}</w:t>
      </w:r>
      <w:r w:rsidRPr="00BF7ACA">
        <w:rPr>
          <w:noProof w:val="0"/>
        </w:rPr>
        <w:t>it</w:t>
      </w:r>
      <w:r w:rsidRPr="00BF7ACA">
        <w:rPr>
          <w:rStyle w:val="HideTWBExt"/>
          <w:noProof w:val="0"/>
        </w:rPr>
        <w:t>&lt;/Original&gt;</w:t>
      </w:r>
    </w:p>
    <w:p w14:paraId="1E724073" w14:textId="77777777" w:rsidR="00BF7ACA" w:rsidRPr="00BF7ACA" w:rsidRDefault="00BF7ACA" w:rsidP="00BF7ACA">
      <w:r w:rsidRPr="00BF7ACA">
        <w:rPr>
          <w:rStyle w:val="HideTWBExt"/>
        </w:rPr>
        <w:t>&lt;/Amend&gt;</w:t>
      </w:r>
    </w:p>
    <w:p w14:paraId="7D7EEDB4"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163</w:t>
      </w:r>
      <w:r w:rsidRPr="00BF7ACA">
        <w:rPr>
          <w:rStyle w:val="HideTWBExt"/>
          <w:b w:val="0"/>
        </w:rPr>
        <w:t>&lt;/NumAm&gt;</w:t>
      </w:r>
    </w:p>
    <w:p w14:paraId="097214D8" w14:textId="77777777"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14:paraId="78965F15" w14:textId="77777777" w:rsidR="00BF7ACA" w:rsidRPr="005A5903" w:rsidRDefault="00BF7ACA" w:rsidP="00BF7ACA">
      <w:r>
        <w:rPr>
          <w:rStyle w:val="HideTWBExt"/>
        </w:rPr>
        <w:t>&lt;/RepeatBlock-By&gt;</w:t>
      </w:r>
    </w:p>
    <w:p w14:paraId="3BCAA6CF"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686E288A" w14:textId="77777777" w:rsidR="00BF7ACA" w:rsidRPr="005A5903" w:rsidRDefault="00BF7ACA" w:rsidP="00BF7ACA">
      <w:pPr>
        <w:pStyle w:val="NormalBold"/>
      </w:pPr>
      <w:r>
        <w:rPr>
          <w:rStyle w:val="HideTWBExt"/>
          <w:b w:val="0"/>
        </w:rPr>
        <w:t>&lt;Article&gt;</w:t>
      </w:r>
      <w:r w:rsidRPr="0019144F">
        <w:t>Considérant 16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1F8B7A4A" w14:textId="77777777" w:rsidTr="007924BE">
        <w:trPr>
          <w:jc w:val="center"/>
        </w:trPr>
        <w:tc>
          <w:tcPr>
            <w:tcW w:w="9752" w:type="dxa"/>
            <w:gridSpan w:val="2"/>
          </w:tcPr>
          <w:p w14:paraId="65163210" w14:textId="77777777" w:rsidR="00BF7ACA" w:rsidRPr="005A5903" w:rsidRDefault="00BF7ACA" w:rsidP="007924BE">
            <w:pPr>
              <w:keepNext/>
            </w:pPr>
          </w:p>
        </w:tc>
      </w:tr>
      <w:tr w:rsidR="00BF7ACA" w:rsidRPr="005A5903" w14:paraId="234350E1" w14:textId="77777777" w:rsidTr="007924BE">
        <w:trPr>
          <w:jc w:val="center"/>
        </w:trPr>
        <w:tc>
          <w:tcPr>
            <w:tcW w:w="4876" w:type="dxa"/>
            <w:hideMark/>
          </w:tcPr>
          <w:p w14:paraId="44DF20A1" w14:textId="77777777" w:rsidR="00BF7ACA" w:rsidRPr="0019144F" w:rsidRDefault="00BF7ACA" w:rsidP="007924BE">
            <w:pPr>
              <w:pStyle w:val="ColumnHeading"/>
              <w:keepNext/>
            </w:pPr>
            <w:r w:rsidRPr="0019144F">
              <w:t>Texte proposé par la Commission</w:t>
            </w:r>
          </w:p>
        </w:tc>
        <w:tc>
          <w:tcPr>
            <w:tcW w:w="4876" w:type="dxa"/>
            <w:hideMark/>
          </w:tcPr>
          <w:p w14:paraId="3EF39FB9" w14:textId="77777777" w:rsidR="00BF7ACA" w:rsidRPr="0019144F" w:rsidRDefault="00BF7ACA" w:rsidP="007924BE">
            <w:pPr>
              <w:pStyle w:val="ColumnHeading"/>
              <w:keepNext/>
            </w:pPr>
            <w:r w:rsidRPr="0019144F">
              <w:t>Amendement</w:t>
            </w:r>
          </w:p>
        </w:tc>
      </w:tr>
      <w:tr w:rsidR="00BF7ACA" w:rsidRPr="005A5903" w14:paraId="3A09ABD8" w14:textId="77777777" w:rsidTr="007924BE">
        <w:trPr>
          <w:jc w:val="center"/>
        </w:trPr>
        <w:tc>
          <w:tcPr>
            <w:tcW w:w="4876" w:type="dxa"/>
          </w:tcPr>
          <w:p w14:paraId="688284F4" w14:textId="77777777" w:rsidR="00BF7ACA" w:rsidRPr="0019144F" w:rsidRDefault="00BF7ACA" w:rsidP="007924BE">
            <w:pPr>
              <w:pStyle w:val="Normal6"/>
            </w:pPr>
          </w:p>
        </w:tc>
        <w:tc>
          <w:tcPr>
            <w:tcW w:w="4876" w:type="dxa"/>
            <w:hideMark/>
          </w:tcPr>
          <w:p w14:paraId="72336DD6" w14:textId="77777777" w:rsidR="00BF7ACA" w:rsidRPr="0019144F" w:rsidRDefault="00BF7ACA" w:rsidP="007924BE">
            <w:pPr>
              <w:pStyle w:val="Normal6"/>
              <w:rPr>
                <w:szCs w:val="24"/>
              </w:rPr>
            </w:pPr>
            <w:r w:rsidRPr="0019144F">
              <w:rPr>
                <w:b/>
                <w:i/>
              </w:rPr>
              <w:t>(16 bis)</w:t>
            </w:r>
            <w:r>
              <w:tab/>
            </w:r>
            <w:r w:rsidRPr="0019144F">
              <w:rPr>
                <w:b/>
                <w:i/>
              </w:rPr>
              <w:t>Afin de garantir le contrôle du FEDD et du plan d</w:t>
            </w:r>
            <w:r>
              <w:rPr>
                <w:b/>
                <w:i/>
              </w:rPr>
              <w:t>’</w:t>
            </w:r>
            <w:r w:rsidRPr="0019144F">
              <w:rPr>
                <w:b/>
                <w:i/>
              </w:rPr>
              <w:t>investissement européen, ainsi que l</w:t>
            </w:r>
            <w:r>
              <w:rPr>
                <w:b/>
                <w:i/>
              </w:rPr>
              <w:t>’</w:t>
            </w:r>
            <w:r w:rsidRPr="0019144F">
              <w:rPr>
                <w:b/>
                <w:i/>
              </w:rPr>
              <w:t>obligation de rendre compte y afférente, le Parlement européen peut organiser des échanges de vues réguliers et structurés s</w:t>
            </w:r>
            <w:r>
              <w:rPr>
                <w:b/>
                <w:i/>
              </w:rPr>
              <w:t>’</w:t>
            </w:r>
            <w:r w:rsidRPr="0019144F">
              <w:rPr>
                <w:b/>
                <w:i/>
              </w:rPr>
              <w:t>inscrivant dans un dialogue sur les investissements engagé avec la Commission, le haut représentant, la BEI et d</w:t>
            </w:r>
            <w:r>
              <w:rPr>
                <w:b/>
                <w:i/>
              </w:rPr>
              <w:t>’</w:t>
            </w:r>
            <w:r w:rsidRPr="0019144F">
              <w:rPr>
                <w:b/>
                <w:i/>
              </w:rPr>
              <w:t>autres institutions financières éligibles, ainsi qu</w:t>
            </w:r>
            <w:r>
              <w:rPr>
                <w:b/>
                <w:i/>
              </w:rPr>
              <w:t>’</w:t>
            </w:r>
            <w:r w:rsidRPr="0019144F">
              <w:rPr>
                <w:b/>
                <w:i/>
              </w:rPr>
              <w:t>avec le secteur privé et les organisations de la société civile.</w:t>
            </w:r>
          </w:p>
        </w:tc>
      </w:tr>
    </w:tbl>
    <w:p w14:paraId="2012561C"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A7E4570" w14:textId="77777777" w:rsidR="00BF7ACA" w:rsidRPr="00BF7ACA" w:rsidRDefault="00BF7ACA" w:rsidP="00BF7ACA">
      <w:r w:rsidRPr="00BF7ACA">
        <w:rPr>
          <w:rStyle w:val="HideTWBExt"/>
        </w:rPr>
        <w:t>&lt;/Amend&gt;</w:t>
      </w:r>
    </w:p>
    <w:p w14:paraId="3A50CBF6"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164</w:t>
      </w:r>
      <w:r w:rsidRPr="00BF7ACA">
        <w:rPr>
          <w:rStyle w:val="HideTWBExt"/>
          <w:b w:val="0"/>
        </w:rPr>
        <w:t>&lt;/NumAm&gt;</w:t>
      </w:r>
    </w:p>
    <w:p w14:paraId="48AD5CF5" w14:textId="77777777" w:rsidR="00BF7ACA" w:rsidRPr="00BF7ACA" w:rsidRDefault="00BF7ACA" w:rsidP="00BF7ACA">
      <w:pPr>
        <w:pStyle w:val="NormalBold"/>
      </w:pPr>
      <w:r w:rsidRPr="00BF7ACA">
        <w:rPr>
          <w:rStyle w:val="HideTWBExt"/>
          <w:b w:val="0"/>
        </w:rPr>
        <w:t>&lt;RepeatBlock-By&gt;&lt;Members&gt;</w:t>
      </w:r>
      <w:r w:rsidRPr="00BF7ACA">
        <w:t>Paul Rübig, Maurice Ponga, Bogdan Brunon Wenta</w:t>
      </w:r>
      <w:r w:rsidRPr="00BF7ACA">
        <w:rPr>
          <w:rStyle w:val="HideTWBExt"/>
          <w:b w:val="0"/>
        </w:rPr>
        <w:t>&lt;/Members&gt;</w:t>
      </w:r>
    </w:p>
    <w:p w14:paraId="3DD3EC82" w14:textId="77777777" w:rsidR="00BF7ACA" w:rsidRPr="005A5903" w:rsidRDefault="00BF7ACA" w:rsidP="00BF7ACA">
      <w:r>
        <w:rPr>
          <w:rStyle w:val="HideTWBExt"/>
        </w:rPr>
        <w:t>&lt;/RepeatBlock-By&gt;</w:t>
      </w:r>
    </w:p>
    <w:p w14:paraId="06251856"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58235E4D" w14:textId="77777777" w:rsidR="00BF7ACA" w:rsidRPr="005A5903" w:rsidRDefault="00BF7ACA" w:rsidP="00BF7ACA">
      <w:pPr>
        <w:pStyle w:val="NormalBold"/>
      </w:pPr>
      <w:r>
        <w:rPr>
          <w:rStyle w:val="HideTWBExt"/>
          <w:b w:val="0"/>
        </w:rPr>
        <w:t>&lt;Article&gt;</w:t>
      </w:r>
      <w:r w:rsidRPr="0019144F">
        <w:t>Considérant 16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07293C9B" w14:textId="77777777" w:rsidTr="007924BE">
        <w:trPr>
          <w:jc w:val="center"/>
        </w:trPr>
        <w:tc>
          <w:tcPr>
            <w:tcW w:w="9752" w:type="dxa"/>
            <w:gridSpan w:val="2"/>
          </w:tcPr>
          <w:p w14:paraId="5FE59F9D" w14:textId="77777777" w:rsidR="00BF7ACA" w:rsidRPr="005A5903" w:rsidRDefault="00BF7ACA" w:rsidP="007924BE">
            <w:pPr>
              <w:keepNext/>
            </w:pPr>
          </w:p>
        </w:tc>
      </w:tr>
      <w:tr w:rsidR="00BF7ACA" w:rsidRPr="005A5903" w14:paraId="700151E3" w14:textId="77777777" w:rsidTr="007924BE">
        <w:trPr>
          <w:jc w:val="center"/>
        </w:trPr>
        <w:tc>
          <w:tcPr>
            <w:tcW w:w="4876" w:type="dxa"/>
            <w:hideMark/>
          </w:tcPr>
          <w:p w14:paraId="5406AF5E" w14:textId="77777777" w:rsidR="00BF7ACA" w:rsidRPr="0019144F" w:rsidRDefault="00BF7ACA" w:rsidP="007924BE">
            <w:pPr>
              <w:pStyle w:val="ColumnHeading"/>
              <w:keepNext/>
            </w:pPr>
            <w:r w:rsidRPr="0019144F">
              <w:t>Texte proposé par la Commission</w:t>
            </w:r>
          </w:p>
        </w:tc>
        <w:tc>
          <w:tcPr>
            <w:tcW w:w="4876" w:type="dxa"/>
            <w:hideMark/>
          </w:tcPr>
          <w:p w14:paraId="1F8297AC" w14:textId="77777777" w:rsidR="00BF7ACA" w:rsidRPr="0019144F" w:rsidRDefault="00BF7ACA" w:rsidP="007924BE">
            <w:pPr>
              <w:pStyle w:val="ColumnHeading"/>
              <w:keepNext/>
            </w:pPr>
            <w:r w:rsidRPr="0019144F">
              <w:t>Amendement</w:t>
            </w:r>
          </w:p>
        </w:tc>
      </w:tr>
      <w:tr w:rsidR="00BF7ACA" w:rsidRPr="005A5903" w14:paraId="18201C0A" w14:textId="77777777" w:rsidTr="007924BE">
        <w:trPr>
          <w:jc w:val="center"/>
        </w:trPr>
        <w:tc>
          <w:tcPr>
            <w:tcW w:w="4876" w:type="dxa"/>
          </w:tcPr>
          <w:p w14:paraId="7DAF5857" w14:textId="77777777" w:rsidR="00BF7ACA" w:rsidRPr="0019144F" w:rsidRDefault="00BF7ACA" w:rsidP="007924BE">
            <w:pPr>
              <w:pStyle w:val="Normal6"/>
            </w:pPr>
          </w:p>
        </w:tc>
        <w:tc>
          <w:tcPr>
            <w:tcW w:w="4876" w:type="dxa"/>
            <w:hideMark/>
          </w:tcPr>
          <w:p w14:paraId="4ADCEA94" w14:textId="77777777" w:rsidR="00BF7ACA" w:rsidRPr="0019144F" w:rsidRDefault="00BF7ACA" w:rsidP="007924BE">
            <w:pPr>
              <w:pStyle w:val="Normal6"/>
              <w:rPr>
                <w:szCs w:val="24"/>
              </w:rPr>
            </w:pPr>
            <w:r w:rsidRPr="0019144F">
              <w:rPr>
                <w:b/>
                <w:i/>
              </w:rPr>
              <w:t>(16 bis)</w:t>
            </w:r>
            <w:r>
              <w:tab/>
            </w:r>
            <w:r w:rsidRPr="0019144F">
              <w:rPr>
                <w:b/>
                <w:i/>
              </w:rPr>
              <w:t>La Commission devrait garantir la responsabilité du FEDD. La BEI et les autres contreparties éligibles pourraient être invitées à participer à des auditions organisées par le Parlement européen sur la mise en œuvre du FEDD.</w:t>
            </w:r>
          </w:p>
        </w:tc>
      </w:tr>
    </w:tbl>
    <w:p w14:paraId="22E0712B"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76247AE" w14:textId="77777777" w:rsidR="00BF7ACA" w:rsidRPr="00BF7ACA" w:rsidRDefault="00BF7ACA" w:rsidP="00BF7ACA">
      <w:r w:rsidRPr="00BF7ACA">
        <w:rPr>
          <w:rStyle w:val="HideTWBExt"/>
        </w:rPr>
        <w:t>&lt;/Amend&gt;</w:t>
      </w:r>
    </w:p>
    <w:p w14:paraId="12CA309A"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165</w:t>
      </w:r>
      <w:r w:rsidRPr="00BF7ACA">
        <w:rPr>
          <w:rStyle w:val="HideTWBExt"/>
          <w:b w:val="0"/>
        </w:rPr>
        <w:t>&lt;/NumAm&gt;</w:t>
      </w:r>
    </w:p>
    <w:p w14:paraId="71B739AB" w14:textId="77777777"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Nedzhmi Ali, Jozo Radoš, Ilhan Kyuchyuk, Paavo Väyrynen</w:t>
      </w:r>
      <w:r w:rsidRPr="00BF7ACA">
        <w:rPr>
          <w:rStyle w:val="HideTWBExt"/>
          <w:b w:val="0"/>
        </w:rPr>
        <w:t>&lt;/Members&gt;</w:t>
      </w:r>
    </w:p>
    <w:p w14:paraId="1D2C3807" w14:textId="77777777" w:rsidR="00BF7ACA" w:rsidRPr="005A5903" w:rsidRDefault="00BF7ACA" w:rsidP="00BF7ACA">
      <w:r>
        <w:rPr>
          <w:rStyle w:val="HideTWBExt"/>
        </w:rPr>
        <w:t>&lt;/RepeatBlock-By&gt;</w:t>
      </w:r>
    </w:p>
    <w:p w14:paraId="446E3564"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530316CB" w14:textId="77777777" w:rsidR="00BF7ACA" w:rsidRPr="005A5903" w:rsidRDefault="00BF7ACA" w:rsidP="00BF7ACA">
      <w:pPr>
        <w:pStyle w:val="NormalBold"/>
      </w:pPr>
      <w:r>
        <w:rPr>
          <w:rStyle w:val="HideTWBExt"/>
          <w:b w:val="0"/>
        </w:rPr>
        <w:t>&lt;Article&gt;</w:t>
      </w:r>
      <w:r w:rsidRPr="0019144F">
        <w:t>Considérant 17</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44116B2F" w14:textId="77777777" w:rsidTr="007924BE">
        <w:trPr>
          <w:jc w:val="center"/>
        </w:trPr>
        <w:tc>
          <w:tcPr>
            <w:tcW w:w="9752" w:type="dxa"/>
            <w:gridSpan w:val="2"/>
          </w:tcPr>
          <w:p w14:paraId="388E3EF1" w14:textId="77777777" w:rsidR="00BF7ACA" w:rsidRPr="005A5903" w:rsidRDefault="00BF7ACA" w:rsidP="007924BE">
            <w:pPr>
              <w:keepNext/>
            </w:pPr>
          </w:p>
        </w:tc>
      </w:tr>
      <w:tr w:rsidR="00BF7ACA" w:rsidRPr="005A5903" w14:paraId="3C76AD6E" w14:textId="77777777" w:rsidTr="007924BE">
        <w:trPr>
          <w:jc w:val="center"/>
        </w:trPr>
        <w:tc>
          <w:tcPr>
            <w:tcW w:w="4876" w:type="dxa"/>
            <w:hideMark/>
          </w:tcPr>
          <w:p w14:paraId="6B49B66D" w14:textId="77777777" w:rsidR="00BF7ACA" w:rsidRPr="0019144F" w:rsidRDefault="00BF7ACA" w:rsidP="007924BE">
            <w:pPr>
              <w:pStyle w:val="ColumnHeading"/>
              <w:keepNext/>
            </w:pPr>
            <w:r w:rsidRPr="0019144F">
              <w:t>Texte proposé par la Commission</w:t>
            </w:r>
          </w:p>
        </w:tc>
        <w:tc>
          <w:tcPr>
            <w:tcW w:w="4876" w:type="dxa"/>
            <w:hideMark/>
          </w:tcPr>
          <w:p w14:paraId="05E850F6" w14:textId="77777777" w:rsidR="00BF7ACA" w:rsidRPr="0019144F" w:rsidRDefault="00BF7ACA" w:rsidP="007924BE">
            <w:pPr>
              <w:pStyle w:val="ColumnHeading"/>
              <w:keepNext/>
            </w:pPr>
            <w:r w:rsidRPr="0019144F">
              <w:t>Amendement</w:t>
            </w:r>
          </w:p>
        </w:tc>
      </w:tr>
      <w:tr w:rsidR="00BF7ACA" w:rsidRPr="005A5903" w14:paraId="0E43C1E3" w14:textId="77777777" w:rsidTr="007924BE">
        <w:trPr>
          <w:jc w:val="center"/>
        </w:trPr>
        <w:tc>
          <w:tcPr>
            <w:tcW w:w="4876" w:type="dxa"/>
            <w:hideMark/>
          </w:tcPr>
          <w:p w14:paraId="2FE83A6A" w14:textId="77777777" w:rsidR="00BF7ACA" w:rsidRPr="0019144F" w:rsidRDefault="00BF7ACA" w:rsidP="007924BE">
            <w:pPr>
              <w:pStyle w:val="Normal6"/>
            </w:pPr>
            <w:r w:rsidRPr="0019144F">
              <w:t>(17)</w:t>
            </w:r>
            <w:r>
              <w:tab/>
            </w:r>
            <w:r w:rsidRPr="0019144F">
              <w:t>Afin de prendre en compte les enseignements tirés et de permettre une évolution du FEDD, le fonctionnement de celui-ci et le recours au fonds de garantie FEDD devraient être évalués par la Commission. L</w:t>
            </w:r>
            <w:r>
              <w:t>’</w:t>
            </w:r>
            <w:r w:rsidRPr="0019144F">
              <w:t>application du présent règlement devrait faire l</w:t>
            </w:r>
            <w:r>
              <w:t>’</w:t>
            </w:r>
            <w:r w:rsidRPr="0019144F">
              <w:t>objet d</w:t>
            </w:r>
            <w:r>
              <w:t>’</w:t>
            </w:r>
            <w:r w:rsidRPr="0019144F">
              <w:t>une évaluation indépendante pour apprécier le niveau de conformité de la mise en œuvre avec la base juridique, mais également pour établir l</w:t>
            </w:r>
            <w:r>
              <w:t>’</w:t>
            </w:r>
            <w:r w:rsidRPr="0019144F">
              <w:t>applicabilité et la praticabilité du règlement en ce qui concerne la réalisation de ses objectifs.</w:t>
            </w:r>
          </w:p>
        </w:tc>
        <w:tc>
          <w:tcPr>
            <w:tcW w:w="4876" w:type="dxa"/>
            <w:hideMark/>
          </w:tcPr>
          <w:p w14:paraId="7B15CC19" w14:textId="77777777" w:rsidR="00BF7ACA" w:rsidRPr="0019144F" w:rsidRDefault="00BF7ACA" w:rsidP="007924BE">
            <w:pPr>
              <w:pStyle w:val="Normal6"/>
              <w:rPr>
                <w:szCs w:val="24"/>
              </w:rPr>
            </w:pPr>
            <w:r w:rsidRPr="0019144F">
              <w:t>(17)</w:t>
            </w:r>
            <w:r>
              <w:tab/>
            </w:r>
            <w:r w:rsidRPr="0019144F">
              <w:t>Afin de prendre en compte les enseignements tirés et de permettre une évolution du FEDD, le fonctionnement de celui-ci et le recours au fonds de garantie FEDD devraient être évalués par la Commission</w:t>
            </w:r>
            <w:r w:rsidRPr="0019144F">
              <w:rPr>
                <w:b/>
                <w:i/>
              </w:rPr>
              <w:t xml:space="preserve"> et faire l</w:t>
            </w:r>
            <w:r>
              <w:rPr>
                <w:b/>
                <w:i/>
              </w:rPr>
              <w:t>’</w:t>
            </w:r>
            <w:r w:rsidRPr="0019144F">
              <w:rPr>
                <w:b/>
                <w:i/>
              </w:rPr>
              <w:t>objet d</w:t>
            </w:r>
            <w:r>
              <w:rPr>
                <w:b/>
                <w:i/>
              </w:rPr>
              <w:t>’</w:t>
            </w:r>
            <w:r w:rsidRPr="0019144F">
              <w:rPr>
                <w:b/>
                <w:i/>
              </w:rPr>
              <w:t>un processus annuel de consultation des parties prenantes, notamment des organisations de la société civile</w:t>
            </w:r>
            <w:r w:rsidRPr="0019144F">
              <w:t>. L</w:t>
            </w:r>
            <w:r>
              <w:t>’</w:t>
            </w:r>
            <w:r w:rsidRPr="0019144F">
              <w:t>application du présent règlement devrait faire l</w:t>
            </w:r>
            <w:r>
              <w:t>’</w:t>
            </w:r>
            <w:r w:rsidRPr="0019144F">
              <w:t>objet d</w:t>
            </w:r>
            <w:r>
              <w:t>’</w:t>
            </w:r>
            <w:r w:rsidRPr="0019144F">
              <w:t>une évaluation indépendante pour apprécier le niveau de conformité de la mise en œuvre avec la base juridique, mais également pour établir l</w:t>
            </w:r>
            <w:r>
              <w:t>’</w:t>
            </w:r>
            <w:r w:rsidRPr="0019144F">
              <w:t>applicabilité et la praticabilité du règlement en ce qui concerne la réalisation de ses objectifs.</w:t>
            </w:r>
          </w:p>
        </w:tc>
      </w:tr>
    </w:tbl>
    <w:p w14:paraId="5871DD08" w14:textId="77777777"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14:paraId="23396542" w14:textId="77777777" w:rsidR="00BF7ACA" w:rsidRPr="00BF7ACA" w:rsidRDefault="00BF7ACA" w:rsidP="00BF7ACA">
      <w:pPr>
        <w:rPr>
          <w:lang w:val="nl-NL"/>
        </w:rPr>
      </w:pPr>
      <w:r w:rsidRPr="00BF7ACA">
        <w:rPr>
          <w:rStyle w:val="HideTWBExt"/>
          <w:lang w:val="nl-NL"/>
        </w:rPr>
        <w:t>&lt;/Amend&gt;</w:t>
      </w:r>
    </w:p>
    <w:p w14:paraId="5B18E66F" w14:textId="77777777"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166</w:t>
      </w:r>
      <w:r w:rsidRPr="00BF7ACA">
        <w:rPr>
          <w:rStyle w:val="HideTWBExt"/>
          <w:b w:val="0"/>
          <w:lang w:val="nl-NL"/>
        </w:rPr>
        <w:t>&lt;/NumAm&gt;</w:t>
      </w:r>
    </w:p>
    <w:p w14:paraId="654D1D31" w14:textId="77777777"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14:paraId="5A65DE14" w14:textId="77777777" w:rsidR="00BF7ACA" w:rsidRPr="00BF7ACA" w:rsidRDefault="00BF7ACA" w:rsidP="00BF7ACA">
      <w:pPr>
        <w:rPr>
          <w:lang w:val="nl-NL"/>
        </w:rPr>
      </w:pPr>
      <w:r w:rsidRPr="00BF7ACA">
        <w:rPr>
          <w:rStyle w:val="HideTWBExt"/>
          <w:lang w:val="nl-NL"/>
        </w:rPr>
        <w:t>&lt;/RepeatBlock-By&gt;</w:t>
      </w:r>
    </w:p>
    <w:p w14:paraId="11059A15"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1EF4D1ED" w14:textId="77777777" w:rsidR="00BF7ACA" w:rsidRPr="005A5903" w:rsidRDefault="00BF7ACA" w:rsidP="00BF7ACA">
      <w:pPr>
        <w:pStyle w:val="NormalBold"/>
      </w:pPr>
      <w:r>
        <w:rPr>
          <w:rStyle w:val="HideTWBExt"/>
          <w:b w:val="0"/>
        </w:rPr>
        <w:t>&lt;Article&gt;</w:t>
      </w:r>
      <w:r w:rsidRPr="0019144F">
        <w:t>Considérant 17</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21279820" w14:textId="77777777" w:rsidTr="007924BE">
        <w:trPr>
          <w:jc w:val="center"/>
        </w:trPr>
        <w:tc>
          <w:tcPr>
            <w:tcW w:w="9752" w:type="dxa"/>
            <w:gridSpan w:val="2"/>
          </w:tcPr>
          <w:p w14:paraId="312630B7" w14:textId="77777777" w:rsidR="00BF7ACA" w:rsidRPr="005A5903" w:rsidRDefault="00BF7ACA" w:rsidP="007924BE">
            <w:pPr>
              <w:keepNext/>
            </w:pPr>
          </w:p>
        </w:tc>
      </w:tr>
      <w:tr w:rsidR="00BF7ACA" w:rsidRPr="005A5903" w14:paraId="6ED7997C" w14:textId="77777777" w:rsidTr="007924BE">
        <w:trPr>
          <w:jc w:val="center"/>
        </w:trPr>
        <w:tc>
          <w:tcPr>
            <w:tcW w:w="4876" w:type="dxa"/>
            <w:hideMark/>
          </w:tcPr>
          <w:p w14:paraId="0703CD95" w14:textId="77777777" w:rsidR="00BF7ACA" w:rsidRPr="0019144F" w:rsidRDefault="00BF7ACA" w:rsidP="007924BE">
            <w:pPr>
              <w:pStyle w:val="ColumnHeading"/>
              <w:keepNext/>
            </w:pPr>
            <w:r w:rsidRPr="0019144F">
              <w:t>Texte proposé par la Commission</w:t>
            </w:r>
          </w:p>
        </w:tc>
        <w:tc>
          <w:tcPr>
            <w:tcW w:w="4876" w:type="dxa"/>
            <w:hideMark/>
          </w:tcPr>
          <w:p w14:paraId="37F28B52" w14:textId="77777777" w:rsidR="00BF7ACA" w:rsidRPr="0019144F" w:rsidRDefault="00BF7ACA" w:rsidP="007924BE">
            <w:pPr>
              <w:pStyle w:val="ColumnHeading"/>
              <w:keepNext/>
            </w:pPr>
            <w:r w:rsidRPr="0019144F">
              <w:t>Amendement</w:t>
            </w:r>
          </w:p>
        </w:tc>
      </w:tr>
      <w:tr w:rsidR="00BF7ACA" w:rsidRPr="005A5903" w14:paraId="7BC5F801" w14:textId="77777777" w:rsidTr="007924BE">
        <w:trPr>
          <w:jc w:val="center"/>
        </w:trPr>
        <w:tc>
          <w:tcPr>
            <w:tcW w:w="4876" w:type="dxa"/>
            <w:hideMark/>
          </w:tcPr>
          <w:p w14:paraId="60281BF0" w14:textId="77777777" w:rsidR="00BF7ACA" w:rsidRPr="0019144F" w:rsidRDefault="00BF7ACA" w:rsidP="007924BE">
            <w:pPr>
              <w:pStyle w:val="Normal6"/>
            </w:pPr>
            <w:r w:rsidRPr="0019144F">
              <w:t>(17)</w:t>
            </w:r>
            <w:r>
              <w:tab/>
            </w:r>
            <w:r w:rsidRPr="0019144F">
              <w:t>Afin de prendre en compte les enseignements tirés et de permettre une évolution du FEDD, le fonctionnement de celui-ci et le recours au fonds de garantie FEDD devraient être évalués par la Commission. L</w:t>
            </w:r>
            <w:r>
              <w:t>’</w:t>
            </w:r>
            <w:r w:rsidRPr="0019144F">
              <w:t>application du présent règlement devrait faire l</w:t>
            </w:r>
            <w:r>
              <w:t>’</w:t>
            </w:r>
            <w:r w:rsidRPr="0019144F">
              <w:t>objet d</w:t>
            </w:r>
            <w:r>
              <w:t>’</w:t>
            </w:r>
            <w:r w:rsidRPr="0019144F">
              <w:t>une évaluation indépendante pour apprécier le niveau de conformité de la mise en œuvre avec la base juridique, mais également pour établir l</w:t>
            </w:r>
            <w:r>
              <w:t>’</w:t>
            </w:r>
            <w:r w:rsidRPr="0019144F">
              <w:t>applicabilité et la praticabilité du règlement en ce qui concerne la réalisation de ses objectifs.</w:t>
            </w:r>
          </w:p>
        </w:tc>
        <w:tc>
          <w:tcPr>
            <w:tcW w:w="4876" w:type="dxa"/>
            <w:hideMark/>
          </w:tcPr>
          <w:p w14:paraId="7DC4A39F" w14:textId="77777777" w:rsidR="00BF7ACA" w:rsidRPr="0019144F" w:rsidRDefault="00BF7ACA" w:rsidP="007924BE">
            <w:pPr>
              <w:pStyle w:val="Normal6"/>
              <w:rPr>
                <w:szCs w:val="24"/>
              </w:rPr>
            </w:pPr>
            <w:r w:rsidRPr="0019144F">
              <w:t>(17)</w:t>
            </w:r>
            <w:r>
              <w:tab/>
            </w:r>
            <w:r w:rsidRPr="0019144F">
              <w:t>Afin de prendre en compte les enseignements tirés et de permettre une évolution du FEDD, le fonctionnement de celui-ci et le recours au fonds de garantie FEDD devraient être évalués par la Commission</w:t>
            </w:r>
            <w:r w:rsidRPr="0019144F">
              <w:rPr>
                <w:b/>
                <w:i/>
              </w:rPr>
              <w:t xml:space="preserve"> et par des évaluateurs externes</w:t>
            </w:r>
            <w:r w:rsidRPr="0019144F">
              <w:t>. L</w:t>
            </w:r>
            <w:r>
              <w:t>’</w:t>
            </w:r>
            <w:r w:rsidRPr="0019144F">
              <w:t>application du présent règlement devrait faire l</w:t>
            </w:r>
            <w:r>
              <w:t>’</w:t>
            </w:r>
            <w:r w:rsidRPr="0019144F">
              <w:t>objet d</w:t>
            </w:r>
            <w:r>
              <w:t>’</w:t>
            </w:r>
            <w:r w:rsidRPr="0019144F">
              <w:t>une évaluation indépendante pour apprécier le niveau de conformité de la mise en œuvre avec la base juridique, mais également pour établir l</w:t>
            </w:r>
            <w:r>
              <w:t>’</w:t>
            </w:r>
            <w:r w:rsidRPr="0019144F">
              <w:t>applicabilité et la praticabilité du règlement en ce qui concerne la réalisation de ses objectifs.</w:t>
            </w:r>
          </w:p>
        </w:tc>
      </w:tr>
    </w:tbl>
    <w:p w14:paraId="74C8384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0239D49" w14:textId="77777777" w:rsidR="00BF7ACA" w:rsidRPr="00BF7ACA" w:rsidRDefault="00BF7ACA" w:rsidP="00BF7ACA">
      <w:r w:rsidRPr="00BF7ACA">
        <w:rPr>
          <w:rStyle w:val="HideTWBExt"/>
        </w:rPr>
        <w:t>&lt;/Amend&gt;</w:t>
      </w:r>
    </w:p>
    <w:p w14:paraId="135F89F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167</w:t>
      </w:r>
      <w:r w:rsidRPr="00BF7ACA">
        <w:rPr>
          <w:rStyle w:val="HideTWBExt"/>
          <w:b w:val="0"/>
        </w:rPr>
        <w:t>&lt;/NumAm&gt;</w:t>
      </w:r>
    </w:p>
    <w:p w14:paraId="533BA503" w14:textId="77777777" w:rsidR="00BF7ACA" w:rsidRPr="00BF7ACA" w:rsidRDefault="00BF7ACA" w:rsidP="00BF7ACA">
      <w:pPr>
        <w:pStyle w:val="NormalBold"/>
      </w:pPr>
      <w:r w:rsidRPr="00BF7ACA">
        <w:rPr>
          <w:rStyle w:val="HideTWBExt"/>
          <w:b w:val="0"/>
        </w:rPr>
        <w:t>&lt;RepeatBlock-By&gt;&lt;Members&gt;</w:t>
      </w:r>
      <w:r w:rsidRPr="00BF7ACA">
        <w:t>Paulo Rangel</w:t>
      </w:r>
      <w:r w:rsidRPr="00BF7ACA">
        <w:rPr>
          <w:rStyle w:val="HideTWBExt"/>
          <w:b w:val="0"/>
        </w:rPr>
        <w:t>&lt;/Members&gt;</w:t>
      </w:r>
    </w:p>
    <w:p w14:paraId="3236425A" w14:textId="77777777" w:rsidR="00BF7ACA" w:rsidRPr="00E502E5" w:rsidRDefault="00BF7ACA" w:rsidP="00BF7ACA">
      <w:r>
        <w:rPr>
          <w:rStyle w:val="HideTWBExt"/>
        </w:rPr>
        <w:t>&lt;/RepeatBlock-By&gt;</w:t>
      </w:r>
    </w:p>
    <w:p w14:paraId="669C3D80" w14:textId="77777777" w:rsidR="00BF7ACA" w:rsidRPr="00E502E5" w:rsidRDefault="00BF7ACA" w:rsidP="00BF7ACA">
      <w:pPr>
        <w:pStyle w:val="NormalBold"/>
        <w:keepNext/>
      </w:pPr>
      <w:r>
        <w:rPr>
          <w:rStyle w:val="HideTWBExt"/>
          <w:b w:val="0"/>
        </w:rPr>
        <w:t>&lt;DocAmend&gt;</w:t>
      </w:r>
      <w:r w:rsidRPr="006E42B1">
        <w:t>Proposition de règlement</w:t>
      </w:r>
      <w:r>
        <w:rPr>
          <w:rStyle w:val="HideTWBExt"/>
          <w:b w:val="0"/>
        </w:rPr>
        <w:t>&lt;/DocAmend&gt;</w:t>
      </w:r>
    </w:p>
    <w:p w14:paraId="12F04A4B" w14:textId="77777777" w:rsidR="00BF7ACA" w:rsidRPr="00E502E5" w:rsidRDefault="00BF7ACA" w:rsidP="00BF7ACA">
      <w:pPr>
        <w:pStyle w:val="NormalBold"/>
      </w:pPr>
      <w:r>
        <w:rPr>
          <w:rStyle w:val="HideTWBExt"/>
          <w:b w:val="0"/>
        </w:rPr>
        <w:t>&lt;Article&gt;</w:t>
      </w:r>
      <w:r w:rsidRPr="006E42B1">
        <w:t>Considérant 18</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7D5942C5" w14:textId="77777777" w:rsidTr="007924BE">
        <w:trPr>
          <w:jc w:val="center"/>
        </w:trPr>
        <w:tc>
          <w:tcPr>
            <w:tcW w:w="9752" w:type="dxa"/>
            <w:gridSpan w:val="2"/>
          </w:tcPr>
          <w:p w14:paraId="275EDD37" w14:textId="77777777" w:rsidR="00BF7ACA" w:rsidRPr="00E502E5" w:rsidRDefault="00BF7ACA" w:rsidP="007924BE">
            <w:pPr>
              <w:keepNext/>
            </w:pPr>
          </w:p>
        </w:tc>
      </w:tr>
      <w:tr w:rsidR="00BF7ACA" w:rsidRPr="00E502E5" w14:paraId="171F6E44" w14:textId="77777777" w:rsidTr="007924BE">
        <w:trPr>
          <w:jc w:val="center"/>
        </w:trPr>
        <w:tc>
          <w:tcPr>
            <w:tcW w:w="4876" w:type="dxa"/>
            <w:hideMark/>
          </w:tcPr>
          <w:p w14:paraId="64637DD2" w14:textId="77777777" w:rsidR="00BF7ACA" w:rsidRPr="006E42B1" w:rsidRDefault="00BF7ACA" w:rsidP="007924BE">
            <w:pPr>
              <w:pStyle w:val="ColumnHeading"/>
              <w:keepNext/>
            </w:pPr>
            <w:r w:rsidRPr="006E42B1">
              <w:t>Texte proposé par la Commission</w:t>
            </w:r>
          </w:p>
        </w:tc>
        <w:tc>
          <w:tcPr>
            <w:tcW w:w="4876" w:type="dxa"/>
            <w:hideMark/>
          </w:tcPr>
          <w:p w14:paraId="57DEBDAD" w14:textId="77777777" w:rsidR="00BF7ACA" w:rsidRPr="006E42B1" w:rsidRDefault="00BF7ACA" w:rsidP="007924BE">
            <w:pPr>
              <w:pStyle w:val="ColumnHeading"/>
              <w:keepNext/>
            </w:pPr>
            <w:r w:rsidRPr="006E42B1">
              <w:t>Amendement</w:t>
            </w:r>
          </w:p>
        </w:tc>
      </w:tr>
      <w:tr w:rsidR="00BF7ACA" w:rsidRPr="00E502E5" w14:paraId="6871F62F" w14:textId="77777777" w:rsidTr="007924BE">
        <w:trPr>
          <w:jc w:val="center"/>
        </w:trPr>
        <w:tc>
          <w:tcPr>
            <w:tcW w:w="4876" w:type="dxa"/>
            <w:hideMark/>
          </w:tcPr>
          <w:p w14:paraId="2BD5E711" w14:textId="77777777" w:rsidR="00BF7ACA" w:rsidRPr="006E42B1" w:rsidRDefault="00BF7ACA" w:rsidP="007924BE">
            <w:pPr>
              <w:pStyle w:val="Normal6"/>
            </w:pPr>
            <w:r w:rsidRPr="006E42B1">
              <w:t>(18)</w:t>
            </w:r>
            <w:r>
              <w:tab/>
            </w:r>
            <w:r>
              <w:rPr>
                <w:b/>
                <w:i/>
              </w:rPr>
              <w:t>Afin</w:t>
            </w:r>
            <w:r>
              <w:t xml:space="preserve"> de </w:t>
            </w:r>
            <w:r>
              <w:rPr>
                <w:b/>
                <w:i/>
              </w:rPr>
              <w:t>protéger les intérêts financiers de l’Union</w:t>
            </w:r>
            <w:r>
              <w:t xml:space="preserve">, </w:t>
            </w:r>
            <w:r>
              <w:rPr>
                <w:b/>
                <w:i/>
              </w:rPr>
              <w:t>en vue d’établir l’existence éventuelle d’une</w:t>
            </w:r>
            <w:r>
              <w:t xml:space="preserve"> fraude,</w:t>
            </w:r>
            <w:r>
              <w:rPr>
                <w:b/>
                <w:i/>
              </w:rPr>
              <w:t xml:space="preserve"> d’un acte</w:t>
            </w:r>
            <w:r>
              <w:t xml:space="preserve"> de corruption</w:t>
            </w:r>
            <w:r>
              <w:rPr>
                <w:b/>
                <w:i/>
              </w:rPr>
              <w:t>,</w:t>
            </w:r>
            <w:r>
              <w:t xml:space="preserve"> de blanchiment de capitaux</w:t>
            </w:r>
            <w:r>
              <w:rPr>
                <w:b/>
                <w:i/>
              </w:rPr>
              <w:t xml:space="preserve"> ou de</w:t>
            </w:r>
            <w:r>
              <w:t xml:space="preserve"> toute autre activité illégale portant atteinte aux intérêts financiers de l’Union dans le cadre d’opérations de financement et d’investissement visées par le présent règlement, l’Office européen de lutte antifraude (OLAF) est habilité à réaliser des enquêtes conformément au règlement (UE, Euratom) nº 883/2013 du Parlement européen et du Conseil</w:t>
            </w:r>
            <w:r w:rsidRPr="006E42B1">
              <w:rPr>
                <w:vertAlign w:val="superscript"/>
              </w:rPr>
              <w:t>26</w:t>
            </w:r>
            <w:r>
              <w:t>, au règlement (Euratom, CE) nº 2185/96 du Conseil</w:t>
            </w:r>
            <w:r w:rsidRPr="006E42B1">
              <w:rPr>
                <w:vertAlign w:val="superscript"/>
              </w:rPr>
              <w:t>27</w:t>
            </w:r>
            <w:r>
              <w:t xml:space="preserve"> et au règlement (CE, Euratom) nº 2988/95 du Conseil</w:t>
            </w:r>
            <w:r w:rsidRPr="006E42B1">
              <w:rPr>
                <w:vertAlign w:val="superscript"/>
              </w:rPr>
              <w:t>28</w:t>
            </w:r>
            <w:r>
              <w:t>.</w:t>
            </w:r>
          </w:p>
        </w:tc>
        <w:tc>
          <w:tcPr>
            <w:tcW w:w="4876" w:type="dxa"/>
            <w:hideMark/>
          </w:tcPr>
          <w:p w14:paraId="480E5223" w14:textId="77777777" w:rsidR="00BF7ACA" w:rsidRPr="006E42B1" w:rsidRDefault="00BF7ACA" w:rsidP="007924BE">
            <w:pPr>
              <w:pStyle w:val="Normal6"/>
              <w:rPr>
                <w:szCs w:val="24"/>
              </w:rPr>
            </w:pPr>
            <w:r w:rsidRPr="006E42B1">
              <w:t>(18)</w:t>
            </w:r>
            <w:r>
              <w:tab/>
            </w:r>
            <w:r>
              <w:rPr>
                <w:b/>
                <w:i/>
              </w:rPr>
              <w:t>En vue</w:t>
            </w:r>
            <w:r>
              <w:t xml:space="preserve"> de </w:t>
            </w:r>
            <w:r>
              <w:rPr>
                <w:b/>
                <w:i/>
              </w:rPr>
              <w:t>lutter contre la criminalité financière</w:t>
            </w:r>
            <w:r>
              <w:t xml:space="preserve">, </w:t>
            </w:r>
            <w:r>
              <w:rPr>
                <w:b/>
                <w:i/>
              </w:rPr>
              <w:t>notamment par l’établissement des cas de</w:t>
            </w:r>
            <w:r>
              <w:t xml:space="preserve"> fraude, de corruption</w:t>
            </w:r>
            <w:r>
              <w:rPr>
                <w:b/>
                <w:i/>
              </w:rPr>
              <w:t xml:space="preserve"> et</w:t>
            </w:r>
            <w:r>
              <w:t xml:space="preserve"> de blanchiment de capitaux</w:t>
            </w:r>
            <w:r>
              <w:rPr>
                <w:b/>
                <w:i/>
              </w:rPr>
              <w:t>, ainsi que contre</w:t>
            </w:r>
            <w:r>
              <w:t xml:space="preserve"> toute autre activité illégale portant atteinte aux intérêts financiers de l’Union dans le cadre d’opérations de financement et d’investissement visées par le présent règlement, l’Office européen de lutte antifraude (OLAF) est habilité à réaliser des enquêtes conformément au règlement (UE, Euratom) nº 883/2013 du Parlement européen et du Conseil</w:t>
            </w:r>
            <w:r w:rsidRPr="006E42B1">
              <w:rPr>
                <w:vertAlign w:val="superscript"/>
              </w:rPr>
              <w:t>26</w:t>
            </w:r>
            <w:r>
              <w:t>, au règlement (Euratom, CE) nº 2185/96 du Conseil</w:t>
            </w:r>
            <w:r w:rsidRPr="006E42B1">
              <w:rPr>
                <w:vertAlign w:val="superscript"/>
              </w:rPr>
              <w:t>27</w:t>
            </w:r>
            <w:r>
              <w:t xml:space="preserve"> et au règlement (CE, Euratom) nº 2988/95 du Conseil</w:t>
            </w:r>
            <w:r w:rsidRPr="006E42B1">
              <w:rPr>
                <w:vertAlign w:val="superscript"/>
              </w:rPr>
              <w:t>28</w:t>
            </w:r>
            <w:r>
              <w:t>.</w:t>
            </w:r>
          </w:p>
        </w:tc>
      </w:tr>
      <w:tr w:rsidR="00BF7ACA" w:rsidRPr="00E502E5" w14:paraId="1C89AD93" w14:textId="77777777" w:rsidTr="007924BE">
        <w:trPr>
          <w:jc w:val="center"/>
        </w:trPr>
        <w:tc>
          <w:tcPr>
            <w:tcW w:w="4876" w:type="dxa"/>
            <w:hideMark/>
          </w:tcPr>
          <w:p w14:paraId="76FE515F" w14:textId="77777777" w:rsidR="00BF7ACA" w:rsidRPr="006E42B1" w:rsidRDefault="00BF7ACA" w:rsidP="007924BE">
            <w:pPr>
              <w:pStyle w:val="Normal6"/>
            </w:pPr>
            <w:r w:rsidRPr="006E42B1">
              <w:t>__________________</w:t>
            </w:r>
          </w:p>
        </w:tc>
        <w:tc>
          <w:tcPr>
            <w:tcW w:w="4876" w:type="dxa"/>
            <w:hideMark/>
          </w:tcPr>
          <w:p w14:paraId="1584A3B9" w14:textId="77777777" w:rsidR="00BF7ACA" w:rsidRPr="006E42B1" w:rsidRDefault="00BF7ACA" w:rsidP="007924BE">
            <w:pPr>
              <w:pStyle w:val="Normal6"/>
              <w:rPr>
                <w:szCs w:val="24"/>
              </w:rPr>
            </w:pPr>
            <w:r w:rsidRPr="006E42B1">
              <w:t>__________________</w:t>
            </w:r>
          </w:p>
        </w:tc>
      </w:tr>
      <w:tr w:rsidR="00BF7ACA" w:rsidRPr="00E502E5" w14:paraId="3D5480C9" w14:textId="77777777" w:rsidTr="007924BE">
        <w:trPr>
          <w:jc w:val="center"/>
        </w:trPr>
        <w:tc>
          <w:tcPr>
            <w:tcW w:w="4876" w:type="dxa"/>
            <w:hideMark/>
          </w:tcPr>
          <w:p w14:paraId="68D4B12C" w14:textId="77777777" w:rsidR="00BF7ACA" w:rsidRPr="006E42B1" w:rsidRDefault="00BF7ACA" w:rsidP="007924BE">
            <w:pPr>
              <w:pStyle w:val="Normal6"/>
            </w:pPr>
            <w:r w:rsidRPr="006E42B1">
              <w:rPr>
                <w:vertAlign w:val="superscript"/>
              </w:rPr>
              <w:t>26</w:t>
            </w:r>
            <w:r w:rsidRPr="006E42B1">
              <w:t xml:space="preserve"> Règlement (UE, Euratom) nº 883/2013 du Parlement européen et du Conseil du 11 septembre 2013 relatif aux enquêtes effectuées par l</w:t>
            </w:r>
            <w:r>
              <w:t>’</w:t>
            </w:r>
            <w:r w:rsidRPr="006E42B1">
              <w:t>Office européen de lutte antifraude (OLAF) et abrogeant le règlement (CE) nº 1073/1999 du Parlement européen et du Conseil et le règlement (Euratom) nº 1074/1999 du Conseil (JO L 248 du 18.9.2013, p. 1).</w:t>
            </w:r>
          </w:p>
        </w:tc>
        <w:tc>
          <w:tcPr>
            <w:tcW w:w="4876" w:type="dxa"/>
            <w:hideMark/>
          </w:tcPr>
          <w:p w14:paraId="429DDDD8" w14:textId="77777777" w:rsidR="00BF7ACA" w:rsidRPr="006E42B1" w:rsidRDefault="00BF7ACA" w:rsidP="007924BE">
            <w:pPr>
              <w:pStyle w:val="Normal6"/>
              <w:rPr>
                <w:szCs w:val="24"/>
              </w:rPr>
            </w:pPr>
            <w:r w:rsidRPr="006E42B1">
              <w:rPr>
                <w:vertAlign w:val="superscript"/>
              </w:rPr>
              <w:t>26</w:t>
            </w:r>
            <w:r w:rsidRPr="006E42B1">
              <w:t xml:space="preserve"> Règlement (UE, Euratom) nº 883/2013 du Parlement européen et du Conseil du 11 septembre 2013 relatif aux enquêtes effectuées par l</w:t>
            </w:r>
            <w:r>
              <w:t>’</w:t>
            </w:r>
            <w:r w:rsidRPr="006E42B1">
              <w:t>Office européen de lutte antifraude (OLAF) et abrogeant le règlement (CE) nº 1073/1999 du Parlement européen et du Conseil et le règlement (Euratom) nº 1074/1999 du Conseil (JO L 248 du 18.9.2013, p. 1).</w:t>
            </w:r>
          </w:p>
        </w:tc>
      </w:tr>
      <w:tr w:rsidR="00BF7ACA" w:rsidRPr="00E502E5" w14:paraId="3EE048E0" w14:textId="77777777" w:rsidTr="007924BE">
        <w:trPr>
          <w:jc w:val="center"/>
        </w:trPr>
        <w:tc>
          <w:tcPr>
            <w:tcW w:w="4876" w:type="dxa"/>
            <w:hideMark/>
          </w:tcPr>
          <w:p w14:paraId="6DDD6646" w14:textId="77777777" w:rsidR="00BF7ACA" w:rsidRPr="006E42B1" w:rsidRDefault="00BF7ACA" w:rsidP="007924BE">
            <w:pPr>
              <w:pStyle w:val="Normal6"/>
            </w:pPr>
            <w:r w:rsidRPr="006E42B1">
              <w:rPr>
                <w:vertAlign w:val="superscript"/>
              </w:rPr>
              <w:t>27</w:t>
            </w:r>
            <w:r w:rsidRPr="006E42B1">
              <w:t xml:space="preserve"> 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tc>
        <w:tc>
          <w:tcPr>
            <w:tcW w:w="4876" w:type="dxa"/>
            <w:hideMark/>
          </w:tcPr>
          <w:p w14:paraId="61A981AA" w14:textId="77777777" w:rsidR="00BF7ACA" w:rsidRPr="006E42B1" w:rsidRDefault="00BF7ACA" w:rsidP="007924BE">
            <w:pPr>
              <w:pStyle w:val="Normal6"/>
              <w:rPr>
                <w:szCs w:val="24"/>
              </w:rPr>
            </w:pPr>
            <w:r w:rsidRPr="006E42B1">
              <w:rPr>
                <w:vertAlign w:val="superscript"/>
              </w:rPr>
              <w:t>27</w:t>
            </w:r>
            <w:r w:rsidRPr="006E42B1">
              <w:t xml:space="preserve"> 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tc>
      </w:tr>
      <w:tr w:rsidR="00BF7ACA" w:rsidRPr="00E502E5" w14:paraId="1D36384A" w14:textId="77777777" w:rsidTr="007924BE">
        <w:trPr>
          <w:jc w:val="center"/>
        </w:trPr>
        <w:tc>
          <w:tcPr>
            <w:tcW w:w="4876" w:type="dxa"/>
            <w:hideMark/>
          </w:tcPr>
          <w:p w14:paraId="3D58855A" w14:textId="77777777" w:rsidR="00BF7ACA" w:rsidRPr="006E42B1" w:rsidRDefault="00BF7ACA" w:rsidP="007924BE">
            <w:pPr>
              <w:pStyle w:val="Normal6"/>
            </w:pPr>
            <w:r w:rsidRPr="006E42B1">
              <w:rPr>
                <w:vertAlign w:val="superscript"/>
              </w:rPr>
              <w:t>28</w:t>
            </w:r>
            <w:r w:rsidRPr="006E42B1">
              <w:t xml:space="preserve"> Règlement (CE, Euratom) nº 2988/95 du Conseil, du 18 décembre 1995, relatif à la protection des intérêts financiers des Communautés européennes (JO L 312 du 23.12.1995, p. 1).</w:t>
            </w:r>
          </w:p>
        </w:tc>
        <w:tc>
          <w:tcPr>
            <w:tcW w:w="4876" w:type="dxa"/>
            <w:hideMark/>
          </w:tcPr>
          <w:p w14:paraId="0800AE95" w14:textId="77777777" w:rsidR="00BF7ACA" w:rsidRPr="006E42B1" w:rsidRDefault="00BF7ACA" w:rsidP="007924BE">
            <w:pPr>
              <w:pStyle w:val="Normal6"/>
              <w:rPr>
                <w:szCs w:val="24"/>
              </w:rPr>
            </w:pPr>
            <w:r w:rsidRPr="006E42B1">
              <w:rPr>
                <w:vertAlign w:val="superscript"/>
              </w:rPr>
              <w:t>28</w:t>
            </w:r>
            <w:r w:rsidRPr="006E42B1">
              <w:t xml:space="preserve"> Règlement (CE, Euratom) nº 2988/95 du Conseil, du 18 décembre 1995, relatif à la protection des intérêts financiers des Communautés européennes (JO L 312 du 23.12.1995, p. 1).</w:t>
            </w:r>
          </w:p>
        </w:tc>
      </w:tr>
    </w:tbl>
    <w:p w14:paraId="441A1E2A" w14:textId="77777777" w:rsidR="00BF7ACA" w:rsidRPr="00E502E5" w:rsidRDefault="00BF7ACA" w:rsidP="00BF7ACA">
      <w:pPr>
        <w:pStyle w:val="Olang"/>
        <w:rPr>
          <w:noProof w:val="0"/>
          <w:szCs w:val="24"/>
        </w:rPr>
      </w:pPr>
      <w:r w:rsidRPr="006E42B1">
        <w:rPr>
          <w:noProof w:val="0"/>
        </w:rPr>
        <w:t xml:space="preserve">Or. </w:t>
      </w:r>
      <w:r w:rsidRPr="00C43947">
        <w:rPr>
          <w:rStyle w:val="HideTWBExt"/>
          <w:noProof w:val="0"/>
        </w:rPr>
        <w:t>&lt;Original&gt;</w:t>
      </w:r>
      <w:r w:rsidRPr="00C43947">
        <w:rPr>
          <w:rStyle w:val="HideTWBInt"/>
          <w:noProof w:val="0"/>
        </w:rPr>
        <w:t>{PT}</w:t>
      </w:r>
      <w:r w:rsidRPr="006E42B1">
        <w:rPr>
          <w:noProof w:val="0"/>
        </w:rPr>
        <w:t>pt</w:t>
      </w:r>
      <w:r w:rsidRPr="00C43947">
        <w:rPr>
          <w:rStyle w:val="HideTWBExt"/>
          <w:noProof w:val="0"/>
        </w:rPr>
        <w:t>&lt;/Original&gt;</w:t>
      </w:r>
    </w:p>
    <w:p w14:paraId="3903FC56" w14:textId="77777777" w:rsidR="00BF7ACA" w:rsidRPr="00E502E5" w:rsidRDefault="00BF7ACA" w:rsidP="00BF7ACA">
      <w:r>
        <w:rPr>
          <w:rStyle w:val="HideTWBExt"/>
        </w:rPr>
        <w:t>&lt;/Amend&gt;</w:t>
      </w:r>
    </w:p>
    <w:p w14:paraId="5507216D"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168</w:t>
      </w:r>
      <w:r w:rsidRPr="00BF7ACA">
        <w:rPr>
          <w:rStyle w:val="HideTWBExt"/>
          <w:b w:val="0"/>
        </w:rPr>
        <w:t>&lt;/NumAm&gt;</w:t>
      </w:r>
    </w:p>
    <w:p w14:paraId="0D9A2A6B"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Nedzhmi Ali, Paavo Väyrynen, Marielle de Sarnez, Jasenko Selimovic</w:t>
      </w:r>
      <w:r w:rsidRPr="00BF7ACA">
        <w:rPr>
          <w:rStyle w:val="HideTWBExt"/>
          <w:b w:val="0"/>
        </w:rPr>
        <w:t>&lt;/Members&gt;</w:t>
      </w:r>
    </w:p>
    <w:p w14:paraId="6E59F9D9" w14:textId="77777777" w:rsidR="00BF7ACA" w:rsidRPr="005A5903" w:rsidRDefault="00BF7ACA" w:rsidP="00BF7ACA">
      <w:r>
        <w:rPr>
          <w:rStyle w:val="HideTWBExt"/>
        </w:rPr>
        <w:t>&lt;/RepeatBlock-By&gt;</w:t>
      </w:r>
    </w:p>
    <w:p w14:paraId="0CD2F5C4"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142B2477" w14:textId="77777777" w:rsidR="00BF7ACA" w:rsidRPr="005A5903" w:rsidRDefault="00BF7ACA" w:rsidP="00BF7ACA">
      <w:pPr>
        <w:pStyle w:val="NormalBold"/>
      </w:pPr>
      <w:r>
        <w:rPr>
          <w:rStyle w:val="HideTWBExt"/>
          <w:b w:val="0"/>
        </w:rPr>
        <w:t>&lt;Article&gt;</w:t>
      </w:r>
      <w:r w:rsidRPr="0019144F">
        <w:t>Considérant 19</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0B9D1E01" w14:textId="77777777" w:rsidTr="007924BE">
        <w:trPr>
          <w:jc w:val="center"/>
        </w:trPr>
        <w:tc>
          <w:tcPr>
            <w:tcW w:w="9752" w:type="dxa"/>
            <w:gridSpan w:val="2"/>
          </w:tcPr>
          <w:p w14:paraId="5622AEEA" w14:textId="77777777" w:rsidR="00BF7ACA" w:rsidRPr="005A5903" w:rsidRDefault="00BF7ACA" w:rsidP="007924BE">
            <w:pPr>
              <w:keepNext/>
            </w:pPr>
          </w:p>
        </w:tc>
      </w:tr>
      <w:tr w:rsidR="00BF7ACA" w:rsidRPr="005A5903" w14:paraId="136F8023" w14:textId="77777777" w:rsidTr="007924BE">
        <w:trPr>
          <w:jc w:val="center"/>
        </w:trPr>
        <w:tc>
          <w:tcPr>
            <w:tcW w:w="4876" w:type="dxa"/>
            <w:hideMark/>
          </w:tcPr>
          <w:p w14:paraId="2594BB6C" w14:textId="77777777" w:rsidR="00BF7ACA" w:rsidRPr="0019144F" w:rsidRDefault="00BF7ACA" w:rsidP="007924BE">
            <w:pPr>
              <w:pStyle w:val="ColumnHeading"/>
              <w:keepNext/>
            </w:pPr>
            <w:r w:rsidRPr="0019144F">
              <w:t>Texte proposé par la Commission</w:t>
            </w:r>
          </w:p>
        </w:tc>
        <w:tc>
          <w:tcPr>
            <w:tcW w:w="4876" w:type="dxa"/>
            <w:hideMark/>
          </w:tcPr>
          <w:p w14:paraId="55E6D468" w14:textId="77777777" w:rsidR="00BF7ACA" w:rsidRPr="0019144F" w:rsidRDefault="00BF7ACA" w:rsidP="007924BE">
            <w:pPr>
              <w:pStyle w:val="ColumnHeading"/>
              <w:keepNext/>
            </w:pPr>
            <w:r w:rsidRPr="0019144F">
              <w:t>Amendement</w:t>
            </w:r>
          </w:p>
        </w:tc>
      </w:tr>
      <w:tr w:rsidR="00BF7ACA" w:rsidRPr="005A5903" w14:paraId="30840792" w14:textId="77777777" w:rsidTr="007924BE">
        <w:trPr>
          <w:jc w:val="center"/>
        </w:trPr>
        <w:tc>
          <w:tcPr>
            <w:tcW w:w="4876" w:type="dxa"/>
            <w:hideMark/>
          </w:tcPr>
          <w:p w14:paraId="379376D6" w14:textId="77777777" w:rsidR="00BF7ACA" w:rsidRPr="0019144F" w:rsidRDefault="00BF7ACA" w:rsidP="007924BE">
            <w:pPr>
              <w:pStyle w:val="Normal6"/>
            </w:pPr>
            <w:r w:rsidRPr="0019144F">
              <w:t>(19)</w:t>
            </w:r>
            <w:r>
              <w:tab/>
            </w:r>
            <w:r w:rsidRPr="0019144F">
              <w:t>De manière à contribuer à la lutte internationale contre la fraude et l</w:t>
            </w:r>
            <w:r>
              <w:t>’</w:t>
            </w:r>
            <w:r w:rsidRPr="0019144F">
              <w:t>évasion fiscales</w:t>
            </w:r>
            <w:r w:rsidRPr="0019144F">
              <w:rPr>
                <w:b/>
                <w:i/>
              </w:rPr>
              <w:t xml:space="preserve"> et contre</w:t>
            </w:r>
            <w:r w:rsidRPr="0019144F">
              <w:t xml:space="preserve"> le blanchiment de capitaux, les contreparties éligibles ne devraient soutenir aucune activité menée à des fins illicites ni participer à aucune opération de financement ou d</w:t>
            </w:r>
            <w:r>
              <w:t>’</w:t>
            </w:r>
            <w:r w:rsidRPr="0019144F">
              <w:t>investissement par l</w:t>
            </w:r>
            <w:r>
              <w:t>’</w:t>
            </w:r>
            <w:r w:rsidRPr="0019144F">
              <w:t>intermédiaire d</w:t>
            </w:r>
            <w:r>
              <w:t>’</w:t>
            </w:r>
            <w:r w:rsidRPr="0019144F">
              <w:t>un instrument situé dans un pays ou territoire non coopératif.</w:t>
            </w:r>
          </w:p>
        </w:tc>
        <w:tc>
          <w:tcPr>
            <w:tcW w:w="4876" w:type="dxa"/>
            <w:hideMark/>
          </w:tcPr>
          <w:p w14:paraId="2F42CB75" w14:textId="77777777" w:rsidR="00BF7ACA" w:rsidRPr="0019144F" w:rsidRDefault="00BF7ACA" w:rsidP="007924BE">
            <w:pPr>
              <w:pStyle w:val="Normal6"/>
              <w:rPr>
                <w:szCs w:val="24"/>
              </w:rPr>
            </w:pPr>
            <w:r w:rsidRPr="0019144F">
              <w:t>(19)</w:t>
            </w:r>
            <w:r>
              <w:tab/>
            </w:r>
            <w:r w:rsidRPr="0019144F">
              <w:t>De manière à contribuer à la lutte internationale contre la fraude et l</w:t>
            </w:r>
            <w:r>
              <w:t>’</w:t>
            </w:r>
            <w:r w:rsidRPr="0019144F">
              <w:t>évasion fiscales</w:t>
            </w:r>
            <w:r w:rsidRPr="0019144F">
              <w:rPr>
                <w:b/>
                <w:i/>
              </w:rPr>
              <w:t>, la fraude, la corruption et</w:t>
            </w:r>
            <w:r w:rsidRPr="0019144F">
              <w:t xml:space="preserve"> le blanchiment de capitaux</w:t>
            </w:r>
            <w:r w:rsidRPr="0019144F">
              <w:rPr>
                <w:b/>
                <w:i/>
              </w:rPr>
              <w:t>, tout financement alloué au titre du FEDD devrait être apporté en toute transparence. En outre</w:t>
            </w:r>
            <w:r w:rsidRPr="0019144F">
              <w:t>, les contreparties éligibles ne devraient soutenir aucune activité menée à des fins illicites ni participer à aucune opération de financement ou d</w:t>
            </w:r>
            <w:r>
              <w:t>’</w:t>
            </w:r>
            <w:r w:rsidRPr="0019144F">
              <w:t>investissement par l</w:t>
            </w:r>
            <w:r>
              <w:t>’</w:t>
            </w:r>
            <w:r w:rsidRPr="0019144F">
              <w:t>intermédiaire d</w:t>
            </w:r>
            <w:r>
              <w:t>’</w:t>
            </w:r>
            <w:r w:rsidRPr="0019144F">
              <w:t>un instrument situé dans un pays ou territoire non coopératif</w:t>
            </w:r>
            <w:r w:rsidRPr="0019144F">
              <w:rPr>
                <w:b/>
                <w:i/>
              </w:rPr>
              <w:t xml:space="preserve"> ou dans un paradis fiscal. Les contreparties s</w:t>
            </w:r>
            <w:r>
              <w:rPr>
                <w:b/>
                <w:i/>
              </w:rPr>
              <w:t>’</w:t>
            </w:r>
            <w:r w:rsidRPr="0019144F">
              <w:rPr>
                <w:b/>
                <w:i/>
              </w:rPr>
              <w:t>abstiennent également de recourir à toute structure d</w:t>
            </w:r>
            <w:r>
              <w:rPr>
                <w:b/>
                <w:i/>
              </w:rPr>
              <w:t>’</w:t>
            </w:r>
            <w:r w:rsidRPr="0019144F">
              <w:rPr>
                <w:b/>
                <w:i/>
              </w:rPr>
              <w:t>évasion fiscale ou à tout mécanisme de planification fiscale agressive</w:t>
            </w:r>
            <w:r w:rsidRPr="0019144F">
              <w:t>.</w:t>
            </w:r>
          </w:p>
        </w:tc>
      </w:tr>
    </w:tbl>
    <w:p w14:paraId="54232B21"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43A6894" w14:textId="77777777" w:rsidR="00BF7ACA" w:rsidRPr="00BF7ACA" w:rsidRDefault="00BF7ACA" w:rsidP="00BF7ACA">
      <w:r w:rsidRPr="00BF7ACA">
        <w:rPr>
          <w:rStyle w:val="HideTWBExt"/>
        </w:rPr>
        <w:t>&lt;/Amend&gt;</w:t>
      </w:r>
    </w:p>
    <w:p w14:paraId="3A4C3E1C"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169</w:t>
      </w:r>
      <w:r w:rsidRPr="00BF7ACA">
        <w:rPr>
          <w:rStyle w:val="HideTWBExt"/>
          <w:b w:val="0"/>
        </w:rPr>
        <w:t>&lt;/NumAm&gt;</w:t>
      </w:r>
    </w:p>
    <w:p w14:paraId="19F7831A" w14:textId="77777777"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14:paraId="476D487F" w14:textId="77777777" w:rsidR="00BF7ACA" w:rsidRPr="00E502E5" w:rsidRDefault="00BF7ACA" w:rsidP="00BF7ACA">
      <w:r>
        <w:rPr>
          <w:rStyle w:val="HideTWBExt"/>
        </w:rPr>
        <w:t>&lt;/RepeatBlock-By&gt;</w:t>
      </w:r>
    </w:p>
    <w:p w14:paraId="468317FD" w14:textId="77777777"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14:paraId="2E3C154F" w14:textId="77777777" w:rsidR="00BF7ACA" w:rsidRPr="00E502E5" w:rsidRDefault="00BF7ACA" w:rsidP="00BF7ACA">
      <w:pPr>
        <w:pStyle w:val="NormalBold"/>
      </w:pPr>
      <w:r>
        <w:rPr>
          <w:rStyle w:val="HideTWBExt"/>
          <w:b w:val="0"/>
        </w:rPr>
        <w:t>&lt;Article&gt;</w:t>
      </w:r>
      <w:r w:rsidRPr="002E43F3">
        <w:t>Considérant 19</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70545366" w14:textId="77777777" w:rsidTr="007924BE">
        <w:trPr>
          <w:jc w:val="center"/>
        </w:trPr>
        <w:tc>
          <w:tcPr>
            <w:tcW w:w="9752" w:type="dxa"/>
            <w:gridSpan w:val="2"/>
          </w:tcPr>
          <w:p w14:paraId="520A4DB7" w14:textId="77777777" w:rsidR="00BF7ACA" w:rsidRPr="00E502E5" w:rsidRDefault="00BF7ACA" w:rsidP="007924BE">
            <w:pPr>
              <w:keepNext/>
            </w:pPr>
          </w:p>
        </w:tc>
      </w:tr>
      <w:tr w:rsidR="00BF7ACA" w:rsidRPr="00E502E5" w14:paraId="55CA3E5C" w14:textId="77777777" w:rsidTr="007924BE">
        <w:trPr>
          <w:jc w:val="center"/>
        </w:trPr>
        <w:tc>
          <w:tcPr>
            <w:tcW w:w="4876" w:type="dxa"/>
            <w:hideMark/>
          </w:tcPr>
          <w:p w14:paraId="6E105BCD" w14:textId="77777777" w:rsidR="00BF7ACA" w:rsidRPr="002E43F3" w:rsidRDefault="00BF7ACA" w:rsidP="007924BE">
            <w:pPr>
              <w:pStyle w:val="ColumnHeading"/>
              <w:keepNext/>
            </w:pPr>
            <w:r w:rsidRPr="002E43F3">
              <w:t>Texte proposé par la Commission</w:t>
            </w:r>
          </w:p>
        </w:tc>
        <w:tc>
          <w:tcPr>
            <w:tcW w:w="4876" w:type="dxa"/>
            <w:hideMark/>
          </w:tcPr>
          <w:p w14:paraId="049EA91C" w14:textId="77777777" w:rsidR="00BF7ACA" w:rsidRPr="002E43F3" w:rsidRDefault="00BF7ACA" w:rsidP="007924BE">
            <w:pPr>
              <w:pStyle w:val="ColumnHeading"/>
              <w:keepNext/>
            </w:pPr>
            <w:r w:rsidRPr="002E43F3">
              <w:t>Amendement</w:t>
            </w:r>
          </w:p>
        </w:tc>
      </w:tr>
      <w:tr w:rsidR="00BF7ACA" w:rsidRPr="00E502E5" w14:paraId="3F60FF97" w14:textId="77777777" w:rsidTr="007924BE">
        <w:trPr>
          <w:jc w:val="center"/>
        </w:trPr>
        <w:tc>
          <w:tcPr>
            <w:tcW w:w="4876" w:type="dxa"/>
            <w:hideMark/>
          </w:tcPr>
          <w:p w14:paraId="4AC72930" w14:textId="77777777" w:rsidR="00BF7ACA" w:rsidRPr="002E43F3" w:rsidRDefault="00BF7ACA" w:rsidP="007924BE">
            <w:pPr>
              <w:pStyle w:val="Normal6"/>
            </w:pPr>
            <w:r w:rsidRPr="002E43F3">
              <w:t>(19)</w:t>
            </w:r>
            <w:r>
              <w:tab/>
            </w:r>
            <w:r w:rsidRPr="002E43F3">
              <w:t>De manière à contribuer à la lutte internationale contre la fraude et l</w:t>
            </w:r>
            <w:r>
              <w:t>’</w:t>
            </w:r>
            <w:r w:rsidRPr="002E43F3">
              <w:t>évasion fiscales et contre le blanchiment de capitaux, les contreparties éligibles ne devraient soutenir aucune activité menée à des fins illicites ni participer à aucune opération de financement ou d</w:t>
            </w:r>
            <w:r>
              <w:t>’</w:t>
            </w:r>
            <w:r w:rsidRPr="002E43F3">
              <w:t>investissement par l</w:t>
            </w:r>
            <w:r>
              <w:t>’</w:t>
            </w:r>
            <w:r w:rsidRPr="002E43F3">
              <w:t>intermédiaire d</w:t>
            </w:r>
            <w:r>
              <w:t>’</w:t>
            </w:r>
            <w:r w:rsidRPr="002E43F3">
              <w:t>un instrument situé dans un pays ou territoire non coopératif.</w:t>
            </w:r>
          </w:p>
        </w:tc>
        <w:tc>
          <w:tcPr>
            <w:tcW w:w="4876" w:type="dxa"/>
            <w:hideMark/>
          </w:tcPr>
          <w:p w14:paraId="5583E124" w14:textId="77777777" w:rsidR="00BF7ACA" w:rsidRPr="002E43F3" w:rsidRDefault="00BF7ACA" w:rsidP="007924BE">
            <w:pPr>
              <w:pStyle w:val="Normal6"/>
              <w:rPr>
                <w:szCs w:val="24"/>
              </w:rPr>
            </w:pPr>
            <w:r w:rsidRPr="002E43F3">
              <w:t>(19)</w:t>
            </w:r>
            <w:r>
              <w:tab/>
            </w:r>
            <w:r w:rsidRPr="002E43F3">
              <w:t>De manière à contribuer à la lutte internationale contre la fraude et l</w:t>
            </w:r>
            <w:r>
              <w:t>’</w:t>
            </w:r>
            <w:r w:rsidRPr="002E43F3">
              <w:t>évasion fiscales et contre le blanchiment de capitaux, les contreparties éligibles ne devraient soutenir aucune activité menée à des fins illicites ni participer à aucune opération de financement ou d</w:t>
            </w:r>
            <w:r>
              <w:t>’</w:t>
            </w:r>
            <w:r w:rsidRPr="002E43F3">
              <w:t>investissement par l</w:t>
            </w:r>
            <w:r>
              <w:t>’</w:t>
            </w:r>
            <w:r w:rsidRPr="002E43F3">
              <w:t>intermédiaire d</w:t>
            </w:r>
            <w:r>
              <w:t>’</w:t>
            </w:r>
            <w:r w:rsidRPr="002E43F3">
              <w:t>un instrument situé dans un pays ou territoire non coopératif</w:t>
            </w:r>
            <w:r w:rsidRPr="002E43F3">
              <w:rPr>
                <w:b/>
                <w:i/>
              </w:rPr>
              <w:t xml:space="preserve"> et n</w:t>
            </w:r>
            <w:r>
              <w:rPr>
                <w:b/>
                <w:i/>
              </w:rPr>
              <w:t>’</w:t>
            </w:r>
            <w:r w:rsidRPr="002E43F3">
              <w:rPr>
                <w:b/>
                <w:i/>
              </w:rPr>
              <w:t>ont d</w:t>
            </w:r>
            <w:r>
              <w:rPr>
                <w:b/>
                <w:i/>
              </w:rPr>
              <w:t>’</w:t>
            </w:r>
            <w:r w:rsidRPr="002E43F3">
              <w:rPr>
                <w:b/>
                <w:i/>
              </w:rPr>
              <w:t>aucune manière un quelconque recours à des mécanismes de fraude ou d</w:t>
            </w:r>
            <w:r>
              <w:rPr>
                <w:b/>
                <w:i/>
              </w:rPr>
              <w:t>’</w:t>
            </w:r>
            <w:r w:rsidRPr="002E43F3">
              <w:rPr>
                <w:b/>
                <w:i/>
              </w:rPr>
              <w:t>évasion fiscales</w:t>
            </w:r>
            <w:r w:rsidRPr="002E43F3">
              <w:t>.</w:t>
            </w:r>
          </w:p>
        </w:tc>
      </w:tr>
    </w:tbl>
    <w:p w14:paraId="073A11B6" w14:textId="77777777"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&lt;Original&gt;</w:t>
      </w:r>
      <w:r w:rsidRPr="000C3237">
        <w:rPr>
          <w:rStyle w:val="HideTWBInt"/>
          <w:noProof w:val="0"/>
          <w:lang w:val="en-GB"/>
        </w:rPr>
        <w:t>{IT}</w:t>
      </w:r>
      <w:r w:rsidRPr="000C3237">
        <w:rPr>
          <w:noProof w:val="0"/>
          <w:lang w:val="en-GB"/>
        </w:rPr>
        <w:t>it</w:t>
      </w:r>
      <w:r w:rsidRPr="000C3237">
        <w:rPr>
          <w:rStyle w:val="HideTWBExt"/>
          <w:noProof w:val="0"/>
          <w:lang w:val="en-GB"/>
        </w:rPr>
        <w:t>&lt;/Original&gt;</w:t>
      </w:r>
    </w:p>
    <w:p w14:paraId="59C61C07" w14:textId="77777777" w:rsidR="00BF7ACA" w:rsidRPr="000C3237" w:rsidRDefault="00BF7ACA" w:rsidP="00BF7ACA">
      <w:pPr>
        <w:rPr>
          <w:lang w:val="en-GB"/>
        </w:rPr>
      </w:pPr>
      <w:r w:rsidRPr="000C3237">
        <w:rPr>
          <w:rStyle w:val="HideTWBExt"/>
          <w:lang w:val="en-GB"/>
        </w:rPr>
        <w:t>&lt;/Amend&gt;</w:t>
      </w:r>
    </w:p>
    <w:p w14:paraId="0EBDA489" w14:textId="77777777" w:rsidR="00BF7ACA" w:rsidRPr="00BF7ACA" w:rsidRDefault="00BF7ACA" w:rsidP="00BF7ACA">
      <w:pPr>
        <w:pStyle w:val="AMNumberTabs"/>
        <w:keepNext/>
        <w:rPr>
          <w:lang w:val="en-GB"/>
        </w:rPr>
      </w:pPr>
      <w:r w:rsidRPr="00BF7ACA">
        <w:rPr>
          <w:rStyle w:val="HideTWBExt"/>
          <w:b w:val="0"/>
          <w:lang w:val="en-GB"/>
        </w:rPr>
        <w:t>&lt;Amend&gt;</w:t>
      </w:r>
      <w:r w:rsidRPr="00BF7ACA">
        <w:rPr>
          <w:lang w:val="en-GB"/>
        </w:rPr>
        <w:t>Amendement</w:t>
      </w:r>
      <w:r w:rsidRPr="00BF7ACA">
        <w:rPr>
          <w:lang w:val="en-GB"/>
        </w:rPr>
        <w:tab/>
      </w:r>
      <w:r w:rsidRPr="00BF7ACA">
        <w:rPr>
          <w:lang w:val="en-GB"/>
        </w:rPr>
        <w:tab/>
      </w:r>
      <w:r w:rsidRPr="00BF7ACA">
        <w:rPr>
          <w:rStyle w:val="HideTWBExt"/>
          <w:b w:val="0"/>
          <w:lang w:val="en-GB"/>
        </w:rPr>
        <w:t>&lt;NumAm&gt;</w:t>
      </w:r>
      <w:r w:rsidRPr="00BF7ACA">
        <w:rPr>
          <w:lang w:val="en-GB"/>
        </w:rPr>
        <w:t>170</w:t>
      </w:r>
      <w:r w:rsidRPr="00BF7ACA">
        <w:rPr>
          <w:rStyle w:val="HideTWBExt"/>
          <w:b w:val="0"/>
          <w:lang w:val="en-GB"/>
        </w:rPr>
        <w:t>&lt;/NumAm&gt;</w:t>
      </w:r>
    </w:p>
    <w:p w14:paraId="1C5DE50D" w14:textId="77777777" w:rsidR="00BF7ACA" w:rsidRPr="00BF7ACA" w:rsidRDefault="00BF7ACA" w:rsidP="00BF7ACA">
      <w:pPr>
        <w:pStyle w:val="NormalBold"/>
        <w:rPr>
          <w:lang w:val="en-GB"/>
        </w:rPr>
      </w:pPr>
      <w:r w:rsidRPr="00BF7ACA">
        <w:rPr>
          <w:rStyle w:val="HideTWBExt"/>
          <w:b w:val="0"/>
          <w:lang w:val="en-GB"/>
        </w:rPr>
        <w:t>&lt;RepeatBlock-By&gt;&lt;Members&gt;</w:t>
      </w:r>
      <w:r w:rsidRPr="00BF7ACA">
        <w:rPr>
          <w:lang w:val="en-GB"/>
        </w:rPr>
        <w:t>Paulo Rangel</w:t>
      </w:r>
      <w:r w:rsidRPr="00BF7ACA">
        <w:rPr>
          <w:rStyle w:val="HideTWBExt"/>
          <w:b w:val="0"/>
          <w:lang w:val="en-GB"/>
        </w:rPr>
        <w:t>&lt;/Members&gt;</w:t>
      </w:r>
    </w:p>
    <w:p w14:paraId="5928EFEC" w14:textId="77777777" w:rsidR="00BF7ACA" w:rsidRPr="00BF7ACA" w:rsidRDefault="00BF7ACA" w:rsidP="00BF7ACA">
      <w:pPr>
        <w:rPr>
          <w:lang w:val="en-GB"/>
        </w:rPr>
      </w:pPr>
      <w:r w:rsidRPr="00BF7ACA">
        <w:rPr>
          <w:rStyle w:val="HideTWBExt"/>
          <w:lang w:val="en-GB"/>
        </w:rPr>
        <w:t>&lt;/RepeatBlock-By&gt;</w:t>
      </w:r>
    </w:p>
    <w:p w14:paraId="12892686" w14:textId="77777777" w:rsidR="00BF7ACA" w:rsidRPr="00E502E5" w:rsidRDefault="00BF7ACA" w:rsidP="00BF7ACA">
      <w:pPr>
        <w:pStyle w:val="NormalBold"/>
        <w:keepNext/>
      </w:pPr>
      <w:r>
        <w:rPr>
          <w:rStyle w:val="HideTWBExt"/>
          <w:b w:val="0"/>
        </w:rPr>
        <w:t>&lt;DocAmend&gt;</w:t>
      </w:r>
      <w:r w:rsidRPr="006E42B1">
        <w:t>Proposition de règlement</w:t>
      </w:r>
      <w:r>
        <w:rPr>
          <w:rStyle w:val="HideTWBExt"/>
          <w:b w:val="0"/>
        </w:rPr>
        <w:t>&lt;/DocAmend&gt;</w:t>
      </w:r>
    </w:p>
    <w:p w14:paraId="3297AAD6" w14:textId="77777777" w:rsidR="00BF7ACA" w:rsidRPr="00E502E5" w:rsidRDefault="00BF7ACA" w:rsidP="00BF7ACA">
      <w:pPr>
        <w:pStyle w:val="NormalBold"/>
      </w:pPr>
      <w:r>
        <w:rPr>
          <w:rStyle w:val="HideTWBExt"/>
          <w:b w:val="0"/>
        </w:rPr>
        <w:t>&lt;Article&gt;</w:t>
      </w:r>
      <w:r w:rsidRPr="006E42B1">
        <w:t>Considérant 19</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2C77241B" w14:textId="77777777" w:rsidTr="007924BE">
        <w:trPr>
          <w:jc w:val="center"/>
        </w:trPr>
        <w:tc>
          <w:tcPr>
            <w:tcW w:w="9752" w:type="dxa"/>
            <w:gridSpan w:val="2"/>
          </w:tcPr>
          <w:p w14:paraId="7F81AA81" w14:textId="77777777" w:rsidR="00BF7ACA" w:rsidRPr="00E502E5" w:rsidRDefault="00BF7ACA" w:rsidP="007924BE">
            <w:pPr>
              <w:keepNext/>
            </w:pPr>
          </w:p>
        </w:tc>
      </w:tr>
      <w:tr w:rsidR="00BF7ACA" w:rsidRPr="00E502E5" w14:paraId="39ADE41B" w14:textId="77777777" w:rsidTr="007924BE">
        <w:trPr>
          <w:jc w:val="center"/>
        </w:trPr>
        <w:tc>
          <w:tcPr>
            <w:tcW w:w="4876" w:type="dxa"/>
            <w:hideMark/>
          </w:tcPr>
          <w:p w14:paraId="71B0E26B" w14:textId="77777777" w:rsidR="00BF7ACA" w:rsidRPr="006E42B1" w:rsidRDefault="00BF7ACA" w:rsidP="007924BE">
            <w:pPr>
              <w:pStyle w:val="ColumnHeading"/>
              <w:keepNext/>
            </w:pPr>
            <w:r w:rsidRPr="006E42B1">
              <w:t>Texte proposé par la Commission</w:t>
            </w:r>
          </w:p>
        </w:tc>
        <w:tc>
          <w:tcPr>
            <w:tcW w:w="4876" w:type="dxa"/>
            <w:hideMark/>
          </w:tcPr>
          <w:p w14:paraId="29EB0F12" w14:textId="77777777" w:rsidR="00BF7ACA" w:rsidRPr="006E42B1" w:rsidRDefault="00BF7ACA" w:rsidP="007924BE">
            <w:pPr>
              <w:pStyle w:val="ColumnHeading"/>
              <w:keepNext/>
            </w:pPr>
            <w:r w:rsidRPr="006E42B1">
              <w:t>Amendement</w:t>
            </w:r>
          </w:p>
        </w:tc>
      </w:tr>
      <w:tr w:rsidR="00BF7ACA" w:rsidRPr="00E502E5" w14:paraId="3E87F6B0" w14:textId="77777777" w:rsidTr="007924BE">
        <w:trPr>
          <w:jc w:val="center"/>
        </w:trPr>
        <w:tc>
          <w:tcPr>
            <w:tcW w:w="4876" w:type="dxa"/>
            <w:hideMark/>
          </w:tcPr>
          <w:p w14:paraId="5F14ACFC" w14:textId="77777777" w:rsidR="00BF7ACA" w:rsidRPr="006E42B1" w:rsidRDefault="00BF7ACA" w:rsidP="007924BE">
            <w:pPr>
              <w:pStyle w:val="Normal6"/>
            </w:pPr>
            <w:r w:rsidRPr="006E42B1">
              <w:t>(19)</w:t>
            </w:r>
            <w:r>
              <w:tab/>
            </w:r>
            <w:r>
              <w:rPr>
                <w:b/>
                <w:i/>
              </w:rPr>
              <w:t>De manière à contribuer à la lutte internationale contre la fraude et l’évasion fiscales et contre le blanchiment de capitaux, les</w:t>
            </w:r>
            <w:r>
              <w:t xml:space="preserve"> contreparties éligibles ne devraient soutenir aucune activité menée à des fins illicites ni participer à aucune opération de financement ou d’investissement par l’intermédiaire d’un instrument situé dans un pays ou territoire non coopératif.</w:t>
            </w:r>
          </w:p>
        </w:tc>
        <w:tc>
          <w:tcPr>
            <w:tcW w:w="4876" w:type="dxa"/>
            <w:hideMark/>
          </w:tcPr>
          <w:p w14:paraId="373D1CD5" w14:textId="77777777" w:rsidR="00BF7ACA" w:rsidRPr="006E42B1" w:rsidRDefault="00BF7ACA" w:rsidP="007924BE">
            <w:pPr>
              <w:pStyle w:val="Normal6"/>
              <w:rPr>
                <w:szCs w:val="24"/>
              </w:rPr>
            </w:pPr>
            <w:r w:rsidRPr="006E42B1">
              <w:t>(19)</w:t>
            </w:r>
            <w:r>
              <w:tab/>
            </w:r>
            <w:r w:rsidRPr="006E42B1">
              <w:rPr>
                <w:b/>
                <w:i/>
              </w:rPr>
              <w:t>Les</w:t>
            </w:r>
            <w:r w:rsidRPr="006E42B1">
              <w:t xml:space="preserve"> contreparties éligibles ne devraient soutenir aucune activité menée à des fins illicites ni participer à aucune opération de financement ou d</w:t>
            </w:r>
            <w:r>
              <w:t>’</w:t>
            </w:r>
            <w:r w:rsidRPr="006E42B1">
              <w:t>investissement par l</w:t>
            </w:r>
            <w:r>
              <w:t>’</w:t>
            </w:r>
            <w:r w:rsidRPr="006E42B1">
              <w:t>intermédiaire d</w:t>
            </w:r>
            <w:r>
              <w:t>’</w:t>
            </w:r>
            <w:r w:rsidRPr="006E42B1">
              <w:t>un instrument situé dans un pays ou territoire non coopératif</w:t>
            </w:r>
            <w:r w:rsidRPr="006E42B1">
              <w:rPr>
                <w:b/>
                <w:i/>
              </w:rPr>
              <w:t>, afin notamment de contribuer à la lutte internationale contre la fraude et l</w:t>
            </w:r>
            <w:r>
              <w:rPr>
                <w:b/>
                <w:i/>
              </w:rPr>
              <w:t>’</w:t>
            </w:r>
            <w:r w:rsidRPr="006E42B1">
              <w:rPr>
                <w:b/>
                <w:i/>
              </w:rPr>
              <w:t>évasion fiscales et contre le blanchiment de capitaux</w:t>
            </w:r>
            <w:r w:rsidRPr="006E42B1">
              <w:t>.</w:t>
            </w:r>
          </w:p>
        </w:tc>
      </w:tr>
    </w:tbl>
    <w:p w14:paraId="010F9994" w14:textId="77777777" w:rsidR="00BF7ACA" w:rsidRPr="00E502E5" w:rsidRDefault="00BF7ACA" w:rsidP="00BF7ACA">
      <w:pPr>
        <w:pStyle w:val="Olang"/>
        <w:rPr>
          <w:noProof w:val="0"/>
          <w:szCs w:val="24"/>
        </w:rPr>
      </w:pPr>
      <w:r w:rsidRPr="006E42B1">
        <w:rPr>
          <w:noProof w:val="0"/>
        </w:rPr>
        <w:t xml:space="preserve">Or. </w:t>
      </w:r>
      <w:r w:rsidRPr="00C43947">
        <w:rPr>
          <w:rStyle w:val="HideTWBExt"/>
          <w:noProof w:val="0"/>
        </w:rPr>
        <w:t>&lt;Original&gt;</w:t>
      </w:r>
      <w:r w:rsidRPr="00C43947">
        <w:rPr>
          <w:rStyle w:val="HideTWBInt"/>
          <w:noProof w:val="0"/>
        </w:rPr>
        <w:t>{PT}</w:t>
      </w:r>
      <w:r w:rsidRPr="006E42B1">
        <w:rPr>
          <w:noProof w:val="0"/>
        </w:rPr>
        <w:t>pt</w:t>
      </w:r>
      <w:r w:rsidRPr="00C43947">
        <w:rPr>
          <w:rStyle w:val="HideTWBExt"/>
          <w:noProof w:val="0"/>
        </w:rPr>
        <w:t>&lt;/Original&gt;</w:t>
      </w:r>
    </w:p>
    <w:p w14:paraId="45CC043B" w14:textId="2E2F2B43" w:rsidR="00BF7ACA" w:rsidRPr="00BF7ACA" w:rsidRDefault="00BF7ACA" w:rsidP="00BF7ACA">
      <w:pPr>
        <w:pStyle w:val="AMNumberTabs"/>
        <w:keepNext/>
      </w:pPr>
      <w:r>
        <w:rPr>
          <w:rStyle w:val="HideTWBExt"/>
        </w:rPr>
        <w:t>&lt;/Amend&gt;</w:t>
      </w:r>
      <w:r w:rsidRPr="00BF7ACA">
        <w:rPr>
          <w:rStyle w:val="HideTWBExt"/>
          <w:b w:val="0"/>
        </w:rPr>
        <w:t>&lt;Amend&gt;</w:t>
      </w:r>
      <w:r w:rsidRPr="00BF7ACA">
        <w:t>Amendement</w:t>
      </w:r>
      <w:r w:rsidRPr="00BF7ACA">
        <w:tab/>
      </w:r>
      <w:r w:rsidRPr="00BF7ACA">
        <w:tab/>
      </w:r>
      <w:r w:rsidRPr="00BF7ACA">
        <w:rPr>
          <w:rStyle w:val="HideTWBExt"/>
          <w:b w:val="0"/>
        </w:rPr>
        <w:t>&lt;NumAm&gt;</w:t>
      </w:r>
      <w:r w:rsidRPr="00BF7ACA">
        <w:t>171</w:t>
      </w:r>
      <w:r w:rsidRPr="00BF7ACA">
        <w:rPr>
          <w:rStyle w:val="HideTWBExt"/>
          <w:b w:val="0"/>
        </w:rPr>
        <w:t>&lt;/NumAm&gt;</w:t>
      </w:r>
    </w:p>
    <w:p w14:paraId="3ECB2BB8" w14:textId="77777777" w:rsidR="00BF7ACA" w:rsidRPr="00BF7ACA" w:rsidRDefault="00BF7ACA" w:rsidP="00BF7ACA">
      <w:pPr>
        <w:pStyle w:val="NormalBold"/>
      </w:pPr>
      <w:r w:rsidRPr="00BF7ACA">
        <w:rPr>
          <w:rStyle w:val="HideTWBExt"/>
          <w:b w:val="0"/>
        </w:rPr>
        <w:t>&lt;RepeatBlock-By&gt;&lt;Members&gt;</w:t>
      </w:r>
      <w:r w:rsidRPr="00BF7ACA">
        <w:t>Eduard Kukan, Doru-Claudian Frunzulică, Eider Gardiazabal Rubial</w:t>
      </w:r>
      <w:r w:rsidRPr="00BF7ACA">
        <w:rPr>
          <w:rStyle w:val="HideTWBExt"/>
          <w:b w:val="0"/>
        </w:rPr>
        <w:t>&lt;/Members&gt;</w:t>
      </w:r>
    </w:p>
    <w:p w14:paraId="1358F4FC" w14:textId="77777777" w:rsidR="00BF7ACA" w:rsidRPr="005A5903" w:rsidRDefault="00BF7ACA" w:rsidP="00BF7ACA">
      <w:r>
        <w:rPr>
          <w:rStyle w:val="HideTWBExt"/>
        </w:rPr>
        <w:t>&lt;/RepeatBlock-By&gt;</w:t>
      </w:r>
    </w:p>
    <w:p w14:paraId="56BB116E"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61989767" w14:textId="77777777" w:rsidR="00BF7ACA" w:rsidRPr="005A5903" w:rsidRDefault="00BF7ACA" w:rsidP="00BF7ACA">
      <w:pPr>
        <w:pStyle w:val="NormalBold"/>
      </w:pPr>
      <w:r>
        <w:rPr>
          <w:rStyle w:val="HideTWBExt"/>
          <w:b w:val="0"/>
        </w:rPr>
        <w:t>&lt;Article&gt;</w:t>
      </w:r>
      <w:r w:rsidRPr="0019144F">
        <w:t>Considérant 19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1CBB58C4" w14:textId="77777777" w:rsidTr="007924BE">
        <w:trPr>
          <w:jc w:val="center"/>
        </w:trPr>
        <w:tc>
          <w:tcPr>
            <w:tcW w:w="9752" w:type="dxa"/>
            <w:gridSpan w:val="2"/>
          </w:tcPr>
          <w:p w14:paraId="35F54095" w14:textId="77777777" w:rsidR="00BF7ACA" w:rsidRPr="005A5903" w:rsidRDefault="00BF7ACA" w:rsidP="007924BE">
            <w:pPr>
              <w:keepNext/>
            </w:pPr>
          </w:p>
        </w:tc>
      </w:tr>
      <w:tr w:rsidR="00BF7ACA" w:rsidRPr="005A5903" w14:paraId="71CB780F" w14:textId="77777777" w:rsidTr="007924BE">
        <w:trPr>
          <w:jc w:val="center"/>
        </w:trPr>
        <w:tc>
          <w:tcPr>
            <w:tcW w:w="4876" w:type="dxa"/>
            <w:hideMark/>
          </w:tcPr>
          <w:p w14:paraId="5A49195D" w14:textId="77777777" w:rsidR="00BF7ACA" w:rsidRPr="0019144F" w:rsidRDefault="00BF7ACA" w:rsidP="007924BE">
            <w:pPr>
              <w:pStyle w:val="ColumnHeading"/>
              <w:keepNext/>
            </w:pPr>
            <w:r w:rsidRPr="0019144F">
              <w:t>Texte proposé par la Commission</w:t>
            </w:r>
          </w:p>
        </w:tc>
        <w:tc>
          <w:tcPr>
            <w:tcW w:w="4876" w:type="dxa"/>
            <w:hideMark/>
          </w:tcPr>
          <w:p w14:paraId="415EED89" w14:textId="77777777" w:rsidR="00BF7ACA" w:rsidRPr="0019144F" w:rsidRDefault="00BF7ACA" w:rsidP="007924BE">
            <w:pPr>
              <w:pStyle w:val="ColumnHeading"/>
              <w:keepNext/>
            </w:pPr>
            <w:r w:rsidRPr="0019144F">
              <w:t>Amendement</w:t>
            </w:r>
          </w:p>
        </w:tc>
      </w:tr>
      <w:tr w:rsidR="00BF7ACA" w:rsidRPr="005A5903" w14:paraId="7561D9C0" w14:textId="77777777" w:rsidTr="007924BE">
        <w:trPr>
          <w:jc w:val="center"/>
        </w:trPr>
        <w:tc>
          <w:tcPr>
            <w:tcW w:w="4876" w:type="dxa"/>
          </w:tcPr>
          <w:p w14:paraId="25C9C8BE" w14:textId="77777777" w:rsidR="00BF7ACA" w:rsidRPr="0019144F" w:rsidRDefault="00BF7ACA" w:rsidP="007924BE">
            <w:pPr>
              <w:pStyle w:val="Normal6"/>
            </w:pPr>
          </w:p>
        </w:tc>
        <w:tc>
          <w:tcPr>
            <w:tcW w:w="4876" w:type="dxa"/>
            <w:hideMark/>
          </w:tcPr>
          <w:p w14:paraId="4926ED13" w14:textId="77777777" w:rsidR="00BF7ACA" w:rsidRPr="0019144F" w:rsidRDefault="00BF7ACA" w:rsidP="007924BE">
            <w:pPr>
              <w:pStyle w:val="Normal6"/>
              <w:rPr>
                <w:szCs w:val="24"/>
              </w:rPr>
            </w:pPr>
            <w:r w:rsidRPr="0019144F">
              <w:rPr>
                <w:b/>
                <w:i/>
              </w:rPr>
              <w:t>(19 bis)</w:t>
            </w:r>
            <w:r>
              <w:tab/>
            </w:r>
            <w:r w:rsidRPr="0019144F">
              <w:rPr>
                <w:b/>
                <w:i/>
              </w:rPr>
              <w:t>Pour tenir compte des évolutions d</w:t>
            </w:r>
            <w:r>
              <w:rPr>
                <w:b/>
                <w:i/>
              </w:rPr>
              <w:t>’</w:t>
            </w:r>
            <w:r w:rsidRPr="0019144F">
              <w:rPr>
                <w:b/>
                <w:i/>
              </w:rPr>
              <w:t>ordre politique et des situations où une action de l</w:t>
            </w:r>
            <w:r>
              <w:rPr>
                <w:b/>
                <w:i/>
              </w:rPr>
              <w:t>’</w:t>
            </w:r>
            <w:r w:rsidRPr="0019144F">
              <w:rPr>
                <w:b/>
                <w:i/>
              </w:rPr>
              <w:t>Union est nécessaire sur la scène internationale, il convient de déléguer à la Commission le pouvoir d</w:t>
            </w:r>
            <w:r>
              <w:rPr>
                <w:b/>
                <w:i/>
              </w:rPr>
              <w:t>’</w:t>
            </w:r>
            <w:r w:rsidRPr="0019144F">
              <w:rPr>
                <w:b/>
                <w:i/>
              </w:rPr>
              <w:t>adopter des actes conformément à l</w:t>
            </w:r>
            <w:r>
              <w:rPr>
                <w:b/>
                <w:i/>
              </w:rPr>
              <w:t>’</w:t>
            </w:r>
            <w:r w:rsidRPr="0019144F">
              <w:rPr>
                <w:b/>
                <w:i/>
              </w:rPr>
              <w:t>article 290 du traité sur le fonctionnement de l</w:t>
            </w:r>
            <w:r>
              <w:rPr>
                <w:b/>
                <w:i/>
              </w:rPr>
              <w:t>’</w:t>
            </w:r>
            <w:r w:rsidRPr="0019144F">
              <w:rPr>
                <w:b/>
                <w:i/>
              </w:rPr>
              <w:t>Union européenne en ce qui concerne les modifications apportées à l</w:t>
            </w:r>
            <w:r>
              <w:rPr>
                <w:b/>
                <w:i/>
              </w:rPr>
              <w:t>’</w:t>
            </w:r>
            <w:r w:rsidRPr="0019144F">
              <w:rPr>
                <w:b/>
                <w:i/>
              </w:rPr>
              <w:t>annexe du présent règlement, où sont énumérées les régions pouvant bénéficier du soutien de la garantie FEDD. Il importe particulièrement que la Commission procède aux consultations appropriées durant son travail préparatoire, y compris au niveau des experts, et que ces consultations soient menées conformément aux principes définis dans l</w:t>
            </w:r>
            <w:r>
              <w:rPr>
                <w:b/>
                <w:i/>
              </w:rPr>
              <w:t>’</w:t>
            </w:r>
            <w:r w:rsidRPr="0019144F">
              <w:rPr>
                <w:b/>
                <w:i/>
              </w:rPr>
              <w:t>accord interinstitutionnel du 13 avril 2016 «Mieux légiférer»</w:t>
            </w:r>
            <w:r w:rsidRPr="0019144F">
              <w:rPr>
                <w:b/>
                <w:i/>
                <w:vertAlign w:val="superscript"/>
              </w:rPr>
              <w:t>1 bis</w:t>
            </w:r>
            <w:r w:rsidRPr="0019144F">
              <w:rPr>
                <w:b/>
                <w:i/>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w:t>
            </w:r>
            <w:r>
              <w:rPr>
                <w:b/>
                <w:i/>
              </w:rPr>
              <w:t>’</w:t>
            </w:r>
            <w:r w:rsidRPr="0019144F">
              <w:rPr>
                <w:b/>
                <w:i/>
              </w:rPr>
              <w:t>experts de la Commission traitant de la préparation des actes délégués.</w:t>
            </w:r>
          </w:p>
        </w:tc>
      </w:tr>
      <w:tr w:rsidR="00BF7ACA" w:rsidRPr="005A5903" w14:paraId="469E1C19" w14:textId="77777777" w:rsidTr="007924BE">
        <w:trPr>
          <w:jc w:val="center"/>
        </w:trPr>
        <w:tc>
          <w:tcPr>
            <w:tcW w:w="4876" w:type="dxa"/>
          </w:tcPr>
          <w:p w14:paraId="45EB9183" w14:textId="77777777" w:rsidR="00BF7ACA" w:rsidRPr="0019144F" w:rsidRDefault="00BF7ACA" w:rsidP="007924BE">
            <w:pPr>
              <w:pStyle w:val="Normal6"/>
            </w:pPr>
          </w:p>
        </w:tc>
        <w:tc>
          <w:tcPr>
            <w:tcW w:w="4876" w:type="dxa"/>
            <w:hideMark/>
          </w:tcPr>
          <w:p w14:paraId="793A24AE" w14:textId="77777777" w:rsidR="00BF7ACA" w:rsidRPr="0019144F" w:rsidRDefault="00BF7ACA" w:rsidP="007924BE">
            <w:pPr>
              <w:pStyle w:val="Normal6"/>
              <w:rPr>
                <w:szCs w:val="24"/>
              </w:rPr>
            </w:pPr>
            <w:r w:rsidRPr="0019144F">
              <w:rPr>
                <w:b/>
                <w:i/>
              </w:rPr>
              <w:t>__________________</w:t>
            </w:r>
          </w:p>
        </w:tc>
      </w:tr>
      <w:tr w:rsidR="00BF7ACA" w:rsidRPr="005A5903" w14:paraId="4869820D" w14:textId="77777777" w:rsidTr="007924BE">
        <w:trPr>
          <w:jc w:val="center"/>
        </w:trPr>
        <w:tc>
          <w:tcPr>
            <w:tcW w:w="4876" w:type="dxa"/>
          </w:tcPr>
          <w:p w14:paraId="3AA8D2B5" w14:textId="77777777" w:rsidR="00BF7ACA" w:rsidRPr="0019144F" w:rsidRDefault="00BF7ACA" w:rsidP="007924BE">
            <w:pPr>
              <w:pStyle w:val="Normal6"/>
            </w:pPr>
          </w:p>
        </w:tc>
        <w:tc>
          <w:tcPr>
            <w:tcW w:w="4876" w:type="dxa"/>
            <w:hideMark/>
          </w:tcPr>
          <w:p w14:paraId="79A84B9B" w14:textId="77777777" w:rsidR="00BF7ACA" w:rsidRPr="0019144F" w:rsidRDefault="00BF7ACA" w:rsidP="007924BE">
            <w:pPr>
              <w:pStyle w:val="Normal6"/>
              <w:rPr>
                <w:szCs w:val="24"/>
              </w:rPr>
            </w:pPr>
            <w:r w:rsidRPr="0019144F">
              <w:rPr>
                <w:b/>
                <w:i/>
                <w:vertAlign w:val="superscript"/>
              </w:rPr>
              <w:t>1 bis</w:t>
            </w:r>
            <w:r w:rsidRPr="0019144F">
              <w:t xml:space="preserve"> </w:t>
            </w:r>
            <w:r w:rsidRPr="0019144F">
              <w:rPr>
                <w:b/>
                <w:i/>
              </w:rPr>
              <w:t>JO L 123 du 12.5.2016, p. 1</w:t>
            </w:r>
          </w:p>
        </w:tc>
      </w:tr>
    </w:tbl>
    <w:p w14:paraId="12AF1999" w14:textId="77777777" w:rsidR="00BF7ACA" w:rsidRPr="005A5903" w:rsidRDefault="00BF7ACA" w:rsidP="00BF7ACA">
      <w:pPr>
        <w:pStyle w:val="Olang"/>
        <w:rPr>
          <w:noProof w:val="0"/>
          <w:szCs w:val="24"/>
        </w:rPr>
      </w:pPr>
      <w:r w:rsidRPr="0019144F">
        <w:rPr>
          <w:noProof w:val="0"/>
        </w:rPr>
        <w:t xml:space="preserve">Or. </w:t>
      </w:r>
      <w:r w:rsidRPr="00004DC1">
        <w:rPr>
          <w:rStyle w:val="HideTWBExt"/>
          <w:noProof w:val="0"/>
        </w:rPr>
        <w:t>&lt;Original&gt;</w:t>
      </w:r>
      <w:r w:rsidRPr="00004DC1">
        <w:rPr>
          <w:rStyle w:val="HideTWBInt"/>
          <w:noProof w:val="0"/>
        </w:rPr>
        <w:t>{EN}</w:t>
      </w:r>
      <w:r w:rsidRPr="0019144F">
        <w:rPr>
          <w:noProof w:val="0"/>
        </w:rPr>
        <w:t>en</w:t>
      </w:r>
      <w:r w:rsidRPr="00004DC1">
        <w:rPr>
          <w:rStyle w:val="HideTWBExt"/>
          <w:noProof w:val="0"/>
        </w:rPr>
        <w:t>&lt;/Original&gt;</w:t>
      </w:r>
    </w:p>
    <w:p w14:paraId="6275B322" w14:textId="77777777" w:rsidR="00BF7ACA" w:rsidRPr="005A5903" w:rsidRDefault="00BF7ACA" w:rsidP="00BF7ACA">
      <w:r>
        <w:rPr>
          <w:rStyle w:val="HideTWBExt"/>
        </w:rPr>
        <w:t>&lt;/Amend&gt;</w:t>
      </w:r>
    </w:p>
    <w:p w14:paraId="2E280D0B" w14:textId="77777777" w:rsidR="00BF7ACA" w:rsidRPr="005A5903" w:rsidRDefault="00BF7ACA" w:rsidP="00BF7ACA">
      <w:pPr>
        <w:pStyle w:val="AMNumberTabs"/>
        <w:keepNext/>
      </w:pPr>
      <w:r>
        <w:rPr>
          <w:rStyle w:val="HideTWBExt"/>
          <w:b w:val="0"/>
        </w:rPr>
        <w:t>&lt;Amend&gt;</w:t>
      </w:r>
      <w:r w:rsidRPr="0019144F">
        <w:t>Amendement</w:t>
      </w:r>
      <w:r>
        <w:tab/>
      </w:r>
      <w:r>
        <w:tab/>
      </w:r>
      <w:r>
        <w:rPr>
          <w:rStyle w:val="HideTWBExt"/>
          <w:b w:val="0"/>
        </w:rPr>
        <w:t>&lt;NumAm&gt;</w:t>
      </w:r>
      <w:r w:rsidRPr="0019144F">
        <w:t>172</w:t>
      </w:r>
      <w:r>
        <w:rPr>
          <w:rStyle w:val="HideTWBExt"/>
          <w:b w:val="0"/>
        </w:rPr>
        <w:t>&lt;/NumAm&gt;</w:t>
      </w:r>
    </w:p>
    <w:p w14:paraId="51891D8F" w14:textId="77777777" w:rsidR="00BF7ACA" w:rsidRPr="005A5903" w:rsidRDefault="00BF7ACA" w:rsidP="00BF7ACA">
      <w:pPr>
        <w:pStyle w:val="NormalBold"/>
      </w:pPr>
      <w:r>
        <w:rPr>
          <w:rStyle w:val="HideTWBExt"/>
          <w:b w:val="0"/>
        </w:rPr>
        <w:t>&lt;RepeatBlock-By&gt;&lt;Members&gt;</w:t>
      </w:r>
      <w:r w:rsidRPr="0019144F">
        <w:t>Beatriz Becerra Basterrechea, Anneli Jäätteenmäki, Urmas Paet, Nedzhmi Ali, Jozo Radoš, Hilde Vautmans, Ilhan Kyuchyuk</w:t>
      </w:r>
      <w:r>
        <w:rPr>
          <w:rStyle w:val="HideTWBExt"/>
          <w:b w:val="0"/>
        </w:rPr>
        <w:t>&lt;/Members&gt;</w:t>
      </w:r>
    </w:p>
    <w:p w14:paraId="143FEA7E" w14:textId="77777777" w:rsidR="00BF7ACA" w:rsidRPr="005A5903" w:rsidRDefault="00BF7ACA" w:rsidP="00BF7ACA">
      <w:r>
        <w:rPr>
          <w:rStyle w:val="HideTWBExt"/>
        </w:rPr>
        <w:t>&lt;/RepeatBlock-By&gt;</w:t>
      </w:r>
    </w:p>
    <w:p w14:paraId="73139AB1"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52227DF9" w14:textId="77777777" w:rsidR="00BF7ACA" w:rsidRPr="005A5903" w:rsidRDefault="00BF7ACA" w:rsidP="00BF7ACA">
      <w:pPr>
        <w:pStyle w:val="NormalBold"/>
      </w:pPr>
      <w:r>
        <w:rPr>
          <w:rStyle w:val="HideTWBExt"/>
          <w:b w:val="0"/>
        </w:rPr>
        <w:t>&lt;Article&gt;</w:t>
      </w:r>
      <w:r w:rsidRPr="0019144F">
        <w:t>Considérant 20</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252F992E" w14:textId="77777777" w:rsidTr="007924BE">
        <w:trPr>
          <w:jc w:val="center"/>
        </w:trPr>
        <w:tc>
          <w:tcPr>
            <w:tcW w:w="9752" w:type="dxa"/>
            <w:gridSpan w:val="2"/>
          </w:tcPr>
          <w:p w14:paraId="10479519" w14:textId="77777777" w:rsidR="00BF7ACA" w:rsidRPr="005A5903" w:rsidRDefault="00BF7ACA" w:rsidP="007924BE">
            <w:pPr>
              <w:keepNext/>
            </w:pPr>
          </w:p>
        </w:tc>
      </w:tr>
      <w:tr w:rsidR="00BF7ACA" w:rsidRPr="005A5903" w14:paraId="059B549B" w14:textId="77777777" w:rsidTr="007924BE">
        <w:trPr>
          <w:jc w:val="center"/>
        </w:trPr>
        <w:tc>
          <w:tcPr>
            <w:tcW w:w="4876" w:type="dxa"/>
            <w:hideMark/>
          </w:tcPr>
          <w:p w14:paraId="2E143CEC" w14:textId="77777777" w:rsidR="00BF7ACA" w:rsidRPr="0019144F" w:rsidRDefault="00BF7ACA" w:rsidP="007924BE">
            <w:pPr>
              <w:pStyle w:val="ColumnHeading"/>
              <w:keepNext/>
            </w:pPr>
            <w:r w:rsidRPr="0019144F">
              <w:t>Texte proposé par la Commission</w:t>
            </w:r>
          </w:p>
        </w:tc>
        <w:tc>
          <w:tcPr>
            <w:tcW w:w="4876" w:type="dxa"/>
            <w:hideMark/>
          </w:tcPr>
          <w:p w14:paraId="597200F3" w14:textId="77777777" w:rsidR="00BF7ACA" w:rsidRPr="0019144F" w:rsidRDefault="00BF7ACA" w:rsidP="007924BE">
            <w:pPr>
              <w:pStyle w:val="ColumnHeading"/>
              <w:keepNext/>
            </w:pPr>
            <w:r w:rsidRPr="0019144F">
              <w:t>Amendement</w:t>
            </w:r>
          </w:p>
        </w:tc>
      </w:tr>
      <w:tr w:rsidR="00BF7ACA" w:rsidRPr="005A5903" w14:paraId="21BBECCC" w14:textId="77777777" w:rsidTr="007924BE">
        <w:trPr>
          <w:jc w:val="center"/>
        </w:trPr>
        <w:tc>
          <w:tcPr>
            <w:tcW w:w="4876" w:type="dxa"/>
            <w:hideMark/>
          </w:tcPr>
          <w:p w14:paraId="3309681F" w14:textId="77777777" w:rsidR="00BF7ACA" w:rsidRPr="0019144F" w:rsidRDefault="00BF7ACA" w:rsidP="007924BE">
            <w:pPr>
              <w:pStyle w:val="Normal6"/>
            </w:pPr>
            <w:r w:rsidRPr="0019144F">
              <w:rPr>
                <w:b/>
                <w:i/>
              </w:rPr>
              <w:t>(20)</w:t>
            </w:r>
            <w:r>
              <w:tab/>
            </w:r>
            <w:r w:rsidRPr="0019144F">
              <w:rPr>
                <w:b/>
                <w:i/>
              </w:rPr>
              <w:t>Afin de respecter les engagements politiques de l</w:t>
            </w:r>
            <w:r>
              <w:rPr>
                <w:b/>
                <w:i/>
              </w:rPr>
              <w:t>’</w:t>
            </w:r>
            <w:r w:rsidRPr="0019144F">
              <w:rPr>
                <w:b/>
                <w:i/>
              </w:rPr>
              <w:t>UE sur le plan des énergies renouvelables et du changement climatique, une part de 20 % au moins des fonds alloués au titre du FEDD devrait être consacrée à des opérations de financement ou d</w:t>
            </w:r>
            <w:r>
              <w:rPr>
                <w:b/>
                <w:i/>
              </w:rPr>
              <w:t>’</w:t>
            </w:r>
            <w:r w:rsidRPr="0019144F">
              <w:rPr>
                <w:b/>
                <w:i/>
              </w:rPr>
              <w:t>investissement pertinentes pour ces secteurs,</w:t>
            </w:r>
          </w:p>
        </w:tc>
        <w:tc>
          <w:tcPr>
            <w:tcW w:w="4876" w:type="dxa"/>
            <w:hideMark/>
          </w:tcPr>
          <w:p w14:paraId="0AEC2E61" w14:textId="77777777" w:rsidR="00BF7ACA" w:rsidRPr="0019144F" w:rsidRDefault="00BF7ACA" w:rsidP="007924BE">
            <w:pPr>
              <w:pStyle w:val="Normal6"/>
              <w:rPr>
                <w:szCs w:val="24"/>
              </w:rPr>
            </w:pPr>
            <w:r w:rsidRPr="0019144F">
              <w:rPr>
                <w:b/>
                <w:i/>
              </w:rPr>
              <w:t>supprimé</w:t>
            </w:r>
          </w:p>
        </w:tc>
      </w:tr>
    </w:tbl>
    <w:p w14:paraId="4178125F" w14:textId="77777777" w:rsidR="00BF7ACA" w:rsidRPr="005A5903" w:rsidRDefault="00BF7ACA" w:rsidP="00BF7ACA">
      <w:pPr>
        <w:pStyle w:val="Olang"/>
        <w:rPr>
          <w:noProof w:val="0"/>
          <w:szCs w:val="24"/>
        </w:rPr>
      </w:pPr>
      <w:r w:rsidRPr="0019144F">
        <w:rPr>
          <w:noProof w:val="0"/>
        </w:rPr>
        <w:t xml:space="preserve">Or. </w:t>
      </w:r>
      <w:r w:rsidRPr="00004DC1">
        <w:rPr>
          <w:rStyle w:val="HideTWBExt"/>
          <w:noProof w:val="0"/>
        </w:rPr>
        <w:t>&lt;Original&gt;</w:t>
      </w:r>
      <w:r w:rsidRPr="00004DC1">
        <w:rPr>
          <w:rStyle w:val="HideTWBInt"/>
          <w:noProof w:val="0"/>
        </w:rPr>
        <w:t>{EN}</w:t>
      </w:r>
      <w:r w:rsidRPr="0019144F">
        <w:rPr>
          <w:noProof w:val="0"/>
        </w:rPr>
        <w:t>en</w:t>
      </w:r>
      <w:r w:rsidRPr="00004DC1">
        <w:rPr>
          <w:rStyle w:val="HideTWBExt"/>
          <w:noProof w:val="0"/>
        </w:rPr>
        <w:t>&lt;/Original&gt;</w:t>
      </w:r>
    </w:p>
    <w:p w14:paraId="36658C32" w14:textId="77777777" w:rsidR="00BF7ACA" w:rsidRPr="005A5903" w:rsidRDefault="00BF7ACA" w:rsidP="00BF7ACA">
      <w:pPr>
        <w:pStyle w:val="JustificationTitle"/>
        <w:rPr>
          <w:noProof w:val="0"/>
        </w:rPr>
      </w:pPr>
      <w:r>
        <w:rPr>
          <w:rStyle w:val="HideTWBExt"/>
          <w:i w:val="0"/>
          <w:noProof w:val="0"/>
        </w:rPr>
        <w:t>&lt;TitreJust&gt;</w:t>
      </w:r>
      <w:r w:rsidRPr="0019144F">
        <w:rPr>
          <w:noProof w:val="0"/>
        </w:rPr>
        <w:t>Justification</w:t>
      </w:r>
      <w:r>
        <w:rPr>
          <w:rStyle w:val="HideTWBExt"/>
          <w:i w:val="0"/>
          <w:noProof w:val="0"/>
        </w:rPr>
        <w:t>&lt;/TitreJust&gt;</w:t>
      </w:r>
    </w:p>
    <w:p w14:paraId="70C03127" w14:textId="77777777" w:rsidR="00BF7ACA" w:rsidRPr="005A5903" w:rsidRDefault="00BF7ACA" w:rsidP="00BF7ACA">
      <w:pPr>
        <w:pStyle w:val="Normal12Italic"/>
        <w:rPr>
          <w:noProof w:val="0"/>
        </w:rPr>
      </w:pPr>
      <w:r>
        <w:rPr>
          <w:noProof w:val="0"/>
        </w:rPr>
        <w:t>Voir notre amendement créant un nouveau considérant 4 bis.</w:t>
      </w:r>
    </w:p>
    <w:p w14:paraId="182AA0F4" w14:textId="77777777" w:rsidR="00BF7ACA" w:rsidRPr="00BF7ACA" w:rsidRDefault="00BF7ACA" w:rsidP="00BF7ACA">
      <w:r w:rsidRPr="00BF7ACA">
        <w:rPr>
          <w:rStyle w:val="HideTWBExt"/>
        </w:rPr>
        <w:t>&lt;/Amend&gt;</w:t>
      </w:r>
    </w:p>
    <w:p w14:paraId="59090D76"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173</w:t>
      </w:r>
      <w:r w:rsidRPr="00BF7ACA">
        <w:rPr>
          <w:rStyle w:val="HideTWBExt"/>
          <w:b w:val="0"/>
        </w:rPr>
        <w:t>&lt;/NumAm&gt;</w:t>
      </w:r>
    </w:p>
    <w:p w14:paraId="4B5641DB"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47294E2B" w14:textId="77777777" w:rsidR="00BF7ACA" w:rsidRPr="005A5903" w:rsidRDefault="00BF7ACA" w:rsidP="00BF7ACA">
      <w:r>
        <w:rPr>
          <w:rStyle w:val="HideTWBExt"/>
        </w:rPr>
        <w:t>&lt;/RepeatBlock-By&gt;</w:t>
      </w:r>
    </w:p>
    <w:p w14:paraId="16A898C5"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5CF98C8A" w14:textId="77777777" w:rsidR="00BF7ACA" w:rsidRPr="005A5903" w:rsidRDefault="00BF7ACA" w:rsidP="00BF7ACA">
      <w:pPr>
        <w:pStyle w:val="NormalBold"/>
      </w:pPr>
      <w:r>
        <w:rPr>
          <w:rStyle w:val="HideTWBExt"/>
          <w:b w:val="0"/>
        </w:rPr>
        <w:t>&lt;Article&gt;</w:t>
      </w:r>
      <w:r w:rsidRPr="0019144F">
        <w:t>Considérant 20</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234A3B63" w14:textId="77777777" w:rsidTr="007924BE">
        <w:trPr>
          <w:jc w:val="center"/>
        </w:trPr>
        <w:tc>
          <w:tcPr>
            <w:tcW w:w="9752" w:type="dxa"/>
            <w:gridSpan w:val="2"/>
          </w:tcPr>
          <w:p w14:paraId="6C917534" w14:textId="77777777" w:rsidR="00BF7ACA" w:rsidRPr="005A5903" w:rsidRDefault="00BF7ACA" w:rsidP="007924BE">
            <w:pPr>
              <w:keepNext/>
            </w:pPr>
          </w:p>
        </w:tc>
      </w:tr>
      <w:tr w:rsidR="00BF7ACA" w:rsidRPr="005A5903" w14:paraId="0A619B01" w14:textId="77777777" w:rsidTr="007924BE">
        <w:trPr>
          <w:jc w:val="center"/>
        </w:trPr>
        <w:tc>
          <w:tcPr>
            <w:tcW w:w="4876" w:type="dxa"/>
            <w:hideMark/>
          </w:tcPr>
          <w:p w14:paraId="71D5033A" w14:textId="77777777" w:rsidR="00BF7ACA" w:rsidRPr="0019144F" w:rsidRDefault="00BF7ACA" w:rsidP="007924BE">
            <w:pPr>
              <w:pStyle w:val="ColumnHeading"/>
              <w:keepNext/>
            </w:pPr>
            <w:r w:rsidRPr="0019144F">
              <w:t>Texte proposé par la Commission</w:t>
            </w:r>
          </w:p>
        </w:tc>
        <w:tc>
          <w:tcPr>
            <w:tcW w:w="4876" w:type="dxa"/>
            <w:hideMark/>
          </w:tcPr>
          <w:p w14:paraId="13E9C61A" w14:textId="77777777" w:rsidR="00BF7ACA" w:rsidRPr="0019144F" w:rsidRDefault="00BF7ACA" w:rsidP="007924BE">
            <w:pPr>
              <w:pStyle w:val="ColumnHeading"/>
              <w:keepNext/>
            </w:pPr>
            <w:r w:rsidRPr="0019144F">
              <w:t>Amendement</w:t>
            </w:r>
          </w:p>
        </w:tc>
      </w:tr>
      <w:tr w:rsidR="00BF7ACA" w:rsidRPr="005A5903" w14:paraId="73E5348C" w14:textId="77777777" w:rsidTr="007924BE">
        <w:trPr>
          <w:jc w:val="center"/>
        </w:trPr>
        <w:tc>
          <w:tcPr>
            <w:tcW w:w="4876" w:type="dxa"/>
            <w:hideMark/>
          </w:tcPr>
          <w:p w14:paraId="5D843ABF" w14:textId="77777777" w:rsidR="00BF7ACA" w:rsidRPr="0019144F" w:rsidRDefault="00BF7ACA" w:rsidP="007924BE">
            <w:pPr>
              <w:pStyle w:val="Normal6"/>
            </w:pPr>
            <w:r w:rsidRPr="0019144F">
              <w:t>(20)</w:t>
            </w:r>
            <w:r>
              <w:tab/>
            </w:r>
            <w:r w:rsidRPr="0019144F">
              <w:t>Afin de respecter les engagements politiques de l</w:t>
            </w:r>
            <w:r>
              <w:t>’</w:t>
            </w:r>
            <w:r w:rsidRPr="0019144F">
              <w:t>UE sur le plan des énergies renouvelables</w:t>
            </w:r>
            <w:r w:rsidRPr="0019144F">
              <w:rPr>
                <w:b/>
                <w:i/>
              </w:rPr>
              <w:t xml:space="preserve"> et</w:t>
            </w:r>
            <w:r w:rsidRPr="0019144F">
              <w:t xml:space="preserve"> du changement climatique, une part de </w:t>
            </w:r>
            <w:r w:rsidRPr="0019144F">
              <w:rPr>
                <w:b/>
                <w:i/>
              </w:rPr>
              <w:t>20</w:t>
            </w:r>
            <w:r w:rsidRPr="0019144F">
              <w:t> % au moins des fonds alloués au titre du FEDD devrait être consacrée à des opérations de financement ou d</w:t>
            </w:r>
            <w:r>
              <w:t>’</w:t>
            </w:r>
            <w:r w:rsidRPr="0019144F">
              <w:t>inve</w:t>
            </w:r>
            <w:r>
              <w:t>stissement pertinentes pour ces </w:t>
            </w:r>
            <w:r w:rsidRPr="0019144F">
              <w:t>secteurs,</w:t>
            </w:r>
          </w:p>
        </w:tc>
        <w:tc>
          <w:tcPr>
            <w:tcW w:w="4876" w:type="dxa"/>
            <w:hideMark/>
          </w:tcPr>
          <w:p w14:paraId="34CE92DF" w14:textId="77777777" w:rsidR="00BF7ACA" w:rsidRPr="0019144F" w:rsidRDefault="00BF7ACA" w:rsidP="007924BE">
            <w:pPr>
              <w:pStyle w:val="Normal6"/>
              <w:rPr>
                <w:szCs w:val="24"/>
              </w:rPr>
            </w:pPr>
            <w:r w:rsidRPr="0019144F">
              <w:t>(20)</w:t>
            </w:r>
            <w:r>
              <w:tab/>
            </w:r>
            <w:r w:rsidRPr="0019144F">
              <w:t>Afin de respecter les engagements politiques de l</w:t>
            </w:r>
            <w:r>
              <w:t>’</w:t>
            </w:r>
            <w:r w:rsidRPr="0019144F">
              <w:t>UE sur le plan des énergies renouvelables</w:t>
            </w:r>
            <w:r w:rsidRPr="0019144F">
              <w:rPr>
                <w:b/>
                <w:i/>
              </w:rPr>
              <w:t>, de l</w:t>
            </w:r>
            <w:r>
              <w:rPr>
                <w:b/>
                <w:i/>
              </w:rPr>
              <w:t>’</w:t>
            </w:r>
            <w:r w:rsidRPr="0019144F">
              <w:rPr>
                <w:b/>
                <w:i/>
              </w:rPr>
              <w:t>efficacité énergétique, de l</w:t>
            </w:r>
            <w:r>
              <w:rPr>
                <w:b/>
                <w:i/>
              </w:rPr>
              <w:t>’</w:t>
            </w:r>
            <w:r w:rsidRPr="0019144F">
              <w:rPr>
                <w:b/>
                <w:i/>
              </w:rPr>
              <w:t>atténuation</w:t>
            </w:r>
            <w:r w:rsidRPr="0019144F">
              <w:t xml:space="preserve"> du changement climatique</w:t>
            </w:r>
            <w:r w:rsidRPr="0019144F">
              <w:rPr>
                <w:b/>
                <w:i/>
              </w:rPr>
              <w:t xml:space="preserve"> et de l</w:t>
            </w:r>
            <w:r>
              <w:rPr>
                <w:b/>
                <w:i/>
              </w:rPr>
              <w:t>’</w:t>
            </w:r>
            <w:r w:rsidRPr="0019144F">
              <w:rPr>
                <w:b/>
                <w:i/>
              </w:rPr>
              <w:t>adaptation à celui-ci</w:t>
            </w:r>
            <w:r w:rsidRPr="0019144F">
              <w:t xml:space="preserve">, une part de </w:t>
            </w:r>
            <w:r w:rsidRPr="0019144F">
              <w:rPr>
                <w:b/>
                <w:i/>
              </w:rPr>
              <w:t>40</w:t>
            </w:r>
            <w:r w:rsidRPr="0019144F">
              <w:t> % au moins des fonds</w:t>
            </w:r>
            <w:r w:rsidRPr="0019144F">
              <w:rPr>
                <w:b/>
                <w:i/>
              </w:rPr>
              <w:t xml:space="preserve"> qui devraient être</w:t>
            </w:r>
            <w:r w:rsidRPr="0019144F">
              <w:t xml:space="preserve"> alloués au titre du FEDD devrait être consacrée à des opérations de financement ou d</w:t>
            </w:r>
            <w:r>
              <w:t>’</w:t>
            </w:r>
            <w:r w:rsidRPr="0019144F">
              <w:t>investissement pertinentes pour ces secteurs,</w:t>
            </w:r>
            <w:r w:rsidRPr="0019144F">
              <w:rPr>
                <w:b/>
                <w:i/>
              </w:rPr>
              <w:t xml:space="preserve"> ce qui contribuera à la mise en œuvre de l</w:t>
            </w:r>
            <w:r>
              <w:rPr>
                <w:b/>
                <w:i/>
              </w:rPr>
              <w:t>’</w:t>
            </w:r>
            <w:r w:rsidRPr="0019144F">
              <w:rPr>
                <w:b/>
                <w:i/>
              </w:rPr>
              <w:t>accord de Paris sur le changement climatique</w:t>
            </w:r>
            <w:r w:rsidRPr="0019144F">
              <w:t>.</w:t>
            </w:r>
            <w:r w:rsidRPr="0019144F">
              <w:rPr>
                <w:b/>
                <w:i/>
              </w:rPr>
              <w:t xml:space="preserve"> Lors d</w:t>
            </w:r>
            <w:r>
              <w:rPr>
                <w:b/>
                <w:i/>
              </w:rPr>
              <w:t>’</w:t>
            </w:r>
            <w:r w:rsidRPr="0019144F">
              <w:rPr>
                <w:b/>
                <w:i/>
              </w:rPr>
              <w:t>investissements réalisés au titre du FEDD, la Commission européenne devrait également accorder une place centrale au critère de viabilité environnementale dans tous les projets.</w:t>
            </w:r>
          </w:p>
        </w:tc>
      </w:tr>
    </w:tbl>
    <w:p w14:paraId="3B1DE043"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431387E" w14:textId="77777777" w:rsidR="00BF7ACA" w:rsidRPr="00BF7ACA" w:rsidRDefault="00BF7ACA" w:rsidP="00BF7ACA">
      <w:r w:rsidRPr="00BF7ACA">
        <w:rPr>
          <w:rStyle w:val="HideTWBExt"/>
        </w:rPr>
        <w:t>&lt;/Amend&gt;</w:t>
      </w:r>
    </w:p>
    <w:p w14:paraId="48416F7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174</w:t>
      </w:r>
      <w:r w:rsidRPr="00BF7ACA">
        <w:rPr>
          <w:rStyle w:val="HideTWBExt"/>
          <w:b w:val="0"/>
        </w:rPr>
        <w:t>&lt;/NumAm&gt;</w:t>
      </w:r>
    </w:p>
    <w:p w14:paraId="115E279D" w14:textId="77777777" w:rsidR="00BF7ACA" w:rsidRPr="00BF7ACA" w:rsidRDefault="00BF7ACA" w:rsidP="00BF7ACA">
      <w:pPr>
        <w:pStyle w:val="NormalBold"/>
      </w:pPr>
      <w:r w:rsidRPr="00BF7ACA">
        <w:rPr>
          <w:rStyle w:val="HideTWBExt"/>
          <w:b w:val="0"/>
        </w:rPr>
        <w:t>&lt;RepeatBlock-By&gt;&lt;Members&gt;</w:t>
      </w:r>
      <w:r w:rsidRPr="00BF7ACA">
        <w:t>Nicola Caputo</w:t>
      </w:r>
      <w:r w:rsidRPr="00BF7ACA">
        <w:rPr>
          <w:rStyle w:val="HideTWBExt"/>
          <w:b w:val="0"/>
        </w:rPr>
        <w:t>&lt;/Members&gt;</w:t>
      </w:r>
    </w:p>
    <w:p w14:paraId="64225D6B" w14:textId="77777777" w:rsidR="00BF7ACA" w:rsidRPr="005A5903" w:rsidRDefault="00BF7ACA" w:rsidP="00BF7ACA">
      <w:r>
        <w:rPr>
          <w:rStyle w:val="HideTWBExt"/>
        </w:rPr>
        <w:t>&lt;/RepeatBlock-By&gt;</w:t>
      </w:r>
    </w:p>
    <w:p w14:paraId="1566B23B"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1FD04B8A" w14:textId="77777777" w:rsidR="00BF7ACA" w:rsidRPr="005A5903" w:rsidRDefault="00BF7ACA" w:rsidP="00BF7ACA">
      <w:pPr>
        <w:pStyle w:val="NormalBold"/>
      </w:pPr>
      <w:r>
        <w:rPr>
          <w:rStyle w:val="HideTWBExt"/>
          <w:b w:val="0"/>
        </w:rPr>
        <w:t>&lt;Article&gt;</w:t>
      </w:r>
      <w:r w:rsidRPr="0019144F">
        <w:t>Considérant 20</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254607CC" w14:textId="77777777" w:rsidTr="007924BE">
        <w:trPr>
          <w:jc w:val="center"/>
        </w:trPr>
        <w:tc>
          <w:tcPr>
            <w:tcW w:w="9752" w:type="dxa"/>
            <w:gridSpan w:val="2"/>
          </w:tcPr>
          <w:p w14:paraId="14EEB943" w14:textId="77777777" w:rsidR="00BF7ACA" w:rsidRPr="005A5903" w:rsidRDefault="00BF7ACA" w:rsidP="007924BE">
            <w:pPr>
              <w:keepNext/>
            </w:pPr>
          </w:p>
        </w:tc>
      </w:tr>
      <w:tr w:rsidR="00BF7ACA" w:rsidRPr="005A5903" w14:paraId="3FF8FA75" w14:textId="77777777" w:rsidTr="007924BE">
        <w:trPr>
          <w:jc w:val="center"/>
        </w:trPr>
        <w:tc>
          <w:tcPr>
            <w:tcW w:w="4876" w:type="dxa"/>
            <w:hideMark/>
          </w:tcPr>
          <w:p w14:paraId="0AA5E964" w14:textId="77777777" w:rsidR="00BF7ACA" w:rsidRPr="0019144F" w:rsidRDefault="00BF7ACA" w:rsidP="007924BE">
            <w:pPr>
              <w:pStyle w:val="ColumnHeading"/>
              <w:keepNext/>
            </w:pPr>
            <w:r w:rsidRPr="0019144F">
              <w:t>Texte proposé par la Commission</w:t>
            </w:r>
          </w:p>
        </w:tc>
        <w:tc>
          <w:tcPr>
            <w:tcW w:w="4876" w:type="dxa"/>
            <w:hideMark/>
          </w:tcPr>
          <w:p w14:paraId="19F7515C" w14:textId="77777777" w:rsidR="00BF7ACA" w:rsidRPr="0019144F" w:rsidRDefault="00BF7ACA" w:rsidP="007924BE">
            <w:pPr>
              <w:pStyle w:val="ColumnHeading"/>
              <w:keepNext/>
            </w:pPr>
            <w:r w:rsidRPr="0019144F">
              <w:t>Amendement</w:t>
            </w:r>
          </w:p>
        </w:tc>
      </w:tr>
      <w:tr w:rsidR="00BF7ACA" w:rsidRPr="005A5903" w14:paraId="7638B9E7" w14:textId="77777777" w:rsidTr="007924BE">
        <w:trPr>
          <w:jc w:val="center"/>
        </w:trPr>
        <w:tc>
          <w:tcPr>
            <w:tcW w:w="4876" w:type="dxa"/>
            <w:hideMark/>
          </w:tcPr>
          <w:p w14:paraId="4DAD31A5" w14:textId="77777777" w:rsidR="00BF7ACA" w:rsidRPr="0019144F" w:rsidRDefault="00BF7ACA" w:rsidP="007924BE">
            <w:pPr>
              <w:pStyle w:val="Normal6"/>
            </w:pPr>
            <w:r w:rsidRPr="0019144F">
              <w:t>(20)</w:t>
            </w:r>
            <w:r>
              <w:tab/>
            </w:r>
            <w:r w:rsidRPr="0019144F">
              <w:t>Afin de respecter les engagements politiques de l</w:t>
            </w:r>
            <w:r>
              <w:t>’</w:t>
            </w:r>
            <w:r w:rsidRPr="0019144F">
              <w:t>UE sur le plan des énergies renouvelables et du changement climatique, une part de 20 % au moins des fonds alloués au titre du FEDD devrait être consacrée à des opérations de financement ou d</w:t>
            </w:r>
            <w:r>
              <w:t>’</w:t>
            </w:r>
            <w:r w:rsidRPr="0019144F">
              <w:t>inve</w:t>
            </w:r>
            <w:r>
              <w:t>stissement pertinentes pour ces </w:t>
            </w:r>
            <w:r w:rsidRPr="0019144F">
              <w:t>secteurs,</w:t>
            </w:r>
          </w:p>
        </w:tc>
        <w:tc>
          <w:tcPr>
            <w:tcW w:w="4876" w:type="dxa"/>
            <w:hideMark/>
          </w:tcPr>
          <w:p w14:paraId="08566A4D" w14:textId="77777777" w:rsidR="00BF7ACA" w:rsidRPr="0019144F" w:rsidRDefault="00BF7ACA" w:rsidP="007924BE">
            <w:pPr>
              <w:pStyle w:val="Normal6"/>
              <w:rPr>
                <w:szCs w:val="24"/>
              </w:rPr>
            </w:pPr>
            <w:r w:rsidRPr="0019144F">
              <w:t>(20)</w:t>
            </w:r>
            <w:r>
              <w:tab/>
            </w:r>
            <w:r w:rsidRPr="0019144F">
              <w:t>Afin de respecter les engagements politiques de l</w:t>
            </w:r>
            <w:r>
              <w:t>’</w:t>
            </w:r>
            <w:r w:rsidRPr="0019144F">
              <w:t>UE sur le plan des énergies renouvelables et du changement climatique, une part de 20 % au moins des fonds alloués au titre du FEDD devrait être consacrée à des opérations de financement ou d</w:t>
            </w:r>
            <w:r>
              <w:t>’</w:t>
            </w:r>
            <w:r w:rsidRPr="0019144F">
              <w:t>investissement pertinentes pour ces secteurs</w:t>
            </w:r>
            <w:r w:rsidRPr="0019144F">
              <w:rPr>
                <w:b/>
                <w:i/>
              </w:rPr>
              <w:t>; pour la même raison, les activités liées à l</w:t>
            </w:r>
            <w:r>
              <w:rPr>
                <w:b/>
                <w:i/>
              </w:rPr>
              <w:t>’</w:t>
            </w:r>
            <w:r w:rsidRPr="0019144F">
              <w:rPr>
                <w:b/>
                <w:i/>
              </w:rPr>
              <w:t>extraction de combustibles fossiles ou à des énergies non renouvelables ne devraient pas avoir accès à ces fonds</w:t>
            </w:r>
            <w:r w:rsidRPr="0019144F">
              <w:t>,</w:t>
            </w:r>
          </w:p>
        </w:tc>
      </w:tr>
    </w:tbl>
    <w:p w14:paraId="7940BA04"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32D2942" w14:textId="77777777" w:rsidR="00BF7ACA" w:rsidRPr="00BF7ACA" w:rsidRDefault="00BF7ACA" w:rsidP="00BF7ACA">
      <w:r w:rsidRPr="00BF7ACA">
        <w:rPr>
          <w:rStyle w:val="HideTWBExt"/>
        </w:rPr>
        <w:t>&lt;/Amend&gt;</w:t>
      </w:r>
    </w:p>
    <w:p w14:paraId="4DA2956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175</w:t>
      </w:r>
      <w:r w:rsidRPr="00BF7ACA">
        <w:rPr>
          <w:rStyle w:val="HideTWBExt"/>
          <w:b w:val="0"/>
        </w:rPr>
        <w:t>&lt;/NumAm&gt;</w:t>
      </w:r>
    </w:p>
    <w:p w14:paraId="714B0E92"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677AFC09" w14:textId="77777777" w:rsidR="00BF7ACA" w:rsidRPr="005A5903" w:rsidRDefault="00BF7ACA" w:rsidP="00BF7ACA">
      <w:r>
        <w:rPr>
          <w:rStyle w:val="HideTWBExt"/>
        </w:rPr>
        <w:t>&lt;/RepeatBlock-By&gt;</w:t>
      </w:r>
    </w:p>
    <w:p w14:paraId="7423CEFE"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1CC8CB6E" w14:textId="77777777" w:rsidR="00BF7ACA" w:rsidRPr="005A5903" w:rsidRDefault="00BF7ACA" w:rsidP="00BF7ACA">
      <w:pPr>
        <w:pStyle w:val="NormalBold"/>
      </w:pPr>
      <w:r>
        <w:rPr>
          <w:rStyle w:val="HideTWBExt"/>
          <w:b w:val="0"/>
        </w:rPr>
        <w:t>&lt;Article&gt;</w:t>
      </w:r>
      <w:r w:rsidRPr="0019144F">
        <w:t>Considérant 20</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177A01E1" w14:textId="77777777" w:rsidTr="007924BE">
        <w:trPr>
          <w:jc w:val="center"/>
        </w:trPr>
        <w:tc>
          <w:tcPr>
            <w:tcW w:w="9752" w:type="dxa"/>
            <w:gridSpan w:val="2"/>
          </w:tcPr>
          <w:p w14:paraId="5E30F6D4" w14:textId="77777777" w:rsidR="00BF7ACA" w:rsidRPr="005A5903" w:rsidRDefault="00BF7ACA" w:rsidP="007924BE">
            <w:pPr>
              <w:keepNext/>
            </w:pPr>
          </w:p>
        </w:tc>
      </w:tr>
      <w:tr w:rsidR="00BF7ACA" w:rsidRPr="005A5903" w14:paraId="22944177" w14:textId="77777777" w:rsidTr="007924BE">
        <w:trPr>
          <w:jc w:val="center"/>
        </w:trPr>
        <w:tc>
          <w:tcPr>
            <w:tcW w:w="4876" w:type="dxa"/>
            <w:hideMark/>
          </w:tcPr>
          <w:p w14:paraId="3EA6C691" w14:textId="77777777" w:rsidR="00BF7ACA" w:rsidRPr="0019144F" w:rsidRDefault="00BF7ACA" w:rsidP="007924BE">
            <w:pPr>
              <w:pStyle w:val="ColumnHeading"/>
              <w:keepNext/>
            </w:pPr>
            <w:r w:rsidRPr="0019144F">
              <w:t>Texte proposé par la Commission</w:t>
            </w:r>
          </w:p>
        </w:tc>
        <w:tc>
          <w:tcPr>
            <w:tcW w:w="4876" w:type="dxa"/>
            <w:hideMark/>
          </w:tcPr>
          <w:p w14:paraId="1F1C7A80" w14:textId="77777777" w:rsidR="00BF7ACA" w:rsidRPr="0019144F" w:rsidRDefault="00BF7ACA" w:rsidP="007924BE">
            <w:pPr>
              <w:pStyle w:val="ColumnHeading"/>
              <w:keepNext/>
            </w:pPr>
            <w:r w:rsidRPr="0019144F">
              <w:t>Amendement</w:t>
            </w:r>
          </w:p>
        </w:tc>
      </w:tr>
      <w:tr w:rsidR="00BF7ACA" w:rsidRPr="005A5903" w14:paraId="2C63F3FC" w14:textId="77777777" w:rsidTr="007924BE">
        <w:trPr>
          <w:jc w:val="center"/>
        </w:trPr>
        <w:tc>
          <w:tcPr>
            <w:tcW w:w="4876" w:type="dxa"/>
            <w:hideMark/>
          </w:tcPr>
          <w:p w14:paraId="2CA03837" w14:textId="77777777" w:rsidR="00BF7ACA" w:rsidRPr="0019144F" w:rsidRDefault="00BF7ACA" w:rsidP="007924BE">
            <w:pPr>
              <w:pStyle w:val="Normal6"/>
            </w:pPr>
            <w:r w:rsidRPr="0019144F">
              <w:t>(20)</w:t>
            </w:r>
            <w:r>
              <w:tab/>
            </w:r>
            <w:r w:rsidRPr="0019144F">
              <w:t>Afin de respecter les engagements politiques de l</w:t>
            </w:r>
            <w:r>
              <w:t>’</w:t>
            </w:r>
            <w:r w:rsidRPr="0019144F">
              <w:t xml:space="preserve">UE sur le plan des énergies renouvelables et du changement climatique, une part de </w:t>
            </w:r>
            <w:r w:rsidRPr="0019144F">
              <w:rPr>
                <w:b/>
                <w:i/>
              </w:rPr>
              <w:t>20</w:t>
            </w:r>
            <w:r w:rsidRPr="0019144F">
              <w:t> % au moins des fonds alloués au titre du FEDD devrait être consacrée à des opérations de financement ou d</w:t>
            </w:r>
            <w:r>
              <w:t>’</w:t>
            </w:r>
            <w:r w:rsidRPr="0019144F">
              <w:t>investissement</w:t>
            </w:r>
            <w:r>
              <w:t xml:space="preserve"> pertinentes pour ces </w:t>
            </w:r>
            <w:r w:rsidRPr="0019144F">
              <w:t>secteurs</w:t>
            </w:r>
            <w:r w:rsidRPr="0019144F">
              <w:rPr>
                <w:b/>
                <w:i/>
              </w:rPr>
              <w:t>,</w:t>
            </w:r>
          </w:p>
        </w:tc>
        <w:tc>
          <w:tcPr>
            <w:tcW w:w="4876" w:type="dxa"/>
            <w:hideMark/>
          </w:tcPr>
          <w:p w14:paraId="1999627C" w14:textId="77777777" w:rsidR="00BF7ACA" w:rsidRPr="0019144F" w:rsidRDefault="00BF7ACA" w:rsidP="007924BE">
            <w:pPr>
              <w:pStyle w:val="Normal6"/>
              <w:rPr>
                <w:szCs w:val="24"/>
              </w:rPr>
            </w:pPr>
            <w:r w:rsidRPr="0019144F">
              <w:t>(20)</w:t>
            </w:r>
            <w:r>
              <w:tab/>
            </w:r>
            <w:r w:rsidRPr="0019144F">
              <w:t>Afin de respecter les engagements politiques de l</w:t>
            </w:r>
            <w:r>
              <w:t>’</w:t>
            </w:r>
            <w:r w:rsidRPr="0019144F">
              <w:t>UE sur le plan des énergies renouvelables</w:t>
            </w:r>
            <w:r w:rsidRPr="0019144F">
              <w:rPr>
                <w:b/>
                <w:i/>
              </w:rPr>
              <w:t>, de l</w:t>
            </w:r>
            <w:r>
              <w:rPr>
                <w:b/>
                <w:i/>
              </w:rPr>
              <w:t>’</w:t>
            </w:r>
            <w:r w:rsidRPr="0019144F">
              <w:rPr>
                <w:b/>
                <w:i/>
              </w:rPr>
              <w:t>efficacité énergétique</w:t>
            </w:r>
            <w:r w:rsidRPr="0019144F">
              <w:t xml:space="preserve"> et du changement climatique, une part de </w:t>
            </w:r>
            <w:r w:rsidRPr="0019144F">
              <w:rPr>
                <w:b/>
                <w:i/>
              </w:rPr>
              <w:t>40</w:t>
            </w:r>
            <w:r w:rsidRPr="0019144F">
              <w:t> % au moins des fonds alloués au titre du FEDD devrait être consacrée à des opérations de financement ou d</w:t>
            </w:r>
            <w:r>
              <w:t>’</w:t>
            </w:r>
            <w:r w:rsidRPr="0019144F">
              <w:t>inve</w:t>
            </w:r>
            <w:r>
              <w:t>stissement pertinentes pour ces </w:t>
            </w:r>
            <w:r w:rsidRPr="0019144F">
              <w:t>secteurs</w:t>
            </w:r>
            <w:r w:rsidRPr="0019144F">
              <w:rPr>
                <w:b/>
                <w:i/>
              </w:rPr>
              <w:t>.</w:t>
            </w:r>
          </w:p>
        </w:tc>
      </w:tr>
    </w:tbl>
    <w:p w14:paraId="1193C23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C8EB69B" w14:textId="77777777" w:rsidR="00BF7ACA" w:rsidRPr="00BF7ACA" w:rsidRDefault="00BF7ACA" w:rsidP="00BF7ACA">
      <w:r w:rsidRPr="00BF7ACA">
        <w:rPr>
          <w:rStyle w:val="HideTWBExt"/>
        </w:rPr>
        <w:t>&lt;/Amend&gt;</w:t>
      </w:r>
    </w:p>
    <w:p w14:paraId="00819C87"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176</w:t>
      </w:r>
      <w:r w:rsidRPr="00BF7ACA">
        <w:rPr>
          <w:rStyle w:val="HideTWBExt"/>
          <w:b w:val="0"/>
        </w:rPr>
        <w:t>&lt;/NumAm&gt;</w:t>
      </w:r>
    </w:p>
    <w:p w14:paraId="075E8B76"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5118EBFC" w14:textId="77777777" w:rsidR="00BF7ACA" w:rsidRPr="005A5903" w:rsidRDefault="00BF7ACA" w:rsidP="00BF7ACA">
      <w:r>
        <w:rPr>
          <w:rStyle w:val="HideTWBExt"/>
        </w:rPr>
        <w:t>&lt;/RepeatBlock-By&gt;</w:t>
      </w:r>
    </w:p>
    <w:p w14:paraId="4421F7C7"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662B6B8D" w14:textId="77777777" w:rsidR="00BF7ACA" w:rsidRPr="005A5903" w:rsidRDefault="00BF7ACA" w:rsidP="00BF7ACA">
      <w:pPr>
        <w:pStyle w:val="NormalBold"/>
      </w:pPr>
      <w:r>
        <w:rPr>
          <w:rStyle w:val="HideTWBExt"/>
          <w:b w:val="0"/>
        </w:rPr>
        <w:t>&lt;Article&gt;</w:t>
      </w:r>
      <w:r w:rsidRPr="0019144F">
        <w:t>Considérant 20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1FA5081F" w14:textId="77777777" w:rsidTr="007924BE">
        <w:trPr>
          <w:jc w:val="center"/>
        </w:trPr>
        <w:tc>
          <w:tcPr>
            <w:tcW w:w="9752" w:type="dxa"/>
            <w:gridSpan w:val="2"/>
          </w:tcPr>
          <w:p w14:paraId="2AC9ED65" w14:textId="77777777" w:rsidR="00BF7ACA" w:rsidRPr="005A5903" w:rsidRDefault="00BF7ACA" w:rsidP="007924BE">
            <w:pPr>
              <w:keepNext/>
            </w:pPr>
          </w:p>
        </w:tc>
      </w:tr>
      <w:tr w:rsidR="00BF7ACA" w:rsidRPr="005A5903" w14:paraId="3DF4D2F6" w14:textId="77777777" w:rsidTr="007924BE">
        <w:trPr>
          <w:jc w:val="center"/>
        </w:trPr>
        <w:tc>
          <w:tcPr>
            <w:tcW w:w="4876" w:type="dxa"/>
            <w:hideMark/>
          </w:tcPr>
          <w:p w14:paraId="19354B3B" w14:textId="77777777" w:rsidR="00BF7ACA" w:rsidRPr="0019144F" w:rsidRDefault="00BF7ACA" w:rsidP="007924BE">
            <w:pPr>
              <w:pStyle w:val="ColumnHeading"/>
              <w:keepNext/>
            </w:pPr>
            <w:r w:rsidRPr="0019144F">
              <w:t>Texte proposé par la Commission</w:t>
            </w:r>
          </w:p>
        </w:tc>
        <w:tc>
          <w:tcPr>
            <w:tcW w:w="4876" w:type="dxa"/>
            <w:hideMark/>
          </w:tcPr>
          <w:p w14:paraId="2C93D23A" w14:textId="77777777" w:rsidR="00BF7ACA" w:rsidRPr="0019144F" w:rsidRDefault="00BF7ACA" w:rsidP="007924BE">
            <w:pPr>
              <w:pStyle w:val="ColumnHeading"/>
              <w:keepNext/>
            </w:pPr>
            <w:r w:rsidRPr="0019144F">
              <w:t>Amendement</w:t>
            </w:r>
          </w:p>
        </w:tc>
      </w:tr>
      <w:tr w:rsidR="00BF7ACA" w:rsidRPr="005A5903" w14:paraId="649646F4" w14:textId="77777777" w:rsidTr="007924BE">
        <w:trPr>
          <w:jc w:val="center"/>
        </w:trPr>
        <w:tc>
          <w:tcPr>
            <w:tcW w:w="4876" w:type="dxa"/>
          </w:tcPr>
          <w:p w14:paraId="744E03AD" w14:textId="77777777" w:rsidR="00BF7ACA" w:rsidRPr="0019144F" w:rsidRDefault="00BF7ACA" w:rsidP="007924BE">
            <w:pPr>
              <w:pStyle w:val="Normal6"/>
            </w:pPr>
          </w:p>
        </w:tc>
        <w:tc>
          <w:tcPr>
            <w:tcW w:w="4876" w:type="dxa"/>
            <w:hideMark/>
          </w:tcPr>
          <w:p w14:paraId="6FEFFBA8" w14:textId="77777777" w:rsidR="00BF7ACA" w:rsidRPr="0019144F" w:rsidRDefault="00BF7ACA" w:rsidP="007924BE">
            <w:pPr>
              <w:pStyle w:val="Normal6"/>
              <w:rPr>
                <w:szCs w:val="24"/>
              </w:rPr>
            </w:pPr>
            <w:r w:rsidRPr="0019144F">
              <w:rPr>
                <w:b/>
                <w:i/>
              </w:rPr>
              <w:t>(20 bis)</w:t>
            </w:r>
            <w:r>
              <w:tab/>
            </w:r>
            <w:r w:rsidRPr="0019144F">
              <w:rPr>
                <w:b/>
                <w:i/>
              </w:rPr>
              <w:t>Afin de contribuer à la mise en œuvre de l</w:t>
            </w:r>
            <w:r>
              <w:rPr>
                <w:b/>
                <w:i/>
              </w:rPr>
              <w:t>’</w:t>
            </w:r>
            <w:r w:rsidRPr="0019144F">
              <w:rPr>
                <w:b/>
                <w:i/>
              </w:rPr>
              <w:t>accord de Paris sur le changement climatique, tous les projets financés par le FEDD devraient remplir l</w:t>
            </w:r>
            <w:r>
              <w:rPr>
                <w:b/>
                <w:i/>
              </w:rPr>
              <w:t>’</w:t>
            </w:r>
            <w:r w:rsidRPr="0019144F">
              <w:rPr>
                <w:b/>
                <w:i/>
              </w:rPr>
              <w:t>objectif affiché dudit accord, qui consiste à ce que les flux financiers correspondent à un développement générant peu d</w:t>
            </w:r>
            <w:r>
              <w:rPr>
                <w:b/>
                <w:i/>
              </w:rPr>
              <w:t>’</w:t>
            </w:r>
            <w:r w:rsidRPr="0019144F">
              <w:rPr>
                <w:b/>
                <w:i/>
              </w:rPr>
              <w:t>émissions de gaz à effet de serre et résilient face au changement climatique, et devraient dès lors promouvoir la protection du climat et la résilience au changement climatique, tout en respectant les droits fonciers des communautés locales.</w:t>
            </w:r>
          </w:p>
        </w:tc>
      </w:tr>
    </w:tbl>
    <w:p w14:paraId="742CE04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8A4AAE7" w14:textId="77777777" w:rsidR="00BF7ACA" w:rsidRPr="00BF7ACA" w:rsidRDefault="00BF7ACA" w:rsidP="00BF7ACA">
      <w:r w:rsidRPr="00BF7ACA">
        <w:rPr>
          <w:rStyle w:val="HideTWBExt"/>
        </w:rPr>
        <w:t>&lt;/Amend&gt;</w:t>
      </w:r>
    </w:p>
    <w:p w14:paraId="132D73F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177</w:t>
      </w:r>
      <w:r w:rsidRPr="00BF7ACA">
        <w:rPr>
          <w:rStyle w:val="HideTWBExt"/>
          <w:b w:val="0"/>
        </w:rPr>
        <w:t>&lt;/NumAm&gt;</w:t>
      </w:r>
    </w:p>
    <w:p w14:paraId="51C57B2E" w14:textId="77777777"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14:paraId="20136802" w14:textId="77777777" w:rsidR="00BF7ACA" w:rsidRPr="00E502E5" w:rsidRDefault="00BF7ACA" w:rsidP="00BF7ACA">
      <w:r>
        <w:rPr>
          <w:rStyle w:val="HideTWBExt"/>
        </w:rPr>
        <w:t>&lt;/RepeatBlock-By&gt;</w:t>
      </w:r>
    </w:p>
    <w:p w14:paraId="2389D577" w14:textId="77777777"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14:paraId="79CF0DAB" w14:textId="77777777" w:rsidR="00BF7ACA" w:rsidRPr="00E502E5" w:rsidRDefault="00BF7ACA" w:rsidP="00BF7ACA">
      <w:pPr>
        <w:pStyle w:val="NormalBold"/>
      </w:pPr>
      <w:r>
        <w:rPr>
          <w:rStyle w:val="HideTWBExt"/>
          <w:b w:val="0"/>
        </w:rPr>
        <w:t>&lt;Article&gt;</w:t>
      </w:r>
      <w:r w:rsidRPr="002E43F3">
        <w:t>Considérant 20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66E638A7" w14:textId="77777777" w:rsidTr="007924BE">
        <w:trPr>
          <w:jc w:val="center"/>
        </w:trPr>
        <w:tc>
          <w:tcPr>
            <w:tcW w:w="9752" w:type="dxa"/>
            <w:gridSpan w:val="2"/>
          </w:tcPr>
          <w:p w14:paraId="174C585A" w14:textId="77777777" w:rsidR="00BF7ACA" w:rsidRPr="00E502E5" w:rsidRDefault="00BF7ACA" w:rsidP="007924BE">
            <w:pPr>
              <w:keepNext/>
            </w:pPr>
          </w:p>
        </w:tc>
      </w:tr>
      <w:tr w:rsidR="00BF7ACA" w:rsidRPr="00E502E5" w14:paraId="29E75112" w14:textId="77777777" w:rsidTr="007924BE">
        <w:trPr>
          <w:jc w:val="center"/>
        </w:trPr>
        <w:tc>
          <w:tcPr>
            <w:tcW w:w="4876" w:type="dxa"/>
            <w:hideMark/>
          </w:tcPr>
          <w:p w14:paraId="29185535" w14:textId="77777777" w:rsidR="00BF7ACA" w:rsidRPr="002E43F3" w:rsidRDefault="00BF7ACA" w:rsidP="007924BE">
            <w:pPr>
              <w:pStyle w:val="ColumnHeading"/>
              <w:keepNext/>
            </w:pPr>
            <w:r w:rsidRPr="002E43F3">
              <w:t>Texte proposé par la Commission</w:t>
            </w:r>
          </w:p>
        </w:tc>
        <w:tc>
          <w:tcPr>
            <w:tcW w:w="4876" w:type="dxa"/>
            <w:hideMark/>
          </w:tcPr>
          <w:p w14:paraId="2589935E" w14:textId="77777777" w:rsidR="00BF7ACA" w:rsidRPr="002E43F3" w:rsidRDefault="00BF7ACA" w:rsidP="007924BE">
            <w:pPr>
              <w:pStyle w:val="ColumnHeading"/>
              <w:keepNext/>
            </w:pPr>
            <w:r w:rsidRPr="002E43F3">
              <w:t>Amendement</w:t>
            </w:r>
          </w:p>
        </w:tc>
      </w:tr>
      <w:tr w:rsidR="00BF7ACA" w:rsidRPr="00E502E5" w14:paraId="6DA1D685" w14:textId="77777777" w:rsidTr="007924BE">
        <w:trPr>
          <w:jc w:val="center"/>
        </w:trPr>
        <w:tc>
          <w:tcPr>
            <w:tcW w:w="4876" w:type="dxa"/>
          </w:tcPr>
          <w:p w14:paraId="2A1DE3CD" w14:textId="77777777" w:rsidR="00BF7ACA" w:rsidRPr="002E43F3" w:rsidRDefault="00BF7ACA" w:rsidP="007924BE">
            <w:pPr>
              <w:pStyle w:val="Normal6"/>
            </w:pPr>
          </w:p>
        </w:tc>
        <w:tc>
          <w:tcPr>
            <w:tcW w:w="4876" w:type="dxa"/>
            <w:hideMark/>
          </w:tcPr>
          <w:p w14:paraId="57B8F528" w14:textId="77777777" w:rsidR="00BF7ACA" w:rsidRPr="002E43F3" w:rsidRDefault="00BF7ACA" w:rsidP="007924BE">
            <w:pPr>
              <w:pStyle w:val="Normal6"/>
              <w:rPr>
                <w:szCs w:val="24"/>
              </w:rPr>
            </w:pPr>
            <w:r w:rsidRPr="002E43F3">
              <w:rPr>
                <w:b/>
                <w:i/>
              </w:rPr>
              <w:t>(20 bis)</w:t>
            </w:r>
            <w:r>
              <w:tab/>
            </w:r>
            <w:r w:rsidRPr="002E43F3">
              <w:rPr>
                <w:b/>
                <w:i/>
              </w:rPr>
              <w:t>Le Fonds de garantie FEDD devrait utiliser une méthode correcte de calcul du coefficient multiplicateur, de manière à obtenir un bon indicateur de performance (pour démontrer la mobilisation effective de capitaux et éviter ce qui s</w:t>
            </w:r>
            <w:r>
              <w:rPr>
                <w:b/>
                <w:i/>
              </w:rPr>
              <w:t>’</w:t>
            </w:r>
            <w:r w:rsidRPr="002E43F3">
              <w:rPr>
                <w:b/>
                <w:i/>
              </w:rPr>
              <w:t>est passé avec l</w:t>
            </w:r>
            <w:r>
              <w:rPr>
                <w:b/>
                <w:i/>
              </w:rPr>
              <w:t>’</w:t>
            </w:r>
            <w:r w:rsidRPr="002E43F3">
              <w:rPr>
                <w:b/>
                <w:i/>
              </w:rPr>
              <w:t>EFSI, dans le cas duquel l</w:t>
            </w:r>
            <w:r>
              <w:rPr>
                <w:b/>
                <w:i/>
              </w:rPr>
              <w:t>’</w:t>
            </w:r>
            <w:r w:rsidRPr="002E43F3">
              <w:rPr>
                <w:b/>
                <w:i/>
              </w:rPr>
              <w:t>effet multiplicateur initialement prévu s</w:t>
            </w:r>
            <w:r>
              <w:rPr>
                <w:b/>
                <w:i/>
              </w:rPr>
              <w:t>’</w:t>
            </w:r>
            <w:r w:rsidRPr="002E43F3">
              <w:rPr>
                <w:b/>
                <w:i/>
              </w:rPr>
              <w:t>est avéré exagéré, comme indiqué dans l</w:t>
            </w:r>
            <w:r>
              <w:rPr>
                <w:b/>
                <w:i/>
              </w:rPr>
              <w:t>’</w:t>
            </w:r>
            <w:r w:rsidRPr="002E43F3">
              <w:rPr>
                <w:b/>
                <w:i/>
              </w:rPr>
              <w:t>avis de la Cour des comptes).</w:t>
            </w:r>
          </w:p>
        </w:tc>
      </w:tr>
    </w:tbl>
    <w:p w14:paraId="74AFA818"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{IT}</w:t>
      </w:r>
      <w:r w:rsidRPr="00BF7ACA">
        <w:rPr>
          <w:noProof w:val="0"/>
        </w:rPr>
        <w:t>it</w:t>
      </w:r>
      <w:r w:rsidRPr="00BF7ACA">
        <w:rPr>
          <w:rStyle w:val="HideTWBExt"/>
          <w:noProof w:val="0"/>
        </w:rPr>
        <w:t>&lt;/Original&gt;</w:t>
      </w:r>
    </w:p>
    <w:p w14:paraId="11D0A39F" w14:textId="77777777" w:rsidR="00BF7ACA" w:rsidRPr="00BF7ACA" w:rsidRDefault="00BF7ACA" w:rsidP="00BF7ACA">
      <w:r w:rsidRPr="00BF7ACA">
        <w:rPr>
          <w:rStyle w:val="HideTWBExt"/>
        </w:rPr>
        <w:t>&lt;/Amend&gt;</w:t>
      </w:r>
    </w:p>
    <w:p w14:paraId="0C3F25A7"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178</w:t>
      </w:r>
      <w:r w:rsidRPr="00BF7ACA">
        <w:rPr>
          <w:rStyle w:val="HideTWBExt"/>
          <w:b w:val="0"/>
        </w:rPr>
        <w:t>&lt;/NumAm&gt;</w:t>
      </w:r>
    </w:p>
    <w:p w14:paraId="6D942D64"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689E383B" w14:textId="77777777" w:rsidR="00BF7ACA" w:rsidRPr="005A5903" w:rsidRDefault="00BF7ACA" w:rsidP="00BF7ACA">
      <w:r>
        <w:rPr>
          <w:rStyle w:val="HideTWBExt"/>
        </w:rPr>
        <w:t>&lt;/RepeatBlock-By&gt;</w:t>
      </w:r>
    </w:p>
    <w:p w14:paraId="18E026A6"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6A376167" w14:textId="77777777" w:rsidR="00BF7ACA" w:rsidRPr="005A5903" w:rsidRDefault="00BF7ACA" w:rsidP="00BF7ACA">
      <w:pPr>
        <w:pStyle w:val="NormalBold"/>
      </w:pPr>
      <w:r>
        <w:rPr>
          <w:rStyle w:val="HideTWBExt"/>
          <w:b w:val="0"/>
        </w:rPr>
        <w:t>&lt;Article&gt;</w:t>
      </w:r>
      <w:r w:rsidRPr="0019144F">
        <w:t>Considérant 20 ter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5358E973" w14:textId="77777777" w:rsidTr="007924BE">
        <w:trPr>
          <w:jc w:val="center"/>
        </w:trPr>
        <w:tc>
          <w:tcPr>
            <w:tcW w:w="9752" w:type="dxa"/>
            <w:gridSpan w:val="2"/>
          </w:tcPr>
          <w:p w14:paraId="69A0A7F9" w14:textId="77777777" w:rsidR="00BF7ACA" w:rsidRPr="005A5903" w:rsidRDefault="00BF7ACA" w:rsidP="007924BE">
            <w:pPr>
              <w:keepNext/>
            </w:pPr>
          </w:p>
        </w:tc>
      </w:tr>
      <w:tr w:rsidR="00BF7ACA" w:rsidRPr="005A5903" w14:paraId="32610CA1" w14:textId="77777777" w:rsidTr="007924BE">
        <w:trPr>
          <w:jc w:val="center"/>
        </w:trPr>
        <w:tc>
          <w:tcPr>
            <w:tcW w:w="4876" w:type="dxa"/>
            <w:hideMark/>
          </w:tcPr>
          <w:p w14:paraId="1500D37F" w14:textId="77777777" w:rsidR="00BF7ACA" w:rsidRPr="0019144F" w:rsidRDefault="00BF7ACA" w:rsidP="007924BE">
            <w:pPr>
              <w:pStyle w:val="ColumnHeading"/>
              <w:keepNext/>
            </w:pPr>
            <w:r w:rsidRPr="0019144F">
              <w:t>Texte proposé par la Commission</w:t>
            </w:r>
          </w:p>
        </w:tc>
        <w:tc>
          <w:tcPr>
            <w:tcW w:w="4876" w:type="dxa"/>
            <w:hideMark/>
          </w:tcPr>
          <w:p w14:paraId="5BBE6622" w14:textId="77777777" w:rsidR="00BF7ACA" w:rsidRPr="0019144F" w:rsidRDefault="00BF7ACA" w:rsidP="007924BE">
            <w:pPr>
              <w:pStyle w:val="ColumnHeading"/>
              <w:keepNext/>
            </w:pPr>
            <w:r w:rsidRPr="0019144F">
              <w:t>Amendement</w:t>
            </w:r>
          </w:p>
        </w:tc>
      </w:tr>
      <w:tr w:rsidR="00BF7ACA" w:rsidRPr="005A5903" w14:paraId="32178638" w14:textId="77777777" w:rsidTr="007924BE">
        <w:trPr>
          <w:jc w:val="center"/>
        </w:trPr>
        <w:tc>
          <w:tcPr>
            <w:tcW w:w="4876" w:type="dxa"/>
          </w:tcPr>
          <w:p w14:paraId="502E5401" w14:textId="77777777" w:rsidR="00BF7ACA" w:rsidRPr="0019144F" w:rsidRDefault="00BF7ACA" w:rsidP="007924BE">
            <w:pPr>
              <w:pStyle w:val="Normal6"/>
            </w:pPr>
          </w:p>
        </w:tc>
        <w:tc>
          <w:tcPr>
            <w:tcW w:w="4876" w:type="dxa"/>
            <w:hideMark/>
          </w:tcPr>
          <w:p w14:paraId="1C598A33" w14:textId="77777777" w:rsidR="00BF7ACA" w:rsidRPr="0019144F" w:rsidRDefault="00BF7ACA" w:rsidP="007924BE">
            <w:pPr>
              <w:pStyle w:val="Normal6"/>
              <w:rPr>
                <w:szCs w:val="24"/>
              </w:rPr>
            </w:pPr>
            <w:r w:rsidRPr="0019144F">
              <w:rPr>
                <w:b/>
                <w:i/>
              </w:rPr>
              <w:t>(20 ter)</w:t>
            </w:r>
            <w:r>
              <w:tab/>
            </w:r>
            <w:r w:rsidRPr="0019144F">
              <w:rPr>
                <w:b/>
                <w:i/>
              </w:rPr>
              <w:t>Les fonds envoyés par les travailleurs émigrés vers les pays en développement constituent un flux bien plus important que les flux d</w:t>
            </w:r>
            <w:r>
              <w:rPr>
                <w:b/>
                <w:i/>
              </w:rPr>
              <w:t>’</w:t>
            </w:r>
            <w:r w:rsidRPr="0019144F">
              <w:rPr>
                <w:b/>
                <w:i/>
              </w:rPr>
              <w:t>aide publique au développement. Les projets ou les instruments facilitant l</w:t>
            </w:r>
            <w:r>
              <w:rPr>
                <w:b/>
                <w:i/>
              </w:rPr>
              <w:t>’</w:t>
            </w:r>
            <w:r w:rsidRPr="0019144F">
              <w:rPr>
                <w:b/>
                <w:i/>
              </w:rPr>
              <w:t>envoi de ces fonds et qui en baissent le coût devraient par conséquent pouvoir bénéficier d</w:t>
            </w:r>
            <w:r>
              <w:rPr>
                <w:b/>
                <w:i/>
              </w:rPr>
              <w:t>’</w:t>
            </w:r>
            <w:r w:rsidRPr="0019144F">
              <w:rPr>
                <w:b/>
                <w:i/>
              </w:rPr>
              <w:t>un financement au titre du FEDD.</w:t>
            </w:r>
          </w:p>
        </w:tc>
      </w:tr>
    </w:tbl>
    <w:p w14:paraId="4B84D4F4"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1EA80D6" w14:textId="77777777" w:rsidR="00BF7ACA" w:rsidRPr="00BF7ACA" w:rsidRDefault="00BF7ACA" w:rsidP="00BF7ACA">
      <w:r w:rsidRPr="00BF7ACA">
        <w:rPr>
          <w:rStyle w:val="HideTWBExt"/>
        </w:rPr>
        <w:t>&lt;/Amend&gt;</w:t>
      </w:r>
    </w:p>
    <w:p w14:paraId="308EEB65"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179</w:t>
      </w:r>
      <w:r w:rsidRPr="00BF7ACA">
        <w:rPr>
          <w:rStyle w:val="HideTWBExt"/>
          <w:b w:val="0"/>
        </w:rPr>
        <w:t>&lt;/NumAm&gt;</w:t>
      </w:r>
    </w:p>
    <w:p w14:paraId="75E94D11" w14:textId="77777777"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Ilhan Kyuchyuk, Nedzhmi Ali, Hilde Vautmans, Jozo Radoš, Marielle de Sarnez, Paavo Väyrynen</w:t>
      </w:r>
      <w:r w:rsidRPr="00BF7ACA">
        <w:rPr>
          <w:rStyle w:val="HideTWBExt"/>
          <w:b w:val="0"/>
        </w:rPr>
        <w:t>&lt;/Members&gt;</w:t>
      </w:r>
    </w:p>
    <w:p w14:paraId="123E7B0B" w14:textId="77777777" w:rsidR="00BF7ACA" w:rsidRPr="005A5903" w:rsidRDefault="00BF7ACA" w:rsidP="00BF7ACA">
      <w:r>
        <w:rPr>
          <w:rStyle w:val="HideTWBExt"/>
        </w:rPr>
        <w:t>&lt;/RepeatBlock-By&gt;</w:t>
      </w:r>
    </w:p>
    <w:p w14:paraId="0202FDD6"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47D0ADFE" w14:textId="77777777" w:rsidR="00BF7ACA" w:rsidRPr="005A5903" w:rsidRDefault="00BF7ACA" w:rsidP="00BF7ACA">
      <w:pPr>
        <w:pStyle w:val="NormalBold"/>
      </w:pPr>
      <w:r>
        <w:rPr>
          <w:rStyle w:val="HideTWBExt"/>
          <w:b w:val="0"/>
        </w:rPr>
        <w:t>&lt;Article&gt;</w:t>
      </w:r>
      <w:r w:rsidRPr="0019144F">
        <w:t>Article 2 – point 5</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1241882D" w14:textId="77777777" w:rsidTr="007924BE">
        <w:trPr>
          <w:jc w:val="center"/>
        </w:trPr>
        <w:tc>
          <w:tcPr>
            <w:tcW w:w="9752" w:type="dxa"/>
            <w:gridSpan w:val="2"/>
          </w:tcPr>
          <w:p w14:paraId="2BAFCC68" w14:textId="77777777" w:rsidR="00BF7ACA" w:rsidRPr="005A5903" w:rsidRDefault="00BF7ACA" w:rsidP="007924BE">
            <w:pPr>
              <w:keepNext/>
            </w:pPr>
          </w:p>
        </w:tc>
      </w:tr>
      <w:tr w:rsidR="00BF7ACA" w:rsidRPr="005A5903" w14:paraId="56DFC474" w14:textId="77777777" w:rsidTr="007924BE">
        <w:trPr>
          <w:jc w:val="center"/>
        </w:trPr>
        <w:tc>
          <w:tcPr>
            <w:tcW w:w="4876" w:type="dxa"/>
            <w:hideMark/>
          </w:tcPr>
          <w:p w14:paraId="7711EA61" w14:textId="77777777" w:rsidR="00BF7ACA" w:rsidRPr="0019144F" w:rsidRDefault="00BF7ACA" w:rsidP="007924BE">
            <w:pPr>
              <w:pStyle w:val="ColumnHeading"/>
              <w:keepNext/>
            </w:pPr>
            <w:r w:rsidRPr="0019144F">
              <w:t>Texte proposé par la Commission</w:t>
            </w:r>
          </w:p>
        </w:tc>
        <w:tc>
          <w:tcPr>
            <w:tcW w:w="4876" w:type="dxa"/>
            <w:hideMark/>
          </w:tcPr>
          <w:p w14:paraId="055988BF" w14:textId="77777777" w:rsidR="00BF7ACA" w:rsidRPr="0019144F" w:rsidRDefault="00BF7ACA" w:rsidP="007924BE">
            <w:pPr>
              <w:pStyle w:val="ColumnHeading"/>
              <w:keepNext/>
            </w:pPr>
            <w:r w:rsidRPr="0019144F">
              <w:t>Amendement</w:t>
            </w:r>
          </w:p>
        </w:tc>
      </w:tr>
      <w:tr w:rsidR="00BF7ACA" w:rsidRPr="005A5903" w14:paraId="58D7A3DF" w14:textId="77777777" w:rsidTr="007924BE">
        <w:trPr>
          <w:jc w:val="center"/>
        </w:trPr>
        <w:tc>
          <w:tcPr>
            <w:tcW w:w="4876" w:type="dxa"/>
            <w:hideMark/>
          </w:tcPr>
          <w:p w14:paraId="61807167" w14:textId="77777777" w:rsidR="00BF7ACA" w:rsidRPr="0019144F" w:rsidRDefault="00BF7ACA" w:rsidP="007924BE">
            <w:pPr>
              <w:pStyle w:val="Normal6"/>
            </w:pPr>
            <w:r w:rsidRPr="0019144F">
              <w:t>5)</w:t>
            </w:r>
            <w:r>
              <w:tab/>
            </w:r>
            <w:r w:rsidRPr="00627C55">
              <w:t>«additionnalité»:</w:t>
            </w:r>
            <w:r w:rsidRPr="0019144F">
              <w:t xml:space="preserve"> </w:t>
            </w:r>
            <w:r w:rsidRPr="0019144F">
              <w:rPr>
                <w:b/>
                <w:i/>
              </w:rPr>
              <w:t>le principe</w:t>
            </w:r>
            <w:r w:rsidRPr="0019144F">
              <w:t xml:space="preserve"> en vertu </w:t>
            </w:r>
            <w:r w:rsidRPr="0019144F">
              <w:rPr>
                <w:b/>
                <w:i/>
              </w:rPr>
              <w:t>duquel</w:t>
            </w:r>
            <w:r w:rsidRPr="0019144F">
              <w:t xml:space="preserve"> le soutien au titre de la garantie FEDD ne vise pas à remplacer le soutien d</w:t>
            </w:r>
            <w:r>
              <w:t>’</w:t>
            </w:r>
            <w:r w:rsidRPr="0019144F">
              <w:t>un État membre, un financement privé ou une autre intervention financière de l</w:t>
            </w:r>
            <w:r>
              <w:t>’</w:t>
            </w:r>
            <w:r w:rsidRPr="0019144F">
              <w:t>Union, et vise à remédier aux défaillances du marché et à éviter une éviction d</w:t>
            </w:r>
            <w:r>
              <w:t>’</w:t>
            </w:r>
            <w:r w:rsidRPr="0019144F">
              <w:t>autres investissements publics ou privés.</w:t>
            </w:r>
          </w:p>
        </w:tc>
        <w:tc>
          <w:tcPr>
            <w:tcW w:w="4876" w:type="dxa"/>
            <w:hideMark/>
          </w:tcPr>
          <w:p w14:paraId="178B5F67" w14:textId="77777777" w:rsidR="00BF7ACA" w:rsidRPr="0019144F" w:rsidRDefault="00BF7ACA" w:rsidP="007924BE">
            <w:pPr>
              <w:pStyle w:val="Normal6"/>
              <w:rPr>
                <w:szCs w:val="24"/>
              </w:rPr>
            </w:pPr>
            <w:r w:rsidRPr="0019144F">
              <w:t>5)</w:t>
            </w:r>
            <w:r>
              <w:tab/>
            </w:r>
            <w:r w:rsidRPr="00627C55">
              <w:t>«additionnalité»:</w:t>
            </w:r>
            <w:r w:rsidRPr="0019144F">
              <w:t xml:space="preserve"> </w:t>
            </w:r>
            <w:r w:rsidRPr="0019144F">
              <w:rPr>
                <w:b/>
                <w:i/>
              </w:rPr>
              <w:t>la démarche opérationnelle fondée sur des données factuelles</w:t>
            </w:r>
            <w:r w:rsidRPr="0019144F">
              <w:t xml:space="preserve"> en vertu </w:t>
            </w:r>
            <w:r w:rsidRPr="0019144F">
              <w:rPr>
                <w:b/>
                <w:i/>
              </w:rPr>
              <w:t>de laquelle</w:t>
            </w:r>
            <w:r w:rsidRPr="0019144F">
              <w:t xml:space="preserve"> le soutien au titre de la garantie FEDD </w:t>
            </w:r>
            <w:r w:rsidRPr="0019144F">
              <w:rPr>
                <w:b/>
                <w:i/>
              </w:rPr>
              <w:t>contribue au développement durable en parvenant à de meilleurs résultats que ceux qu</w:t>
            </w:r>
            <w:r>
              <w:rPr>
                <w:b/>
                <w:i/>
              </w:rPr>
              <w:t>’</w:t>
            </w:r>
            <w:r w:rsidRPr="0019144F">
              <w:rPr>
                <w:b/>
                <w:i/>
              </w:rPr>
              <w:t>il aurait été possible d</w:t>
            </w:r>
            <w:r>
              <w:rPr>
                <w:b/>
                <w:i/>
              </w:rPr>
              <w:t>’</w:t>
            </w:r>
            <w:r w:rsidRPr="0019144F">
              <w:rPr>
                <w:b/>
                <w:i/>
              </w:rPr>
              <w:t>obtenir en l</w:t>
            </w:r>
            <w:r>
              <w:rPr>
                <w:b/>
                <w:i/>
              </w:rPr>
              <w:t>’</w:t>
            </w:r>
            <w:r w:rsidRPr="0019144F">
              <w:rPr>
                <w:b/>
                <w:i/>
              </w:rPr>
              <w:t>absence d</w:t>
            </w:r>
            <w:r>
              <w:rPr>
                <w:b/>
                <w:i/>
              </w:rPr>
              <w:t>’</w:t>
            </w:r>
            <w:r w:rsidRPr="0019144F">
              <w:rPr>
                <w:b/>
                <w:i/>
              </w:rPr>
              <w:t xml:space="preserve">un tel soutien. Elle </w:t>
            </w:r>
            <w:r w:rsidRPr="0019144F">
              <w:t>ne vise pas à remplacer le soutien d</w:t>
            </w:r>
            <w:r>
              <w:t>’</w:t>
            </w:r>
            <w:r w:rsidRPr="0019144F">
              <w:t>un État membre, un financement privé ou une autre intervention financière de l</w:t>
            </w:r>
            <w:r>
              <w:t>’</w:t>
            </w:r>
            <w:r w:rsidRPr="0019144F">
              <w:t>Union, et vise à remédier aux défaillances du marché et à éviter une éviction d</w:t>
            </w:r>
            <w:r>
              <w:t>’</w:t>
            </w:r>
            <w:r w:rsidRPr="0019144F">
              <w:t xml:space="preserve">autres investissements publics ou privés. </w:t>
            </w:r>
            <w:r w:rsidRPr="0019144F">
              <w:rPr>
                <w:b/>
                <w:i/>
              </w:rPr>
              <w:t>Elle vise à permettre le développement. L</w:t>
            </w:r>
            <w:r>
              <w:rPr>
                <w:b/>
                <w:i/>
              </w:rPr>
              <w:t>’</w:t>
            </w:r>
            <w:r w:rsidRPr="0019144F">
              <w:rPr>
                <w:b/>
                <w:i/>
              </w:rPr>
              <w:t>additionnalité est considérée comme une composante essentielle.</w:t>
            </w:r>
          </w:p>
        </w:tc>
      </w:tr>
    </w:tbl>
    <w:p w14:paraId="63B6775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A0DB3A0" w14:textId="77777777" w:rsidR="00BF7ACA" w:rsidRPr="00BF7ACA" w:rsidRDefault="00BF7ACA" w:rsidP="00BF7ACA">
      <w:r w:rsidRPr="00BF7ACA">
        <w:rPr>
          <w:rStyle w:val="HideTWBExt"/>
        </w:rPr>
        <w:t>&lt;/Amend&gt;</w:t>
      </w:r>
    </w:p>
    <w:p w14:paraId="1669320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180</w:t>
      </w:r>
      <w:r w:rsidRPr="00BF7ACA">
        <w:rPr>
          <w:rStyle w:val="HideTWBExt"/>
          <w:b w:val="0"/>
        </w:rPr>
        <w:t>&lt;/NumAm&gt;</w:t>
      </w:r>
    </w:p>
    <w:p w14:paraId="5CAFEFAF"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648AE390" w14:textId="77777777" w:rsidR="00BF7ACA" w:rsidRPr="005A5903" w:rsidRDefault="00BF7ACA" w:rsidP="00BF7ACA">
      <w:r>
        <w:rPr>
          <w:rStyle w:val="HideTWBExt"/>
        </w:rPr>
        <w:t>&lt;/RepeatBlock-By&gt;</w:t>
      </w:r>
    </w:p>
    <w:p w14:paraId="3F490718"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6FA20041" w14:textId="77777777" w:rsidR="00BF7ACA" w:rsidRPr="005A5903" w:rsidRDefault="00BF7ACA" w:rsidP="00BF7ACA">
      <w:pPr>
        <w:pStyle w:val="NormalBold"/>
      </w:pPr>
      <w:r>
        <w:rPr>
          <w:rStyle w:val="HideTWBExt"/>
          <w:b w:val="0"/>
        </w:rPr>
        <w:t>&lt;Article&gt;</w:t>
      </w:r>
      <w:r w:rsidRPr="0019144F">
        <w:t>Article 2 – point 5</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0ECF195E" w14:textId="77777777" w:rsidTr="007924BE">
        <w:trPr>
          <w:jc w:val="center"/>
        </w:trPr>
        <w:tc>
          <w:tcPr>
            <w:tcW w:w="9752" w:type="dxa"/>
            <w:gridSpan w:val="2"/>
          </w:tcPr>
          <w:p w14:paraId="34F0A3F7" w14:textId="77777777" w:rsidR="00BF7ACA" w:rsidRPr="005A5903" w:rsidRDefault="00BF7ACA" w:rsidP="007924BE">
            <w:pPr>
              <w:keepNext/>
            </w:pPr>
          </w:p>
        </w:tc>
      </w:tr>
      <w:tr w:rsidR="00BF7ACA" w:rsidRPr="005A5903" w14:paraId="07B4BF6F" w14:textId="77777777" w:rsidTr="007924BE">
        <w:trPr>
          <w:jc w:val="center"/>
        </w:trPr>
        <w:tc>
          <w:tcPr>
            <w:tcW w:w="4876" w:type="dxa"/>
            <w:hideMark/>
          </w:tcPr>
          <w:p w14:paraId="3A0CEE6F" w14:textId="77777777" w:rsidR="00BF7ACA" w:rsidRPr="0019144F" w:rsidRDefault="00BF7ACA" w:rsidP="007924BE">
            <w:pPr>
              <w:pStyle w:val="ColumnHeading"/>
              <w:keepNext/>
            </w:pPr>
            <w:r w:rsidRPr="0019144F">
              <w:t>Texte proposé par la Commission</w:t>
            </w:r>
          </w:p>
        </w:tc>
        <w:tc>
          <w:tcPr>
            <w:tcW w:w="4876" w:type="dxa"/>
            <w:hideMark/>
          </w:tcPr>
          <w:p w14:paraId="1D23F683" w14:textId="77777777" w:rsidR="00BF7ACA" w:rsidRPr="0019144F" w:rsidRDefault="00BF7ACA" w:rsidP="007924BE">
            <w:pPr>
              <w:pStyle w:val="ColumnHeading"/>
              <w:keepNext/>
            </w:pPr>
            <w:r w:rsidRPr="0019144F">
              <w:t>Amendement</w:t>
            </w:r>
          </w:p>
        </w:tc>
      </w:tr>
      <w:tr w:rsidR="00BF7ACA" w:rsidRPr="005A5903" w14:paraId="2BCCB464" w14:textId="77777777" w:rsidTr="007924BE">
        <w:trPr>
          <w:jc w:val="center"/>
        </w:trPr>
        <w:tc>
          <w:tcPr>
            <w:tcW w:w="4876" w:type="dxa"/>
            <w:hideMark/>
          </w:tcPr>
          <w:p w14:paraId="3C20AF82" w14:textId="77777777" w:rsidR="00BF7ACA" w:rsidRPr="0019144F" w:rsidRDefault="00BF7ACA" w:rsidP="007924BE">
            <w:pPr>
              <w:pStyle w:val="Normal6"/>
            </w:pPr>
            <w:r w:rsidRPr="0019144F">
              <w:t>5)</w:t>
            </w:r>
            <w:r>
              <w:tab/>
            </w:r>
            <w:r w:rsidRPr="00627C55">
              <w:t>«additionnalité»:</w:t>
            </w:r>
            <w:r w:rsidRPr="0019144F">
              <w:t xml:space="preserve"> le principe en vertu duquel le soutien au titre de </w:t>
            </w:r>
            <w:r w:rsidRPr="0019144F">
              <w:rPr>
                <w:b/>
                <w:i/>
              </w:rPr>
              <w:t xml:space="preserve">la garantie </w:t>
            </w:r>
            <w:r w:rsidRPr="0019144F">
              <w:t xml:space="preserve">FEDD ne </w:t>
            </w:r>
            <w:r w:rsidRPr="0019144F">
              <w:rPr>
                <w:b/>
                <w:i/>
              </w:rPr>
              <w:t>vise</w:t>
            </w:r>
            <w:r w:rsidRPr="0019144F">
              <w:t xml:space="preserve"> pas à remplacer le soutien d</w:t>
            </w:r>
            <w:r>
              <w:t>’</w:t>
            </w:r>
            <w:r w:rsidRPr="0019144F">
              <w:t>un État membre, un financement privé ou une autre intervention financière de l</w:t>
            </w:r>
            <w:r>
              <w:t>’</w:t>
            </w:r>
            <w:r w:rsidRPr="0019144F">
              <w:t>Union</w:t>
            </w:r>
            <w:r w:rsidRPr="0019144F">
              <w:rPr>
                <w:b/>
                <w:i/>
              </w:rPr>
              <w:t>, et vise à remédier aux défaillances du marché et à éviter une éviction d</w:t>
            </w:r>
            <w:r>
              <w:rPr>
                <w:b/>
                <w:i/>
              </w:rPr>
              <w:t>’</w:t>
            </w:r>
            <w:r w:rsidRPr="0019144F">
              <w:rPr>
                <w:b/>
                <w:i/>
              </w:rPr>
              <w:t>autres investissements publics ou privés</w:t>
            </w:r>
            <w:r w:rsidRPr="0019144F">
              <w:t>.</w:t>
            </w:r>
          </w:p>
        </w:tc>
        <w:tc>
          <w:tcPr>
            <w:tcW w:w="4876" w:type="dxa"/>
            <w:hideMark/>
          </w:tcPr>
          <w:p w14:paraId="4CF9F22E" w14:textId="77777777" w:rsidR="00BF7ACA" w:rsidRPr="0019144F" w:rsidRDefault="00BF7ACA" w:rsidP="007924BE">
            <w:pPr>
              <w:pStyle w:val="Normal6"/>
              <w:rPr>
                <w:szCs w:val="24"/>
              </w:rPr>
            </w:pPr>
            <w:r w:rsidRPr="0019144F">
              <w:t>5)</w:t>
            </w:r>
            <w:r>
              <w:tab/>
            </w:r>
            <w:r w:rsidRPr="00627C55">
              <w:t>«additionnalité»</w:t>
            </w:r>
            <w:r w:rsidRPr="0019144F">
              <w:t>: le principe en vertu duquel le soutien au titre</w:t>
            </w:r>
            <w:r w:rsidRPr="0019144F">
              <w:rPr>
                <w:b/>
                <w:i/>
              </w:rPr>
              <w:t xml:space="preserve"> du </w:t>
            </w:r>
            <w:r w:rsidRPr="0019144F">
              <w:t>FEDD</w:t>
            </w:r>
            <w:r w:rsidRPr="0019144F">
              <w:rPr>
                <w:b/>
                <w:i/>
              </w:rPr>
              <w:t>, y compris par l</w:t>
            </w:r>
            <w:r>
              <w:rPr>
                <w:b/>
                <w:i/>
              </w:rPr>
              <w:t>’</w:t>
            </w:r>
            <w:r w:rsidRPr="0019144F">
              <w:rPr>
                <w:b/>
                <w:i/>
              </w:rPr>
              <w:t>intermédiaire</w:t>
            </w:r>
            <w:r w:rsidRPr="0019144F">
              <w:t xml:space="preserve"> de </w:t>
            </w:r>
            <w:r w:rsidRPr="0019144F">
              <w:rPr>
                <w:b/>
                <w:i/>
              </w:rPr>
              <w:t>mécanismes de mixage, contribue au développement durable en parvenant à de meilleurs résultats que ceux qu</w:t>
            </w:r>
            <w:r>
              <w:rPr>
                <w:b/>
                <w:i/>
              </w:rPr>
              <w:t>’</w:t>
            </w:r>
            <w:r w:rsidRPr="0019144F">
              <w:rPr>
                <w:b/>
                <w:i/>
              </w:rPr>
              <w:t>il aurait été possible d</w:t>
            </w:r>
            <w:r>
              <w:rPr>
                <w:b/>
                <w:i/>
              </w:rPr>
              <w:t>’</w:t>
            </w:r>
            <w:r w:rsidRPr="0019144F">
              <w:rPr>
                <w:b/>
                <w:i/>
              </w:rPr>
              <w:t>obtenir en l</w:t>
            </w:r>
            <w:r>
              <w:rPr>
                <w:b/>
                <w:i/>
              </w:rPr>
              <w:t>’</w:t>
            </w:r>
            <w:r w:rsidRPr="0019144F">
              <w:rPr>
                <w:b/>
                <w:i/>
              </w:rPr>
              <w:t>absence d</w:t>
            </w:r>
            <w:r>
              <w:rPr>
                <w:b/>
                <w:i/>
              </w:rPr>
              <w:t>’</w:t>
            </w:r>
            <w:r w:rsidRPr="0019144F">
              <w:rPr>
                <w:b/>
                <w:i/>
              </w:rPr>
              <w:t>un tel soutien. Les interventions financières</w:t>
            </w:r>
            <w:r w:rsidRPr="0019144F">
              <w:t xml:space="preserve"> ne </w:t>
            </w:r>
            <w:r w:rsidRPr="0019144F">
              <w:rPr>
                <w:b/>
                <w:i/>
              </w:rPr>
              <w:t>visent</w:t>
            </w:r>
            <w:r w:rsidRPr="0019144F">
              <w:t xml:space="preserve"> pas à remplacer le soutien d</w:t>
            </w:r>
            <w:r>
              <w:t>’</w:t>
            </w:r>
            <w:r w:rsidRPr="0019144F">
              <w:t>un État membre</w:t>
            </w:r>
            <w:r w:rsidRPr="0019144F">
              <w:rPr>
                <w:b/>
                <w:i/>
              </w:rPr>
              <w:t xml:space="preserve"> ou d</w:t>
            </w:r>
            <w:r>
              <w:rPr>
                <w:b/>
                <w:i/>
              </w:rPr>
              <w:t>’</w:t>
            </w:r>
            <w:r w:rsidRPr="0019144F">
              <w:rPr>
                <w:b/>
                <w:i/>
              </w:rPr>
              <w:t>un pays tiers</w:t>
            </w:r>
            <w:r w:rsidRPr="0019144F">
              <w:t>, un financement privé ou une autre intervention financière de l</w:t>
            </w:r>
            <w:r>
              <w:t>’</w:t>
            </w:r>
            <w:r w:rsidRPr="0019144F">
              <w:t>Union</w:t>
            </w:r>
            <w:r w:rsidRPr="0019144F">
              <w:rPr>
                <w:b/>
                <w:i/>
              </w:rPr>
              <w:t xml:space="preserve"> ou d</w:t>
            </w:r>
            <w:r>
              <w:rPr>
                <w:b/>
                <w:i/>
              </w:rPr>
              <w:t>’</w:t>
            </w:r>
            <w:r w:rsidRPr="0019144F">
              <w:rPr>
                <w:b/>
                <w:i/>
              </w:rPr>
              <w:t>une institution financière internationale</w:t>
            </w:r>
            <w:r w:rsidRPr="0019144F">
              <w:t>.</w:t>
            </w:r>
          </w:p>
        </w:tc>
      </w:tr>
    </w:tbl>
    <w:p w14:paraId="6731267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39D574E" w14:textId="77777777" w:rsidR="00BF7ACA" w:rsidRPr="00BF7ACA" w:rsidRDefault="00BF7ACA" w:rsidP="00BF7ACA">
      <w:r w:rsidRPr="00BF7ACA">
        <w:rPr>
          <w:rStyle w:val="HideTWBExt"/>
        </w:rPr>
        <w:t>&lt;/Amend&gt;</w:t>
      </w:r>
    </w:p>
    <w:p w14:paraId="5C97E2D9"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181</w:t>
      </w:r>
      <w:r w:rsidRPr="00BF7ACA">
        <w:rPr>
          <w:rStyle w:val="HideTWBExt"/>
          <w:b w:val="0"/>
        </w:rPr>
        <w:t>&lt;/NumAm&gt;</w:t>
      </w:r>
    </w:p>
    <w:p w14:paraId="49E676A6" w14:textId="77777777" w:rsidR="00BF7ACA" w:rsidRPr="00BF7ACA" w:rsidRDefault="00BF7ACA" w:rsidP="00BF7ACA">
      <w:pPr>
        <w:pStyle w:val="NormalBold"/>
      </w:pPr>
      <w:r w:rsidRPr="00BF7ACA">
        <w:rPr>
          <w:rStyle w:val="HideTWBExt"/>
          <w:b w:val="0"/>
        </w:rPr>
        <w:t>&lt;RepeatBlock-By&gt;&lt;Members&gt;</w:t>
      </w:r>
      <w:r w:rsidRPr="00BF7ACA">
        <w:t>Patrizia Toia</w:t>
      </w:r>
      <w:r w:rsidRPr="00BF7ACA">
        <w:rPr>
          <w:rStyle w:val="HideTWBExt"/>
          <w:b w:val="0"/>
        </w:rPr>
        <w:t>&lt;/Members&gt;</w:t>
      </w:r>
    </w:p>
    <w:p w14:paraId="296293A6" w14:textId="77777777" w:rsidR="00BF7ACA" w:rsidRPr="005A5903" w:rsidRDefault="00BF7ACA" w:rsidP="00BF7ACA">
      <w:r>
        <w:rPr>
          <w:rStyle w:val="HideTWBExt"/>
        </w:rPr>
        <w:t>&lt;/RepeatBlock-By&gt;</w:t>
      </w:r>
    </w:p>
    <w:p w14:paraId="45C71CDF" w14:textId="77777777"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14:paraId="02AB817D" w14:textId="77777777" w:rsidR="00BF7ACA" w:rsidRPr="005A5903" w:rsidRDefault="00BF7ACA" w:rsidP="00BF7ACA">
      <w:pPr>
        <w:pStyle w:val="NormalBold"/>
      </w:pPr>
      <w:r>
        <w:rPr>
          <w:rStyle w:val="HideTWBExt"/>
          <w:b w:val="0"/>
        </w:rPr>
        <w:t>&lt;Article&gt;</w:t>
      </w:r>
      <w:r w:rsidRPr="0019144F">
        <w:t>Article 3 – paragraphe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5A5903" w14:paraId="1676EDC5" w14:textId="77777777" w:rsidTr="007924BE">
        <w:trPr>
          <w:jc w:val="center"/>
        </w:trPr>
        <w:tc>
          <w:tcPr>
            <w:tcW w:w="9752" w:type="dxa"/>
            <w:gridSpan w:val="2"/>
          </w:tcPr>
          <w:p w14:paraId="08935029" w14:textId="77777777" w:rsidR="00BF7ACA" w:rsidRPr="005A5903" w:rsidRDefault="00BF7ACA" w:rsidP="007924BE">
            <w:pPr>
              <w:keepNext/>
            </w:pPr>
          </w:p>
        </w:tc>
      </w:tr>
      <w:tr w:rsidR="00BF7ACA" w:rsidRPr="005A5903" w14:paraId="44761759" w14:textId="77777777" w:rsidTr="007924BE">
        <w:trPr>
          <w:jc w:val="center"/>
        </w:trPr>
        <w:tc>
          <w:tcPr>
            <w:tcW w:w="4876" w:type="dxa"/>
            <w:hideMark/>
          </w:tcPr>
          <w:p w14:paraId="6B8C63DD" w14:textId="77777777" w:rsidR="00BF7ACA" w:rsidRPr="0019144F" w:rsidRDefault="00BF7ACA" w:rsidP="007924BE">
            <w:pPr>
              <w:pStyle w:val="ColumnHeading"/>
              <w:keepNext/>
            </w:pPr>
            <w:r w:rsidRPr="0019144F">
              <w:t>Texte proposé par la Commission</w:t>
            </w:r>
          </w:p>
        </w:tc>
        <w:tc>
          <w:tcPr>
            <w:tcW w:w="4876" w:type="dxa"/>
            <w:hideMark/>
          </w:tcPr>
          <w:p w14:paraId="03E006EB" w14:textId="77777777" w:rsidR="00BF7ACA" w:rsidRPr="0019144F" w:rsidRDefault="00BF7ACA" w:rsidP="007924BE">
            <w:pPr>
              <w:pStyle w:val="ColumnHeading"/>
              <w:keepNext/>
            </w:pPr>
            <w:r w:rsidRPr="0019144F">
              <w:t>Amendement</w:t>
            </w:r>
          </w:p>
        </w:tc>
      </w:tr>
      <w:tr w:rsidR="00BF7ACA" w:rsidRPr="005A5903" w14:paraId="54C9FBC9" w14:textId="77777777" w:rsidTr="007924BE">
        <w:trPr>
          <w:jc w:val="center"/>
        </w:trPr>
        <w:tc>
          <w:tcPr>
            <w:tcW w:w="4876" w:type="dxa"/>
            <w:hideMark/>
          </w:tcPr>
          <w:p w14:paraId="016A9118" w14:textId="77777777" w:rsidR="00BF7ACA" w:rsidRPr="0019144F" w:rsidRDefault="00BF7ACA" w:rsidP="007924BE">
            <w:pPr>
              <w:pStyle w:val="Normal6"/>
            </w:pPr>
            <w:r w:rsidRPr="0019144F">
              <w:t>1.</w:t>
            </w:r>
            <w:r>
              <w:tab/>
            </w:r>
            <w:r w:rsidRPr="0019144F">
              <w:t>L</w:t>
            </w:r>
            <w:r>
              <w:t>’</w:t>
            </w:r>
            <w:r w:rsidRPr="0019144F">
              <w:t xml:space="preserve">objectif du FEDD en tant que dispositif financier intégré est de </w:t>
            </w:r>
            <w:r w:rsidRPr="0019144F">
              <w:rPr>
                <w:b/>
                <w:i/>
              </w:rPr>
              <w:t>soutenir les investissements des contreparties éligibles dans les pays partenaires d</w:t>
            </w:r>
            <w:r>
              <w:rPr>
                <w:b/>
                <w:i/>
              </w:rPr>
              <w:t>’</w:t>
            </w:r>
            <w:r w:rsidRPr="0019144F">
              <w:rPr>
                <w:b/>
                <w:i/>
              </w:rPr>
              <w:t>Afrique et du voisinage, dans un premier temps</w:t>
            </w:r>
            <w:r w:rsidRPr="0019144F">
              <w:t xml:space="preserve">, </w:t>
            </w:r>
            <w:r w:rsidRPr="0019144F">
              <w:rPr>
                <w:b/>
                <w:i/>
              </w:rPr>
              <w:t>et de leur accorder</w:t>
            </w:r>
            <w:r w:rsidRPr="0019144F">
              <w:t xml:space="preserve"> un meilleur accès au financement</w:t>
            </w:r>
            <w:r w:rsidRPr="0019144F">
              <w:rPr>
                <w:b/>
                <w:i/>
              </w:rPr>
              <w:t>,</w:t>
            </w:r>
            <w:r w:rsidRPr="0019144F">
              <w:t xml:space="preserve"> par l</w:t>
            </w:r>
            <w:r>
              <w:t>’</w:t>
            </w:r>
            <w:r w:rsidRPr="0019144F">
              <w:t>octroi de capacités de financement sous forme de subventions, de garanties et d</w:t>
            </w:r>
            <w:r>
              <w:t>’</w:t>
            </w:r>
            <w:r w:rsidRPr="0019144F">
              <w:t>autres instruments financiers</w:t>
            </w:r>
            <w:r w:rsidRPr="0019144F">
              <w:rPr>
                <w:b/>
                <w:i/>
              </w:rPr>
              <w:t>.</w:t>
            </w:r>
          </w:p>
        </w:tc>
        <w:tc>
          <w:tcPr>
            <w:tcW w:w="4876" w:type="dxa"/>
            <w:hideMark/>
          </w:tcPr>
          <w:p w14:paraId="704CFE70" w14:textId="77777777" w:rsidR="00BF7ACA" w:rsidRPr="0019144F" w:rsidRDefault="00BF7ACA" w:rsidP="007924BE">
            <w:pPr>
              <w:pStyle w:val="Normal6"/>
              <w:rPr>
                <w:szCs w:val="24"/>
              </w:rPr>
            </w:pPr>
            <w:r w:rsidRPr="0019144F">
              <w:t>1.</w:t>
            </w:r>
            <w:r>
              <w:tab/>
            </w:r>
            <w:r w:rsidRPr="0019144F">
              <w:t>L</w:t>
            </w:r>
            <w:r>
              <w:t>’</w:t>
            </w:r>
            <w:r w:rsidRPr="0019144F">
              <w:t xml:space="preserve">objectif du FEDD en tant que dispositif financier intégré est de </w:t>
            </w:r>
            <w:r w:rsidRPr="0019144F">
              <w:rPr>
                <w:b/>
                <w:i/>
              </w:rPr>
              <w:t>promouvoir un développement économique et social solidaire et durable et de favoriser la résilience socio-économique des pays partenaires en soutenant l</w:t>
            </w:r>
            <w:r>
              <w:rPr>
                <w:b/>
                <w:i/>
              </w:rPr>
              <w:t>’</w:t>
            </w:r>
            <w:r w:rsidRPr="0019144F">
              <w:rPr>
                <w:b/>
                <w:i/>
              </w:rPr>
              <w:t>investissement</w:t>
            </w:r>
            <w:r w:rsidRPr="0019144F">
              <w:t xml:space="preserve">, </w:t>
            </w:r>
            <w:r w:rsidRPr="0019144F">
              <w:rPr>
                <w:b/>
                <w:i/>
              </w:rPr>
              <w:t>la création d</w:t>
            </w:r>
            <w:r>
              <w:rPr>
                <w:b/>
                <w:i/>
              </w:rPr>
              <w:t>’</w:t>
            </w:r>
            <w:r w:rsidRPr="0019144F">
              <w:rPr>
                <w:b/>
                <w:i/>
              </w:rPr>
              <w:t>emplois, l</w:t>
            </w:r>
            <w:r>
              <w:rPr>
                <w:b/>
                <w:i/>
              </w:rPr>
              <w:t>’</w:t>
            </w:r>
            <w:r w:rsidRPr="0019144F">
              <w:rPr>
                <w:b/>
                <w:i/>
              </w:rPr>
              <w:t>entrepreneuriat et</w:t>
            </w:r>
            <w:r w:rsidRPr="0019144F">
              <w:t xml:space="preserve"> un meilleur accès au financement</w:t>
            </w:r>
            <w:r>
              <w:rPr>
                <w:b/>
                <w:i/>
              </w:rPr>
              <w:t xml:space="preserve"> </w:t>
            </w:r>
            <w:r w:rsidRPr="0019144F">
              <w:t>par l</w:t>
            </w:r>
            <w:r>
              <w:t>’</w:t>
            </w:r>
            <w:r w:rsidRPr="0019144F">
              <w:t>octroi de capacités de financement sous forme de subventions, de garanties et d</w:t>
            </w:r>
            <w:r>
              <w:t>’</w:t>
            </w:r>
            <w:r w:rsidRPr="0019144F">
              <w:t>autres instruments financiers</w:t>
            </w:r>
            <w:r w:rsidRPr="0019144F">
              <w:rPr>
                <w:b/>
                <w:i/>
              </w:rPr>
              <w:t xml:space="preserve"> aux investissements des contreparties éligibles dans les pays partenaires d</w:t>
            </w:r>
            <w:r>
              <w:rPr>
                <w:b/>
                <w:i/>
              </w:rPr>
              <w:t>’</w:t>
            </w:r>
            <w:r w:rsidRPr="0019144F">
              <w:rPr>
                <w:b/>
                <w:i/>
              </w:rPr>
              <w:t>Afrique et du voisinage tout en exploitant au mieux l</w:t>
            </w:r>
            <w:r>
              <w:rPr>
                <w:b/>
                <w:i/>
              </w:rPr>
              <w:t>’</w:t>
            </w:r>
            <w:r w:rsidRPr="0019144F">
              <w:rPr>
                <w:b/>
                <w:i/>
              </w:rPr>
              <w:t>additionnalité, en favorisant la fourniture de produits innovants et en attirant des financements privés;</w:t>
            </w:r>
          </w:p>
        </w:tc>
      </w:tr>
    </w:tbl>
    <w:p w14:paraId="63CD1F04"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F2BC3DB" w14:textId="77777777" w:rsidR="00BF7ACA" w:rsidRPr="00BF7ACA" w:rsidRDefault="00BF7ACA" w:rsidP="00BF7ACA">
      <w:r w:rsidRPr="00BF7ACA">
        <w:rPr>
          <w:rStyle w:val="HideTWBExt"/>
        </w:rPr>
        <w:t>&lt;/Amend&gt;</w:t>
      </w:r>
    </w:p>
    <w:p w14:paraId="4ECA5F81" w14:textId="77777777" w:rsidR="00BF7ACA" w:rsidRPr="00355860" w:rsidRDefault="00BF7ACA" w:rsidP="00BF7ACA">
      <w:pPr>
        <w:pStyle w:val="AMNumberTabs"/>
        <w:keepNext/>
      </w:pPr>
      <w:r>
        <w:rPr>
          <w:rStyle w:val="HideTWBExt"/>
          <w:b w:val="0"/>
        </w:rPr>
        <w:t>&lt;Amend&gt;</w:t>
      </w:r>
      <w:r w:rsidRPr="00B915F8">
        <w:t>Amendement</w:t>
      </w:r>
      <w:r>
        <w:tab/>
      </w:r>
      <w:r>
        <w:tab/>
      </w:r>
      <w:r>
        <w:rPr>
          <w:rStyle w:val="HideTWBExt"/>
          <w:b w:val="0"/>
        </w:rPr>
        <w:t>&lt;NumAm&gt;</w:t>
      </w:r>
      <w:r w:rsidRPr="00B915F8">
        <w:t>182</w:t>
      </w:r>
      <w:r>
        <w:rPr>
          <w:rStyle w:val="HideTWBExt"/>
          <w:b w:val="0"/>
        </w:rPr>
        <w:t>&lt;/NumAm&gt;</w:t>
      </w:r>
    </w:p>
    <w:p w14:paraId="44BEB36D" w14:textId="77777777" w:rsidR="00BF7ACA" w:rsidRPr="00355860" w:rsidRDefault="00BF7ACA" w:rsidP="00BF7ACA">
      <w:pPr>
        <w:pStyle w:val="NormalBold"/>
      </w:pPr>
      <w:r>
        <w:rPr>
          <w:rStyle w:val="HideTWBExt"/>
          <w:b w:val="0"/>
        </w:rPr>
        <w:t>&lt;RepeatBlock-By&gt;&lt;Members&gt;</w:t>
      </w:r>
      <w:r w:rsidRPr="00B915F8">
        <w:t>Heidi Hautala, Maria Heubuch, Judith Sargentini</w:t>
      </w:r>
      <w:r>
        <w:rPr>
          <w:rStyle w:val="HideTWBExt"/>
          <w:b w:val="0"/>
        </w:rPr>
        <w:t>&lt;/Members&gt;</w:t>
      </w:r>
    </w:p>
    <w:p w14:paraId="62F63516" w14:textId="77777777" w:rsidR="00BF7ACA" w:rsidRPr="00355860" w:rsidRDefault="00BF7ACA" w:rsidP="00BF7ACA">
      <w:r>
        <w:rPr>
          <w:rStyle w:val="HideTWBExt"/>
        </w:rPr>
        <w:t>&lt;/RepeatBlock-By&gt;</w:t>
      </w:r>
    </w:p>
    <w:p w14:paraId="1A5F7AB1"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BF288C7" w14:textId="77777777" w:rsidR="00BF7ACA" w:rsidRPr="00355860" w:rsidRDefault="00BF7ACA" w:rsidP="00BF7ACA">
      <w:pPr>
        <w:pStyle w:val="NormalBold"/>
      </w:pPr>
      <w:r>
        <w:rPr>
          <w:rStyle w:val="HideTWBExt"/>
          <w:b w:val="0"/>
        </w:rPr>
        <w:t>&lt;Article&gt;</w:t>
      </w:r>
      <w:r w:rsidRPr="00B915F8">
        <w:t>Article 3 – paragraphe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09EEAB7F" w14:textId="77777777" w:rsidTr="007924BE">
        <w:trPr>
          <w:jc w:val="center"/>
        </w:trPr>
        <w:tc>
          <w:tcPr>
            <w:tcW w:w="9752" w:type="dxa"/>
            <w:gridSpan w:val="2"/>
          </w:tcPr>
          <w:p w14:paraId="02762824" w14:textId="77777777" w:rsidR="00BF7ACA" w:rsidRPr="00355860" w:rsidRDefault="00BF7ACA" w:rsidP="007924BE">
            <w:pPr>
              <w:keepNext/>
            </w:pPr>
          </w:p>
        </w:tc>
      </w:tr>
      <w:tr w:rsidR="00BF7ACA" w:rsidRPr="00355860" w14:paraId="5747284D" w14:textId="77777777" w:rsidTr="007924BE">
        <w:trPr>
          <w:jc w:val="center"/>
        </w:trPr>
        <w:tc>
          <w:tcPr>
            <w:tcW w:w="4876" w:type="dxa"/>
            <w:hideMark/>
          </w:tcPr>
          <w:p w14:paraId="2435E661" w14:textId="77777777" w:rsidR="00BF7ACA" w:rsidRPr="00B915F8" w:rsidRDefault="00BF7ACA" w:rsidP="007924BE">
            <w:pPr>
              <w:pStyle w:val="ColumnHeading"/>
              <w:keepNext/>
            </w:pPr>
            <w:r w:rsidRPr="00B915F8">
              <w:t>Texte proposé par la Commission</w:t>
            </w:r>
          </w:p>
        </w:tc>
        <w:tc>
          <w:tcPr>
            <w:tcW w:w="4876" w:type="dxa"/>
            <w:hideMark/>
          </w:tcPr>
          <w:p w14:paraId="42D3ED66" w14:textId="77777777" w:rsidR="00BF7ACA" w:rsidRPr="00B915F8" w:rsidRDefault="00BF7ACA" w:rsidP="007924BE">
            <w:pPr>
              <w:pStyle w:val="ColumnHeading"/>
              <w:keepNext/>
            </w:pPr>
            <w:r w:rsidRPr="00B915F8">
              <w:t>Amendement</w:t>
            </w:r>
          </w:p>
        </w:tc>
      </w:tr>
      <w:tr w:rsidR="00BF7ACA" w:rsidRPr="00355860" w14:paraId="75842D1A" w14:textId="77777777" w:rsidTr="007924BE">
        <w:trPr>
          <w:jc w:val="center"/>
        </w:trPr>
        <w:tc>
          <w:tcPr>
            <w:tcW w:w="4876" w:type="dxa"/>
            <w:hideMark/>
          </w:tcPr>
          <w:p w14:paraId="5FE1E3A5" w14:textId="77777777" w:rsidR="00BF7ACA" w:rsidRPr="00DC274A" w:rsidRDefault="00BF7ACA" w:rsidP="007924BE">
            <w:pPr>
              <w:pStyle w:val="Normal6"/>
              <w:rPr>
                <w:b/>
                <w:i/>
              </w:rPr>
            </w:pPr>
            <w:r w:rsidRPr="00DC274A">
              <w:t>1.</w:t>
            </w:r>
            <w:r w:rsidRPr="00DC274A">
              <w:rPr>
                <w:b/>
                <w:i/>
              </w:rPr>
              <w:tab/>
            </w:r>
            <w:r w:rsidRPr="00DC274A">
              <w:t>L’objectif du FEDD en tant que dispositif financier intégré est de soutenir les investissements des contreparties éligibles dans les pays partenaires d’Afrique et du voisinage, dans un premier temps, et de leur accorder un meilleur accès au financement, par l’octroi de capacités de financement sous forme de subventions, de garanties et d’autres instruments financiers.</w:t>
            </w:r>
          </w:p>
        </w:tc>
        <w:tc>
          <w:tcPr>
            <w:tcW w:w="4876" w:type="dxa"/>
            <w:hideMark/>
          </w:tcPr>
          <w:p w14:paraId="77E70A54" w14:textId="77777777" w:rsidR="00BF7ACA" w:rsidRPr="00DC274A" w:rsidRDefault="00BF7ACA" w:rsidP="007924BE">
            <w:pPr>
              <w:pStyle w:val="Normal6"/>
              <w:rPr>
                <w:b/>
                <w:i/>
                <w:szCs w:val="24"/>
              </w:rPr>
            </w:pPr>
            <w:r w:rsidRPr="00DC274A">
              <w:t>1.</w:t>
            </w:r>
            <w:r w:rsidRPr="00DC274A">
              <w:rPr>
                <w:b/>
                <w:i/>
              </w:rPr>
              <w:tab/>
            </w:r>
            <w:r w:rsidRPr="00DC274A">
              <w:t>L’objectif du FEDD en tant que dispositif financier intégré est de soutenir les investissements des contreparties éligibles dans les pays partenaires d’Afrique et du voisinage, dans un premier temps, et de leur accorder un meilleur accès au financement, par l’octroi de capacités de financement sous forme de subventions, de garanties et d’autres instruments financiers.</w:t>
            </w:r>
            <w:r w:rsidRPr="00DC274A">
              <w:rPr>
                <w:b/>
                <w:i/>
              </w:rPr>
              <w:t xml:space="preserve"> Il s’agit de mettre en place une couverture équilibrée des pays partenaires au sein des régions respectives, en veillant à une présence adéquate des pays fragiles et moins développés et en veillant à stimuler l’intégration régionale.</w:t>
            </w:r>
          </w:p>
        </w:tc>
      </w:tr>
    </w:tbl>
    <w:p w14:paraId="6AC3308F"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D2AD05D" w14:textId="77777777" w:rsidR="00BF7ACA" w:rsidRPr="00BF7ACA" w:rsidRDefault="00BF7ACA" w:rsidP="00BF7ACA">
      <w:r w:rsidRPr="00BF7ACA">
        <w:rPr>
          <w:rStyle w:val="HideTWBExt"/>
        </w:rPr>
        <w:t>&lt;/Amend&gt;</w:t>
      </w:r>
    </w:p>
    <w:p w14:paraId="5D245D1E"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183</w:t>
      </w:r>
      <w:r w:rsidRPr="00BF7ACA">
        <w:rPr>
          <w:rStyle w:val="HideTWBExt"/>
          <w:b w:val="0"/>
        </w:rPr>
        <w:t>&lt;/NumAm&gt;</w:t>
      </w:r>
    </w:p>
    <w:p w14:paraId="57152A6E" w14:textId="77777777"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14:paraId="62099254" w14:textId="77777777" w:rsidR="00BF7ACA" w:rsidRPr="00355860" w:rsidRDefault="00BF7ACA" w:rsidP="00BF7ACA">
      <w:r>
        <w:rPr>
          <w:rStyle w:val="HideTWBExt"/>
        </w:rPr>
        <w:t>&lt;/RepeatBlock-By&gt;</w:t>
      </w:r>
    </w:p>
    <w:p w14:paraId="243F8E96"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354DE3D0" w14:textId="77777777" w:rsidR="00BF7ACA" w:rsidRPr="00355860" w:rsidRDefault="00BF7ACA" w:rsidP="00BF7ACA">
      <w:pPr>
        <w:pStyle w:val="NormalBold"/>
      </w:pPr>
      <w:r>
        <w:rPr>
          <w:rStyle w:val="HideTWBExt"/>
          <w:b w:val="0"/>
        </w:rPr>
        <w:t>&lt;Article&gt;</w:t>
      </w:r>
      <w:r w:rsidRPr="00B915F8">
        <w:t>Article 3 – paragraphe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3A7F4E20" w14:textId="77777777" w:rsidTr="007924BE">
        <w:trPr>
          <w:jc w:val="center"/>
        </w:trPr>
        <w:tc>
          <w:tcPr>
            <w:tcW w:w="9752" w:type="dxa"/>
            <w:gridSpan w:val="2"/>
          </w:tcPr>
          <w:p w14:paraId="08297BCE" w14:textId="77777777" w:rsidR="00BF7ACA" w:rsidRPr="00355860" w:rsidRDefault="00BF7ACA" w:rsidP="007924BE">
            <w:pPr>
              <w:keepNext/>
            </w:pPr>
          </w:p>
        </w:tc>
      </w:tr>
      <w:tr w:rsidR="00BF7ACA" w:rsidRPr="00355860" w14:paraId="2E9994D6" w14:textId="77777777" w:rsidTr="007924BE">
        <w:trPr>
          <w:jc w:val="center"/>
        </w:trPr>
        <w:tc>
          <w:tcPr>
            <w:tcW w:w="4876" w:type="dxa"/>
            <w:hideMark/>
          </w:tcPr>
          <w:p w14:paraId="40E4F59F" w14:textId="77777777" w:rsidR="00BF7ACA" w:rsidRPr="00B915F8" w:rsidRDefault="00BF7ACA" w:rsidP="007924BE">
            <w:pPr>
              <w:pStyle w:val="ColumnHeading"/>
              <w:keepNext/>
            </w:pPr>
            <w:r w:rsidRPr="00B915F8">
              <w:t>Texte proposé par la Commission</w:t>
            </w:r>
          </w:p>
        </w:tc>
        <w:tc>
          <w:tcPr>
            <w:tcW w:w="4876" w:type="dxa"/>
            <w:hideMark/>
          </w:tcPr>
          <w:p w14:paraId="2AAF9FFE" w14:textId="77777777" w:rsidR="00BF7ACA" w:rsidRPr="00B915F8" w:rsidRDefault="00BF7ACA" w:rsidP="007924BE">
            <w:pPr>
              <w:pStyle w:val="ColumnHeading"/>
              <w:keepNext/>
            </w:pPr>
            <w:r w:rsidRPr="00B915F8">
              <w:t>Amendement</w:t>
            </w:r>
          </w:p>
        </w:tc>
      </w:tr>
      <w:tr w:rsidR="00BF7ACA" w:rsidRPr="00355860" w14:paraId="2CBDC379" w14:textId="77777777" w:rsidTr="007924BE">
        <w:trPr>
          <w:jc w:val="center"/>
        </w:trPr>
        <w:tc>
          <w:tcPr>
            <w:tcW w:w="4876" w:type="dxa"/>
            <w:hideMark/>
          </w:tcPr>
          <w:p w14:paraId="54EFAD1C" w14:textId="77777777" w:rsidR="00BF7ACA" w:rsidRPr="00DC274A" w:rsidRDefault="00BF7ACA" w:rsidP="007924BE">
            <w:pPr>
              <w:pStyle w:val="Normal6"/>
              <w:rPr>
                <w:b/>
                <w:i/>
              </w:rPr>
            </w:pPr>
            <w:r w:rsidRPr="00DC274A">
              <w:t>1.</w:t>
            </w:r>
            <w:r w:rsidRPr="00DC274A">
              <w:rPr>
                <w:b/>
                <w:i/>
              </w:rPr>
              <w:tab/>
            </w:r>
            <w:r w:rsidRPr="00DC274A">
              <w:t>L’objectif du FEDD en tant que dispositif financier intégré est de soutenir les investissements des contreparties éligibles dans les pays partenaires d’Afrique et du voisinage, dans un premier temps, et de leur accorder un meilleur accès au financement, par l’octroi de capacités de financement sous forme de subventions, de garanties et d’autres instruments financiers.</w:t>
            </w:r>
          </w:p>
        </w:tc>
        <w:tc>
          <w:tcPr>
            <w:tcW w:w="4876" w:type="dxa"/>
            <w:hideMark/>
          </w:tcPr>
          <w:p w14:paraId="09D0DD12" w14:textId="77777777" w:rsidR="00BF7ACA" w:rsidRPr="00DC274A" w:rsidRDefault="00BF7ACA" w:rsidP="007924BE">
            <w:pPr>
              <w:pStyle w:val="Normal6"/>
              <w:rPr>
                <w:b/>
                <w:i/>
                <w:szCs w:val="24"/>
              </w:rPr>
            </w:pPr>
            <w:r w:rsidRPr="00DC274A">
              <w:t>1.</w:t>
            </w:r>
            <w:r w:rsidRPr="00DC274A">
              <w:rPr>
                <w:b/>
                <w:i/>
              </w:rPr>
              <w:tab/>
            </w:r>
            <w:r w:rsidRPr="00DC274A">
              <w:t>L’objectif du FEDD en tant que dispositif financier intégré est de</w:t>
            </w:r>
            <w:r w:rsidRPr="00DC274A">
              <w:rPr>
                <w:b/>
                <w:i/>
              </w:rPr>
              <w:t xml:space="preserve"> guider, de</w:t>
            </w:r>
            <w:r w:rsidRPr="00DC274A">
              <w:t xml:space="preserve"> soutenir</w:t>
            </w:r>
            <w:r w:rsidRPr="00DC274A">
              <w:rPr>
                <w:b/>
                <w:i/>
              </w:rPr>
              <w:t xml:space="preserve"> et de gérer</w:t>
            </w:r>
            <w:r w:rsidRPr="00DC274A">
              <w:t xml:space="preserve"> les investissements des contreparties éligibles dans les pays partenaires d’Afrique et du voisinage, dans un premier temps, et de leur accorder un meilleur accès au financement, par l’octroi de capacités de financement sous forme de subventions, de garanties et d’autres instruments financiers.</w:t>
            </w:r>
          </w:p>
        </w:tc>
      </w:tr>
    </w:tbl>
    <w:p w14:paraId="0700BAD3"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20BD72A" w14:textId="77777777" w:rsidR="00BF7ACA" w:rsidRPr="00BF7ACA" w:rsidRDefault="00BF7ACA" w:rsidP="00BF7ACA">
      <w:r w:rsidRPr="00BF7ACA">
        <w:rPr>
          <w:rStyle w:val="HideTWBExt"/>
        </w:rPr>
        <w:t>&lt;/Amend&gt;</w:t>
      </w:r>
    </w:p>
    <w:p w14:paraId="56A717E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184</w:t>
      </w:r>
      <w:r w:rsidRPr="00BF7ACA">
        <w:rPr>
          <w:rStyle w:val="HideTWBExt"/>
          <w:b w:val="0"/>
        </w:rPr>
        <w:t>&lt;/NumAm&gt;</w:t>
      </w:r>
    </w:p>
    <w:p w14:paraId="634CF79F"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1AC46E86" w14:textId="77777777" w:rsidR="00BF7ACA" w:rsidRPr="00355860" w:rsidRDefault="00BF7ACA" w:rsidP="00BF7ACA">
      <w:r>
        <w:rPr>
          <w:rStyle w:val="HideTWBExt"/>
        </w:rPr>
        <w:t>&lt;/RepeatBlock-By&gt;</w:t>
      </w:r>
    </w:p>
    <w:p w14:paraId="7CD0C366"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6FE50D26" w14:textId="77777777" w:rsidR="00BF7ACA" w:rsidRPr="00355860" w:rsidRDefault="00BF7ACA" w:rsidP="00BF7ACA">
      <w:pPr>
        <w:pStyle w:val="NormalBold"/>
      </w:pPr>
      <w:r>
        <w:rPr>
          <w:rStyle w:val="HideTWBExt"/>
          <w:b w:val="0"/>
        </w:rPr>
        <w:t>&lt;Article&gt;</w:t>
      </w:r>
      <w:r w:rsidRPr="00B915F8">
        <w:t>Article 3 – paragraphe 1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5CA620A6" w14:textId="77777777" w:rsidTr="007924BE">
        <w:trPr>
          <w:jc w:val="center"/>
        </w:trPr>
        <w:tc>
          <w:tcPr>
            <w:tcW w:w="9752" w:type="dxa"/>
            <w:gridSpan w:val="2"/>
          </w:tcPr>
          <w:p w14:paraId="413656A0" w14:textId="77777777" w:rsidR="00BF7ACA" w:rsidRPr="00355860" w:rsidRDefault="00BF7ACA" w:rsidP="007924BE">
            <w:pPr>
              <w:keepNext/>
            </w:pPr>
          </w:p>
        </w:tc>
      </w:tr>
      <w:tr w:rsidR="00BF7ACA" w:rsidRPr="00355860" w14:paraId="4C76F53E" w14:textId="77777777" w:rsidTr="007924BE">
        <w:trPr>
          <w:jc w:val="center"/>
        </w:trPr>
        <w:tc>
          <w:tcPr>
            <w:tcW w:w="4876" w:type="dxa"/>
            <w:hideMark/>
          </w:tcPr>
          <w:p w14:paraId="6C3F690D" w14:textId="77777777" w:rsidR="00BF7ACA" w:rsidRPr="00B915F8" w:rsidRDefault="00BF7ACA" w:rsidP="007924BE">
            <w:pPr>
              <w:pStyle w:val="ColumnHeading"/>
              <w:keepNext/>
            </w:pPr>
            <w:r w:rsidRPr="00B915F8">
              <w:t>Texte proposé par la Commission</w:t>
            </w:r>
          </w:p>
        </w:tc>
        <w:tc>
          <w:tcPr>
            <w:tcW w:w="4876" w:type="dxa"/>
            <w:hideMark/>
          </w:tcPr>
          <w:p w14:paraId="57AE1560" w14:textId="77777777" w:rsidR="00BF7ACA" w:rsidRPr="00B915F8" w:rsidRDefault="00BF7ACA" w:rsidP="007924BE">
            <w:pPr>
              <w:pStyle w:val="ColumnHeading"/>
              <w:keepNext/>
            </w:pPr>
            <w:r w:rsidRPr="00B915F8">
              <w:t>Amendement</w:t>
            </w:r>
          </w:p>
        </w:tc>
      </w:tr>
      <w:tr w:rsidR="00BF7ACA" w:rsidRPr="00355860" w14:paraId="0F25E7D9" w14:textId="77777777" w:rsidTr="007924BE">
        <w:trPr>
          <w:jc w:val="center"/>
        </w:trPr>
        <w:tc>
          <w:tcPr>
            <w:tcW w:w="4876" w:type="dxa"/>
          </w:tcPr>
          <w:p w14:paraId="0AAB1E8C" w14:textId="77777777" w:rsidR="00BF7ACA" w:rsidRPr="00B915F8" w:rsidRDefault="00BF7ACA" w:rsidP="007924BE">
            <w:pPr>
              <w:pStyle w:val="Normal6"/>
            </w:pPr>
          </w:p>
        </w:tc>
        <w:tc>
          <w:tcPr>
            <w:tcW w:w="4876" w:type="dxa"/>
            <w:hideMark/>
          </w:tcPr>
          <w:p w14:paraId="61BF9E39" w14:textId="77777777" w:rsidR="00BF7ACA" w:rsidRPr="00DC274A" w:rsidRDefault="00BF7ACA" w:rsidP="007924BE">
            <w:pPr>
              <w:pStyle w:val="Normal6"/>
              <w:rPr>
                <w:b/>
                <w:i/>
                <w:szCs w:val="24"/>
              </w:rPr>
            </w:pPr>
            <w:r w:rsidRPr="00DC274A">
              <w:rPr>
                <w:b/>
                <w:i/>
              </w:rPr>
              <w:t>1 bis.</w:t>
            </w:r>
            <w:r w:rsidRPr="00DC274A">
              <w:rPr>
                <w:b/>
                <w:i/>
              </w:rPr>
              <w:tab/>
              <w:t>Un des objectifs à atteindre est le renforcement des politiques de coopération au développement en faveur des bénéficiaires qui en ont le plus besoin, les efforts devant porter particulièrement sur la lutte contre la pauvreté et sur la réduction des inégalités. Les fonds doivent être canalisés vers des projets d’investissements réalisables, alignés sur l’article 21 du traité sur l’Union européenne, sur les objectifs de développement durable et sur les principes de l’efficacité du développement convenus au niveau international. Ces projets doivent tenir compte des souhaits des communautés locales et ne doivent pas porter atteinte à la libre circulation des populations.</w:t>
            </w:r>
          </w:p>
        </w:tc>
      </w:tr>
    </w:tbl>
    <w:p w14:paraId="3C3C1BF7"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909AC0B" w14:textId="77777777" w:rsidR="00BF7ACA" w:rsidRPr="00BF7ACA" w:rsidRDefault="00BF7ACA" w:rsidP="00BF7ACA">
      <w:r w:rsidRPr="00BF7ACA">
        <w:rPr>
          <w:rStyle w:val="HideTWBExt"/>
        </w:rPr>
        <w:t>&lt;/Amend&gt;</w:t>
      </w:r>
    </w:p>
    <w:p w14:paraId="4DBB4405"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185</w:t>
      </w:r>
      <w:r w:rsidRPr="00BF7ACA">
        <w:rPr>
          <w:rStyle w:val="HideTWBExt"/>
          <w:b w:val="0"/>
        </w:rPr>
        <w:t>&lt;/NumAm&gt;</w:t>
      </w:r>
    </w:p>
    <w:p w14:paraId="242D4BB6"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78BE3B10" w14:textId="77777777" w:rsidR="00BF7ACA" w:rsidRPr="00355860" w:rsidRDefault="00BF7ACA" w:rsidP="00BF7ACA">
      <w:r>
        <w:rPr>
          <w:rStyle w:val="HideTWBExt"/>
        </w:rPr>
        <w:t>&lt;/RepeatBlock-By&gt;</w:t>
      </w:r>
    </w:p>
    <w:p w14:paraId="34ECCCA0"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7B72DAAE" w14:textId="77777777"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2467D803" w14:textId="77777777" w:rsidTr="007924BE">
        <w:trPr>
          <w:jc w:val="center"/>
        </w:trPr>
        <w:tc>
          <w:tcPr>
            <w:tcW w:w="9752" w:type="dxa"/>
            <w:gridSpan w:val="2"/>
          </w:tcPr>
          <w:p w14:paraId="003C4D23" w14:textId="77777777" w:rsidR="00BF7ACA" w:rsidRPr="00355860" w:rsidRDefault="00BF7ACA" w:rsidP="007924BE">
            <w:pPr>
              <w:keepNext/>
            </w:pPr>
          </w:p>
        </w:tc>
      </w:tr>
      <w:tr w:rsidR="00BF7ACA" w:rsidRPr="00355860" w14:paraId="172DCED2" w14:textId="77777777" w:rsidTr="007924BE">
        <w:trPr>
          <w:jc w:val="center"/>
        </w:trPr>
        <w:tc>
          <w:tcPr>
            <w:tcW w:w="4876" w:type="dxa"/>
            <w:hideMark/>
          </w:tcPr>
          <w:p w14:paraId="3ED6A995" w14:textId="77777777" w:rsidR="00BF7ACA" w:rsidRPr="00B915F8" w:rsidRDefault="00BF7ACA" w:rsidP="007924BE">
            <w:pPr>
              <w:pStyle w:val="ColumnHeading"/>
              <w:keepNext/>
            </w:pPr>
            <w:r w:rsidRPr="00B915F8">
              <w:t>Texte proposé par la Commission</w:t>
            </w:r>
          </w:p>
        </w:tc>
        <w:tc>
          <w:tcPr>
            <w:tcW w:w="4876" w:type="dxa"/>
            <w:hideMark/>
          </w:tcPr>
          <w:p w14:paraId="4C348DB9" w14:textId="77777777" w:rsidR="00BF7ACA" w:rsidRPr="00B915F8" w:rsidRDefault="00BF7ACA" w:rsidP="007924BE">
            <w:pPr>
              <w:pStyle w:val="ColumnHeading"/>
              <w:keepNext/>
            </w:pPr>
            <w:r w:rsidRPr="00B915F8">
              <w:t>Amendement</w:t>
            </w:r>
          </w:p>
        </w:tc>
      </w:tr>
      <w:tr w:rsidR="00BF7ACA" w:rsidRPr="00355860" w14:paraId="49672F56" w14:textId="77777777" w:rsidTr="007924BE">
        <w:trPr>
          <w:jc w:val="center"/>
        </w:trPr>
        <w:tc>
          <w:tcPr>
            <w:tcW w:w="4876" w:type="dxa"/>
            <w:hideMark/>
          </w:tcPr>
          <w:p w14:paraId="5364153F" w14:textId="77777777" w:rsidR="00BF7ACA" w:rsidRPr="00DC274A" w:rsidRDefault="00BF7ACA" w:rsidP="007924BE">
            <w:pPr>
              <w:pStyle w:val="Normal6"/>
              <w:rPr>
                <w:b/>
                <w:i/>
              </w:rPr>
            </w:pPr>
            <w:r w:rsidRPr="00DC274A">
              <w:t>2.</w:t>
            </w:r>
            <w:r w:rsidRPr="00DC274A">
              <w:rPr>
                <w:b/>
                <w:i/>
              </w:rPr>
              <w:tab/>
            </w:r>
            <w:r w:rsidRPr="00DC274A">
              <w:t>Le FEDD contribue à la réalisation des</w:t>
            </w:r>
            <w:r w:rsidRPr="00DC274A">
              <w:rPr>
                <w:b/>
                <w:i/>
              </w:rPr>
              <w:t xml:space="preserve"> objectifs</w:t>
            </w:r>
            <w:r w:rsidRPr="00DC274A">
              <w:t xml:space="preserve"> de développement durable à l’horizon 2030, en</w:t>
            </w:r>
            <w:r w:rsidRPr="00DC274A">
              <w:rPr>
                <w:b/>
                <w:i/>
              </w:rPr>
              <w:t xml:space="preserve"> mettant particulièrement</w:t>
            </w:r>
            <w:r w:rsidRPr="00DC274A">
              <w:t xml:space="preserve"> l’</w:t>
            </w:r>
            <w:r w:rsidRPr="00DC274A">
              <w:rPr>
                <w:b/>
                <w:i/>
              </w:rPr>
              <w:t>accent</w:t>
            </w:r>
            <w:r w:rsidRPr="00DC274A">
              <w:t xml:space="preserve"> sur la croissance durable, la création d’emplois, les secteurs socio-économiques et le soutien aux</w:t>
            </w:r>
            <w:r w:rsidRPr="00DC274A">
              <w:rPr>
                <w:b/>
                <w:i/>
              </w:rPr>
              <w:t xml:space="preserve"> micros,</w:t>
            </w:r>
            <w:r w:rsidRPr="00DC274A">
              <w:t xml:space="preserve"> petites et moyennes entreprises,</w:t>
            </w:r>
            <w:r w:rsidRPr="00DC274A">
              <w:rPr>
                <w:b/>
                <w:i/>
              </w:rPr>
              <w:t xml:space="preserve"> et permet ainsi de</w:t>
            </w:r>
            <w:r w:rsidRPr="00DC274A">
              <w:t xml:space="preserve"> lutter contre les causes profondes de la migration et de</w:t>
            </w:r>
            <w:r w:rsidRPr="00DC274A">
              <w:rPr>
                <w:b/>
                <w:i/>
              </w:rPr>
              <w:t xml:space="preserve"> contribuer à</w:t>
            </w:r>
            <w:r w:rsidRPr="00DC274A">
              <w:t xml:space="preserve"> la réintégration durable des migrants</w:t>
            </w:r>
            <w:r w:rsidRPr="00DC274A">
              <w:rPr>
                <w:b/>
                <w:i/>
              </w:rPr>
              <w:t xml:space="preserve"> de retour</w:t>
            </w:r>
            <w:r w:rsidRPr="00DC274A">
              <w:t xml:space="preserve"> dans</w:t>
            </w:r>
            <w:r w:rsidRPr="00DC274A">
              <w:rPr>
                <w:b/>
                <w:i/>
              </w:rPr>
              <w:t xml:space="preserve"> leur</w:t>
            </w:r>
            <w:r w:rsidRPr="00DC274A">
              <w:t xml:space="preserve"> pays d’origine,</w:t>
            </w:r>
            <w:r w:rsidRPr="00DC274A">
              <w:rPr>
                <w:b/>
                <w:i/>
              </w:rPr>
              <w:t xml:space="preserve"> tout en exploitant au mieux l’additionnalité, en favorisant la fourniture de produits innovants et en attirant des financements privés</w:t>
            </w:r>
            <w:r w:rsidRPr="00DC274A">
              <w:t>.</w:t>
            </w:r>
          </w:p>
        </w:tc>
        <w:tc>
          <w:tcPr>
            <w:tcW w:w="4876" w:type="dxa"/>
            <w:hideMark/>
          </w:tcPr>
          <w:p w14:paraId="418FEC40" w14:textId="77777777" w:rsidR="00BF7ACA" w:rsidRPr="00DC274A" w:rsidRDefault="00BF7ACA" w:rsidP="007924BE">
            <w:pPr>
              <w:pStyle w:val="Normal6"/>
              <w:rPr>
                <w:b/>
                <w:i/>
                <w:szCs w:val="24"/>
              </w:rPr>
            </w:pPr>
            <w:r w:rsidRPr="00DC274A">
              <w:t>2.</w:t>
            </w:r>
            <w:r w:rsidRPr="00DC274A">
              <w:rPr>
                <w:b/>
                <w:i/>
              </w:rPr>
              <w:tab/>
            </w:r>
            <w:r w:rsidRPr="00DC274A">
              <w:t>Le FEDD contribue à la réalisation des</w:t>
            </w:r>
            <w:r w:rsidRPr="00DC274A">
              <w:rPr>
                <w:b/>
                <w:i/>
              </w:rPr>
              <w:t xml:space="preserve"> principes qui sous-tendent le programme</w:t>
            </w:r>
            <w:r w:rsidRPr="00DC274A">
              <w:t xml:space="preserve"> de développement durable à l’horizon 2030,</w:t>
            </w:r>
            <w:r w:rsidRPr="00DC274A">
              <w:rPr>
                <w:b/>
                <w:i/>
              </w:rPr>
              <w:t xml:space="preserve"> comme celui de ne laisser personne de côté, ainsi que des objectifs de développement durable,</w:t>
            </w:r>
            <w:r w:rsidRPr="00DC274A">
              <w:t xml:space="preserve"> en</w:t>
            </w:r>
            <w:r w:rsidRPr="00DC274A">
              <w:rPr>
                <w:b/>
                <w:i/>
              </w:rPr>
              <w:t xml:space="preserve"> particulier la lutte contre la pauvreté et les inégalités.</w:t>
            </w:r>
            <w:r w:rsidRPr="00DC274A">
              <w:t xml:space="preserve"> L’</w:t>
            </w:r>
            <w:r w:rsidRPr="00DC274A">
              <w:rPr>
                <w:b/>
                <w:i/>
              </w:rPr>
              <w:t>intervention du Fonds est guidée par les objectifs énoncés à l’article 21 du traité UE et à l’article 208 du TFUE et par les principes de l’efficacité du développement convenus au niveau international, notamment l’appropriation, l’alignement</w:t>
            </w:r>
            <w:r w:rsidRPr="00DC274A">
              <w:t xml:space="preserve"> sur</w:t>
            </w:r>
            <w:r w:rsidRPr="00DC274A">
              <w:rPr>
                <w:b/>
                <w:i/>
              </w:rPr>
              <w:t xml:space="preserve"> les stratégies nationales, l’harmonisation,</w:t>
            </w:r>
            <w:r w:rsidRPr="00DC274A">
              <w:t xml:space="preserve"> la</w:t>
            </w:r>
            <w:r w:rsidRPr="00DC274A">
              <w:rPr>
                <w:b/>
                <w:i/>
              </w:rPr>
              <w:t xml:space="preserve"> responsabilité démocratique et les résultats, et devrait ainsi contribuer à la réalisation des objectifs de l’Union en faveur du développement, en particulier l’éradication de la pauvreté, la réduction des inégalités, la</w:t>
            </w:r>
            <w:r w:rsidRPr="00DC274A">
              <w:t xml:space="preserve"> croissance durable</w:t>
            </w:r>
            <w:r w:rsidRPr="00DC274A">
              <w:rPr>
                <w:b/>
                <w:i/>
              </w:rPr>
              <w:t xml:space="preserve"> à long terme pour tous</w:t>
            </w:r>
            <w:r w:rsidRPr="00DC274A">
              <w:t>, la création d’emplois</w:t>
            </w:r>
            <w:r w:rsidRPr="00DC274A">
              <w:rPr>
                <w:b/>
                <w:i/>
              </w:rPr>
              <w:t xml:space="preserve"> décents</w:t>
            </w:r>
            <w:r w:rsidRPr="00DC274A">
              <w:t>, les</w:t>
            </w:r>
            <w:r w:rsidRPr="00DC274A">
              <w:rPr>
                <w:b/>
                <w:i/>
              </w:rPr>
              <w:t xml:space="preserve"> transferts de technologies et le partage du savoir, les</w:t>
            </w:r>
            <w:r w:rsidRPr="00DC274A">
              <w:t xml:space="preserve"> secteurs socio-économiques et le soutien aux</w:t>
            </w:r>
            <w:r w:rsidRPr="00DC274A">
              <w:rPr>
                <w:b/>
                <w:i/>
              </w:rPr>
              <w:t xml:space="preserve"> microentreprises et aux</w:t>
            </w:r>
            <w:r w:rsidRPr="00DC274A">
              <w:t xml:space="preserve"> petites et moyennes entreprises</w:t>
            </w:r>
            <w:r w:rsidRPr="00DC274A">
              <w:rPr>
                <w:b/>
                <w:i/>
              </w:rPr>
              <w:t>. Ce faisant</w:t>
            </w:r>
            <w:r w:rsidRPr="00DC274A">
              <w:t>,</w:t>
            </w:r>
            <w:r w:rsidRPr="00DC274A">
              <w:rPr>
                <w:b/>
                <w:i/>
              </w:rPr>
              <w:t xml:space="preserve"> le FEDD contribue, entre autres, à</w:t>
            </w:r>
            <w:r w:rsidRPr="00DC274A">
              <w:t xml:space="preserve"> lutter contre les causes</w:t>
            </w:r>
            <w:r w:rsidRPr="00DC274A">
              <w:rPr>
                <w:b/>
                <w:i/>
              </w:rPr>
              <w:t xml:space="preserve"> socio-économiques spécifiques</w:t>
            </w:r>
            <w:r w:rsidRPr="00DC274A">
              <w:t xml:space="preserve"> profondes de la migration</w:t>
            </w:r>
            <w:r w:rsidRPr="00DC274A">
              <w:rPr>
                <w:b/>
                <w:i/>
              </w:rPr>
              <w:t xml:space="preserve"> forcée (notamment la pauvreté, les inégalités, la croissance démographique, la pénurie d’emplois</w:t>
            </w:r>
            <w:r w:rsidRPr="00DC274A">
              <w:t xml:space="preserve"> et de</w:t>
            </w:r>
            <w:r w:rsidRPr="00DC274A">
              <w:rPr>
                <w:b/>
                <w:i/>
              </w:rPr>
              <w:t xml:space="preserve"> perspectives économiques et le changement climatique), favorise</w:t>
            </w:r>
            <w:r w:rsidRPr="00DC274A">
              <w:t xml:space="preserve"> la réintégration durable des migrants</w:t>
            </w:r>
            <w:r w:rsidRPr="00DC274A">
              <w:rPr>
                <w:b/>
                <w:i/>
              </w:rPr>
              <w:t xml:space="preserve"> qui retournent volontairement</w:t>
            </w:r>
            <w:r w:rsidRPr="00DC274A">
              <w:t xml:space="preserve"> dans</w:t>
            </w:r>
            <w:r w:rsidRPr="00DC274A">
              <w:rPr>
                <w:b/>
                <w:i/>
              </w:rPr>
              <w:t xml:space="preserve"> leurs</w:t>
            </w:r>
            <w:r w:rsidRPr="00DC274A">
              <w:t xml:space="preserve"> pays d’origine</w:t>
            </w:r>
            <w:r w:rsidRPr="00DC274A">
              <w:rPr>
                <w:b/>
                <w:i/>
              </w:rPr>
              <w:t xml:space="preserve"> ou qui transitent par ces pays</w:t>
            </w:r>
            <w:r w:rsidRPr="00DC274A">
              <w:t>,</w:t>
            </w:r>
            <w:r w:rsidRPr="00DC274A">
              <w:rPr>
                <w:b/>
                <w:i/>
              </w:rPr>
              <w:t xml:space="preserve"> et renforce la résilience des communautés d’accueil</w:t>
            </w:r>
            <w:r w:rsidRPr="00DC274A">
              <w:t>.</w:t>
            </w:r>
          </w:p>
        </w:tc>
      </w:tr>
    </w:tbl>
    <w:p w14:paraId="168FD92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78A57A7" w14:textId="77777777" w:rsidR="00BF7ACA" w:rsidRPr="00BF7ACA" w:rsidRDefault="00BF7ACA" w:rsidP="00BF7ACA">
      <w:r w:rsidRPr="00BF7ACA">
        <w:rPr>
          <w:rStyle w:val="HideTWBExt"/>
        </w:rPr>
        <w:t>&lt;/Amend&gt;</w:t>
      </w:r>
    </w:p>
    <w:p w14:paraId="45B9D524"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186</w:t>
      </w:r>
      <w:r w:rsidRPr="00BF7ACA">
        <w:rPr>
          <w:rStyle w:val="HideTWBExt"/>
          <w:b w:val="0"/>
        </w:rPr>
        <w:t>&lt;/NumAm&gt;</w:t>
      </w:r>
    </w:p>
    <w:p w14:paraId="05328E9D" w14:textId="77777777" w:rsidR="00BF7ACA" w:rsidRPr="00BF7ACA" w:rsidRDefault="00BF7ACA" w:rsidP="00BF7ACA">
      <w:pPr>
        <w:pStyle w:val="NormalBold"/>
      </w:pPr>
      <w:r w:rsidRPr="00BF7ACA">
        <w:rPr>
          <w:rStyle w:val="HideTWBExt"/>
          <w:b w:val="0"/>
        </w:rPr>
        <w:t>&lt;RepeatBlock-By&gt;&lt;Members&gt;</w:t>
      </w:r>
      <w:r w:rsidRPr="00BF7ACA">
        <w:t>Eleni Theocharous</w:t>
      </w:r>
      <w:r w:rsidRPr="00BF7ACA">
        <w:rPr>
          <w:rStyle w:val="HideTWBExt"/>
          <w:b w:val="0"/>
        </w:rPr>
        <w:t>&lt;/Members&gt;</w:t>
      </w:r>
    </w:p>
    <w:p w14:paraId="7F95C9EA" w14:textId="77777777" w:rsidR="00BF7ACA" w:rsidRPr="00355860" w:rsidRDefault="00BF7ACA" w:rsidP="00BF7ACA">
      <w:r>
        <w:rPr>
          <w:rStyle w:val="HideTWBExt"/>
        </w:rPr>
        <w:t>&lt;/RepeatBlock-By&gt;</w:t>
      </w:r>
    </w:p>
    <w:p w14:paraId="30700EA5"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5EE9480" w14:textId="77777777"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3FAB09F5" w14:textId="77777777" w:rsidTr="007924BE">
        <w:trPr>
          <w:jc w:val="center"/>
        </w:trPr>
        <w:tc>
          <w:tcPr>
            <w:tcW w:w="9752" w:type="dxa"/>
            <w:gridSpan w:val="2"/>
          </w:tcPr>
          <w:p w14:paraId="3CC3D40F" w14:textId="77777777" w:rsidR="00BF7ACA" w:rsidRPr="00355860" w:rsidRDefault="00BF7ACA" w:rsidP="007924BE">
            <w:pPr>
              <w:keepNext/>
            </w:pPr>
          </w:p>
        </w:tc>
      </w:tr>
      <w:tr w:rsidR="00BF7ACA" w:rsidRPr="00355860" w14:paraId="0C7BC9BC" w14:textId="77777777" w:rsidTr="007924BE">
        <w:trPr>
          <w:jc w:val="center"/>
        </w:trPr>
        <w:tc>
          <w:tcPr>
            <w:tcW w:w="4876" w:type="dxa"/>
            <w:hideMark/>
          </w:tcPr>
          <w:p w14:paraId="1FA9D2EC" w14:textId="77777777" w:rsidR="00BF7ACA" w:rsidRPr="00B915F8" w:rsidRDefault="00BF7ACA" w:rsidP="007924BE">
            <w:pPr>
              <w:pStyle w:val="ColumnHeading"/>
              <w:keepNext/>
            </w:pPr>
            <w:r w:rsidRPr="00B915F8">
              <w:t>Texte proposé par la Commission</w:t>
            </w:r>
          </w:p>
        </w:tc>
        <w:tc>
          <w:tcPr>
            <w:tcW w:w="4876" w:type="dxa"/>
            <w:hideMark/>
          </w:tcPr>
          <w:p w14:paraId="510D762F" w14:textId="77777777" w:rsidR="00BF7ACA" w:rsidRPr="00B915F8" w:rsidRDefault="00BF7ACA" w:rsidP="007924BE">
            <w:pPr>
              <w:pStyle w:val="ColumnHeading"/>
              <w:keepNext/>
            </w:pPr>
            <w:r w:rsidRPr="00B915F8">
              <w:t>Amendement</w:t>
            </w:r>
          </w:p>
        </w:tc>
      </w:tr>
      <w:tr w:rsidR="00BF7ACA" w:rsidRPr="00355860" w14:paraId="0FDD5CA0" w14:textId="77777777" w:rsidTr="007924BE">
        <w:trPr>
          <w:jc w:val="center"/>
        </w:trPr>
        <w:tc>
          <w:tcPr>
            <w:tcW w:w="4876" w:type="dxa"/>
            <w:hideMark/>
          </w:tcPr>
          <w:p w14:paraId="03F6F0EA" w14:textId="77777777" w:rsidR="00BF7ACA" w:rsidRPr="00DC274A" w:rsidRDefault="00BF7ACA" w:rsidP="007924BE">
            <w:pPr>
              <w:pStyle w:val="Normal6"/>
              <w:rPr>
                <w:b/>
                <w:i/>
              </w:rPr>
            </w:pPr>
            <w:r w:rsidRPr="00DC274A">
              <w:t>2.</w:t>
            </w:r>
            <w:r w:rsidRPr="00DC274A">
              <w:rPr>
                <w:b/>
                <w:i/>
              </w:rPr>
              <w:tab/>
            </w:r>
            <w:r w:rsidRPr="00DC274A">
              <w:t>Le FEDD contribue à la réalisation des objectifs de développement durable à l’horizon 2030, en mettant particulièrement l’accent sur la croissance durable, la création d’emplois, les secteurs socio-économiques et le soutien aux micros, petites et moyennes entreprises,</w:t>
            </w:r>
            <w:r w:rsidRPr="00DC274A">
              <w:rPr>
                <w:b/>
                <w:i/>
              </w:rPr>
              <w:t xml:space="preserve"> et permet ainsi de</w:t>
            </w:r>
            <w:r w:rsidRPr="00DC274A">
              <w:t xml:space="preserve"> lutter contre les causes profondes de la migration</w:t>
            </w:r>
            <w:r w:rsidRPr="00DC274A">
              <w:rPr>
                <w:b/>
                <w:i/>
              </w:rPr>
              <w:t xml:space="preserve"> et de contribuer à</w:t>
            </w:r>
            <w:r w:rsidRPr="00DC274A">
              <w:t xml:space="preserve"> la réintégration durable des migrants</w:t>
            </w:r>
            <w:r w:rsidRPr="00DC274A">
              <w:rPr>
                <w:b/>
                <w:i/>
              </w:rPr>
              <w:t xml:space="preserve"> de retour</w:t>
            </w:r>
            <w:r w:rsidRPr="00DC274A">
              <w:t xml:space="preserve"> dans</w:t>
            </w:r>
            <w:r w:rsidRPr="00DC274A">
              <w:rPr>
                <w:b/>
                <w:i/>
              </w:rPr>
              <w:t xml:space="preserve"> leur</w:t>
            </w:r>
            <w:r w:rsidRPr="00DC274A">
              <w:t xml:space="preserve"> pays d’origine,</w:t>
            </w:r>
            <w:r w:rsidRPr="00DC274A">
              <w:rPr>
                <w:b/>
                <w:i/>
              </w:rPr>
              <w:t xml:space="preserve"> tout en exploitant au mieux l’additionnalité, en favorisant la fourniture de produits innovants et en attirant des financements privés</w:t>
            </w:r>
            <w:r w:rsidRPr="00DC274A">
              <w:t>.</w:t>
            </w:r>
          </w:p>
        </w:tc>
        <w:tc>
          <w:tcPr>
            <w:tcW w:w="4876" w:type="dxa"/>
            <w:hideMark/>
          </w:tcPr>
          <w:p w14:paraId="3384FCA7" w14:textId="77777777" w:rsidR="00BF7ACA" w:rsidRPr="00DC274A" w:rsidRDefault="00BF7ACA" w:rsidP="007924BE">
            <w:pPr>
              <w:pStyle w:val="Normal6"/>
              <w:rPr>
                <w:b/>
                <w:i/>
                <w:szCs w:val="24"/>
              </w:rPr>
            </w:pPr>
            <w:r w:rsidRPr="00DC274A">
              <w:t>2.</w:t>
            </w:r>
            <w:r w:rsidRPr="00DC274A">
              <w:rPr>
                <w:b/>
                <w:i/>
              </w:rPr>
              <w:tab/>
            </w:r>
            <w:r w:rsidRPr="00DC274A">
              <w:t>Le FEDD contribue à la réalisation des objectifs de développement durable à l’horizon 2030, en</w:t>
            </w:r>
            <w:r w:rsidRPr="00DC274A">
              <w:rPr>
                <w:b/>
                <w:i/>
              </w:rPr>
              <w:t xml:space="preserve"> ne laissant personne de côté, et repose sur les objectifs énoncés à l’article 21 du traité UE et à l’article 208 du TFUE, ainsi que sur les principes d’efficacité reconnus à l’échelle internationale en matière de développement. Il participe ainsi aux politiques de développement et de voisinage de l’Union ainsi qu’au nouveau cadre de partenariat avec les pays tiers dans le cadre de l’Agenda européen en matière de migration, en</w:t>
            </w:r>
            <w:r w:rsidRPr="00DC274A">
              <w:t xml:space="preserve"> mettant particulièrement l’accent sur</w:t>
            </w:r>
            <w:r w:rsidRPr="00DC274A">
              <w:rPr>
                <w:b/>
                <w:i/>
              </w:rPr>
              <w:t xml:space="preserve"> l’éradication de</w:t>
            </w:r>
            <w:r w:rsidRPr="00DC274A">
              <w:t xml:space="preserve"> la</w:t>
            </w:r>
            <w:r w:rsidRPr="00DC274A">
              <w:rPr>
                <w:b/>
                <w:i/>
              </w:rPr>
              <w:t xml:space="preserve"> pauvreté, la</w:t>
            </w:r>
            <w:r w:rsidRPr="00DC274A">
              <w:t xml:space="preserve"> croissance durable</w:t>
            </w:r>
            <w:r w:rsidRPr="00DC274A">
              <w:rPr>
                <w:b/>
                <w:i/>
              </w:rPr>
              <w:t xml:space="preserve"> et inclusive à long terme</w:t>
            </w:r>
            <w:r w:rsidRPr="00DC274A">
              <w:t>, la création d’emplois, les secteurs socio-économiques et le soutien aux micros, petites et moyennes entreprises</w:t>
            </w:r>
            <w:r w:rsidRPr="00DC274A">
              <w:rPr>
                <w:b/>
                <w:i/>
              </w:rPr>
              <w:t>. Ce faisant</w:t>
            </w:r>
            <w:r w:rsidRPr="00DC274A">
              <w:t>,</w:t>
            </w:r>
            <w:r w:rsidRPr="00DC274A">
              <w:rPr>
                <w:b/>
                <w:i/>
              </w:rPr>
              <w:t xml:space="preserve"> le FEDD contribue, entre autres, à</w:t>
            </w:r>
            <w:r w:rsidRPr="00DC274A">
              <w:t xml:space="preserve"> lutter contre les causes</w:t>
            </w:r>
            <w:r w:rsidRPr="00DC274A">
              <w:rPr>
                <w:b/>
                <w:i/>
              </w:rPr>
              <w:t xml:space="preserve"> socio-économiques spécifiques</w:t>
            </w:r>
            <w:r w:rsidRPr="00DC274A">
              <w:t xml:space="preserve"> profondes de la migration</w:t>
            </w:r>
            <w:r w:rsidRPr="00DC274A">
              <w:rPr>
                <w:b/>
                <w:i/>
              </w:rPr>
              <w:t>, favorise</w:t>
            </w:r>
            <w:r w:rsidRPr="00DC274A">
              <w:t xml:space="preserve"> la réintégration durable des migrants</w:t>
            </w:r>
            <w:r w:rsidRPr="00DC274A">
              <w:rPr>
                <w:b/>
                <w:i/>
              </w:rPr>
              <w:t xml:space="preserve"> qui retournent</w:t>
            </w:r>
            <w:r w:rsidRPr="00DC274A">
              <w:t xml:space="preserve"> dans</w:t>
            </w:r>
            <w:r w:rsidRPr="00DC274A">
              <w:rPr>
                <w:b/>
                <w:i/>
              </w:rPr>
              <w:t xml:space="preserve"> leurs</w:t>
            </w:r>
            <w:r w:rsidRPr="00DC274A">
              <w:t xml:space="preserve"> pays d’origine</w:t>
            </w:r>
            <w:r w:rsidRPr="00DC274A">
              <w:rPr>
                <w:b/>
                <w:i/>
              </w:rPr>
              <w:t xml:space="preserve"> ou transitent par ces pays</w:t>
            </w:r>
            <w:r w:rsidRPr="00DC274A">
              <w:t>,</w:t>
            </w:r>
            <w:r w:rsidRPr="00DC274A">
              <w:rPr>
                <w:b/>
                <w:i/>
              </w:rPr>
              <w:t xml:space="preserve"> et renforce la résilience des communautés d’accueil</w:t>
            </w:r>
            <w:r w:rsidRPr="00DC274A">
              <w:t>.</w:t>
            </w:r>
          </w:p>
        </w:tc>
      </w:tr>
    </w:tbl>
    <w:p w14:paraId="3A372451"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079081F" w14:textId="77777777" w:rsidR="00BF7ACA" w:rsidRPr="00BF7ACA" w:rsidRDefault="00BF7ACA" w:rsidP="00BF7ACA">
      <w:r w:rsidRPr="00BF7ACA">
        <w:rPr>
          <w:rStyle w:val="HideTWBExt"/>
        </w:rPr>
        <w:t>&lt;/Amend&gt;</w:t>
      </w:r>
    </w:p>
    <w:p w14:paraId="313F2CE8"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187</w:t>
      </w:r>
      <w:r w:rsidRPr="00E502E5">
        <w:rPr>
          <w:rStyle w:val="HideTWBExt"/>
          <w:b w:val="0"/>
        </w:rPr>
        <w:t>&lt;/NumAm&gt;</w:t>
      </w:r>
    </w:p>
    <w:p w14:paraId="5FAA7F38" w14:textId="77777777"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14:paraId="2ADF775D" w14:textId="77777777" w:rsidR="00BF7ACA" w:rsidRPr="00E502E5" w:rsidRDefault="00BF7ACA" w:rsidP="00BF7ACA">
      <w:r w:rsidRPr="00E502E5">
        <w:rPr>
          <w:rStyle w:val="HideTWBExt"/>
        </w:rPr>
        <w:t>&lt;/RepeatBlock-By&gt;</w:t>
      </w:r>
    </w:p>
    <w:p w14:paraId="59F2F377"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5872FD69" w14:textId="77777777" w:rsidR="00BF7ACA" w:rsidRPr="00E502E5" w:rsidRDefault="00BF7ACA" w:rsidP="00BF7ACA">
      <w:pPr>
        <w:pStyle w:val="NormalBold"/>
      </w:pPr>
      <w:r w:rsidRPr="00E502E5">
        <w:rPr>
          <w:rStyle w:val="HideTWBExt"/>
          <w:b w:val="0"/>
        </w:rPr>
        <w:t>&lt;Article&gt;</w:t>
      </w:r>
      <w:r w:rsidRPr="00E502E5">
        <w:t>Article 3 – paragraphe 2</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5025944A" w14:textId="77777777" w:rsidTr="007924BE">
        <w:trPr>
          <w:jc w:val="center"/>
        </w:trPr>
        <w:tc>
          <w:tcPr>
            <w:tcW w:w="9752" w:type="dxa"/>
            <w:gridSpan w:val="2"/>
          </w:tcPr>
          <w:p w14:paraId="4E709589" w14:textId="77777777" w:rsidR="00BF7ACA" w:rsidRPr="00E502E5" w:rsidRDefault="00BF7ACA" w:rsidP="007924BE">
            <w:pPr>
              <w:keepNext/>
            </w:pPr>
          </w:p>
        </w:tc>
      </w:tr>
      <w:tr w:rsidR="00BF7ACA" w:rsidRPr="00E502E5" w14:paraId="35E09880" w14:textId="77777777" w:rsidTr="007924BE">
        <w:trPr>
          <w:jc w:val="center"/>
        </w:trPr>
        <w:tc>
          <w:tcPr>
            <w:tcW w:w="4876" w:type="dxa"/>
            <w:hideMark/>
          </w:tcPr>
          <w:p w14:paraId="4CB6CDD3" w14:textId="77777777" w:rsidR="00BF7ACA" w:rsidRPr="00E502E5" w:rsidRDefault="00BF7ACA" w:rsidP="007924BE">
            <w:pPr>
              <w:pStyle w:val="ColumnHeading"/>
              <w:keepNext/>
            </w:pPr>
            <w:r w:rsidRPr="00E502E5">
              <w:t>Texte proposé par la Commission</w:t>
            </w:r>
          </w:p>
        </w:tc>
        <w:tc>
          <w:tcPr>
            <w:tcW w:w="4876" w:type="dxa"/>
            <w:hideMark/>
          </w:tcPr>
          <w:p w14:paraId="1C02E38F" w14:textId="77777777" w:rsidR="00BF7ACA" w:rsidRPr="00E502E5" w:rsidRDefault="00BF7ACA" w:rsidP="007924BE">
            <w:pPr>
              <w:pStyle w:val="ColumnHeading"/>
              <w:keepNext/>
            </w:pPr>
            <w:r w:rsidRPr="00E502E5">
              <w:t>Amendement</w:t>
            </w:r>
          </w:p>
        </w:tc>
      </w:tr>
      <w:tr w:rsidR="00BF7ACA" w:rsidRPr="00E502E5" w14:paraId="1BC8ADEF" w14:textId="77777777" w:rsidTr="007924BE">
        <w:trPr>
          <w:jc w:val="center"/>
        </w:trPr>
        <w:tc>
          <w:tcPr>
            <w:tcW w:w="4876" w:type="dxa"/>
            <w:hideMark/>
          </w:tcPr>
          <w:p w14:paraId="04473F25" w14:textId="77777777" w:rsidR="00BF7ACA" w:rsidRPr="00E502E5" w:rsidRDefault="00BF7ACA" w:rsidP="007924BE">
            <w:pPr>
              <w:pStyle w:val="Normal6"/>
            </w:pPr>
            <w:r w:rsidRPr="00E502E5">
              <w:t>2.</w:t>
            </w:r>
            <w:r w:rsidRPr="00E502E5">
              <w:tab/>
              <w:t>Le FEDD contribue à la réalisation des objectifs de développement durable à l</w:t>
            </w:r>
            <w:r>
              <w:t>’</w:t>
            </w:r>
            <w:r w:rsidRPr="00E502E5">
              <w:t>horizon 2030, en mettant particulièrement l</w:t>
            </w:r>
            <w:r>
              <w:t>’</w:t>
            </w:r>
            <w:r w:rsidRPr="00E502E5">
              <w:t>accent sur la croissance durable, la création d</w:t>
            </w:r>
            <w:r>
              <w:t>’</w:t>
            </w:r>
            <w:r w:rsidRPr="00E502E5">
              <w:t>emplois, les secteurs socio-économiques et le soutien aux micros, petites et moyennes entreprises</w:t>
            </w:r>
            <w:r w:rsidRPr="00E502E5">
              <w:rPr>
                <w:b/>
                <w:i/>
              </w:rPr>
              <w:t>, et permet ainsi de</w:t>
            </w:r>
            <w:r w:rsidRPr="00E502E5">
              <w:t xml:space="preserve"> lutter contre les causes profondes de la migration </w:t>
            </w:r>
            <w:r w:rsidRPr="00E502E5">
              <w:rPr>
                <w:b/>
                <w:i/>
              </w:rPr>
              <w:t>et de contribuer à</w:t>
            </w:r>
            <w:r w:rsidRPr="00E502E5">
              <w:t xml:space="preserve"> la réintégration durable des migrants </w:t>
            </w:r>
            <w:r w:rsidRPr="00E502E5">
              <w:rPr>
                <w:b/>
                <w:i/>
              </w:rPr>
              <w:t>de retour dans leur</w:t>
            </w:r>
            <w:r w:rsidRPr="00E502E5">
              <w:t xml:space="preserve"> pays d</w:t>
            </w:r>
            <w:r>
              <w:t>’</w:t>
            </w:r>
            <w:r w:rsidRPr="00E502E5">
              <w:t xml:space="preserve">origine, </w:t>
            </w:r>
            <w:r w:rsidRPr="00E502E5">
              <w:rPr>
                <w:b/>
                <w:i/>
              </w:rPr>
              <w:t>tout en exploitant au mieux l</w:t>
            </w:r>
            <w:r>
              <w:rPr>
                <w:b/>
                <w:i/>
              </w:rPr>
              <w:t>’</w:t>
            </w:r>
            <w:r w:rsidRPr="00E502E5">
              <w:rPr>
                <w:b/>
                <w:i/>
              </w:rPr>
              <w:t>additionnalité, en favorisant la fourniture de produits innovants et en attirant des financements privés</w:t>
            </w:r>
            <w:r w:rsidRPr="00E502E5">
              <w:t>.</w:t>
            </w:r>
          </w:p>
        </w:tc>
        <w:tc>
          <w:tcPr>
            <w:tcW w:w="4876" w:type="dxa"/>
            <w:hideMark/>
          </w:tcPr>
          <w:p w14:paraId="3C4E1D59" w14:textId="77777777" w:rsidR="00BF7ACA" w:rsidRPr="00E502E5" w:rsidRDefault="00BF7ACA" w:rsidP="007924BE">
            <w:pPr>
              <w:pStyle w:val="Normal6"/>
              <w:rPr>
                <w:szCs w:val="24"/>
              </w:rPr>
            </w:pPr>
            <w:r w:rsidRPr="00E502E5">
              <w:t>2.</w:t>
            </w:r>
            <w:r w:rsidRPr="00E502E5">
              <w:tab/>
              <w:t>Le FEDD contribue à la réalisation des objectifs de développement durable à l</w:t>
            </w:r>
            <w:r>
              <w:t>’</w:t>
            </w:r>
            <w:r w:rsidRPr="00E502E5">
              <w:t xml:space="preserve">horizon 2030, </w:t>
            </w:r>
            <w:r w:rsidRPr="00E502E5">
              <w:rPr>
                <w:b/>
                <w:i/>
              </w:rPr>
              <w:t>et repose sur les objectifs énoncés à l</w:t>
            </w:r>
            <w:r>
              <w:rPr>
                <w:b/>
                <w:i/>
              </w:rPr>
              <w:t>’</w:t>
            </w:r>
            <w:r w:rsidRPr="00E502E5">
              <w:rPr>
                <w:b/>
                <w:i/>
              </w:rPr>
              <w:t>article 21 du traité sur l</w:t>
            </w:r>
            <w:r>
              <w:rPr>
                <w:b/>
                <w:i/>
              </w:rPr>
              <w:t>’</w:t>
            </w:r>
            <w:r w:rsidRPr="00E502E5">
              <w:rPr>
                <w:b/>
                <w:i/>
              </w:rPr>
              <w:t>Union européenne et à l</w:t>
            </w:r>
            <w:r>
              <w:rPr>
                <w:b/>
                <w:i/>
              </w:rPr>
              <w:t>’</w:t>
            </w:r>
            <w:r w:rsidRPr="00E502E5">
              <w:rPr>
                <w:b/>
                <w:i/>
              </w:rPr>
              <w:t>article 208 du traité FUE, ainsi que sur les principes d</w:t>
            </w:r>
            <w:r>
              <w:rPr>
                <w:b/>
                <w:i/>
              </w:rPr>
              <w:t>’</w:t>
            </w:r>
            <w:r w:rsidRPr="00E502E5">
              <w:rPr>
                <w:b/>
                <w:i/>
              </w:rPr>
              <w:t>efficacité reconnus à l</w:t>
            </w:r>
            <w:r>
              <w:rPr>
                <w:b/>
                <w:i/>
              </w:rPr>
              <w:t>’</w:t>
            </w:r>
            <w:r w:rsidRPr="00E502E5">
              <w:rPr>
                <w:b/>
                <w:i/>
              </w:rPr>
              <w:t>échelle internationale en matière de développement; contribuant ainsi aux politiques de développement et de voisinage de l</w:t>
            </w:r>
            <w:r>
              <w:rPr>
                <w:b/>
                <w:i/>
              </w:rPr>
              <w:t>’</w:t>
            </w:r>
            <w:r w:rsidRPr="00E502E5">
              <w:rPr>
                <w:b/>
                <w:i/>
              </w:rPr>
              <w:t>Union ainsi qu</w:t>
            </w:r>
            <w:r>
              <w:rPr>
                <w:b/>
                <w:i/>
              </w:rPr>
              <w:t>’</w:t>
            </w:r>
            <w:r w:rsidRPr="00E502E5">
              <w:rPr>
                <w:b/>
                <w:i/>
              </w:rPr>
              <w:t>au nouveau cadre de partenariat avec les pays tiers dans le cadre de l</w:t>
            </w:r>
            <w:r>
              <w:rPr>
                <w:b/>
                <w:i/>
              </w:rPr>
              <w:t>’</w:t>
            </w:r>
            <w:r w:rsidRPr="00E502E5">
              <w:rPr>
                <w:b/>
                <w:i/>
              </w:rPr>
              <w:t>Agenda européen en matière de migration,</w:t>
            </w:r>
            <w:r w:rsidRPr="00E502E5">
              <w:t xml:space="preserve"> en mettant particulièrement l</w:t>
            </w:r>
            <w:r>
              <w:t>’</w:t>
            </w:r>
            <w:r w:rsidRPr="00E502E5">
              <w:t xml:space="preserve">accent sur </w:t>
            </w:r>
            <w:r w:rsidRPr="00E502E5">
              <w:rPr>
                <w:b/>
                <w:i/>
              </w:rPr>
              <w:t>l</w:t>
            </w:r>
            <w:r>
              <w:rPr>
                <w:b/>
                <w:i/>
              </w:rPr>
              <w:t>’</w:t>
            </w:r>
            <w:r w:rsidRPr="00E502E5">
              <w:rPr>
                <w:b/>
                <w:i/>
              </w:rPr>
              <w:t>éradication de la pauvreté,</w:t>
            </w:r>
            <w:r w:rsidRPr="00E502E5">
              <w:t xml:space="preserve"> la croissance durable </w:t>
            </w:r>
            <w:r w:rsidRPr="00E502E5">
              <w:rPr>
                <w:b/>
                <w:i/>
              </w:rPr>
              <w:t>et inclusive à long terme</w:t>
            </w:r>
            <w:r w:rsidRPr="00E502E5">
              <w:t>, la création d</w:t>
            </w:r>
            <w:r>
              <w:t>’</w:t>
            </w:r>
            <w:r w:rsidRPr="00E502E5">
              <w:t xml:space="preserve">emplois </w:t>
            </w:r>
            <w:r w:rsidRPr="00E502E5">
              <w:rPr>
                <w:b/>
                <w:i/>
              </w:rPr>
              <w:t>décents</w:t>
            </w:r>
            <w:r w:rsidRPr="00E502E5">
              <w:t>, les secteurs socio-économiques et le soutien aux micros, petites et moyennes entreprises</w:t>
            </w:r>
            <w:r w:rsidRPr="00E502E5">
              <w:rPr>
                <w:b/>
                <w:i/>
              </w:rPr>
              <w:t>. Ce faisant, le FEDD contribue, entre autres, à</w:t>
            </w:r>
            <w:r w:rsidRPr="00E502E5">
              <w:t xml:space="preserve"> lutter contre les causes </w:t>
            </w:r>
            <w:r w:rsidRPr="00E502E5">
              <w:rPr>
                <w:b/>
                <w:i/>
              </w:rPr>
              <w:t>socio-économiques spécifiques</w:t>
            </w:r>
            <w:r w:rsidRPr="00E502E5">
              <w:t xml:space="preserve"> profondes de la migration</w:t>
            </w:r>
            <w:r w:rsidRPr="00E502E5">
              <w:rPr>
                <w:b/>
                <w:i/>
              </w:rPr>
              <w:t>, favorise</w:t>
            </w:r>
            <w:r w:rsidRPr="00E502E5">
              <w:t xml:space="preserve"> la réintégration durable des migrants </w:t>
            </w:r>
            <w:r w:rsidRPr="00E502E5">
              <w:rPr>
                <w:b/>
                <w:i/>
              </w:rPr>
              <w:t>qui retournent dans leurs</w:t>
            </w:r>
            <w:r w:rsidRPr="00E502E5">
              <w:t xml:space="preserve"> pays d</w:t>
            </w:r>
            <w:r>
              <w:t>’</w:t>
            </w:r>
            <w:r w:rsidRPr="00E502E5">
              <w:t xml:space="preserve">origine, </w:t>
            </w:r>
            <w:r w:rsidRPr="00E502E5">
              <w:rPr>
                <w:b/>
                <w:i/>
              </w:rPr>
              <w:t>et renforce la résilience des communautés d</w:t>
            </w:r>
            <w:r>
              <w:rPr>
                <w:b/>
                <w:i/>
              </w:rPr>
              <w:t>’</w:t>
            </w:r>
            <w:r w:rsidRPr="00E502E5">
              <w:rPr>
                <w:b/>
                <w:i/>
              </w:rPr>
              <w:t>accueil</w:t>
            </w:r>
            <w:r w:rsidRPr="00E502E5">
              <w:t>.</w:t>
            </w:r>
          </w:p>
        </w:tc>
      </w:tr>
    </w:tbl>
    <w:p w14:paraId="7CC5720D"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3DB560D2" w14:textId="77777777" w:rsidR="00BF7ACA" w:rsidRPr="00E502E5" w:rsidRDefault="00BF7ACA" w:rsidP="00BF7ACA">
      <w:r w:rsidRPr="00E502E5">
        <w:rPr>
          <w:rStyle w:val="HideTWBExt"/>
        </w:rPr>
        <w:t>&lt;/Amend&gt;</w:t>
      </w:r>
    </w:p>
    <w:p w14:paraId="6C5B9F7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188</w:t>
      </w:r>
      <w:r w:rsidRPr="00BF7ACA">
        <w:rPr>
          <w:rStyle w:val="HideTWBExt"/>
          <w:b w:val="0"/>
        </w:rPr>
        <w:t>&lt;/NumAm&gt;</w:t>
      </w:r>
    </w:p>
    <w:p w14:paraId="1200E415" w14:textId="77777777"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14:paraId="473AC349" w14:textId="77777777" w:rsidR="00BF7ACA" w:rsidRPr="00355860" w:rsidRDefault="00BF7ACA" w:rsidP="00BF7ACA">
      <w:r>
        <w:rPr>
          <w:rStyle w:val="HideTWBExt"/>
        </w:rPr>
        <w:t>&lt;/RepeatBlock-By&gt;</w:t>
      </w:r>
    </w:p>
    <w:p w14:paraId="34629033"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4442D5B6" w14:textId="77777777"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45BA83F7" w14:textId="77777777" w:rsidTr="007924BE">
        <w:trPr>
          <w:jc w:val="center"/>
        </w:trPr>
        <w:tc>
          <w:tcPr>
            <w:tcW w:w="9752" w:type="dxa"/>
            <w:gridSpan w:val="2"/>
          </w:tcPr>
          <w:p w14:paraId="530D7125" w14:textId="77777777" w:rsidR="00BF7ACA" w:rsidRPr="00355860" w:rsidRDefault="00BF7ACA" w:rsidP="007924BE">
            <w:pPr>
              <w:keepNext/>
            </w:pPr>
          </w:p>
        </w:tc>
      </w:tr>
      <w:tr w:rsidR="00BF7ACA" w:rsidRPr="00355860" w14:paraId="77CBA6DB" w14:textId="77777777" w:rsidTr="007924BE">
        <w:trPr>
          <w:jc w:val="center"/>
        </w:trPr>
        <w:tc>
          <w:tcPr>
            <w:tcW w:w="4876" w:type="dxa"/>
            <w:hideMark/>
          </w:tcPr>
          <w:p w14:paraId="1F65674F" w14:textId="77777777" w:rsidR="00BF7ACA" w:rsidRPr="00B915F8" w:rsidRDefault="00BF7ACA" w:rsidP="007924BE">
            <w:pPr>
              <w:pStyle w:val="ColumnHeading"/>
              <w:keepNext/>
            </w:pPr>
            <w:r w:rsidRPr="00B915F8">
              <w:t>Texte proposé par la Commission</w:t>
            </w:r>
          </w:p>
        </w:tc>
        <w:tc>
          <w:tcPr>
            <w:tcW w:w="4876" w:type="dxa"/>
            <w:hideMark/>
          </w:tcPr>
          <w:p w14:paraId="10390D9B" w14:textId="77777777" w:rsidR="00BF7ACA" w:rsidRPr="00B915F8" w:rsidRDefault="00BF7ACA" w:rsidP="007924BE">
            <w:pPr>
              <w:pStyle w:val="ColumnHeading"/>
              <w:keepNext/>
            </w:pPr>
            <w:r w:rsidRPr="00B915F8">
              <w:t>Amendement</w:t>
            </w:r>
          </w:p>
        </w:tc>
      </w:tr>
      <w:tr w:rsidR="00BF7ACA" w:rsidRPr="00355860" w14:paraId="2E6EB59A" w14:textId="77777777" w:rsidTr="007924BE">
        <w:trPr>
          <w:jc w:val="center"/>
        </w:trPr>
        <w:tc>
          <w:tcPr>
            <w:tcW w:w="4876" w:type="dxa"/>
            <w:hideMark/>
          </w:tcPr>
          <w:p w14:paraId="5ACD1E90" w14:textId="77777777" w:rsidR="00BF7ACA" w:rsidRPr="00DC274A" w:rsidRDefault="00BF7ACA" w:rsidP="007924BE">
            <w:pPr>
              <w:pStyle w:val="Normal6"/>
              <w:rPr>
                <w:b/>
                <w:i/>
              </w:rPr>
            </w:pPr>
            <w:r w:rsidRPr="00DC274A">
              <w:t>2.</w:t>
            </w:r>
            <w:r w:rsidRPr="00DC274A">
              <w:rPr>
                <w:b/>
                <w:i/>
              </w:rPr>
              <w:tab/>
            </w:r>
            <w:r w:rsidRPr="00DC274A">
              <w:t>Le FEDD contribue à la réalisation des objectifs de développement durable à l’horizon 2030, en mettant particulièrement l’accent sur la croissance durable, la création d’emplois, les secteurs socio-économiques et le soutien aux micros, petites et moyennes entreprises,</w:t>
            </w:r>
            <w:r w:rsidRPr="00DC274A">
              <w:rPr>
                <w:b/>
                <w:i/>
              </w:rPr>
              <w:t xml:space="preserve"> et permet ainsi de</w:t>
            </w:r>
            <w:r w:rsidRPr="00DC274A">
              <w:t xml:space="preserve"> lutter contre les causes profondes de la migration</w:t>
            </w:r>
            <w:r w:rsidRPr="00DC274A">
              <w:rPr>
                <w:b/>
                <w:i/>
              </w:rPr>
              <w:t xml:space="preserve"> et de contribuer à</w:t>
            </w:r>
            <w:r w:rsidRPr="00DC274A">
              <w:t xml:space="preserve"> la réintégration durable des migrants</w:t>
            </w:r>
            <w:r w:rsidRPr="00DC274A">
              <w:rPr>
                <w:b/>
                <w:i/>
              </w:rPr>
              <w:t xml:space="preserve"> de retour</w:t>
            </w:r>
            <w:r w:rsidRPr="00DC274A">
              <w:t xml:space="preserve"> dans</w:t>
            </w:r>
            <w:r w:rsidRPr="00DC274A">
              <w:rPr>
                <w:b/>
                <w:i/>
              </w:rPr>
              <w:t xml:space="preserve"> leur</w:t>
            </w:r>
            <w:r w:rsidRPr="00DC274A">
              <w:t xml:space="preserve"> pays d’origine,</w:t>
            </w:r>
            <w:r w:rsidRPr="00DC274A">
              <w:rPr>
                <w:b/>
                <w:i/>
              </w:rPr>
              <w:t xml:space="preserve"> tout en exploitant au mieux l’additionnalité, en favorisant la fourniture de produits innovants et en attirant des financements privés</w:t>
            </w:r>
            <w:r w:rsidRPr="00DC274A">
              <w:t>.</w:t>
            </w:r>
          </w:p>
        </w:tc>
        <w:tc>
          <w:tcPr>
            <w:tcW w:w="4876" w:type="dxa"/>
            <w:hideMark/>
          </w:tcPr>
          <w:p w14:paraId="0A1A4FA9" w14:textId="77777777" w:rsidR="00BF7ACA" w:rsidRPr="00DC274A" w:rsidRDefault="00BF7ACA" w:rsidP="007924BE">
            <w:pPr>
              <w:pStyle w:val="Normal6"/>
              <w:rPr>
                <w:b/>
                <w:i/>
                <w:szCs w:val="24"/>
              </w:rPr>
            </w:pPr>
            <w:r w:rsidRPr="00DC274A">
              <w:t>2.</w:t>
            </w:r>
            <w:r w:rsidRPr="00DC274A">
              <w:rPr>
                <w:b/>
                <w:i/>
              </w:rPr>
              <w:tab/>
            </w:r>
            <w:r w:rsidRPr="00DC274A">
              <w:t>Le FEDD contribue à la réalisation des objectifs de développement durable à l’horizon 2030,</w:t>
            </w:r>
            <w:r w:rsidRPr="00DC274A">
              <w:rPr>
                <w:b/>
                <w:i/>
              </w:rPr>
              <w:t xml:space="preserve"> et repose sur les objectifs énoncés à l’article 21 du traité UE et à l’article 208 du TFUE, ainsi que sur les principes d’efficacité reconnus à l’échelle internationale</w:t>
            </w:r>
            <w:r w:rsidRPr="00DC274A">
              <w:t xml:space="preserve"> en</w:t>
            </w:r>
            <w:r w:rsidRPr="00DC274A">
              <w:rPr>
                <w:b/>
                <w:i/>
              </w:rPr>
              <w:t xml:space="preserve"> matière de développement. Il participe ainsi aux politiques de développement et de voisinage de l’Union, en</w:t>
            </w:r>
            <w:r w:rsidRPr="00DC274A">
              <w:t xml:space="preserve"> mettant particulièrement l’accent sur</w:t>
            </w:r>
            <w:r w:rsidRPr="00DC274A">
              <w:rPr>
                <w:b/>
                <w:i/>
              </w:rPr>
              <w:t xml:space="preserve"> l’éradication de</w:t>
            </w:r>
            <w:r w:rsidRPr="00DC274A">
              <w:t xml:space="preserve"> la</w:t>
            </w:r>
            <w:r w:rsidRPr="00DC274A">
              <w:rPr>
                <w:b/>
                <w:i/>
              </w:rPr>
              <w:t xml:space="preserve"> pauvreté, la</w:t>
            </w:r>
            <w:r w:rsidRPr="00DC274A">
              <w:t xml:space="preserve"> croissance durable</w:t>
            </w:r>
            <w:r w:rsidRPr="00DC274A">
              <w:rPr>
                <w:b/>
                <w:i/>
              </w:rPr>
              <w:t xml:space="preserve"> et inclusive à long terme</w:t>
            </w:r>
            <w:r w:rsidRPr="00DC274A">
              <w:t>, la création d’emplois, les secteurs socio-économiques et le soutien aux micros, petites et moyennes entreprises</w:t>
            </w:r>
            <w:r w:rsidRPr="00DC274A">
              <w:rPr>
                <w:b/>
                <w:i/>
              </w:rPr>
              <w:t>. Ce faisant</w:t>
            </w:r>
            <w:r w:rsidRPr="00DC274A">
              <w:t>,</w:t>
            </w:r>
            <w:r w:rsidRPr="00DC274A">
              <w:rPr>
                <w:b/>
                <w:i/>
              </w:rPr>
              <w:t xml:space="preserve"> le FEDD contribue, entre autres, à</w:t>
            </w:r>
            <w:r w:rsidRPr="00DC274A">
              <w:t xml:space="preserve"> lutter contre les causes</w:t>
            </w:r>
            <w:r w:rsidRPr="00DC274A">
              <w:rPr>
                <w:b/>
                <w:i/>
              </w:rPr>
              <w:t xml:space="preserve"> socio-économiques spécifiques</w:t>
            </w:r>
            <w:r w:rsidRPr="00DC274A">
              <w:t xml:space="preserve"> profondes de la migration</w:t>
            </w:r>
            <w:r w:rsidRPr="00DC274A">
              <w:rPr>
                <w:b/>
                <w:i/>
              </w:rPr>
              <w:t>, favorise</w:t>
            </w:r>
            <w:r w:rsidRPr="00DC274A">
              <w:t xml:space="preserve"> la réintégration durable des migrants</w:t>
            </w:r>
            <w:r w:rsidRPr="00DC274A">
              <w:rPr>
                <w:b/>
                <w:i/>
              </w:rPr>
              <w:t xml:space="preserve"> qui retournent</w:t>
            </w:r>
            <w:r w:rsidRPr="00DC274A">
              <w:t xml:space="preserve"> dans</w:t>
            </w:r>
            <w:r w:rsidRPr="00DC274A">
              <w:rPr>
                <w:b/>
                <w:i/>
              </w:rPr>
              <w:t xml:space="preserve"> leurs</w:t>
            </w:r>
            <w:r w:rsidRPr="00DC274A">
              <w:t xml:space="preserve"> pays d’origine</w:t>
            </w:r>
            <w:r w:rsidRPr="00DC274A">
              <w:rPr>
                <w:b/>
                <w:i/>
              </w:rPr>
              <w:t xml:space="preserve"> ou transitent par ces pays</w:t>
            </w:r>
            <w:r w:rsidRPr="00DC274A">
              <w:t>,</w:t>
            </w:r>
            <w:r w:rsidRPr="00DC274A">
              <w:rPr>
                <w:b/>
                <w:i/>
              </w:rPr>
              <w:t xml:space="preserve"> et renforce la résilience des communautés d’accueil</w:t>
            </w:r>
            <w:r w:rsidRPr="00DC274A">
              <w:t>.</w:t>
            </w:r>
          </w:p>
        </w:tc>
      </w:tr>
    </w:tbl>
    <w:p w14:paraId="6839990E"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4B18C33" w14:textId="77777777" w:rsidR="00BF7ACA" w:rsidRPr="00BF7ACA" w:rsidRDefault="00BF7ACA" w:rsidP="00BF7ACA">
      <w:r w:rsidRPr="00BF7ACA">
        <w:rPr>
          <w:rStyle w:val="HideTWBExt"/>
        </w:rPr>
        <w:t>&lt;/Amend&gt;</w:t>
      </w:r>
    </w:p>
    <w:p w14:paraId="6F20D22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189</w:t>
      </w:r>
      <w:r w:rsidRPr="00BF7ACA">
        <w:rPr>
          <w:rStyle w:val="HideTWBExt"/>
          <w:b w:val="0"/>
        </w:rPr>
        <w:t>&lt;/NumAm&gt;</w:t>
      </w:r>
    </w:p>
    <w:p w14:paraId="592A77FB"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Nedzhmi Ali</w:t>
      </w:r>
      <w:r w:rsidRPr="00BF7ACA">
        <w:rPr>
          <w:rStyle w:val="HideTWBExt"/>
          <w:b w:val="0"/>
        </w:rPr>
        <w:t>&lt;/Members&gt;</w:t>
      </w:r>
    </w:p>
    <w:p w14:paraId="4D49CE58" w14:textId="77777777" w:rsidR="00BF7ACA" w:rsidRPr="00355860" w:rsidRDefault="00BF7ACA" w:rsidP="00BF7ACA">
      <w:r>
        <w:rPr>
          <w:rStyle w:val="HideTWBExt"/>
        </w:rPr>
        <w:t>&lt;/RepeatBlock-By&gt;</w:t>
      </w:r>
    </w:p>
    <w:p w14:paraId="237DF0F8"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31921C42" w14:textId="77777777"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7D5D1113" w14:textId="77777777" w:rsidTr="007924BE">
        <w:trPr>
          <w:jc w:val="center"/>
        </w:trPr>
        <w:tc>
          <w:tcPr>
            <w:tcW w:w="9752" w:type="dxa"/>
            <w:gridSpan w:val="2"/>
          </w:tcPr>
          <w:p w14:paraId="4D52D25D" w14:textId="77777777" w:rsidR="00BF7ACA" w:rsidRPr="00355860" w:rsidRDefault="00BF7ACA" w:rsidP="007924BE">
            <w:pPr>
              <w:keepNext/>
            </w:pPr>
          </w:p>
        </w:tc>
      </w:tr>
      <w:tr w:rsidR="00BF7ACA" w:rsidRPr="00355860" w14:paraId="3D10F6E8" w14:textId="77777777" w:rsidTr="007924BE">
        <w:trPr>
          <w:jc w:val="center"/>
        </w:trPr>
        <w:tc>
          <w:tcPr>
            <w:tcW w:w="4876" w:type="dxa"/>
            <w:hideMark/>
          </w:tcPr>
          <w:p w14:paraId="7664F731" w14:textId="77777777" w:rsidR="00BF7ACA" w:rsidRPr="00B915F8" w:rsidRDefault="00BF7ACA" w:rsidP="007924BE">
            <w:pPr>
              <w:pStyle w:val="ColumnHeading"/>
              <w:keepNext/>
            </w:pPr>
            <w:r w:rsidRPr="00B915F8">
              <w:t>Texte proposé par la Commission</w:t>
            </w:r>
          </w:p>
        </w:tc>
        <w:tc>
          <w:tcPr>
            <w:tcW w:w="4876" w:type="dxa"/>
            <w:hideMark/>
          </w:tcPr>
          <w:p w14:paraId="1A6C0538" w14:textId="77777777" w:rsidR="00BF7ACA" w:rsidRPr="00B915F8" w:rsidRDefault="00BF7ACA" w:rsidP="007924BE">
            <w:pPr>
              <w:pStyle w:val="ColumnHeading"/>
              <w:keepNext/>
            </w:pPr>
            <w:r w:rsidRPr="00B915F8">
              <w:t>Amendement</w:t>
            </w:r>
          </w:p>
        </w:tc>
      </w:tr>
      <w:tr w:rsidR="00BF7ACA" w:rsidRPr="00355860" w14:paraId="6686BDD2" w14:textId="77777777" w:rsidTr="007924BE">
        <w:trPr>
          <w:jc w:val="center"/>
        </w:trPr>
        <w:tc>
          <w:tcPr>
            <w:tcW w:w="4876" w:type="dxa"/>
            <w:hideMark/>
          </w:tcPr>
          <w:p w14:paraId="4EDCF9A6" w14:textId="77777777" w:rsidR="00BF7ACA" w:rsidRPr="00DC274A" w:rsidRDefault="00BF7ACA" w:rsidP="007924BE">
            <w:pPr>
              <w:pStyle w:val="Normal6"/>
              <w:rPr>
                <w:b/>
                <w:i/>
              </w:rPr>
            </w:pPr>
            <w:r w:rsidRPr="00DC274A">
              <w:t>2.</w:t>
            </w:r>
            <w:r w:rsidRPr="00DC274A">
              <w:rPr>
                <w:b/>
                <w:i/>
              </w:rPr>
              <w:tab/>
            </w:r>
            <w:r w:rsidRPr="00DC274A">
              <w:t>Le FEDD contribue à la réalisation des objectifs de développement durable à l’horizon 2030, en mettant particulièrement l’accent sur la croissance durable, la création d’emplois, les secteurs socio-économiques et le soutien aux</w:t>
            </w:r>
            <w:r w:rsidRPr="00DC274A">
              <w:rPr>
                <w:b/>
                <w:i/>
              </w:rPr>
              <w:t xml:space="preserve"> micros,</w:t>
            </w:r>
            <w:r w:rsidRPr="00DC274A">
              <w:t xml:space="preserve"> petites et moyennes entreprises</w:t>
            </w:r>
            <w:r w:rsidRPr="00DC274A">
              <w:rPr>
                <w:b/>
                <w:i/>
              </w:rPr>
              <w:t>, et permet ainsi</w:t>
            </w:r>
            <w:r w:rsidRPr="00DC274A">
              <w:t xml:space="preserve"> de lutter contre les causes profondes de la migration et de contribuer à la réintégration durable des migrants de retour dans leur pays d’origine, tout en exploitant au mieux l’additionnalité, en favorisant la fourniture de produits innovants et en attirant des financements privés.</w:t>
            </w:r>
          </w:p>
        </w:tc>
        <w:tc>
          <w:tcPr>
            <w:tcW w:w="4876" w:type="dxa"/>
            <w:hideMark/>
          </w:tcPr>
          <w:p w14:paraId="0E622734" w14:textId="77777777" w:rsidR="00BF7ACA" w:rsidRPr="00DC274A" w:rsidRDefault="00BF7ACA" w:rsidP="007924BE">
            <w:pPr>
              <w:pStyle w:val="Normal6"/>
              <w:rPr>
                <w:b/>
                <w:i/>
                <w:szCs w:val="24"/>
              </w:rPr>
            </w:pPr>
            <w:r w:rsidRPr="00DC274A">
              <w:t>2.</w:t>
            </w:r>
            <w:r w:rsidRPr="00DC274A">
              <w:rPr>
                <w:b/>
                <w:i/>
              </w:rPr>
              <w:tab/>
            </w:r>
            <w:r w:rsidRPr="00DC274A">
              <w:t>Le FEDD contribue à la réalisation des objectifs de développement durable à l’horizon 2030</w:t>
            </w:r>
            <w:r w:rsidRPr="00DC274A">
              <w:rPr>
                <w:b/>
                <w:i/>
              </w:rPr>
              <w:t xml:space="preserve"> et à la mise en œuvre de la politique européenne de voisinage</w:t>
            </w:r>
            <w:r w:rsidRPr="00DC274A">
              <w:t>, en mettant particulièrement l’accent sur la croissance durable,</w:t>
            </w:r>
            <w:r w:rsidRPr="00DC274A">
              <w:rPr>
                <w:b/>
                <w:i/>
              </w:rPr>
              <w:t xml:space="preserve"> sur</w:t>
            </w:r>
            <w:r w:rsidRPr="00DC274A">
              <w:t xml:space="preserve"> la création d’emplois,</w:t>
            </w:r>
            <w:r w:rsidRPr="00DC274A">
              <w:rPr>
                <w:b/>
                <w:i/>
              </w:rPr>
              <w:t xml:space="preserve"> sur</w:t>
            </w:r>
            <w:r w:rsidRPr="00DC274A">
              <w:t xml:space="preserve"> les secteurs socio-économiques et</w:t>
            </w:r>
            <w:r w:rsidRPr="00DC274A">
              <w:rPr>
                <w:b/>
                <w:i/>
              </w:rPr>
              <w:t xml:space="preserve"> sur</w:t>
            </w:r>
            <w:r w:rsidRPr="00DC274A">
              <w:t xml:space="preserve"> le soutien aux</w:t>
            </w:r>
            <w:r w:rsidRPr="00DC274A">
              <w:rPr>
                <w:b/>
                <w:i/>
              </w:rPr>
              <w:t xml:space="preserve"> microentreprises et aux</w:t>
            </w:r>
            <w:r w:rsidRPr="00DC274A">
              <w:t xml:space="preserve"> petites et moyennes entreprises</w:t>
            </w:r>
            <w:r w:rsidRPr="00DC274A">
              <w:rPr>
                <w:b/>
                <w:i/>
              </w:rPr>
              <w:t>. Il contribue également à la mise en œuvre</w:t>
            </w:r>
            <w:r w:rsidRPr="00DC274A">
              <w:t xml:space="preserve"> de</w:t>
            </w:r>
            <w:r w:rsidRPr="00DC274A">
              <w:rPr>
                <w:b/>
                <w:i/>
              </w:rPr>
              <w:t xml:space="preserve"> l’accord de Paris sur le climat en canalisant les investissements vers les secteurs axés sur l’atténuation du changement climatique et sur l’adaptation à ce phénomène. Le FEDD doit donc permettre de</w:t>
            </w:r>
            <w:r w:rsidRPr="00DC274A">
              <w:t xml:space="preserve"> lutter contre les causes profondes de la migration et de contribuer à la réintégration durable des migrants de retour dans leur pays d’origine, tout en exploitant au mieux l’additionnalité, en favorisant la fourniture de produits innovants et en attirant des financements privés.</w:t>
            </w:r>
          </w:p>
        </w:tc>
      </w:tr>
    </w:tbl>
    <w:p w14:paraId="5A2D0983"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CD2D9D5" w14:textId="77777777" w:rsidR="00BF7ACA" w:rsidRPr="00BF7ACA" w:rsidRDefault="00BF7ACA" w:rsidP="00BF7ACA">
      <w:r w:rsidRPr="00BF7ACA">
        <w:rPr>
          <w:rStyle w:val="HideTWBExt"/>
        </w:rPr>
        <w:t>&lt;/Amend&gt;</w:t>
      </w:r>
    </w:p>
    <w:p w14:paraId="43B0012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190</w:t>
      </w:r>
      <w:r w:rsidRPr="00BF7ACA">
        <w:rPr>
          <w:rStyle w:val="HideTWBExt"/>
          <w:b w:val="0"/>
        </w:rPr>
        <w:t>&lt;/NumAm&gt;</w:t>
      </w:r>
    </w:p>
    <w:p w14:paraId="52282AC6" w14:textId="77777777" w:rsidR="00BF7ACA" w:rsidRPr="00BF7ACA" w:rsidRDefault="00BF7ACA" w:rsidP="00BF7ACA">
      <w:pPr>
        <w:pStyle w:val="NormalBold"/>
      </w:pPr>
      <w:r w:rsidRPr="00BF7ACA">
        <w:rPr>
          <w:rStyle w:val="HideTWBExt"/>
          <w:b w:val="0"/>
        </w:rPr>
        <w:t>&lt;RepeatBlock-By&gt;&lt;Members&gt;</w:t>
      </w:r>
      <w:r w:rsidRPr="00BF7ACA">
        <w:t>Sabine Lösing</w:t>
      </w:r>
      <w:r w:rsidRPr="00BF7ACA">
        <w:rPr>
          <w:rStyle w:val="HideTWBExt"/>
          <w:b w:val="0"/>
        </w:rPr>
        <w:t>&lt;/Members&gt;</w:t>
      </w:r>
    </w:p>
    <w:p w14:paraId="69FDDB53" w14:textId="77777777" w:rsidR="00BF7ACA" w:rsidRPr="00355860" w:rsidRDefault="00BF7ACA" w:rsidP="00BF7ACA">
      <w:r>
        <w:rPr>
          <w:rStyle w:val="HideTWBExt"/>
        </w:rPr>
        <w:t>&lt;/RepeatBlock-By&gt;</w:t>
      </w:r>
    </w:p>
    <w:p w14:paraId="4AD3E07C"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3D57CD03" w14:textId="77777777"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59003CD6" w14:textId="77777777" w:rsidTr="007924BE">
        <w:trPr>
          <w:jc w:val="center"/>
        </w:trPr>
        <w:tc>
          <w:tcPr>
            <w:tcW w:w="9752" w:type="dxa"/>
            <w:gridSpan w:val="2"/>
          </w:tcPr>
          <w:p w14:paraId="6C60CF5E" w14:textId="77777777" w:rsidR="00BF7ACA" w:rsidRPr="00355860" w:rsidRDefault="00BF7ACA" w:rsidP="007924BE">
            <w:pPr>
              <w:keepNext/>
            </w:pPr>
          </w:p>
        </w:tc>
      </w:tr>
      <w:tr w:rsidR="00BF7ACA" w:rsidRPr="00355860" w14:paraId="52E2A8A5" w14:textId="77777777" w:rsidTr="007924BE">
        <w:trPr>
          <w:jc w:val="center"/>
        </w:trPr>
        <w:tc>
          <w:tcPr>
            <w:tcW w:w="4876" w:type="dxa"/>
            <w:hideMark/>
          </w:tcPr>
          <w:p w14:paraId="792AC8F6" w14:textId="77777777" w:rsidR="00BF7ACA" w:rsidRPr="00B915F8" w:rsidRDefault="00BF7ACA" w:rsidP="007924BE">
            <w:pPr>
              <w:pStyle w:val="ColumnHeading"/>
              <w:keepNext/>
            </w:pPr>
            <w:r w:rsidRPr="00B915F8">
              <w:t>Texte proposé par la Commission</w:t>
            </w:r>
          </w:p>
        </w:tc>
        <w:tc>
          <w:tcPr>
            <w:tcW w:w="4876" w:type="dxa"/>
            <w:hideMark/>
          </w:tcPr>
          <w:p w14:paraId="796C82CB" w14:textId="77777777" w:rsidR="00BF7ACA" w:rsidRPr="00B915F8" w:rsidRDefault="00BF7ACA" w:rsidP="007924BE">
            <w:pPr>
              <w:pStyle w:val="ColumnHeading"/>
              <w:keepNext/>
            </w:pPr>
            <w:r w:rsidRPr="00B915F8">
              <w:t>Amendement</w:t>
            </w:r>
          </w:p>
        </w:tc>
      </w:tr>
      <w:tr w:rsidR="00BF7ACA" w:rsidRPr="00355860" w14:paraId="168B028A" w14:textId="77777777" w:rsidTr="007924BE">
        <w:trPr>
          <w:jc w:val="center"/>
        </w:trPr>
        <w:tc>
          <w:tcPr>
            <w:tcW w:w="4876" w:type="dxa"/>
            <w:hideMark/>
          </w:tcPr>
          <w:p w14:paraId="5C6CA85E" w14:textId="77777777" w:rsidR="00BF7ACA" w:rsidRPr="00DC274A" w:rsidRDefault="00BF7ACA" w:rsidP="007924BE">
            <w:pPr>
              <w:pStyle w:val="Normal6"/>
              <w:rPr>
                <w:b/>
                <w:i/>
              </w:rPr>
            </w:pPr>
            <w:r w:rsidRPr="00DC274A">
              <w:t>2.</w:t>
            </w:r>
            <w:r w:rsidRPr="00DC274A">
              <w:rPr>
                <w:b/>
                <w:i/>
              </w:rPr>
              <w:tab/>
            </w:r>
            <w:r w:rsidRPr="00DC274A">
              <w:t>Le FEDD contribue à la réalisation des objectifs de développement durable à l’horizon 2030, en mettant particulièrement l’accent sur la croissance durable, la création d’emplois, les secteurs socio-économiques et le soutien aux micros, petites et moyennes entreprises, et permet ainsi de lutter contre les causes profondes de la migration et de contribuer à la réintégration durable des migrants de retour dans leur pays d’origine, tout en exploitant au mieux l’additionnalité, en favorisant la fourniture de produits innovants et en attirant des financements privés.</w:t>
            </w:r>
          </w:p>
        </w:tc>
        <w:tc>
          <w:tcPr>
            <w:tcW w:w="4876" w:type="dxa"/>
            <w:hideMark/>
          </w:tcPr>
          <w:p w14:paraId="4F84039A" w14:textId="77777777" w:rsidR="00BF7ACA" w:rsidRPr="00DC274A" w:rsidRDefault="00BF7ACA" w:rsidP="007924BE">
            <w:pPr>
              <w:pStyle w:val="Normal6"/>
              <w:rPr>
                <w:b/>
                <w:i/>
                <w:szCs w:val="24"/>
              </w:rPr>
            </w:pPr>
            <w:r w:rsidRPr="00DC274A">
              <w:t>2.</w:t>
            </w:r>
            <w:r w:rsidRPr="00DC274A">
              <w:rPr>
                <w:b/>
                <w:i/>
              </w:rPr>
              <w:tab/>
            </w:r>
            <w:r w:rsidRPr="00DC274A">
              <w:t>Le FEDD contribue à la réalisation des objectifs de développement durable à l’horizon 2030, en mettant particulièrement l’accent sur la croissance durable, la création d’emplois, les secteurs socio-économiques et le soutien aux micros, petites et moyennes entreprises, et permet ainsi de lutter contre les causes profondes de la migration</w:t>
            </w:r>
            <w:r w:rsidRPr="00DC274A">
              <w:rPr>
                <w:b/>
                <w:i/>
              </w:rPr>
              <w:t xml:space="preserve"> forcée, comme la pauvreté</w:t>
            </w:r>
            <w:r w:rsidRPr="00DC274A">
              <w:t xml:space="preserve"> et</w:t>
            </w:r>
            <w:r w:rsidRPr="00DC274A">
              <w:rPr>
                <w:b/>
                <w:i/>
              </w:rPr>
              <w:t xml:space="preserve"> l’extrême pauvreté, les changement climatique, le manque</w:t>
            </w:r>
            <w:r w:rsidRPr="00DC274A">
              <w:t xml:space="preserve"> de</w:t>
            </w:r>
            <w:r w:rsidRPr="00DC274A">
              <w:rPr>
                <w:b/>
                <w:i/>
              </w:rPr>
              <w:t xml:space="preserve"> perspectives et de revenus, et de</w:t>
            </w:r>
            <w:r w:rsidRPr="00DC274A">
              <w:t xml:space="preserve"> contribuer à la réintégration durable des migrants de retour dans leur pays d’origine</w:t>
            </w:r>
            <w:r w:rsidRPr="00DC274A">
              <w:rPr>
                <w:b/>
                <w:i/>
              </w:rPr>
              <w:t xml:space="preserve"> sur une base strictement volontaire</w:t>
            </w:r>
            <w:r w:rsidRPr="00DC274A">
              <w:t>, tout en exploitant au mieux l’additionnalité, en favorisant la fourniture de produits innovants et en attirant des financements privés</w:t>
            </w:r>
            <w:r w:rsidRPr="00DC274A">
              <w:rPr>
                <w:b/>
                <w:i/>
              </w:rPr>
              <w:t>, afin de stimuler le développement économique, social et environnemental durable et inclusif</w:t>
            </w:r>
            <w:r w:rsidRPr="00DC274A">
              <w:t>.</w:t>
            </w:r>
          </w:p>
        </w:tc>
      </w:tr>
    </w:tbl>
    <w:p w14:paraId="6DED2892"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E3A4AF9" w14:textId="77777777" w:rsidR="00BF7ACA" w:rsidRPr="00BF7ACA" w:rsidRDefault="00BF7ACA" w:rsidP="00BF7ACA">
      <w:r w:rsidRPr="00BF7ACA">
        <w:rPr>
          <w:rStyle w:val="HideTWBExt"/>
        </w:rPr>
        <w:t>&lt;/Amend&gt;</w:t>
      </w:r>
    </w:p>
    <w:p w14:paraId="301CE527"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191</w:t>
      </w:r>
      <w:r w:rsidRPr="00BF7ACA">
        <w:rPr>
          <w:rStyle w:val="HideTWBExt"/>
          <w:b w:val="0"/>
        </w:rPr>
        <w:t>&lt;/NumAm&gt;</w:t>
      </w:r>
    </w:p>
    <w:p w14:paraId="5F8FDB36" w14:textId="77777777"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14:paraId="2CD9A2DA" w14:textId="77777777" w:rsidR="00BF7ACA" w:rsidRPr="00355860" w:rsidRDefault="00BF7ACA" w:rsidP="00BF7ACA">
      <w:r>
        <w:rPr>
          <w:rStyle w:val="HideTWBExt"/>
        </w:rPr>
        <w:t>&lt;/RepeatBlock-By&gt;</w:t>
      </w:r>
    </w:p>
    <w:p w14:paraId="34493ED1"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78FBA58C" w14:textId="77777777"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641767A9" w14:textId="77777777" w:rsidTr="007924BE">
        <w:trPr>
          <w:jc w:val="center"/>
        </w:trPr>
        <w:tc>
          <w:tcPr>
            <w:tcW w:w="9752" w:type="dxa"/>
            <w:gridSpan w:val="2"/>
          </w:tcPr>
          <w:p w14:paraId="690AF2F4" w14:textId="77777777" w:rsidR="00BF7ACA" w:rsidRPr="00355860" w:rsidRDefault="00BF7ACA" w:rsidP="007924BE">
            <w:pPr>
              <w:keepNext/>
            </w:pPr>
          </w:p>
        </w:tc>
      </w:tr>
      <w:tr w:rsidR="00BF7ACA" w:rsidRPr="00355860" w14:paraId="36532DFD" w14:textId="77777777" w:rsidTr="007924BE">
        <w:trPr>
          <w:jc w:val="center"/>
        </w:trPr>
        <w:tc>
          <w:tcPr>
            <w:tcW w:w="4876" w:type="dxa"/>
            <w:hideMark/>
          </w:tcPr>
          <w:p w14:paraId="70F0A33F" w14:textId="77777777" w:rsidR="00BF7ACA" w:rsidRPr="00B915F8" w:rsidRDefault="00BF7ACA" w:rsidP="007924BE">
            <w:pPr>
              <w:pStyle w:val="ColumnHeading"/>
              <w:keepNext/>
            </w:pPr>
            <w:r w:rsidRPr="00B915F8">
              <w:t>Texte proposé par la Commission</w:t>
            </w:r>
          </w:p>
        </w:tc>
        <w:tc>
          <w:tcPr>
            <w:tcW w:w="4876" w:type="dxa"/>
            <w:hideMark/>
          </w:tcPr>
          <w:p w14:paraId="5AB39475" w14:textId="77777777" w:rsidR="00BF7ACA" w:rsidRPr="00B915F8" w:rsidRDefault="00BF7ACA" w:rsidP="007924BE">
            <w:pPr>
              <w:pStyle w:val="ColumnHeading"/>
              <w:keepNext/>
            </w:pPr>
            <w:r w:rsidRPr="00B915F8">
              <w:t>Amendement</w:t>
            </w:r>
          </w:p>
        </w:tc>
      </w:tr>
      <w:tr w:rsidR="00BF7ACA" w:rsidRPr="00355860" w14:paraId="66B1B000" w14:textId="77777777" w:rsidTr="007924BE">
        <w:trPr>
          <w:jc w:val="center"/>
        </w:trPr>
        <w:tc>
          <w:tcPr>
            <w:tcW w:w="4876" w:type="dxa"/>
            <w:hideMark/>
          </w:tcPr>
          <w:p w14:paraId="30180273" w14:textId="77777777" w:rsidR="00BF7ACA" w:rsidRPr="00DC274A" w:rsidRDefault="00BF7ACA" w:rsidP="007924BE">
            <w:pPr>
              <w:pStyle w:val="Normal6"/>
              <w:rPr>
                <w:b/>
                <w:i/>
              </w:rPr>
            </w:pPr>
            <w:r w:rsidRPr="00DC274A">
              <w:t>2.</w:t>
            </w:r>
            <w:r w:rsidRPr="00DC274A">
              <w:rPr>
                <w:b/>
                <w:i/>
              </w:rPr>
              <w:tab/>
            </w:r>
            <w:r w:rsidRPr="00DC274A">
              <w:t>Le FEDD contribue à la réalisation des objectifs de développement durable à l’horizon 2030, en mettant particulièrement l’accent sur la croissance</w:t>
            </w:r>
            <w:r w:rsidRPr="00DC274A">
              <w:rPr>
                <w:b/>
                <w:i/>
              </w:rPr>
              <w:t xml:space="preserve"> durable</w:t>
            </w:r>
            <w:r w:rsidRPr="00DC274A">
              <w:t>, la création d’emplois, les secteurs socio-économiques et le soutien aux micros</w:t>
            </w:r>
            <w:r w:rsidRPr="00DC274A">
              <w:rPr>
                <w:b/>
                <w:i/>
              </w:rPr>
              <w:t>,</w:t>
            </w:r>
            <w:r w:rsidRPr="00DC274A">
              <w:t xml:space="preserve"> petites et moyennes entreprises, et permet ainsi de lutter contre les causes profondes de la migration et de contribuer à la réintégration durable des migrants de retour dans leur pays d’origine, tout en exploitant au mieux l’additionnalité, en favorisant la fourniture de produits innovants et en attirant des financements privés.</w:t>
            </w:r>
          </w:p>
        </w:tc>
        <w:tc>
          <w:tcPr>
            <w:tcW w:w="4876" w:type="dxa"/>
            <w:hideMark/>
          </w:tcPr>
          <w:p w14:paraId="2422D0D1" w14:textId="77777777" w:rsidR="00BF7ACA" w:rsidRPr="00DC274A" w:rsidRDefault="00BF7ACA" w:rsidP="007924BE">
            <w:pPr>
              <w:pStyle w:val="Normal6"/>
              <w:rPr>
                <w:b/>
                <w:i/>
                <w:szCs w:val="24"/>
              </w:rPr>
            </w:pPr>
            <w:r w:rsidRPr="00DC274A">
              <w:t>2.</w:t>
            </w:r>
            <w:r w:rsidRPr="00DC274A">
              <w:rPr>
                <w:b/>
                <w:i/>
              </w:rPr>
              <w:tab/>
            </w:r>
            <w:r w:rsidRPr="00DC274A">
              <w:t>Le FEDD contribue à la réalisation des objectifs de développement durable à l’horizon 2030, en mettant particulièrement l’accent sur</w:t>
            </w:r>
            <w:r w:rsidRPr="00DC274A">
              <w:rPr>
                <w:b/>
                <w:i/>
              </w:rPr>
              <w:t xml:space="preserve"> le développement durable,</w:t>
            </w:r>
            <w:r w:rsidRPr="00DC274A">
              <w:t xml:space="preserve"> la croissance</w:t>
            </w:r>
            <w:r w:rsidRPr="00DC274A">
              <w:rPr>
                <w:b/>
                <w:i/>
              </w:rPr>
              <w:t xml:space="preserve"> au profit de tous</w:t>
            </w:r>
            <w:r w:rsidRPr="00DC274A">
              <w:t>, la création d’emplois,</w:t>
            </w:r>
            <w:r w:rsidRPr="00DC274A">
              <w:rPr>
                <w:b/>
                <w:i/>
              </w:rPr>
              <w:t xml:space="preserve"> l’éradication de la pauvreté,</w:t>
            </w:r>
            <w:r w:rsidRPr="00DC274A">
              <w:t xml:space="preserve"> les secteurs socio-économiques et le</w:t>
            </w:r>
            <w:r w:rsidRPr="00DC274A">
              <w:rPr>
                <w:b/>
                <w:i/>
              </w:rPr>
              <w:t xml:space="preserve"> développement du secteur privé local, à travers le</w:t>
            </w:r>
            <w:r w:rsidRPr="00DC274A">
              <w:t xml:space="preserve"> soutien aux micros</w:t>
            </w:r>
            <w:r w:rsidRPr="00DC274A">
              <w:rPr>
                <w:b/>
                <w:i/>
              </w:rPr>
              <w:t xml:space="preserve"> et</w:t>
            </w:r>
            <w:r w:rsidRPr="00DC274A">
              <w:t xml:space="preserve"> petites et moyennes entreprises, et permet ainsi de lutter contre les causes profondes de la migration et de contribuer à la réintégration durable des migrants de retour dans leur pays d’origine, tout en exploitant au mieux l’additionnalité, en favorisant la fourniture de</w:t>
            </w:r>
            <w:r w:rsidRPr="00DC274A">
              <w:rPr>
                <w:b/>
                <w:i/>
              </w:rPr>
              <w:t xml:space="preserve"> solutions et de</w:t>
            </w:r>
            <w:r w:rsidRPr="00DC274A">
              <w:t xml:space="preserve"> produits innovants et en attirant des financements privés.</w:t>
            </w:r>
          </w:p>
        </w:tc>
      </w:tr>
    </w:tbl>
    <w:p w14:paraId="49B9D42E" w14:textId="77777777"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14:paraId="790DBCED" w14:textId="77777777" w:rsidR="00BF7ACA" w:rsidRPr="00BF7ACA" w:rsidRDefault="00BF7ACA" w:rsidP="00BF7ACA">
      <w:pPr>
        <w:rPr>
          <w:lang w:val="nl-NL"/>
        </w:rPr>
      </w:pPr>
      <w:r w:rsidRPr="00BF7ACA">
        <w:rPr>
          <w:rStyle w:val="HideTWBExt"/>
          <w:lang w:val="nl-NL"/>
        </w:rPr>
        <w:t>&lt;/Amend&gt;</w:t>
      </w:r>
    </w:p>
    <w:p w14:paraId="1B9A28BB" w14:textId="77777777"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192</w:t>
      </w:r>
      <w:r w:rsidRPr="00BF7ACA">
        <w:rPr>
          <w:rStyle w:val="HideTWBExt"/>
          <w:b w:val="0"/>
          <w:lang w:val="nl-NL"/>
        </w:rPr>
        <w:t>&lt;/NumAm&gt;</w:t>
      </w:r>
    </w:p>
    <w:p w14:paraId="04194BC1" w14:textId="77777777"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14:paraId="597BD8F8" w14:textId="77777777" w:rsidR="00BF7ACA" w:rsidRPr="00BF7ACA" w:rsidRDefault="00BF7ACA" w:rsidP="00BF7ACA">
      <w:pPr>
        <w:rPr>
          <w:lang w:val="nl-NL"/>
        </w:rPr>
      </w:pPr>
      <w:r w:rsidRPr="00BF7ACA">
        <w:rPr>
          <w:rStyle w:val="HideTWBExt"/>
          <w:lang w:val="nl-NL"/>
        </w:rPr>
        <w:t>&lt;/RepeatBlock-By&gt;</w:t>
      </w:r>
    </w:p>
    <w:p w14:paraId="7F3F8239"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4273C6A2" w14:textId="77777777"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5A4A700A" w14:textId="77777777" w:rsidTr="007924BE">
        <w:trPr>
          <w:jc w:val="center"/>
        </w:trPr>
        <w:tc>
          <w:tcPr>
            <w:tcW w:w="9752" w:type="dxa"/>
            <w:gridSpan w:val="2"/>
          </w:tcPr>
          <w:p w14:paraId="6E980D7D" w14:textId="77777777" w:rsidR="00BF7ACA" w:rsidRPr="00355860" w:rsidRDefault="00BF7ACA" w:rsidP="007924BE">
            <w:pPr>
              <w:keepNext/>
            </w:pPr>
          </w:p>
        </w:tc>
      </w:tr>
      <w:tr w:rsidR="00BF7ACA" w:rsidRPr="00355860" w14:paraId="5180E23A" w14:textId="77777777" w:rsidTr="007924BE">
        <w:trPr>
          <w:jc w:val="center"/>
        </w:trPr>
        <w:tc>
          <w:tcPr>
            <w:tcW w:w="4876" w:type="dxa"/>
            <w:hideMark/>
          </w:tcPr>
          <w:p w14:paraId="74B924BE" w14:textId="77777777" w:rsidR="00BF7ACA" w:rsidRPr="00B915F8" w:rsidRDefault="00BF7ACA" w:rsidP="007924BE">
            <w:pPr>
              <w:pStyle w:val="ColumnHeading"/>
              <w:keepNext/>
            </w:pPr>
            <w:r w:rsidRPr="00B915F8">
              <w:t>Texte proposé par la Commission</w:t>
            </w:r>
          </w:p>
        </w:tc>
        <w:tc>
          <w:tcPr>
            <w:tcW w:w="4876" w:type="dxa"/>
            <w:hideMark/>
          </w:tcPr>
          <w:p w14:paraId="7DC3898D" w14:textId="77777777" w:rsidR="00BF7ACA" w:rsidRPr="00B915F8" w:rsidRDefault="00BF7ACA" w:rsidP="007924BE">
            <w:pPr>
              <w:pStyle w:val="ColumnHeading"/>
              <w:keepNext/>
            </w:pPr>
            <w:r w:rsidRPr="00B915F8">
              <w:t>Amendement</w:t>
            </w:r>
          </w:p>
        </w:tc>
      </w:tr>
      <w:tr w:rsidR="00BF7ACA" w:rsidRPr="00355860" w14:paraId="5F22C243" w14:textId="77777777" w:rsidTr="007924BE">
        <w:trPr>
          <w:jc w:val="center"/>
        </w:trPr>
        <w:tc>
          <w:tcPr>
            <w:tcW w:w="4876" w:type="dxa"/>
            <w:hideMark/>
          </w:tcPr>
          <w:p w14:paraId="5873BC96" w14:textId="77777777" w:rsidR="00BF7ACA" w:rsidRPr="00DC274A" w:rsidRDefault="00BF7ACA" w:rsidP="007924BE">
            <w:pPr>
              <w:pStyle w:val="Normal6"/>
              <w:rPr>
                <w:b/>
                <w:i/>
              </w:rPr>
            </w:pPr>
            <w:r w:rsidRPr="00DC274A">
              <w:t>2.</w:t>
            </w:r>
            <w:r w:rsidRPr="00DC274A">
              <w:rPr>
                <w:b/>
                <w:i/>
              </w:rPr>
              <w:tab/>
            </w:r>
            <w:r w:rsidRPr="00DC274A">
              <w:t>Le FEDD contribue à la réalisation des objectifs de développement durable à l’horizon 2030, en mettant particulièrement l’accent sur la croissance durable, la création d’emplois, les secteurs socio-économiques et le soutien aux micros, petites et moyennes entreprises,</w:t>
            </w:r>
            <w:r w:rsidRPr="00DC274A">
              <w:rPr>
                <w:b/>
                <w:i/>
              </w:rPr>
              <w:t xml:space="preserve"> et permet ainsi de lutter contre les</w:t>
            </w:r>
            <w:r w:rsidRPr="00DC274A">
              <w:t xml:space="preserve"> causes profondes de la migration et</w:t>
            </w:r>
            <w:r w:rsidRPr="00DC274A">
              <w:rPr>
                <w:b/>
                <w:i/>
              </w:rPr>
              <w:t xml:space="preserve"> de</w:t>
            </w:r>
            <w:r w:rsidRPr="00DC274A">
              <w:t xml:space="preserve"> contribuer à la réintégration durable des migrants de retour dans leur pays d’origine, tout en exploitant au mieux l’additionnalité, en favorisant la fourniture de produits innovants et en attirant des financements privés.</w:t>
            </w:r>
          </w:p>
        </w:tc>
        <w:tc>
          <w:tcPr>
            <w:tcW w:w="4876" w:type="dxa"/>
            <w:hideMark/>
          </w:tcPr>
          <w:p w14:paraId="6B16A772" w14:textId="77777777" w:rsidR="00BF7ACA" w:rsidRPr="00DC274A" w:rsidRDefault="00BF7ACA" w:rsidP="007924BE">
            <w:pPr>
              <w:pStyle w:val="Normal6"/>
              <w:rPr>
                <w:b/>
                <w:i/>
                <w:szCs w:val="24"/>
              </w:rPr>
            </w:pPr>
            <w:r w:rsidRPr="00DC274A">
              <w:t>2.</w:t>
            </w:r>
            <w:r w:rsidRPr="00DC274A">
              <w:rPr>
                <w:b/>
                <w:i/>
              </w:rPr>
              <w:tab/>
            </w:r>
            <w:r w:rsidRPr="00DC274A">
              <w:t>Le FEDD contribue à la réalisation des objectifs de développement durable à l’horizon 2030,</w:t>
            </w:r>
            <w:r w:rsidRPr="00DC274A">
              <w:rPr>
                <w:b/>
                <w:i/>
              </w:rPr>
              <w:t xml:space="preserve"> dans le respect de l’article 208 du TFUE,</w:t>
            </w:r>
            <w:r w:rsidRPr="00DC274A">
              <w:t xml:space="preserve"> en mettant particulièrement l’accent sur la croissance durable, la création d’emplois,</w:t>
            </w:r>
            <w:r w:rsidRPr="00DC274A">
              <w:rPr>
                <w:b/>
                <w:i/>
              </w:rPr>
              <w:t xml:space="preserve"> l’éducation pour</w:t>
            </w:r>
            <w:r w:rsidRPr="00DC274A">
              <w:t xml:space="preserve"> les</w:t>
            </w:r>
            <w:r w:rsidRPr="00DC274A">
              <w:rPr>
                <w:b/>
                <w:i/>
              </w:rPr>
              <w:t xml:space="preserve"> garçons et les filles, les</w:t>
            </w:r>
            <w:r w:rsidRPr="00DC274A">
              <w:t xml:space="preserve"> secteurs socio-économiques et le soutien aux micros, petites et moyennes entreprises,</w:t>
            </w:r>
            <w:r w:rsidRPr="00DC274A">
              <w:rPr>
                <w:b/>
                <w:i/>
              </w:rPr>
              <w:t xml:space="preserve"> autant de facteurs qui sont des</w:t>
            </w:r>
            <w:r w:rsidRPr="00DC274A">
              <w:t xml:space="preserve"> causes profondes de la migration</w:t>
            </w:r>
            <w:r w:rsidRPr="00DC274A">
              <w:rPr>
                <w:b/>
                <w:i/>
              </w:rPr>
              <w:t xml:space="preserve"> lorsqu’ils sont absents</w:t>
            </w:r>
            <w:r w:rsidRPr="00DC274A">
              <w:t xml:space="preserve"> et</w:t>
            </w:r>
            <w:r w:rsidRPr="00DC274A">
              <w:rPr>
                <w:b/>
                <w:i/>
              </w:rPr>
              <w:t xml:space="preserve"> qui, lorsqu’ils sont améliorés, peuvent</w:t>
            </w:r>
            <w:r w:rsidRPr="00DC274A">
              <w:t xml:space="preserve"> contribuer à la réintégration durable des migrants de retour dans leur pays d’origine, tout en exploitant au mieux l’additionnalité, en favorisant la fourniture de produits innovants et en attirant des financements privés.</w:t>
            </w:r>
          </w:p>
        </w:tc>
      </w:tr>
    </w:tbl>
    <w:p w14:paraId="53837C4D"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6446864" w14:textId="77777777" w:rsidR="00BF7ACA" w:rsidRPr="00BF7ACA" w:rsidRDefault="00BF7ACA" w:rsidP="00BF7ACA">
      <w:r w:rsidRPr="00BF7ACA">
        <w:rPr>
          <w:rStyle w:val="HideTWBExt"/>
        </w:rPr>
        <w:t>&lt;/Amend&gt;</w:t>
      </w:r>
    </w:p>
    <w:p w14:paraId="3CDB5A5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193</w:t>
      </w:r>
      <w:r w:rsidRPr="00BF7ACA">
        <w:rPr>
          <w:rStyle w:val="HideTWBExt"/>
          <w:b w:val="0"/>
        </w:rPr>
        <w:t>&lt;/NumAm&gt;</w:t>
      </w:r>
    </w:p>
    <w:p w14:paraId="4626181F" w14:textId="77777777" w:rsidR="00BF7ACA" w:rsidRPr="00BF7ACA" w:rsidRDefault="00BF7ACA" w:rsidP="00BF7ACA">
      <w:pPr>
        <w:pStyle w:val="NormalBold"/>
      </w:pPr>
      <w:r w:rsidRPr="00BF7ACA">
        <w:rPr>
          <w:rStyle w:val="HideTWBExt"/>
          <w:b w:val="0"/>
        </w:rPr>
        <w:t>&lt;RepeatBlock-By&gt;&lt;Members&gt;</w:t>
      </w:r>
      <w:r w:rsidRPr="00BF7ACA">
        <w:t>Anders Primdahl Vistisen</w:t>
      </w:r>
      <w:r w:rsidRPr="00BF7ACA">
        <w:rPr>
          <w:rStyle w:val="HideTWBExt"/>
          <w:b w:val="0"/>
        </w:rPr>
        <w:t>&lt;/Members&gt;</w:t>
      </w:r>
    </w:p>
    <w:p w14:paraId="3E78268B" w14:textId="77777777" w:rsidR="00BF7ACA" w:rsidRPr="00355860" w:rsidRDefault="00BF7ACA" w:rsidP="00BF7ACA">
      <w:r>
        <w:rPr>
          <w:rStyle w:val="HideTWBExt"/>
        </w:rPr>
        <w:t>&lt;/RepeatBlock-By&gt;</w:t>
      </w:r>
    </w:p>
    <w:p w14:paraId="226B6EB3"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0E829874" w14:textId="77777777"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260AD461" w14:textId="77777777" w:rsidTr="007924BE">
        <w:trPr>
          <w:jc w:val="center"/>
        </w:trPr>
        <w:tc>
          <w:tcPr>
            <w:tcW w:w="9752" w:type="dxa"/>
            <w:gridSpan w:val="2"/>
          </w:tcPr>
          <w:p w14:paraId="431F624C" w14:textId="77777777" w:rsidR="00BF7ACA" w:rsidRPr="00355860" w:rsidRDefault="00BF7ACA" w:rsidP="007924BE">
            <w:pPr>
              <w:keepNext/>
            </w:pPr>
          </w:p>
        </w:tc>
      </w:tr>
      <w:tr w:rsidR="00BF7ACA" w:rsidRPr="00355860" w14:paraId="7D457088" w14:textId="77777777" w:rsidTr="007924BE">
        <w:trPr>
          <w:jc w:val="center"/>
        </w:trPr>
        <w:tc>
          <w:tcPr>
            <w:tcW w:w="4876" w:type="dxa"/>
            <w:hideMark/>
          </w:tcPr>
          <w:p w14:paraId="08824DC1" w14:textId="77777777" w:rsidR="00BF7ACA" w:rsidRPr="00B915F8" w:rsidRDefault="00BF7ACA" w:rsidP="007924BE">
            <w:pPr>
              <w:pStyle w:val="ColumnHeading"/>
              <w:keepNext/>
            </w:pPr>
            <w:r w:rsidRPr="00B915F8">
              <w:t>Texte proposé par la Commission</w:t>
            </w:r>
          </w:p>
        </w:tc>
        <w:tc>
          <w:tcPr>
            <w:tcW w:w="4876" w:type="dxa"/>
            <w:hideMark/>
          </w:tcPr>
          <w:p w14:paraId="09EDA7A7" w14:textId="77777777" w:rsidR="00BF7ACA" w:rsidRPr="00B915F8" w:rsidRDefault="00BF7ACA" w:rsidP="007924BE">
            <w:pPr>
              <w:pStyle w:val="ColumnHeading"/>
              <w:keepNext/>
            </w:pPr>
            <w:r w:rsidRPr="00B915F8">
              <w:t>Amendement</w:t>
            </w:r>
          </w:p>
        </w:tc>
      </w:tr>
      <w:tr w:rsidR="00BF7ACA" w:rsidRPr="00355860" w14:paraId="0E617BF7" w14:textId="77777777" w:rsidTr="007924BE">
        <w:trPr>
          <w:jc w:val="center"/>
        </w:trPr>
        <w:tc>
          <w:tcPr>
            <w:tcW w:w="4876" w:type="dxa"/>
            <w:hideMark/>
          </w:tcPr>
          <w:p w14:paraId="6BFAFA74" w14:textId="77777777" w:rsidR="00BF7ACA" w:rsidRPr="00DC274A" w:rsidRDefault="00BF7ACA" w:rsidP="007924BE">
            <w:pPr>
              <w:pStyle w:val="Normal6"/>
              <w:rPr>
                <w:b/>
                <w:i/>
              </w:rPr>
            </w:pPr>
            <w:r w:rsidRPr="00DC274A">
              <w:t>2.</w:t>
            </w:r>
            <w:r w:rsidRPr="00DC274A">
              <w:rPr>
                <w:b/>
                <w:i/>
              </w:rPr>
              <w:tab/>
            </w:r>
            <w:r w:rsidRPr="00DC274A">
              <w:t>Le FEDD contribue à la réalisation des objectifs de développement durable à l’horizon 2030, en mettant particulièrement l’accent sur la croissance durable, la création d’emplois, les secteurs socio-économiques et le soutien aux micros, petites et moyennes entreprises, et permet ainsi de lutter contre les causes profondes de la migration et de contribuer à la réintégration durable des migrants de retour dans leur pays d’origine, tout en exploitant au mieux l’additionnalité, en favorisant la fourniture de produits innovants et en attirant des financements privés.</w:t>
            </w:r>
          </w:p>
        </w:tc>
        <w:tc>
          <w:tcPr>
            <w:tcW w:w="4876" w:type="dxa"/>
            <w:hideMark/>
          </w:tcPr>
          <w:p w14:paraId="16672775" w14:textId="77777777" w:rsidR="00BF7ACA" w:rsidRPr="00DC274A" w:rsidRDefault="00BF7ACA" w:rsidP="007924BE">
            <w:pPr>
              <w:pStyle w:val="Normal6"/>
              <w:rPr>
                <w:b/>
                <w:i/>
                <w:szCs w:val="24"/>
              </w:rPr>
            </w:pPr>
            <w:r w:rsidRPr="00DC274A">
              <w:t>2.</w:t>
            </w:r>
            <w:r w:rsidRPr="00DC274A">
              <w:rPr>
                <w:b/>
                <w:i/>
              </w:rPr>
              <w:tab/>
            </w:r>
            <w:r w:rsidRPr="00DC274A">
              <w:t>Le FEDD contribue à la réalisation des objectifs de développement durable à l’horizon 2030, en mettant particulièrement l’accent sur la croissance durable, la création d’emplois, les secteurs socio-économiques et le soutien aux micros, petites et moyennes entreprises, et permet ainsi de lutter contre les causes profondes de la migration</w:t>
            </w:r>
            <w:r w:rsidRPr="00DC274A">
              <w:rPr>
                <w:b/>
                <w:i/>
              </w:rPr>
              <w:t>, ce qui allège les flux migratoires vers l’Europe,</w:t>
            </w:r>
            <w:r w:rsidRPr="00DC274A">
              <w:t xml:space="preserve"> et de contribuer à la réintégration durable des migrants de retour dans leur pays d’origine, tout en exploitant au mieux l’additionnalité, en favorisant la fourniture de produits innovants et en attirant des financements privés.</w:t>
            </w:r>
          </w:p>
        </w:tc>
      </w:tr>
    </w:tbl>
    <w:p w14:paraId="4CDD58A5" w14:textId="77777777" w:rsidR="00BF7ACA" w:rsidRPr="00E82ECE" w:rsidRDefault="00BF7ACA" w:rsidP="00BF7ACA">
      <w:pPr>
        <w:pStyle w:val="Olang"/>
        <w:rPr>
          <w:noProof w:val="0"/>
          <w:szCs w:val="24"/>
          <w:lang w:val="en-GB"/>
        </w:rPr>
      </w:pPr>
      <w:r w:rsidRPr="00E82ECE">
        <w:rPr>
          <w:noProof w:val="0"/>
          <w:lang w:val="en-GB"/>
        </w:rPr>
        <w:t xml:space="preserve">Or. </w:t>
      </w:r>
      <w:r w:rsidRPr="00E82ECE">
        <w:rPr>
          <w:rStyle w:val="HideTWBExt"/>
          <w:noProof w:val="0"/>
          <w:lang w:val="en-GB"/>
        </w:rPr>
        <w:t>&lt;Original&gt;</w:t>
      </w:r>
      <w:r w:rsidRPr="00E82ECE">
        <w:rPr>
          <w:rStyle w:val="HideTWBInt"/>
          <w:noProof w:val="0"/>
          <w:lang w:val="en-GB"/>
        </w:rPr>
        <w:t>{EN}</w:t>
      </w:r>
      <w:r w:rsidRPr="00E82ECE">
        <w:rPr>
          <w:noProof w:val="0"/>
          <w:lang w:val="en-GB"/>
        </w:rPr>
        <w:t>en</w:t>
      </w:r>
      <w:r w:rsidRPr="00E82ECE">
        <w:rPr>
          <w:rStyle w:val="HideTWBExt"/>
          <w:noProof w:val="0"/>
          <w:lang w:val="en-GB"/>
        </w:rPr>
        <w:t>&lt;/Original&gt;</w:t>
      </w:r>
    </w:p>
    <w:p w14:paraId="629E8855" w14:textId="77777777" w:rsidR="00BF7ACA" w:rsidRPr="00E82ECE" w:rsidRDefault="00BF7ACA" w:rsidP="00BF7ACA">
      <w:pPr>
        <w:rPr>
          <w:lang w:val="en-GB"/>
        </w:rPr>
      </w:pPr>
      <w:r w:rsidRPr="00E82ECE">
        <w:rPr>
          <w:rStyle w:val="HideTWBExt"/>
          <w:lang w:val="en-GB"/>
        </w:rPr>
        <w:t>&lt;/Amend&gt;</w:t>
      </w:r>
    </w:p>
    <w:p w14:paraId="61CF955B" w14:textId="77777777"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194</w:t>
      </w:r>
      <w:r w:rsidRPr="000C3237">
        <w:rPr>
          <w:rStyle w:val="HideTWBExt"/>
          <w:b w:val="0"/>
          <w:lang w:val="en-GB"/>
        </w:rPr>
        <w:t>&lt;/NumAm&gt;</w:t>
      </w:r>
    </w:p>
    <w:p w14:paraId="73A1B546" w14:textId="77777777"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Fabio Massimo Castaldo, Ignazio Corrao, Marco Valli</w:t>
      </w:r>
      <w:r w:rsidRPr="000C3237">
        <w:rPr>
          <w:rStyle w:val="HideTWBExt"/>
          <w:b w:val="0"/>
          <w:lang w:val="en-GB"/>
        </w:rPr>
        <w:t>&lt;/Members&gt;</w:t>
      </w:r>
    </w:p>
    <w:p w14:paraId="1DB429E1" w14:textId="77777777" w:rsidR="00BF7ACA" w:rsidRPr="000C3237" w:rsidRDefault="00BF7ACA" w:rsidP="00BF7ACA">
      <w:pPr>
        <w:rPr>
          <w:lang w:val="en-GB"/>
        </w:rPr>
      </w:pPr>
      <w:r w:rsidRPr="000C3237">
        <w:rPr>
          <w:rStyle w:val="HideTWBExt"/>
          <w:lang w:val="en-GB"/>
        </w:rPr>
        <w:t>&lt;/RepeatBlock-By&gt;</w:t>
      </w:r>
    </w:p>
    <w:p w14:paraId="23B76280" w14:textId="77777777" w:rsidR="00BF7ACA" w:rsidRPr="000C3237" w:rsidRDefault="00BF7ACA" w:rsidP="00BF7ACA">
      <w:pPr>
        <w:pStyle w:val="NormalBold"/>
        <w:keepNext/>
        <w:rPr>
          <w:lang w:val="en-GB"/>
        </w:rPr>
      </w:pPr>
      <w:r w:rsidRPr="000C3237">
        <w:rPr>
          <w:rStyle w:val="HideTWBExt"/>
          <w:b w:val="0"/>
          <w:lang w:val="en-GB"/>
        </w:rPr>
        <w:t>&lt;DocAmend&gt;</w:t>
      </w:r>
      <w:r w:rsidRPr="000C3237">
        <w:rPr>
          <w:lang w:val="en-GB"/>
        </w:rPr>
        <w:t>Proposition de règlement</w:t>
      </w:r>
      <w:r w:rsidRPr="000C3237">
        <w:rPr>
          <w:rStyle w:val="HideTWBExt"/>
          <w:b w:val="0"/>
          <w:lang w:val="en-GB"/>
        </w:rPr>
        <w:t>&lt;/DocAmend&gt;</w:t>
      </w:r>
    </w:p>
    <w:p w14:paraId="4D4A8019" w14:textId="77777777" w:rsidR="00BF7ACA" w:rsidRPr="00E502E5" w:rsidRDefault="00BF7ACA" w:rsidP="00BF7ACA">
      <w:pPr>
        <w:pStyle w:val="NormalBold"/>
      </w:pPr>
      <w:r>
        <w:rPr>
          <w:rStyle w:val="HideTWBExt"/>
          <w:b w:val="0"/>
        </w:rPr>
        <w:t>&lt;Article&gt;</w:t>
      </w:r>
      <w:r w:rsidRPr="002E43F3">
        <w:t>Article 3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157E3627" w14:textId="77777777" w:rsidTr="007924BE">
        <w:trPr>
          <w:jc w:val="center"/>
        </w:trPr>
        <w:tc>
          <w:tcPr>
            <w:tcW w:w="9752" w:type="dxa"/>
            <w:gridSpan w:val="2"/>
          </w:tcPr>
          <w:p w14:paraId="3E211061" w14:textId="77777777" w:rsidR="00BF7ACA" w:rsidRPr="00E502E5" w:rsidRDefault="00BF7ACA" w:rsidP="007924BE">
            <w:pPr>
              <w:keepNext/>
            </w:pPr>
          </w:p>
        </w:tc>
      </w:tr>
      <w:tr w:rsidR="00BF7ACA" w:rsidRPr="00E502E5" w14:paraId="6A40B34D" w14:textId="77777777" w:rsidTr="007924BE">
        <w:trPr>
          <w:jc w:val="center"/>
        </w:trPr>
        <w:tc>
          <w:tcPr>
            <w:tcW w:w="4876" w:type="dxa"/>
            <w:hideMark/>
          </w:tcPr>
          <w:p w14:paraId="25F032A3" w14:textId="77777777" w:rsidR="00BF7ACA" w:rsidRPr="002E43F3" w:rsidRDefault="00BF7ACA" w:rsidP="007924BE">
            <w:pPr>
              <w:pStyle w:val="ColumnHeading"/>
              <w:keepNext/>
            </w:pPr>
            <w:r w:rsidRPr="002E43F3">
              <w:t>Texte proposé par la Commission</w:t>
            </w:r>
          </w:p>
        </w:tc>
        <w:tc>
          <w:tcPr>
            <w:tcW w:w="4876" w:type="dxa"/>
            <w:hideMark/>
          </w:tcPr>
          <w:p w14:paraId="0AD36119" w14:textId="77777777" w:rsidR="00BF7ACA" w:rsidRPr="002E43F3" w:rsidRDefault="00BF7ACA" w:rsidP="007924BE">
            <w:pPr>
              <w:pStyle w:val="ColumnHeading"/>
              <w:keepNext/>
            </w:pPr>
            <w:r w:rsidRPr="002E43F3">
              <w:t>Amendement</w:t>
            </w:r>
          </w:p>
        </w:tc>
      </w:tr>
      <w:tr w:rsidR="00BF7ACA" w:rsidRPr="00E502E5" w14:paraId="7E5D0B87" w14:textId="77777777" w:rsidTr="007924BE">
        <w:trPr>
          <w:jc w:val="center"/>
        </w:trPr>
        <w:tc>
          <w:tcPr>
            <w:tcW w:w="4876" w:type="dxa"/>
            <w:hideMark/>
          </w:tcPr>
          <w:p w14:paraId="4F2B8C27" w14:textId="77777777" w:rsidR="00BF7ACA" w:rsidRPr="002E43F3" w:rsidRDefault="00BF7ACA" w:rsidP="007924BE">
            <w:pPr>
              <w:pStyle w:val="Normal6"/>
            </w:pPr>
            <w:r w:rsidRPr="002E43F3">
              <w:t>2.</w:t>
            </w:r>
            <w:r>
              <w:tab/>
            </w:r>
            <w:r w:rsidRPr="002E43F3">
              <w:t>Le FEDD contribue à la réalisation des objectifs de développement durable à l</w:t>
            </w:r>
            <w:r>
              <w:t>’</w:t>
            </w:r>
            <w:r w:rsidRPr="002E43F3">
              <w:t>horizon 2030, en mettant particulièrement l</w:t>
            </w:r>
            <w:r>
              <w:t>’</w:t>
            </w:r>
            <w:r w:rsidRPr="002E43F3">
              <w:t>accent sur la croissance durable, la création d</w:t>
            </w:r>
            <w:r>
              <w:t>’</w:t>
            </w:r>
            <w:r w:rsidRPr="002E43F3">
              <w:t>emplois, les secteurs socio-économiques et le soutien aux micros, petites et moyennes entreprises, et permet ainsi de lutter contre les causes profondes de la migration et de contribuer à la réintégration durable des migrants de retour dans leur pays d</w:t>
            </w:r>
            <w:r>
              <w:t>’</w:t>
            </w:r>
            <w:r w:rsidRPr="002E43F3">
              <w:t>origine, tout en exploitant au mieux l</w:t>
            </w:r>
            <w:r>
              <w:t>’</w:t>
            </w:r>
            <w:r w:rsidRPr="002E43F3">
              <w:t>additionnalité, en favorisant la fourniture de produits innovants et en attirant des financements privés.</w:t>
            </w:r>
          </w:p>
        </w:tc>
        <w:tc>
          <w:tcPr>
            <w:tcW w:w="4876" w:type="dxa"/>
            <w:hideMark/>
          </w:tcPr>
          <w:p w14:paraId="54ACA5AF" w14:textId="77777777" w:rsidR="00BF7ACA" w:rsidRPr="002E43F3" w:rsidRDefault="00BF7ACA" w:rsidP="007924BE">
            <w:pPr>
              <w:pStyle w:val="Normal6"/>
              <w:rPr>
                <w:szCs w:val="24"/>
              </w:rPr>
            </w:pPr>
            <w:r w:rsidRPr="002E43F3">
              <w:t>2.</w:t>
            </w:r>
            <w:r>
              <w:tab/>
            </w:r>
            <w:r w:rsidRPr="002E43F3">
              <w:t>Le FEDD contribue à la réalisation des objectifs de développement durable à l</w:t>
            </w:r>
            <w:r>
              <w:t>’</w:t>
            </w:r>
            <w:r w:rsidRPr="002E43F3">
              <w:t>horizon 2030, en mettant particulièrement l</w:t>
            </w:r>
            <w:r>
              <w:t>’</w:t>
            </w:r>
            <w:r w:rsidRPr="002E43F3">
              <w:t xml:space="preserve">accent sur la croissance durable, la </w:t>
            </w:r>
            <w:r w:rsidRPr="002E43F3">
              <w:rPr>
                <w:b/>
                <w:i/>
              </w:rPr>
              <w:t xml:space="preserve">participation des communautés locales, la </w:t>
            </w:r>
            <w:r w:rsidRPr="002E43F3">
              <w:t>création d</w:t>
            </w:r>
            <w:r>
              <w:t>’</w:t>
            </w:r>
            <w:r w:rsidRPr="002E43F3">
              <w:t>emplois</w:t>
            </w:r>
            <w:r w:rsidRPr="002E43F3">
              <w:rPr>
                <w:b/>
                <w:i/>
              </w:rPr>
              <w:t>, la création d</w:t>
            </w:r>
            <w:r>
              <w:rPr>
                <w:b/>
                <w:i/>
              </w:rPr>
              <w:t>’</w:t>
            </w:r>
            <w:r w:rsidRPr="002E43F3">
              <w:rPr>
                <w:b/>
                <w:i/>
              </w:rPr>
              <w:t>une économie circulaire</w:t>
            </w:r>
            <w:r w:rsidRPr="002E43F3">
              <w:t>, les secteurs socio-économiques et le soutien aux micros, petites et moyennes entreprises, et permet ainsi de lutter contre les causes profondes de la migration et de contribuer à la réintégration durable des migrants de retour dans leur pays d</w:t>
            </w:r>
            <w:r>
              <w:t>’</w:t>
            </w:r>
            <w:r w:rsidRPr="002E43F3">
              <w:t>origine, tout en exploitant au mieux l</w:t>
            </w:r>
            <w:r>
              <w:t>’</w:t>
            </w:r>
            <w:r w:rsidRPr="002E43F3">
              <w:t>additionnalité, en favorisant la fourniture de produits innovants et en attirant des financements privés.</w:t>
            </w:r>
          </w:p>
        </w:tc>
      </w:tr>
    </w:tbl>
    <w:p w14:paraId="52903BE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{IT}</w:t>
      </w:r>
      <w:r w:rsidRPr="00BF7ACA">
        <w:rPr>
          <w:noProof w:val="0"/>
        </w:rPr>
        <w:t>it</w:t>
      </w:r>
      <w:r w:rsidRPr="00BF7ACA">
        <w:rPr>
          <w:rStyle w:val="HideTWBExt"/>
          <w:noProof w:val="0"/>
        </w:rPr>
        <w:t>&lt;/Original&gt;</w:t>
      </w:r>
    </w:p>
    <w:p w14:paraId="025691CB" w14:textId="77777777" w:rsidR="00BF7ACA" w:rsidRPr="00BF7ACA" w:rsidRDefault="00BF7ACA" w:rsidP="00BF7ACA">
      <w:r w:rsidRPr="00BF7ACA">
        <w:rPr>
          <w:rStyle w:val="HideTWBExt"/>
        </w:rPr>
        <w:t>&lt;/Amend&gt;</w:t>
      </w:r>
    </w:p>
    <w:p w14:paraId="17F04D1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195</w:t>
      </w:r>
      <w:r w:rsidRPr="00BF7ACA">
        <w:rPr>
          <w:rStyle w:val="HideTWBExt"/>
          <w:b w:val="0"/>
        </w:rPr>
        <w:t>&lt;/NumAm&gt;</w:t>
      </w:r>
    </w:p>
    <w:p w14:paraId="78CA5D18"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06625796" w14:textId="77777777" w:rsidR="00BF7ACA" w:rsidRPr="00355860" w:rsidRDefault="00BF7ACA" w:rsidP="00BF7ACA">
      <w:r>
        <w:rPr>
          <w:rStyle w:val="HideTWBExt"/>
        </w:rPr>
        <w:t>&lt;/RepeatBlock-By&gt;</w:t>
      </w:r>
    </w:p>
    <w:p w14:paraId="05C6BE55"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34807622" w14:textId="77777777"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30246BA7" w14:textId="77777777" w:rsidTr="007924BE">
        <w:trPr>
          <w:jc w:val="center"/>
        </w:trPr>
        <w:tc>
          <w:tcPr>
            <w:tcW w:w="9752" w:type="dxa"/>
            <w:gridSpan w:val="2"/>
          </w:tcPr>
          <w:p w14:paraId="3F40B31E" w14:textId="77777777" w:rsidR="00BF7ACA" w:rsidRPr="00355860" w:rsidRDefault="00BF7ACA" w:rsidP="007924BE">
            <w:pPr>
              <w:keepNext/>
            </w:pPr>
          </w:p>
        </w:tc>
      </w:tr>
      <w:tr w:rsidR="00BF7ACA" w:rsidRPr="00355860" w14:paraId="02DB9289" w14:textId="77777777" w:rsidTr="007924BE">
        <w:trPr>
          <w:jc w:val="center"/>
        </w:trPr>
        <w:tc>
          <w:tcPr>
            <w:tcW w:w="4876" w:type="dxa"/>
            <w:hideMark/>
          </w:tcPr>
          <w:p w14:paraId="0042B2C6" w14:textId="77777777" w:rsidR="00BF7ACA" w:rsidRPr="00B915F8" w:rsidRDefault="00BF7ACA" w:rsidP="007924BE">
            <w:pPr>
              <w:pStyle w:val="ColumnHeading"/>
              <w:keepNext/>
            </w:pPr>
            <w:r w:rsidRPr="00B915F8">
              <w:t>Texte proposé par la Commission</w:t>
            </w:r>
          </w:p>
        </w:tc>
        <w:tc>
          <w:tcPr>
            <w:tcW w:w="4876" w:type="dxa"/>
            <w:hideMark/>
          </w:tcPr>
          <w:p w14:paraId="19D105E3" w14:textId="77777777" w:rsidR="00BF7ACA" w:rsidRPr="00B915F8" w:rsidRDefault="00BF7ACA" w:rsidP="007924BE">
            <w:pPr>
              <w:pStyle w:val="ColumnHeading"/>
              <w:keepNext/>
            </w:pPr>
            <w:r w:rsidRPr="00B915F8">
              <w:t>Amendement</w:t>
            </w:r>
          </w:p>
        </w:tc>
      </w:tr>
      <w:tr w:rsidR="00BF7ACA" w:rsidRPr="00355860" w14:paraId="517C31D1" w14:textId="77777777" w:rsidTr="007924BE">
        <w:trPr>
          <w:jc w:val="center"/>
        </w:trPr>
        <w:tc>
          <w:tcPr>
            <w:tcW w:w="4876" w:type="dxa"/>
            <w:hideMark/>
          </w:tcPr>
          <w:p w14:paraId="3C915509" w14:textId="77777777" w:rsidR="00BF7ACA" w:rsidRPr="00DC274A" w:rsidRDefault="00BF7ACA" w:rsidP="007924BE">
            <w:pPr>
              <w:pStyle w:val="Normal6"/>
              <w:rPr>
                <w:b/>
                <w:i/>
              </w:rPr>
            </w:pPr>
            <w:r w:rsidRPr="00DC274A">
              <w:t>2.</w:t>
            </w:r>
            <w:r w:rsidRPr="00DC274A">
              <w:rPr>
                <w:b/>
                <w:i/>
              </w:rPr>
              <w:tab/>
            </w:r>
            <w:r w:rsidRPr="00DC274A">
              <w:t>Le FEDD contribue à la réalisation des objectifs de développement durable à l’horizon 2030, en mettant particulièrement l’accent sur la croissance durable, la création d’emplois, les secteurs socio-économiques et le soutien aux</w:t>
            </w:r>
            <w:r w:rsidRPr="00DC274A">
              <w:rPr>
                <w:b/>
                <w:i/>
              </w:rPr>
              <w:t xml:space="preserve"> micros,</w:t>
            </w:r>
            <w:r w:rsidRPr="00DC274A">
              <w:t xml:space="preserve"> petites et moyennes entreprises,</w:t>
            </w:r>
            <w:r w:rsidRPr="00DC274A">
              <w:rPr>
                <w:b/>
                <w:i/>
              </w:rPr>
              <w:t xml:space="preserve"> et permet ainsi de lutter contre les causes profondes de la migration et de contribuer à la réintégration durable des migrants de retour dans leur pays d’origine,</w:t>
            </w:r>
            <w:r w:rsidRPr="00DC274A">
              <w:t xml:space="preserve"> tout en</w:t>
            </w:r>
            <w:r w:rsidRPr="00DC274A">
              <w:rPr>
                <w:b/>
                <w:i/>
              </w:rPr>
              <w:t xml:space="preserve"> exploitant au mieux</w:t>
            </w:r>
            <w:r w:rsidRPr="00DC274A">
              <w:t xml:space="preserve"> l’additionnalité</w:t>
            </w:r>
            <w:r w:rsidRPr="00DC274A">
              <w:rPr>
                <w:b/>
                <w:i/>
              </w:rPr>
              <w:t>, en favorisant la fourniture de produits innovants</w:t>
            </w:r>
            <w:r w:rsidRPr="00DC274A">
              <w:t xml:space="preserve"> et en attirant des financements privés.</w:t>
            </w:r>
          </w:p>
        </w:tc>
        <w:tc>
          <w:tcPr>
            <w:tcW w:w="4876" w:type="dxa"/>
            <w:hideMark/>
          </w:tcPr>
          <w:p w14:paraId="2E78204F" w14:textId="77777777" w:rsidR="00BF7ACA" w:rsidRPr="00DC274A" w:rsidRDefault="00BF7ACA" w:rsidP="007924BE">
            <w:pPr>
              <w:pStyle w:val="Normal6"/>
              <w:rPr>
                <w:b/>
                <w:i/>
                <w:szCs w:val="24"/>
              </w:rPr>
            </w:pPr>
            <w:r w:rsidRPr="00DC274A">
              <w:t>2.</w:t>
            </w:r>
            <w:r w:rsidRPr="00DC274A">
              <w:rPr>
                <w:b/>
                <w:i/>
              </w:rPr>
              <w:tab/>
            </w:r>
            <w:r w:rsidRPr="00DC274A">
              <w:t>Le FEDD contribue à la réalisation des objectifs de développement durable à l’horizon 2030</w:t>
            </w:r>
            <w:r w:rsidRPr="00DC274A">
              <w:rPr>
                <w:b/>
                <w:i/>
              </w:rPr>
              <w:t xml:space="preserve"> et respecte les principes de l’efficacité du développement</w:t>
            </w:r>
            <w:r w:rsidRPr="00DC274A">
              <w:t>,</w:t>
            </w:r>
            <w:r w:rsidRPr="00DC274A">
              <w:rPr>
                <w:b/>
                <w:i/>
              </w:rPr>
              <w:t xml:space="preserve"> comme l’alignement sur les priorités des pays partenaires, l’aide non liée et l’application de conditions définies d’un commun accord,</w:t>
            </w:r>
            <w:r w:rsidRPr="00DC274A">
              <w:t xml:space="preserve"> en mettant particulièrement l’accent sur la croissance durable,</w:t>
            </w:r>
            <w:r w:rsidRPr="00DC274A">
              <w:rPr>
                <w:b/>
                <w:i/>
              </w:rPr>
              <w:t xml:space="preserve"> sur</w:t>
            </w:r>
            <w:r w:rsidRPr="00DC274A">
              <w:t xml:space="preserve"> la création d’emplois,</w:t>
            </w:r>
            <w:r w:rsidRPr="00DC274A">
              <w:rPr>
                <w:b/>
                <w:i/>
              </w:rPr>
              <w:t xml:space="preserve"> sur</w:t>
            </w:r>
            <w:r w:rsidRPr="00DC274A">
              <w:t xml:space="preserve"> les secteurs socio-économiques et</w:t>
            </w:r>
            <w:r w:rsidRPr="00DC274A">
              <w:rPr>
                <w:b/>
                <w:i/>
              </w:rPr>
              <w:t xml:space="preserve"> sur</w:t>
            </w:r>
            <w:r w:rsidRPr="00DC274A">
              <w:t xml:space="preserve"> le soutien aux</w:t>
            </w:r>
            <w:r w:rsidRPr="00DC274A">
              <w:rPr>
                <w:b/>
                <w:i/>
              </w:rPr>
              <w:t xml:space="preserve"> microentreprises et aux</w:t>
            </w:r>
            <w:r w:rsidRPr="00DC274A">
              <w:t xml:space="preserve"> petites et moyennes entreprises, tout en</w:t>
            </w:r>
            <w:r w:rsidRPr="00DC274A">
              <w:rPr>
                <w:b/>
                <w:i/>
              </w:rPr>
              <w:t xml:space="preserve"> garantissant</w:t>
            </w:r>
            <w:r w:rsidRPr="00DC274A">
              <w:t xml:space="preserve"> l’additionnalité et en attirant des financements privés.</w:t>
            </w:r>
          </w:p>
        </w:tc>
      </w:tr>
    </w:tbl>
    <w:p w14:paraId="249004D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416140E" w14:textId="77777777" w:rsidR="00BF7ACA" w:rsidRPr="00BF7ACA" w:rsidRDefault="00BF7ACA" w:rsidP="00BF7ACA">
      <w:r w:rsidRPr="00BF7ACA">
        <w:rPr>
          <w:rStyle w:val="HideTWBExt"/>
        </w:rPr>
        <w:t>&lt;/Amend&gt;</w:t>
      </w:r>
    </w:p>
    <w:p w14:paraId="0DC0771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196</w:t>
      </w:r>
      <w:r w:rsidRPr="00BF7ACA">
        <w:rPr>
          <w:rStyle w:val="HideTWBExt"/>
          <w:b w:val="0"/>
        </w:rPr>
        <w:t>&lt;/NumAm&gt;</w:t>
      </w:r>
    </w:p>
    <w:p w14:paraId="2BA44980"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58A47F2D" w14:textId="77777777" w:rsidR="00BF7ACA" w:rsidRPr="00355860" w:rsidRDefault="00BF7ACA" w:rsidP="00BF7ACA">
      <w:r>
        <w:rPr>
          <w:rStyle w:val="HideTWBExt"/>
        </w:rPr>
        <w:t>&lt;/RepeatBlock-By&gt;</w:t>
      </w:r>
    </w:p>
    <w:p w14:paraId="39AFCCB8"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284D93D9" w14:textId="77777777" w:rsidR="00BF7ACA" w:rsidRPr="00355860" w:rsidRDefault="00BF7ACA" w:rsidP="00BF7ACA">
      <w:pPr>
        <w:pStyle w:val="NormalBold"/>
      </w:pPr>
      <w:r>
        <w:rPr>
          <w:rStyle w:val="HideTWBExt"/>
          <w:b w:val="0"/>
        </w:rPr>
        <w:t>&lt;Article&gt;</w:t>
      </w:r>
      <w:r w:rsidRPr="00B915F8">
        <w:t>Article 3 – paragraphe 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4D2AB2FC" w14:textId="77777777" w:rsidTr="007924BE">
        <w:trPr>
          <w:jc w:val="center"/>
        </w:trPr>
        <w:tc>
          <w:tcPr>
            <w:tcW w:w="9752" w:type="dxa"/>
            <w:gridSpan w:val="2"/>
          </w:tcPr>
          <w:p w14:paraId="432DBFFA" w14:textId="77777777" w:rsidR="00BF7ACA" w:rsidRPr="00355860" w:rsidRDefault="00BF7ACA" w:rsidP="007924BE">
            <w:pPr>
              <w:keepNext/>
            </w:pPr>
          </w:p>
        </w:tc>
      </w:tr>
      <w:tr w:rsidR="00BF7ACA" w:rsidRPr="00355860" w14:paraId="16FAF414" w14:textId="77777777" w:rsidTr="007924BE">
        <w:trPr>
          <w:jc w:val="center"/>
        </w:trPr>
        <w:tc>
          <w:tcPr>
            <w:tcW w:w="4876" w:type="dxa"/>
            <w:hideMark/>
          </w:tcPr>
          <w:p w14:paraId="7A214D3A" w14:textId="77777777" w:rsidR="00BF7ACA" w:rsidRPr="00B915F8" w:rsidRDefault="00BF7ACA" w:rsidP="007924BE">
            <w:pPr>
              <w:pStyle w:val="ColumnHeading"/>
              <w:keepNext/>
            </w:pPr>
            <w:r w:rsidRPr="00B915F8">
              <w:t>Texte proposé par la Commission</w:t>
            </w:r>
          </w:p>
        </w:tc>
        <w:tc>
          <w:tcPr>
            <w:tcW w:w="4876" w:type="dxa"/>
            <w:hideMark/>
          </w:tcPr>
          <w:p w14:paraId="6A9CA88C" w14:textId="77777777" w:rsidR="00BF7ACA" w:rsidRPr="00B915F8" w:rsidRDefault="00BF7ACA" w:rsidP="007924BE">
            <w:pPr>
              <w:pStyle w:val="ColumnHeading"/>
              <w:keepNext/>
            </w:pPr>
            <w:r w:rsidRPr="00B915F8">
              <w:t>Amendement</w:t>
            </w:r>
          </w:p>
        </w:tc>
      </w:tr>
      <w:tr w:rsidR="00BF7ACA" w:rsidRPr="00355860" w14:paraId="160A225D" w14:textId="77777777" w:rsidTr="007924BE">
        <w:trPr>
          <w:jc w:val="center"/>
        </w:trPr>
        <w:tc>
          <w:tcPr>
            <w:tcW w:w="4876" w:type="dxa"/>
          </w:tcPr>
          <w:p w14:paraId="3472685A" w14:textId="77777777" w:rsidR="00BF7ACA" w:rsidRPr="00B915F8" w:rsidRDefault="00BF7ACA" w:rsidP="007924BE">
            <w:pPr>
              <w:pStyle w:val="Normal6"/>
            </w:pPr>
          </w:p>
        </w:tc>
        <w:tc>
          <w:tcPr>
            <w:tcW w:w="4876" w:type="dxa"/>
            <w:hideMark/>
          </w:tcPr>
          <w:p w14:paraId="241A0A4E" w14:textId="77777777" w:rsidR="00BF7ACA" w:rsidRPr="00DC274A" w:rsidRDefault="00BF7ACA" w:rsidP="007924BE">
            <w:pPr>
              <w:pStyle w:val="Normal6"/>
              <w:rPr>
                <w:b/>
                <w:i/>
                <w:szCs w:val="24"/>
              </w:rPr>
            </w:pPr>
            <w:r w:rsidRPr="00DC274A">
              <w:rPr>
                <w:b/>
                <w:i/>
              </w:rPr>
              <w:t>2 bis.</w:t>
            </w:r>
            <w:r w:rsidRPr="00DC274A">
              <w:rPr>
                <w:b/>
                <w:i/>
              </w:rPr>
              <w:tab/>
              <w:t>Afin de respecter les engagements politiques de l’Union sur le plan des énergies renouvelables, de l’efficacité énergétique et du changement climatique, une part de 40 % au moins des fonds alloués au titre du FEDD devrait être consacrée à des opérations de financement ou d’investissement pertinentes pour ces secteurs,</w:t>
            </w:r>
          </w:p>
        </w:tc>
      </w:tr>
    </w:tbl>
    <w:p w14:paraId="1DD4FCF7"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EF94588" w14:textId="77777777" w:rsidR="00BF7ACA" w:rsidRPr="00BF7ACA" w:rsidRDefault="00BF7ACA" w:rsidP="00BF7ACA">
      <w:r w:rsidRPr="00BF7ACA">
        <w:rPr>
          <w:rStyle w:val="HideTWBExt"/>
        </w:rPr>
        <w:t>&lt;/Amend&gt;</w:t>
      </w:r>
    </w:p>
    <w:p w14:paraId="50BD3489"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197</w:t>
      </w:r>
      <w:r w:rsidRPr="00BF7ACA">
        <w:rPr>
          <w:rStyle w:val="HideTWBExt"/>
          <w:b w:val="0"/>
        </w:rPr>
        <w:t>&lt;/NumAm&gt;</w:t>
      </w:r>
    </w:p>
    <w:p w14:paraId="05953F52" w14:textId="77777777" w:rsidR="00BF7ACA" w:rsidRPr="00BF7ACA" w:rsidRDefault="00BF7ACA" w:rsidP="00BF7ACA">
      <w:pPr>
        <w:pStyle w:val="NormalBold"/>
      </w:pPr>
      <w:r w:rsidRPr="00BF7ACA">
        <w:rPr>
          <w:rStyle w:val="HideTWBExt"/>
          <w:b w:val="0"/>
        </w:rPr>
        <w:t>&lt;RepeatBlock-By&gt;&lt;Members&gt;</w:t>
      </w:r>
      <w:r w:rsidRPr="00BF7ACA">
        <w:t>Eider Gardiazabal Rubial, Soraya Post, Doru-Claudian Frunzulică</w:t>
      </w:r>
      <w:r w:rsidRPr="00BF7ACA">
        <w:rPr>
          <w:rStyle w:val="HideTWBExt"/>
          <w:b w:val="0"/>
        </w:rPr>
        <w:t>&lt;/Members&gt;</w:t>
      </w:r>
    </w:p>
    <w:p w14:paraId="49AACE35" w14:textId="77777777" w:rsidR="00BF7ACA" w:rsidRPr="00355860" w:rsidRDefault="00BF7ACA" w:rsidP="00BF7ACA">
      <w:r>
        <w:rPr>
          <w:rStyle w:val="HideTWBExt"/>
        </w:rPr>
        <w:t>&lt;/RepeatBlock-By&gt;</w:t>
      </w:r>
    </w:p>
    <w:p w14:paraId="38B5A18B"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2B03269E" w14:textId="77777777" w:rsidR="00BF7ACA" w:rsidRPr="00355860" w:rsidRDefault="00BF7ACA" w:rsidP="00BF7ACA">
      <w:pPr>
        <w:pStyle w:val="NormalBold"/>
      </w:pPr>
      <w:r>
        <w:rPr>
          <w:rStyle w:val="HideTWBExt"/>
          <w:b w:val="0"/>
        </w:rPr>
        <w:t>&lt;Article&gt;</w:t>
      </w:r>
      <w:r w:rsidRPr="00B915F8">
        <w:t>Article 3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52260249" w14:textId="77777777" w:rsidTr="007924BE">
        <w:trPr>
          <w:jc w:val="center"/>
        </w:trPr>
        <w:tc>
          <w:tcPr>
            <w:tcW w:w="9752" w:type="dxa"/>
            <w:gridSpan w:val="2"/>
          </w:tcPr>
          <w:p w14:paraId="32ED3C10" w14:textId="77777777" w:rsidR="00BF7ACA" w:rsidRPr="00355860" w:rsidRDefault="00BF7ACA" w:rsidP="007924BE">
            <w:pPr>
              <w:keepNext/>
            </w:pPr>
          </w:p>
        </w:tc>
      </w:tr>
      <w:tr w:rsidR="00BF7ACA" w:rsidRPr="00355860" w14:paraId="7C67C483" w14:textId="77777777" w:rsidTr="007924BE">
        <w:trPr>
          <w:jc w:val="center"/>
        </w:trPr>
        <w:tc>
          <w:tcPr>
            <w:tcW w:w="4876" w:type="dxa"/>
            <w:hideMark/>
          </w:tcPr>
          <w:p w14:paraId="17328782" w14:textId="77777777" w:rsidR="00BF7ACA" w:rsidRPr="00B915F8" w:rsidRDefault="00BF7ACA" w:rsidP="007924BE">
            <w:pPr>
              <w:pStyle w:val="ColumnHeading"/>
              <w:keepNext/>
            </w:pPr>
            <w:r w:rsidRPr="00B915F8">
              <w:t>Texte proposé par la Commission</w:t>
            </w:r>
          </w:p>
        </w:tc>
        <w:tc>
          <w:tcPr>
            <w:tcW w:w="4876" w:type="dxa"/>
            <w:hideMark/>
          </w:tcPr>
          <w:p w14:paraId="088549AA" w14:textId="77777777" w:rsidR="00BF7ACA" w:rsidRPr="00B915F8" w:rsidRDefault="00BF7ACA" w:rsidP="007924BE">
            <w:pPr>
              <w:pStyle w:val="ColumnHeading"/>
              <w:keepNext/>
            </w:pPr>
            <w:r w:rsidRPr="00B915F8">
              <w:t>Amendement</w:t>
            </w:r>
          </w:p>
        </w:tc>
      </w:tr>
      <w:tr w:rsidR="00BF7ACA" w:rsidRPr="00355860" w14:paraId="23A8C7FE" w14:textId="77777777" w:rsidTr="007924BE">
        <w:trPr>
          <w:jc w:val="center"/>
        </w:trPr>
        <w:tc>
          <w:tcPr>
            <w:tcW w:w="4876" w:type="dxa"/>
          </w:tcPr>
          <w:p w14:paraId="33EAD9EA" w14:textId="77777777" w:rsidR="00BF7ACA" w:rsidRPr="00B915F8" w:rsidRDefault="00BF7ACA" w:rsidP="007924BE">
            <w:pPr>
              <w:pStyle w:val="Normal6"/>
            </w:pPr>
          </w:p>
        </w:tc>
        <w:tc>
          <w:tcPr>
            <w:tcW w:w="4876" w:type="dxa"/>
            <w:hideMark/>
          </w:tcPr>
          <w:p w14:paraId="53B6B774" w14:textId="77777777" w:rsidR="00BF7ACA" w:rsidRPr="00DC274A" w:rsidRDefault="00BF7ACA" w:rsidP="007924BE">
            <w:pPr>
              <w:pStyle w:val="Normal6"/>
              <w:jc w:val="center"/>
              <w:rPr>
                <w:b/>
                <w:i/>
                <w:szCs w:val="24"/>
              </w:rPr>
            </w:pPr>
            <w:r w:rsidRPr="00DC274A">
              <w:rPr>
                <w:b/>
                <w:i/>
              </w:rPr>
              <w:t>Article 3 bis</w:t>
            </w:r>
          </w:p>
        </w:tc>
      </w:tr>
      <w:tr w:rsidR="00BF7ACA" w:rsidRPr="00355860" w14:paraId="58F90487" w14:textId="77777777" w:rsidTr="007924BE">
        <w:trPr>
          <w:jc w:val="center"/>
        </w:trPr>
        <w:tc>
          <w:tcPr>
            <w:tcW w:w="4876" w:type="dxa"/>
          </w:tcPr>
          <w:p w14:paraId="1D0D0F80" w14:textId="77777777" w:rsidR="00BF7ACA" w:rsidRPr="00B915F8" w:rsidRDefault="00BF7ACA" w:rsidP="007924BE">
            <w:pPr>
              <w:pStyle w:val="Normal6"/>
            </w:pPr>
          </w:p>
        </w:tc>
        <w:tc>
          <w:tcPr>
            <w:tcW w:w="4876" w:type="dxa"/>
            <w:hideMark/>
          </w:tcPr>
          <w:p w14:paraId="19186C22" w14:textId="77777777" w:rsidR="00BF7ACA" w:rsidRPr="00DC274A" w:rsidRDefault="00BF7ACA" w:rsidP="007924BE">
            <w:pPr>
              <w:pStyle w:val="Normal6"/>
              <w:rPr>
                <w:b/>
                <w:i/>
                <w:szCs w:val="24"/>
              </w:rPr>
            </w:pPr>
            <w:r w:rsidRPr="00DC274A">
              <w:rPr>
                <w:b/>
                <w:i/>
              </w:rPr>
              <w:t>Dans les régions et les pays où il est présent, le FEDD contribue aux objectifs énoncés dans les actes de base des instruments de financement de l’action extérieure de l’Union et est aligné sur les priorités contenues dans les programmes nationaux ou régionaux, le cas échéant.</w:t>
            </w:r>
          </w:p>
        </w:tc>
      </w:tr>
    </w:tbl>
    <w:p w14:paraId="642FA76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3350324" w14:textId="77777777" w:rsidR="00BF7ACA" w:rsidRPr="00BF7ACA" w:rsidRDefault="00BF7ACA" w:rsidP="00BF7ACA">
      <w:r w:rsidRPr="00BF7ACA">
        <w:rPr>
          <w:rStyle w:val="HideTWBExt"/>
        </w:rPr>
        <w:t>&lt;/Amend&gt;</w:t>
      </w:r>
    </w:p>
    <w:p w14:paraId="395789E9"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198</w:t>
      </w:r>
      <w:r w:rsidRPr="00BF7ACA">
        <w:rPr>
          <w:rStyle w:val="HideTWBExt"/>
          <w:b w:val="0"/>
        </w:rPr>
        <w:t>&lt;/NumAm&gt;</w:t>
      </w:r>
    </w:p>
    <w:p w14:paraId="6E5287E8" w14:textId="77777777"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14:paraId="6F34CE6F" w14:textId="77777777" w:rsidR="00BF7ACA" w:rsidRPr="00355860" w:rsidRDefault="00BF7ACA" w:rsidP="00BF7ACA">
      <w:r>
        <w:rPr>
          <w:rStyle w:val="HideTWBExt"/>
        </w:rPr>
        <w:t>&lt;/RepeatBlock-By&gt;</w:t>
      </w:r>
    </w:p>
    <w:p w14:paraId="57E05B9A"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52716B5" w14:textId="77777777" w:rsidR="00BF7ACA" w:rsidRPr="00355860" w:rsidRDefault="00BF7ACA" w:rsidP="00BF7ACA">
      <w:pPr>
        <w:pStyle w:val="NormalBold"/>
      </w:pPr>
      <w:r>
        <w:rPr>
          <w:rStyle w:val="HideTWBExt"/>
          <w:b w:val="0"/>
        </w:rPr>
        <w:t>&lt;Article&gt;</w:t>
      </w:r>
      <w:r w:rsidRPr="00B915F8">
        <w:t>Article 4 – paragraphe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0C3389DD" w14:textId="77777777" w:rsidTr="007924BE">
        <w:trPr>
          <w:jc w:val="center"/>
        </w:trPr>
        <w:tc>
          <w:tcPr>
            <w:tcW w:w="9752" w:type="dxa"/>
            <w:gridSpan w:val="2"/>
          </w:tcPr>
          <w:p w14:paraId="579F0FF2" w14:textId="77777777" w:rsidR="00BF7ACA" w:rsidRPr="00355860" w:rsidRDefault="00BF7ACA" w:rsidP="007924BE">
            <w:pPr>
              <w:keepNext/>
            </w:pPr>
          </w:p>
        </w:tc>
      </w:tr>
      <w:tr w:rsidR="00BF7ACA" w:rsidRPr="00355860" w14:paraId="07EC04B8" w14:textId="77777777" w:rsidTr="007924BE">
        <w:trPr>
          <w:jc w:val="center"/>
        </w:trPr>
        <w:tc>
          <w:tcPr>
            <w:tcW w:w="4876" w:type="dxa"/>
            <w:hideMark/>
          </w:tcPr>
          <w:p w14:paraId="303C99AF" w14:textId="77777777" w:rsidR="00BF7ACA" w:rsidRPr="00B915F8" w:rsidRDefault="00BF7ACA" w:rsidP="007924BE">
            <w:pPr>
              <w:pStyle w:val="ColumnHeading"/>
              <w:keepNext/>
            </w:pPr>
            <w:r w:rsidRPr="00B915F8">
              <w:t>Texte proposé par la Commission</w:t>
            </w:r>
          </w:p>
        </w:tc>
        <w:tc>
          <w:tcPr>
            <w:tcW w:w="4876" w:type="dxa"/>
            <w:hideMark/>
          </w:tcPr>
          <w:p w14:paraId="1FE0A378" w14:textId="77777777" w:rsidR="00BF7ACA" w:rsidRPr="00B915F8" w:rsidRDefault="00BF7ACA" w:rsidP="007924BE">
            <w:pPr>
              <w:pStyle w:val="ColumnHeading"/>
              <w:keepNext/>
            </w:pPr>
            <w:r w:rsidRPr="00B915F8">
              <w:t>Amendement</w:t>
            </w:r>
          </w:p>
        </w:tc>
      </w:tr>
      <w:tr w:rsidR="00BF7ACA" w:rsidRPr="00355860" w14:paraId="0748ECE3" w14:textId="77777777" w:rsidTr="007924BE">
        <w:trPr>
          <w:jc w:val="center"/>
        </w:trPr>
        <w:tc>
          <w:tcPr>
            <w:tcW w:w="4876" w:type="dxa"/>
            <w:hideMark/>
          </w:tcPr>
          <w:p w14:paraId="047DBD52" w14:textId="77777777" w:rsidR="00BF7ACA" w:rsidRPr="00DC274A" w:rsidRDefault="00BF7ACA" w:rsidP="007924BE">
            <w:pPr>
              <w:pStyle w:val="Normal6"/>
              <w:rPr>
                <w:b/>
                <w:i/>
              </w:rPr>
            </w:pPr>
            <w:r w:rsidRPr="00DC274A">
              <w:t>1.</w:t>
            </w:r>
            <w:r w:rsidRPr="00DC274A">
              <w:rPr>
                <w:b/>
                <w:i/>
              </w:rPr>
              <w:tab/>
            </w:r>
            <w:r w:rsidRPr="00DC274A">
              <w:t>Le FEDD est composé de plateformes régionales d’investissement, qui combineront des financements issus des mécanismes de mixage existants et de la garantie FEDD.</w:t>
            </w:r>
          </w:p>
        </w:tc>
        <w:tc>
          <w:tcPr>
            <w:tcW w:w="4876" w:type="dxa"/>
            <w:hideMark/>
          </w:tcPr>
          <w:p w14:paraId="66D4A849" w14:textId="77777777" w:rsidR="00BF7ACA" w:rsidRPr="00DC274A" w:rsidRDefault="00BF7ACA" w:rsidP="007924BE">
            <w:pPr>
              <w:pStyle w:val="Normal6"/>
              <w:rPr>
                <w:b/>
                <w:i/>
                <w:szCs w:val="24"/>
              </w:rPr>
            </w:pPr>
            <w:r w:rsidRPr="00DC274A">
              <w:t>1.</w:t>
            </w:r>
            <w:r w:rsidRPr="00DC274A">
              <w:rPr>
                <w:b/>
                <w:i/>
              </w:rPr>
              <w:tab/>
            </w:r>
            <w:r w:rsidRPr="00DC274A">
              <w:t>Le FEDD est composé de plateformes régionales d’investissement, qui combineront des financements issus des mécanismes de mixage existants et de la garantie FEDD.</w:t>
            </w:r>
            <w:r w:rsidRPr="00DC274A">
              <w:rPr>
                <w:b/>
                <w:i/>
              </w:rPr>
              <w:t xml:space="preserve"> Les deux premières plateformes régionales d’investissement couvriront l’Afrique et les pays du voisinage de l’Union. Ultérieurement, cette couverture pourra être étendue à d’autres régions ACP, ainsi qu’à l’Amérique latine et à l’Asie.</w:t>
            </w:r>
          </w:p>
        </w:tc>
      </w:tr>
    </w:tbl>
    <w:p w14:paraId="13B47751"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D521068" w14:textId="77777777" w:rsidR="00BF7ACA" w:rsidRPr="00BF7ACA" w:rsidRDefault="00BF7ACA" w:rsidP="00BF7ACA">
      <w:r w:rsidRPr="00BF7ACA">
        <w:rPr>
          <w:rStyle w:val="HideTWBExt"/>
        </w:rPr>
        <w:t>&lt;/Amend&gt;</w:t>
      </w:r>
    </w:p>
    <w:p w14:paraId="5C18B4B2"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199</w:t>
      </w:r>
      <w:r w:rsidRPr="00BF7ACA">
        <w:rPr>
          <w:rStyle w:val="HideTWBExt"/>
          <w:b w:val="0"/>
        </w:rPr>
        <w:t>&lt;/NumAm&gt;</w:t>
      </w:r>
    </w:p>
    <w:p w14:paraId="3AD90999"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335212DE" w14:textId="77777777" w:rsidR="00BF7ACA" w:rsidRPr="00355860" w:rsidRDefault="00BF7ACA" w:rsidP="00BF7ACA">
      <w:r>
        <w:rPr>
          <w:rStyle w:val="HideTWBExt"/>
        </w:rPr>
        <w:t>&lt;/RepeatBlock-By&gt;</w:t>
      </w:r>
    </w:p>
    <w:p w14:paraId="6EAA91C8"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20A79C45" w14:textId="77777777" w:rsidR="00BF7ACA" w:rsidRPr="00355860" w:rsidRDefault="00BF7ACA" w:rsidP="00BF7ACA">
      <w:pPr>
        <w:pStyle w:val="NormalBold"/>
      </w:pPr>
      <w:r>
        <w:rPr>
          <w:rStyle w:val="HideTWBExt"/>
          <w:b w:val="0"/>
        </w:rPr>
        <w:t>&lt;Article&gt;</w:t>
      </w:r>
      <w:r w:rsidRPr="00B915F8">
        <w:t>Article 4 – paragraphe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26DB207A" w14:textId="77777777" w:rsidTr="007924BE">
        <w:trPr>
          <w:jc w:val="center"/>
        </w:trPr>
        <w:tc>
          <w:tcPr>
            <w:tcW w:w="9752" w:type="dxa"/>
            <w:gridSpan w:val="2"/>
          </w:tcPr>
          <w:p w14:paraId="5922CB39" w14:textId="77777777" w:rsidR="00BF7ACA" w:rsidRPr="00355860" w:rsidRDefault="00BF7ACA" w:rsidP="007924BE">
            <w:pPr>
              <w:keepNext/>
            </w:pPr>
          </w:p>
        </w:tc>
      </w:tr>
      <w:tr w:rsidR="00BF7ACA" w:rsidRPr="00355860" w14:paraId="21657506" w14:textId="77777777" w:rsidTr="007924BE">
        <w:trPr>
          <w:jc w:val="center"/>
        </w:trPr>
        <w:tc>
          <w:tcPr>
            <w:tcW w:w="4876" w:type="dxa"/>
            <w:hideMark/>
          </w:tcPr>
          <w:p w14:paraId="3F79A8D5" w14:textId="77777777" w:rsidR="00BF7ACA" w:rsidRPr="00B915F8" w:rsidRDefault="00BF7ACA" w:rsidP="007924BE">
            <w:pPr>
              <w:pStyle w:val="ColumnHeading"/>
              <w:keepNext/>
            </w:pPr>
            <w:r w:rsidRPr="00B915F8">
              <w:t>Texte proposé par la Commission</w:t>
            </w:r>
          </w:p>
        </w:tc>
        <w:tc>
          <w:tcPr>
            <w:tcW w:w="4876" w:type="dxa"/>
            <w:hideMark/>
          </w:tcPr>
          <w:p w14:paraId="394EDC47" w14:textId="77777777" w:rsidR="00BF7ACA" w:rsidRPr="00B915F8" w:rsidRDefault="00BF7ACA" w:rsidP="007924BE">
            <w:pPr>
              <w:pStyle w:val="ColumnHeading"/>
              <w:keepNext/>
            </w:pPr>
            <w:r w:rsidRPr="00B915F8">
              <w:t>Amendement</w:t>
            </w:r>
          </w:p>
        </w:tc>
      </w:tr>
      <w:tr w:rsidR="00BF7ACA" w:rsidRPr="00355860" w14:paraId="55847A95" w14:textId="77777777" w:rsidTr="007924BE">
        <w:trPr>
          <w:jc w:val="center"/>
        </w:trPr>
        <w:tc>
          <w:tcPr>
            <w:tcW w:w="4876" w:type="dxa"/>
            <w:hideMark/>
          </w:tcPr>
          <w:p w14:paraId="4C4729DE" w14:textId="77777777" w:rsidR="00BF7ACA" w:rsidRPr="00DC274A" w:rsidRDefault="00BF7ACA" w:rsidP="007924BE">
            <w:pPr>
              <w:pStyle w:val="Normal6"/>
              <w:rPr>
                <w:b/>
                <w:i/>
              </w:rPr>
            </w:pPr>
            <w:r w:rsidRPr="00DC274A">
              <w:t>1.</w:t>
            </w:r>
            <w:r w:rsidRPr="00DC274A">
              <w:rPr>
                <w:b/>
                <w:i/>
              </w:rPr>
              <w:tab/>
            </w:r>
            <w:r w:rsidRPr="00DC274A">
              <w:t>Le FEDD est composé de plateformes régionales d’investissement, qui combineront des financements issus des mécanismes de mixage existants et de la garantie FEDD.</w:t>
            </w:r>
          </w:p>
        </w:tc>
        <w:tc>
          <w:tcPr>
            <w:tcW w:w="4876" w:type="dxa"/>
            <w:hideMark/>
          </w:tcPr>
          <w:p w14:paraId="611DF673" w14:textId="77777777" w:rsidR="00BF7ACA" w:rsidRPr="00DC274A" w:rsidRDefault="00BF7ACA" w:rsidP="007924BE">
            <w:pPr>
              <w:pStyle w:val="Normal6"/>
              <w:rPr>
                <w:b/>
                <w:i/>
                <w:szCs w:val="24"/>
              </w:rPr>
            </w:pPr>
            <w:r w:rsidRPr="00DC274A">
              <w:t>1.</w:t>
            </w:r>
            <w:r w:rsidRPr="00DC274A">
              <w:rPr>
                <w:b/>
                <w:i/>
              </w:rPr>
              <w:tab/>
            </w:r>
            <w:r w:rsidRPr="00DC274A">
              <w:t>Le FEDD est composé de plateformes régionales d’investissement, qui combineront des financements issus des mécanismes de mixage existants et de la garantie FEDD</w:t>
            </w:r>
            <w:r w:rsidRPr="00DC274A">
              <w:rPr>
                <w:b/>
                <w:i/>
              </w:rPr>
              <w:t>, complétés par des plateformes de conseil</w:t>
            </w:r>
            <w:r w:rsidRPr="00DC274A">
              <w:t>.</w:t>
            </w:r>
          </w:p>
        </w:tc>
      </w:tr>
    </w:tbl>
    <w:p w14:paraId="565F9A0B"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CA571C3" w14:textId="77777777" w:rsidR="00BF7ACA" w:rsidRPr="00BF7ACA" w:rsidRDefault="00BF7ACA" w:rsidP="00BF7ACA">
      <w:r w:rsidRPr="00BF7ACA">
        <w:rPr>
          <w:rStyle w:val="HideTWBExt"/>
        </w:rPr>
        <w:t>&lt;/Amend&gt;</w:t>
      </w:r>
    </w:p>
    <w:p w14:paraId="70D17644"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200</w:t>
      </w:r>
      <w:r w:rsidRPr="00E502E5">
        <w:rPr>
          <w:rStyle w:val="HideTWBExt"/>
          <w:b w:val="0"/>
        </w:rPr>
        <w:t>&lt;/NumAm&gt;</w:t>
      </w:r>
    </w:p>
    <w:p w14:paraId="2EB2FD86" w14:textId="77777777" w:rsidR="00BF7ACA" w:rsidRPr="00E502E5" w:rsidRDefault="00BF7ACA" w:rsidP="00BF7ACA">
      <w:pPr>
        <w:pStyle w:val="NormalBold"/>
      </w:pPr>
      <w:r w:rsidRPr="00E502E5">
        <w:rPr>
          <w:rStyle w:val="HideTWBExt"/>
          <w:b w:val="0"/>
        </w:rPr>
        <w:t>&lt;RepeatBlock-By&gt;&lt;Members&gt;</w:t>
      </w:r>
      <w:r w:rsidRPr="00E502E5">
        <w:t>Jean-Luc Schaffhauser</w:t>
      </w:r>
      <w:r w:rsidRPr="00E502E5">
        <w:rPr>
          <w:rStyle w:val="HideTWBExt"/>
          <w:b w:val="0"/>
        </w:rPr>
        <w:t>&lt;/Members&gt;</w:t>
      </w:r>
    </w:p>
    <w:p w14:paraId="23B4CA09" w14:textId="77777777" w:rsidR="00BF7ACA" w:rsidRPr="00E502E5" w:rsidRDefault="00BF7ACA" w:rsidP="00BF7ACA">
      <w:r w:rsidRPr="00E502E5">
        <w:rPr>
          <w:rStyle w:val="HideTWBExt"/>
        </w:rPr>
        <w:t>&lt;/RepeatBlock-By&gt;</w:t>
      </w:r>
    </w:p>
    <w:p w14:paraId="69B77244"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3DA780FB" w14:textId="77777777" w:rsidR="00BF7ACA" w:rsidRPr="00E502E5" w:rsidRDefault="00BF7ACA" w:rsidP="00BF7ACA">
      <w:pPr>
        <w:pStyle w:val="NormalBold"/>
      </w:pPr>
      <w:r w:rsidRPr="00E502E5">
        <w:rPr>
          <w:rStyle w:val="HideTWBExt"/>
          <w:b w:val="0"/>
        </w:rPr>
        <w:t>&lt;Article&gt;</w:t>
      </w:r>
      <w:r w:rsidRPr="00E502E5">
        <w:t>Article 4 – paragraphe 2</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0BB756DD" w14:textId="77777777" w:rsidTr="007924BE">
        <w:trPr>
          <w:jc w:val="center"/>
        </w:trPr>
        <w:tc>
          <w:tcPr>
            <w:tcW w:w="9752" w:type="dxa"/>
            <w:gridSpan w:val="2"/>
          </w:tcPr>
          <w:p w14:paraId="5E0BF4B3" w14:textId="77777777" w:rsidR="00BF7ACA" w:rsidRPr="00E502E5" w:rsidRDefault="00BF7ACA" w:rsidP="007924BE">
            <w:pPr>
              <w:keepNext/>
            </w:pPr>
          </w:p>
        </w:tc>
      </w:tr>
      <w:tr w:rsidR="00BF7ACA" w:rsidRPr="00E502E5" w14:paraId="5EC25028" w14:textId="77777777" w:rsidTr="007924BE">
        <w:trPr>
          <w:jc w:val="center"/>
        </w:trPr>
        <w:tc>
          <w:tcPr>
            <w:tcW w:w="4876" w:type="dxa"/>
            <w:hideMark/>
          </w:tcPr>
          <w:p w14:paraId="138C1BFA" w14:textId="77777777" w:rsidR="00BF7ACA" w:rsidRPr="00E502E5" w:rsidRDefault="00BF7ACA" w:rsidP="007924BE">
            <w:pPr>
              <w:pStyle w:val="ColumnHeading"/>
              <w:keepNext/>
            </w:pPr>
            <w:r w:rsidRPr="00E502E5">
              <w:t>Texte proposé par la Commission</w:t>
            </w:r>
          </w:p>
        </w:tc>
        <w:tc>
          <w:tcPr>
            <w:tcW w:w="4876" w:type="dxa"/>
            <w:hideMark/>
          </w:tcPr>
          <w:p w14:paraId="011A0870" w14:textId="77777777" w:rsidR="00BF7ACA" w:rsidRPr="00E502E5" w:rsidRDefault="00BF7ACA" w:rsidP="007924BE">
            <w:pPr>
              <w:pStyle w:val="ColumnHeading"/>
              <w:keepNext/>
            </w:pPr>
            <w:r w:rsidRPr="00E502E5">
              <w:t>Amendement</w:t>
            </w:r>
          </w:p>
        </w:tc>
      </w:tr>
      <w:tr w:rsidR="00BF7ACA" w:rsidRPr="00E502E5" w14:paraId="25F8267F" w14:textId="77777777" w:rsidTr="007924BE">
        <w:trPr>
          <w:jc w:val="center"/>
        </w:trPr>
        <w:tc>
          <w:tcPr>
            <w:tcW w:w="4876" w:type="dxa"/>
            <w:hideMark/>
          </w:tcPr>
          <w:p w14:paraId="5F89F376" w14:textId="77777777" w:rsidR="00BF7ACA" w:rsidRPr="00E502E5" w:rsidRDefault="00BF7ACA" w:rsidP="007924BE">
            <w:pPr>
              <w:pStyle w:val="Normal6"/>
            </w:pPr>
            <w:r w:rsidRPr="00E502E5">
              <w:rPr>
                <w:b/>
                <w:i/>
              </w:rPr>
              <w:t>2.</w:t>
            </w:r>
            <w:r w:rsidRPr="00E502E5">
              <w:tab/>
            </w:r>
            <w:r w:rsidRPr="00E502E5">
              <w:rPr>
                <w:b/>
                <w:i/>
              </w:rPr>
              <w:t>La gestion du FEDD est assurée par la Commission.</w:t>
            </w:r>
          </w:p>
        </w:tc>
        <w:tc>
          <w:tcPr>
            <w:tcW w:w="4876" w:type="dxa"/>
            <w:hideMark/>
          </w:tcPr>
          <w:p w14:paraId="4A4DCE82" w14:textId="77777777" w:rsidR="00BF7ACA" w:rsidRPr="00E502E5" w:rsidRDefault="00BF7ACA" w:rsidP="007924BE">
            <w:pPr>
              <w:pStyle w:val="Normal6"/>
              <w:rPr>
                <w:szCs w:val="24"/>
              </w:rPr>
            </w:pPr>
            <w:r w:rsidRPr="00E502E5">
              <w:rPr>
                <w:b/>
                <w:i/>
              </w:rPr>
              <w:t>supprimé</w:t>
            </w:r>
          </w:p>
        </w:tc>
      </w:tr>
    </w:tbl>
    <w:p w14:paraId="3BE9A4BD"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0D61AEE5" w14:textId="77777777" w:rsidR="00BF7ACA" w:rsidRPr="00E502E5" w:rsidRDefault="00BF7ACA" w:rsidP="00BF7ACA">
      <w:r w:rsidRPr="00E502E5">
        <w:rPr>
          <w:rStyle w:val="HideTWBExt"/>
        </w:rPr>
        <w:t>&lt;/Amend&gt;</w:t>
      </w:r>
    </w:p>
    <w:p w14:paraId="1E48914D" w14:textId="77777777" w:rsidR="00BF7ACA" w:rsidRPr="00E82ECE" w:rsidRDefault="00BF7ACA" w:rsidP="00BF7ACA">
      <w:pPr>
        <w:pStyle w:val="AMNumberTabs"/>
        <w:keepNext/>
        <w:rPr>
          <w:lang w:val="en-GB"/>
        </w:rPr>
      </w:pPr>
      <w:r w:rsidRPr="00E82ECE">
        <w:rPr>
          <w:rStyle w:val="HideTWBExt"/>
          <w:b w:val="0"/>
          <w:lang w:val="en-GB"/>
        </w:rPr>
        <w:t>&lt;Amend&gt;</w:t>
      </w:r>
      <w:r w:rsidRPr="00E82ECE">
        <w:rPr>
          <w:lang w:val="en-GB"/>
        </w:rPr>
        <w:t>Amendement</w:t>
      </w:r>
      <w:r w:rsidRPr="00E82ECE">
        <w:rPr>
          <w:lang w:val="en-GB"/>
        </w:rPr>
        <w:tab/>
      </w:r>
      <w:r w:rsidRPr="00E82ECE">
        <w:rPr>
          <w:lang w:val="en-GB"/>
        </w:rPr>
        <w:tab/>
      </w:r>
      <w:r w:rsidRPr="00E82ECE">
        <w:rPr>
          <w:rStyle w:val="HideTWBExt"/>
          <w:b w:val="0"/>
          <w:lang w:val="en-GB"/>
        </w:rPr>
        <w:t>&lt;NumAm&gt;</w:t>
      </w:r>
      <w:r w:rsidRPr="00E82ECE">
        <w:rPr>
          <w:lang w:val="en-GB"/>
        </w:rPr>
        <w:t>201</w:t>
      </w:r>
      <w:r w:rsidRPr="00E82ECE">
        <w:rPr>
          <w:rStyle w:val="HideTWBExt"/>
          <w:b w:val="0"/>
          <w:lang w:val="en-GB"/>
        </w:rPr>
        <w:t>&lt;/NumAm&gt;</w:t>
      </w:r>
    </w:p>
    <w:p w14:paraId="60FB0B6A" w14:textId="77777777" w:rsidR="00BF7ACA" w:rsidRPr="00E82ECE" w:rsidRDefault="00BF7ACA" w:rsidP="00BF7ACA">
      <w:pPr>
        <w:pStyle w:val="NormalBold"/>
        <w:rPr>
          <w:lang w:val="en-GB"/>
        </w:rPr>
      </w:pPr>
      <w:r w:rsidRPr="00E82ECE">
        <w:rPr>
          <w:rStyle w:val="HideTWBExt"/>
          <w:b w:val="0"/>
          <w:lang w:val="en-GB"/>
        </w:rPr>
        <w:t>&lt;RepeatBlock-By&gt;&lt;Members&gt;</w:t>
      </w:r>
      <w:r w:rsidRPr="00E82ECE">
        <w:rPr>
          <w:lang w:val="en-GB"/>
        </w:rPr>
        <w:t>Eider Gardiazabal Rubial, Doru-Claudian Frunzulică, Soraya Post</w:t>
      </w:r>
      <w:r w:rsidRPr="00E82ECE">
        <w:rPr>
          <w:rStyle w:val="HideTWBExt"/>
          <w:b w:val="0"/>
          <w:lang w:val="en-GB"/>
        </w:rPr>
        <w:t>&lt;/Members&gt;</w:t>
      </w:r>
    </w:p>
    <w:p w14:paraId="19F1D68C" w14:textId="77777777" w:rsidR="00BF7ACA" w:rsidRPr="00BF7ACA" w:rsidRDefault="00BF7ACA" w:rsidP="00BF7ACA">
      <w:pPr>
        <w:rPr>
          <w:lang w:val="en-GB"/>
        </w:rPr>
      </w:pPr>
      <w:r w:rsidRPr="00BF7ACA">
        <w:rPr>
          <w:rStyle w:val="HideTWBExt"/>
          <w:lang w:val="en-GB"/>
        </w:rPr>
        <w:t>&lt;/RepeatBlock-By&gt;</w:t>
      </w:r>
    </w:p>
    <w:p w14:paraId="6DC0880E"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0E308111" w14:textId="77777777" w:rsidR="00BF7ACA" w:rsidRPr="00355860" w:rsidRDefault="00BF7ACA" w:rsidP="00BF7ACA">
      <w:pPr>
        <w:pStyle w:val="NormalBold"/>
      </w:pPr>
      <w:r>
        <w:rPr>
          <w:rStyle w:val="HideTWBExt"/>
          <w:b w:val="0"/>
        </w:rPr>
        <w:t>&lt;Article&gt;</w:t>
      </w:r>
      <w:r w:rsidRPr="00B915F8">
        <w:t>Article 4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66C0744D" w14:textId="77777777" w:rsidTr="007924BE">
        <w:trPr>
          <w:jc w:val="center"/>
        </w:trPr>
        <w:tc>
          <w:tcPr>
            <w:tcW w:w="9752" w:type="dxa"/>
            <w:gridSpan w:val="2"/>
          </w:tcPr>
          <w:p w14:paraId="75D425F1" w14:textId="77777777" w:rsidR="00BF7ACA" w:rsidRPr="00355860" w:rsidRDefault="00BF7ACA" w:rsidP="007924BE">
            <w:pPr>
              <w:keepNext/>
            </w:pPr>
          </w:p>
        </w:tc>
      </w:tr>
      <w:tr w:rsidR="00BF7ACA" w:rsidRPr="00355860" w14:paraId="4CDC0993" w14:textId="77777777" w:rsidTr="007924BE">
        <w:trPr>
          <w:jc w:val="center"/>
        </w:trPr>
        <w:tc>
          <w:tcPr>
            <w:tcW w:w="4876" w:type="dxa"/>
            <w:hideMark/>
          </w:tcPr>
          <w:p w14:paraId="003AA197" w14:textId="77777777" w:rsidR="00BF7ACA" w:rsidRPr="00B915F8" w:rsidRDefault="00BF7ACA" w:rsidP="007924BE">
            <w:pPr>
              <w:pStyle w:val="ColumnHeading"/>
              <w:keepNext/>
            </w:pPr>
            <w:r w:rsidRPr="00B915F8">
              <w:t>Texte proposé par la Commission</w:t>
            </w:r>
          </w:p>
        </w:tc>
        <w:tc>
          <w:tcPr>
            <w:tcW w:w="4876" w:type="dxa"/>
            <w:hideMark/>
          </w:tcPr>
          <w:p w14:paraId="6455DBBF" w14:textId="77777777" w:rsidR="00BF7ACA" w:rsidRPr="00B915F8" w:rsidRDefault="00BF7ACA" w:rsidP="007924BE">
            <w:pPr>
              <w:pStyle w:val="ColumnHeading"/>
              <w:keepNext/>
            </w:pPr>
            <w:r w:rsidRPr="00B915F8">
              <w:t>Amendement</w:t>
            </w:r>
          </w:p>
        </w:tc>
      </w:tr>
      <w:tr w:rsidR="00BF7ACA" w:rsidRPr="00355860" w14:paraId="2CE1C364" w14:textId="77777777" w:rsidTr="007924BE">
        <w:trPr>
          <w:jc w:val="center"/>
        </w:trPr>
        <w:tc>
          <w:tcPr>
            <w:tcW w:w="4876" w:type="dxa"/>
            <w:hideMark/>
          </w:tcPr>
          <w:p w14:paraId="306836CD" w14:textId="77777777" w:rsidR="00BF7ACA" w:rsidRPr="00DC274A" w:rsidRDefault="00BF7ACA" w:rsidP="007924BE">
            <w:pPr>
              <w:pStyle w:val="Normal6"/>
              <w:rPr>
                <w:b/>
                <w:i/>
              </w:rPr>
            </w:pPr>
            <w:r w:rsidRPr="00DC274A">
              <w:t>2.</w:t>
            </w:r>
            <w:r w:rsidRPr="00DC274A">
              <w:rPr>
                <w:b/>
                <w:i/>
              </w:rPr>
              <w:tab/>
            </w:r>
            <w:r w:rsidRPr="00DC274A">
              <w:t>La gestion du FEDD est assurée par la Commission.</w:t>
            </w:r>
          </w:p>
        </w:tc>
        <w:tc>
          <w:tcPr>
            <w:tcW w:w="4876" w:type="dxa"/>
            <w:hideMark/>
          </w:tcPr>
          <w:p w14:paraId="290B2D9E" w14:textId="77777777" w:rsidR="00BF7ACA" w:rsidRPr="00DC274A" w:rsidRDefault="00BF7ACA" w:rsidP="007924BE">
            <w:pPr>
              <w:pStyle w:val="Normal6"/>
              <w:rPr>
                <w:b/>
                <w:i/>
                <w:szCs w:val="24"/>
              </w:rPr>
            </w:pPr>
            <w:r w:rsidRPr="00DC274A">
              <w:t>2.</w:t>
            </w:r>
            <w:r w:rsidRPr="00DC274A">
              <w:rPr>
                <w:b/>
                <w:i/>
              </w:rPr>
              <w:tab/>
            </w:r>
            <w:r w:rsidRPr="00DC274A">
              <w:t>La gestion du FEDD est assurée par la Commission.</w:t>
            </w:r>
            <w:r w:rsidRPr="00DC274A">
              <w:rPr>
                <w:b/>
                <w:i/>
              </w:rPr>
              <w:t xml:space="preserve"> Celle-ci travaille en étroite collaboration avec la Banque européenne d’investissement (BEI) et avec les autres contreparties éligibles en ce qui concerne la gestion opérationnelle de la garantie FEDD. À cette fin, un groupe de travail technique est mis en place. Un accord est conclu avec la BEI afin de fixer les modalités de coopération à la gestion du FEDD, en concertation avec les autres contreparties éligibles.</w:t>
            </w:r>
          </w:p>
        </w:tc>
      </w:tr>
    </w:tbl>
    <w:p w14:paraId="6C11A79F"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C5865DC" w14:textId="77777777" w:rsidR="00BF7ACA" w:rsidRPr="00BF7ACA" w:rsidRDefault="00BF7ACA" w:rsidP="00BF7ACA">
      <w:r w:rsidRPr="00BF7ACA">
        <w:rPr>
          <w:rStyle w:val="HideTWBExt"/>
        </w:rPr>
        <w:t>&lt;/Amend&gt;</w:t>
      </w:r>
    </w:p>
    <w:p w14:paraId="11BF7CC5"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202</w:t>
      </w:r>
      <w:r w:rsidRPr="00BF7ACA">
        <w:rPr>
          <w:rStyle w:val="HideTWBExt"/>
          <w:b w:val="0"/>
        </w:rPr>
        <w:t>&lt;/NumAm&gt;</w:t>
      </w:r>
    </w:p>
    <w:p w14:paraId="7A224ACF"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109CDEB7" w14:textId="77777777" w:rsidR="00BF7ACA" w:rsidRPr="00355860" w:rsidRDefault="00BF7ACA" w:rsidP="00BF7ACA">
      <w:r>
        <w:rPr>
          <w:rStyle w:val="HideTWBExt"/>
        </w:rPr>
        <w:t>&lt;/RepeatBlock-By&gt;</w:t>
      </w:r>
    </w:p>
    <w:p w14:paraId="6D18BB2A"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68D12C4C" w14:textId="77777777" w:rsidR="00BF7ACA" w:rsidRPr="00355860" w:rsidRDefault="00BF7ACA" w:rsidP="00BF7ACA">
      <w:pPr>
        <w:pStyle w:val="NormalBold"/>
      </w:pPr>
      <w:r>
        <w:rPr>
          <w:rStyle w:val="HideTWBExt"/>
          <w:b w:val="0"/>
        </w:rPr>
        <w:t>&lt;Article&gt;</w:t>
      </w:r>
      <w:r w:rsidRPr="00B915F8">
        <w:t>Article 4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1C5823EE" w14:textId="77777777" w:rsidTr="007924BE">
        <w:trPr>
          <w:jc w:val="center"/>
        </w:trPr>
        <w:tc>
          <w:tcPr>
            <w:tcW w:w="9752" w:type="dxa"/>
            <w:gridSpan w:val="2"/>
          </w:tcPr>
          <w:p w14:paraId="3B9D4B22" w14:textId="77777777" w:rsidR="00BF7ACA" w:rsidRPr="00355860" w:rsidRDefault="00BF7ACA" w:rsidP="007924BE">
            <w:pPr>
              <w:keepNext/>
            </w:pPr>
          </w:p>
        </w:tc>
      </w:tr>
      <w:tr w:rsidR="00BF7ACA" w:rsidRPr="00355860" w14:paraId="59F405AB" w14:textId="77777777" w:rsidTr="007924BE">
        <w:trPr>
          <w:jc w:val="center"/>
        </w:trPr>
        <w:tc>
          <w:tcPr>
            <w:tcW w:w="4876" w:type="dxa"/>
            <w:hideMark/>
          </w:tcPr>
          <w:p w14:paraId="7C672D5C" w14:textId="77777777" w:rsidR="00BF7ACA" w:rsidRPr="00B915F8" w:rsidRDefault="00BF7ACA" w:rsidP="007924BE">
            <w:pPr>
              <w:pStyle w:val="ColumnHeading"/>
              <w:keepNext/>
            </w:pPr>
            <w:r w:rsidRPr="00B915F8">
              <w:t>Texte proposé par la Commission</w:t>
            </w:r>
          </w:p>
        </w:tc>
        <w:tc>
          <w:tcPr>
            <w:tcW w:w="4876" w:type="dxa"/>
            <w:hideMark/>
          </w:tcPr>
          <w:p w14:paraId="1D4422B4" w14:textId="77777777" w:rsidR="00BF7ACA" w:rsidRPr="00B915F8" w:rsidRDefault="00BF7ACA" w:rsidP="007924BE">
            <w:pPr>
              <w:pStyle w:val="ColumnHeading"/>
              <w:keepNext/>
            </w:pPr>
            <w:r w:rsidRPr="00B915F8">
              <w:t>Amendement</w:t>
            </w:r>
          </w:p>
        </w:tc>
      </w:tr>
      <w:tr w:rsidR="00BF7ACA" w:rsidRPr="00355860" w14:paraId="1983CAB2" w14:textId="77777777" w:rsidTr="007924BE">
        <w:trPr>
          <w:jc w:val="center"/>
        </w:trPr>
        <w:tc>
          <w:tcPr>
            <w:tcW w:w="4876" w:type="dxa"/>
            <w:hideMark/>
          </w:tcPr>
          <w:p w14:paraId="018A4665" w14:textId="77777777" w:rsidR="00BF7ACA" w:rsidRPr="00DC274A" w:rsidRDefault="00BF7ACA" w:rsidP="007924BE">
            <w:pPr>
              <w:pStyle w:val="Normal6"/>
              <w:rPr>
                <w:b/>
                <w:i/>
              </w:rPr>
            </w:pPr>
            <w:r w:rsidRPr="00DC274A">
              <w:t>2.</w:t>
            </w:r>
            <w:r w:rsidRPr="00DC274A">
              <w:rPr>
                <w:b/>
                <w:i/>
              </w:rPr>
              <w:tab/>
            </w:r>
            <w:r w:rsidRPr="00DC274A">
              <w:t>La gestion du FEDD est assurée par la Commission.</w:t>
            </w:r>
          </w:p>
        </w:tc>
        <w:tc>
          <w:tcPr>
            <w:tcW w:w="4876" w:type="dxa"/>
            <w:hideMark/>
          </w:tcPr>
          <w:p w14:paraId="30BB38EE" w14:textId="77777777" w:rsidR="00BF7ACA" w:rsidRPr="00DC274A" w:rsidRDefault="00BF7ACA" w:rsidP="007924BE">
            <w:pPr>
              <w:pStyle w:val="Normal6"/>
              <w:rPr>
                <w:b/>
                <w:i/>
                <w:szCs w:val="24"/>
              </w:rPr>
            </w:pPr>
            <w:r w:rsidRPr="00DC274A">
              <w:t>2.</w:t>
            </w:r>
            <w:r w:rsidRPr="00DC274A">
              <w:rPr>
                <w:b/>
                <w:i/>
              </w:rPr>
              <w:tab/>
            </w:r>
            <w:r w:rsidRPr="00DC274A">
              <w:t>La gestion du FEDD est assurée par la Commission</w:t>
            </w:r>
            <w:r w:rsidRPr="00DC274A">
              <w:rPr>
                <w:b/>
                <w:i/>
              </w:rPr>
              <w:t>, qui tient compte des lignes directrices et des critères proposés par le Parlement européen, et avec la participation démocratique des populations et des communautés locales des régions bénéficiaires des investissements</w:t>
            </w:r>
            <w:r w:rsidRPr="00DC274A">
              <w:t>.</w:t>
            </w:r>
          </w:p>
        </w:tc>
      </w:tr>
    </w:tbl>
    <w:p w14:paraId="7003D18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D8A662C" w14:textId="77777777" w:rsidR="00BF7ACA" w:rsidRPr="00BF7ACA" w:rsidRDefault="00BF7ACA" w:rsidP="00BF7ACA">
      <w:r w:rsidRPr="00BF7ACA">
        <w:rPr>
          <w:rStyle w:val="HideTWBExt"/>
        </w:rPr>
        <w:t>&lt;/Amend&gt;</w:t>
      </w:r>
    </w:p>
    <w:p w14:paraId="2D917D5A"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203</w:t>
      </w:r>
      <w:r w:rsidRPr="00BF7ACA">
        <w:rPr>
          <w:rStyle w:val="HideTWBExt"/>
          <w:b w:val="0"/>
        </w:rPr>
        <w:t>&lt;/NumAm&gt;</w:t>
      </w:r>
    </w:p>
    <w:p w14:paraId="4182B618" w14:textId="77777777" w:rsidR="00BF7ACA" w:rsidRPr="00BF7ACA" w:rsidRDefault="00BF7ACA" w:rsidP="00BF7ACA">
      <w:pPr>
        <w:pStyle w:val="NormalBold"/>
      </w:pPr>
      <w:r w:rsidRPr="00BF7ACA">
        <w:rPr>
          <w:rStyle w:val="HideTWBExt"/>
          <w:b w:val="0"/>
        </w:rPr>
        <w:t>&lt;RepeatBlock-By&gt;&lt;Members&gt;</w:t>
      </w:r>
      <w:r w:rsidRPr="00BF7ACA">
        <w:t>Maurice Ponga, Paul Rübig, Bogdan Brunon Wenta</w:t>
      </w:r>
      <w:r w:rsidRPr="00BF7ACA">
        <w:rPr>
          <w:rStyle w:val="HideTWBExt"/>
          <w:b w:val="0"/>
        </w:rPr>
        <w:t>&lt;/Members&gt;</w:t>
      </w:r>
    </w:p>
    <w:p w14:paraId="4E908CBC" w14:textId="77777777" w:rsidR="00BF7ACA" w:rsidRPr="00355860" w:rsidRDefault="00BF7ACA" w:rsidP="00BF7ACA">
      <w:r>
        <w:rPr>
          <w:rStyle w:val="HideTWBExt"/>
        </w:rPr>
        <w:t>&lt;/RepeatBlock-By&gt;</w:t>
      </w:r>
    </w:p>
    <w:p w14:paraId="1A73F638"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6DB987BA" w14:textId="77777777" w:rsidR="00BF7ACA" w:rsidRPr="00355860" w:rsidRDefault="00BF7ACA" w:rsidP="00BF7ACA">
      <w:pPr>
        <w:pStyle w:val="NormalBold"/>
      </w:pPr>
      <w:r>
        <w:rPr>
          <w:rStyle w:val="HideTWBExt"/>
          <w:b w:val="0"/>
        </w:rPr>
        <w:t>&lt;Article&gt;</w:t>
      </w:r>
      <w:r w:rsidRPr="00B915F8">
        <w:t>Article 4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5DD8F4B3" w14:textId="77777777" w:rsidTr="007924BE">
        <w:trPr>
          <w:jc w:val="center"/>
        </w:trPr>
        <w:tc>
          <w:tcPr>
            <w:tcW w:w="9752" w:type="dxa"/>
            <w:gridSpan w:val="2"/>
          </w:tcPr>
          <w:p w14:paraId="0198CC0E" w14:textId="77777777" w:rsidR="00BF7ACA" w:rsidRPr="00355860" w:rsidRDefault="00BF7ACA" w:rsidP="007924BE">
            <w:pPr>
              <w:keepNext/>
            </w:pPr>
          </w:p>
        </w:tc>
      </w:tr>
      <w:tr w:rsidR="00BF7ACA" w:rsidRPr="00355860" w14:paraId="27CCD37A" w14:textId="77777777" w:rsidTr="007924BE">
        <w:trPr>
          <w:jc w:val="center"/>
        </w:trPr>
        <w:tc>
          <w:tcPr>
            <w:tcW w:w="4876" w:type="dxa"/>
            <w:hideMark/>
          </w:tcPr>
          <w:p w14:paraId="67305908" w14:textId="77777777" w:rsidR="00BF7ACA" w:rsidRPr="00B915F8" w:rsidRDefault="00BF7ACA" w:rsidP="007924BE">
            <w:pPr>
              <w:pStyle w:val="ColumnHeading"/>
              <w:keepNext/>
            </w:pPr>
            <w:r w:rsidRPr="00B915F8">
              <w:t>Texte proposé par la Commission</w:t>
            </w:r>
          </w:p>
        </w:tc>
        <w:tc>
          <w:tcPr>
            <w:tcW w:w="4876" w:type="dxa"/>
            <w:hideMark/>
          </w:tcPr>
          <w:p w14:paraId="44D483B0" w14:textId="77777777" w:rsidR="00BF7ACA" w:rsidRPr="00B915F8" w:rsidRDefault="00BF7ACA" w:rsidP="007924BE">
            <w:pPr>
              <w:pStyle w:val="ColumnHeading"/>
              <w:keepNext/>
            </w:pPr>
            <w:r w:rsidRPr="00B915F8">
              <w:t>Amendement</w:t>
            </w:r>
          </w:p>
        </w:tc>
      </w:tr>
      <w:tr w:rsidR="00BF7ACA" w:rsidRPr="00355860" w14:paraId="7F090EDC" w14:textId="77777777" w:rsidTr="007924BE">
        <w:trPr>
          <w:jc w:val="center"/>
        </w:trPr>
        <w:tc>
          <w:tcPr>
            <w:tcW w:w="4876" w:type="dxa"/>
            <w:hideMark/>
          </w:tcPr>
          <w:p w14:paraId="77D9AF4E" w14:textId="77777777" w:rsidR="00BF7ACA" w:rsidRPr="00DC274A" w:rsidRDefault="00BF7ACA" w:rsidP="007924BE">
            <w:pPr>
              <w:pStyle w:val="Normal6"/>
              <w:rPr>
                <w:b/>
                <w:i/>
              </w:rPr>
            </w:pPr>
            <w:r w:rsidRPr="00DC274A">
              <w:t>2.</w:t>
            </w:r>
            <w:r w:rsidRPr="00DC274A">
              <w:rPr>
                <w:b/>
                <w:i/>
              </w:rPr>
              <w:tab/>
            </w:r>
            <w:r w:rsidRPr="00DC274A">
              <w:t>La gestion du FEDD est assurée par la Commission.</w:t>
            </w:r>
          </w:p>
        </w:tc>
        <w:tc>
          <w:tcPr>
            <w:tcW w:w="4876" w:type="dxa"/>
            <w:hideMark/>
          </w:tcPr>
          <w:p w14:paraId="7527482E" w14:textId="77777777" w:rsidR="00BF7ACA" w:rsidRPr="00DC274A" w:rsidRDefault="00BF7ACA" w:rsidP="007924BE">
            <w:pPr>
              <w:pStyle w:val="Normal6"/>
              <w:rPr>
                <w:b/>
                <w:i/>
                <w:szCs w:val="24"/>
              </w:rPr>
            </w:pPr>
            <w:r w:rsidRPr="00DC274A">
              <w:t>2.</w:t>
            </w:r>
            <w:r w:rsidRPr="00DC274A">
              <w:rPr>
                <w:b/>
                <w:i/>
              </w:rPr>
              <w:tab/>
            </w:r>
            <w:r w:rsidRPr="00DC274A">
              <w:t>La gestion du FEDD est assurée par la Commission.</w:t>
            </w:r>
            <w:r w:rsidRPr="00DC274A">
              <w:rPr>
                <w:b/>
                <w:i/>
              </w:rPr>
              <w:t xml:space="preserve"> Celle-ci travaille en étroite collaboration avec la Banque européenne d’investissement (BEI), avec le soutien des contreparties européennes éligibles en ce qui concerne la gestion opérationnelle de la garantie FEDD.</w:t>
            </w:r>
          </w:p>
        </w:tc>
      </w:tr>
    </w:tbl>
    <w:p w14:paraId="198BFB6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A3813B4" w14:textId="77777777" w:rsidR="00BF7ACA" w:rsidRPr="00BF7ACA" w:rsidRDefault="00BF7ACA" w:rsidP="00BF7ACA">
      <w:r w:rsidRPr="00BF7ACA">
        <w:rPr>
          <w:rStyle w:val="HideTWBExt"/>
        </w:rPr>
        <w:t>&lt;/Amend&gt;</w:t>
      </w:r>
    </w:p>
    <w:p w14:paraId="30B1046F"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204</w:t>
      </w:r>
      <w:r w:rsidRPr="00BF7ACA">
        <w:rPr>
          <w:rStyle w:val="HideTWBExt"/>
          <w:b w:val="0"/>
        </w:rPr>
        <w:t>&lt;/NumAm&gt;</w:t>
      </w:r>
    </w:p>
    <w:p w14:paraId="1203E66D" w14:textId="77777777" w:rsidR="00BF7ACA" w:rsidRPr="00BF7ACA" w:rsidRDefault="00BF7ACA" w:rsidP="00BF7ACA">
      <w:pPr>
        <w:pStyle w:val="NormalBold"/>
      </w:pPr>
      <w:r w:rsidRPr="00BF7ACA">
        <w:rPr>
          <w:rStyle w:val="HideTWBExt"/>
          <w:b w:val="0"/>
        </w:rPr>
        <w:t>&lt;RepeatBlock-By&gt;&lt;Members&gt;</w:t>
      </w:r>
      <w:r w:rsidRPr="00BF7ACA">
        <w:t>Lorenzo Cesa</w:t>
      </w:r>
      <w:r w:rsidRPr="00BF7ACA">
        <w:rPr>
          <w:rStyle w:val="HideTWBExt"/>
          <w:b w:val="0"/>
        </w:rPr>
        <w:t>&lt;/Members&gt;</w:t>
      </w:r>
    </w:p>
    <w:p w14:paraId="3AAB9DBE" w14:textId="77777777" w:rsidR="00BF7ACA" w:rsidRPr="00355860" w:rsidRDefault="00BF7ACA" w:rsidP="00BF7ACA">
      <w:r>
        <w:rPr>
          <w:rStyle w:val="HideTWBExt"/>
        </w:rPr>
        <w:t>&lt;/RepeatBlock-By&gt;</w:t>
      </w:r>
    </w:p>
    <w:p w14:paraId="64CF5A10"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01BF0211" w14:textId="77777777" w:rsidR="00BF7ACA" w:rsidRPr="00355860" w:rsidRDefault="00BF7ACA" w:rsidP="00BF7ACA">
      <w:pPr>
        <w:pStyle w:val="NormalBold"/>
      </w:pPr>
      <w:r>
        <w:rPr>
          <w:rStyle w:val="HideTWBExt"/>
          <w:b w:val="0"/>
        </w:rPr>
        <w:t>&lt;Article&gt;</w:t>
      </w:r>
      <w:r w:rsidRPr="00B915F8">
        <w:t>Article 4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11FE2A0E" w14:textId="77777777" w:rsidTr="007924BE">
        <w:trPr>
          <w:jc w:val="center"/>
        </w:trPr>
        <w:tc>
          <w:tcPr>
            <w:tcW w:w="9752" w:type="dxa"/>
            <w:gridSpan w:val="2"/>
          </w:tcPr>
          <w:p w14:paraId="17BEE905" w14:textId="77777777" w:rsidR="00BF7ACA" w:rsidRPr="00355860" w:rsidRDefault="00BF7ACA" w:rsidP="007924BE">
            <w:pPr>
              <w:keepNext/>
            </w:pPr>
          </w:p>
        </w:tc>
      </w:tr>
      <w:tr w:rsidR="00BF7ACA" w:rsidRPr="00355860" w14:paraId="0906898F" w14:textId="77777777" w:rsidTr="007924BE">
        <w:trPr>
          <w:jc w:val="center"/>
        </w:trPr>
        <w:tc>
          <w:tcPr>
            <w:tcW w:w="4876" w:type="dxa"/>
            <w:hideMark/>
          </w:tcPr>
          <w:p w14:paraId="5EA01F45" w14:textId="77777777" w:rsidR="00BF7ACA" w:rsidRPr="00B915F8" w:rsidRDefault="00BF7ACA" w:rsidP="007924BE">
            <w:pPr>
              <w:pStyle w:val="ColumnHeading"/>
              <w:keepNext/>
            </w:pPr>
            <w:r w:rsidRPr="00B915F8">
              <w:t>Texte proposé par la Commission</w:t>
            </w:r>
          </w:p>
        </w:tc>
        <w:tc>
          <w:tcPr>
            <w:tcW w:w="4876" w:type="dxa"/>
            <w:hideMark/>
          </w:tcPr>
          <w:p w14:paraId="3FDC7F25" w14:textId="77777777" w:rsidR="00BF7ACA" w:rsidRPr="00B915F8" w:rsidRDefault="00BF7ACA" w:rsidP="007924BE">
            <w:pPr>
              <w:pStyle w:val="ColumnHeading"/>
              <w:keepNext/>
            </w:pPr>
            <w:r w:rsidRPr="00B915F8">
              <w:t>Amendement</w:t>
            </w:r>
          </w:p>
        </w:tc>
      </w:tr>
      <w:tr w:rsidR="00BF7ACA" w:rsidRPr="00355860" w14:paraId="092F7875" w14:textId="77777777" w:rsidTr="007924BE">
        <w:trPr>
          <w:jc w:val="center"/>
        </w:trPr>
        <w:tc>
          <w:tcPr>
            <w:tcW w:w="4876" w:type="dxa"/>
            <w:hideMark/>
          </w:tcPr>
          <w:p w14:paraId="5AD7E1A1" w14:textId="77777777" w:rsidR="00BF7ACA" w:rsidRPr="00DC274A" w:rsidRDefault="00BF7ACA" w:rsidP="007924BE">
            <w:pPr>
              <w:pStyle w:val="Normal6"/>
              <w:rPr>
                <w:b/>
                <w:i/>
              </w:rPr>
            </w:pPr>
            <w:r w:rsidRPr="00DC274A">
              <w:t>2.</w:t>
            </w:r>
            <w:r w:rsidRPr="00DC274A">
              <w:rPr>
                <w:b/>
                <w:i/>
              </w:rPr>
              <w:tab/>
            </w:r>
            <w:r w:rsidRPr="00DC274A">
              <w:t>La gestion du FEDD est assurée par la Commission.</w:t>
            </w:r>
          </w:p>
        </w:tc>
        <w:tc>
          <w:tcPr>
            <w:tcW w:w="4876" w:type="dxa"/>
            <w:hideMark/>
          </w:tcPr>
          <w:p w14:paraId="26F7BD8C" w14:textId="77777777" w:rsidR="00BF7ACA" w:rsidRPr="00DC274A" w:rsidRDefault="00BF7ACA" w:rsidP="007924BE">
            <w:pPr>
              <w:pStyle w:val="Normal6"/>
              <w:rPr>
                <w:b/>
                <w:i/>
                <w:szCs w:val="24"/>
              </w:rPr>
            </w:pPr>
            <w:r w:rsidRPr="00DC274A">
              <w:t>2.</w:t>
            </w:r>
            <w:r w:rsidRPr="00DC274A">
              <w:rPr>
                <w:b/>
                <w:i/>
              </w:rPr>
              <w:tab/>
            </w:r>
            <w:r w:rsidRPr="00DC274A">
              <w:t>La gestion du FEDD est assurée par la Commission.</w:t>
            </w:r>
            <w:r w:rsidRPr="00DC274A">
              <w:rPr>
                <w:b/>
                <w:i/>
              </w:rPr>
              <w:t xml:space="preserve"> La Commission travaille en étroite collaboration avec la Banque européenne d’investissement (BEI) en ce qui concerne la gestion opérationnelle de la garantie FEDD.</w:t>
            </w:r>
          </w:p>
        </w:tc>
      </w:tr>
    </w:tbl>
    <w:p w14:paraId="7D2CD6C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C377112" w14:textId="77777777" w:rsidR="00BF7ACA" w:rsidRPr="00BF7ACA" w:rsidRDefault="00BF7ACA" w:rsidP="00BF7ACA">
      <w:r w:rsidRPr="00BF7ACA">
        <w:rPr>
          <w:rStyle w:val="HideTWBExt"/>
        </w:rPr>
        <w:t>&lt;/Amend&gt;</w:t>
      </w:r>
    </w:p>
    <w:p w14:paraId="788DD4ED"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205</w:t>
      </w:r>
      <w:r w:rsidRPr="00E502E5">
        <w:rPr>
          <w:rStyle w:val="HideTWBExt"/>
          <w:b w:val="0"/>
        </w:rPr>
        <w:t>&lt;/NumAm&gt;</w:t>
      </w:r>
    </w:p>
    <w:p w14:paraId="742E8813" w14:textId="77777777" w:rsidR="00BF7ACA" w:rsidRPr="00E502E5" w:rsidRDefault="00BF7ACA" w:rsidP="00BF7ACA">
      <w:pPr>
        <w:pStyle w:val="NormalBold"/>
      </w:pPr>
      <w:r w:rsidRPr="00E502E5">
        <w:rPr>
          <w:rStyle w:val="HideTWBExt"/>
          <w:b w:val="0"/>
        </w:rPr>
        <w:t>&lt;RepeatBlock-By&gt;&lt;Members&gt;</w:t>
      </w:r>
      <w:r w:rsidRPr="00E502E5">
        <w:t>Jean-Luc Schaffhauser</w:t>
      </w:r>
      <w:r w:rsidRPr="00E502E5">
        <w:rPr>
          <w:rStyle w:val="HideTWBExt"/>
          <w:b w:val="0"/>
        </w:rPr>
        <w:t>&lt;/Members&gt;</w:t>
      </w:r>
    </w:p>
    <w:p w14:paraId="38272409" w14:textId="77777777" w:rsidR="00BF7ACA" w:rsidRPr="00E502E5" w:rsidRDefault="00BF7ACA" w:rsidP="00BF7ACA">
      <w:r w:rsidRPr="00E502E5">
        <w:rPr>
          <w:rStyle w:val="HideTWBExt"/>
        </w:rPr>
        <w:t>&lt;/RepeatBlock-By&gt;</w:t>
      </w:r>
    </w:p>
    <w:p w14:paraId="509E2CBC"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5F26FC5D" w14:textId="77777777" w:rsidR="00BF7ACA" w:rsidRPr="00E502E5" w:rsidRDefault="00BF7ACA" w:rsidP="00BF7ACA">
      <w:pPr>
        <w:pStyle w:val="NormalBold"/>
      </w:pPr>
      <w:r w:rsidRPr="00E502E5">
        <w:rPr>
          <w:rStyle w:val="HideTWBExt"/>
          <w:b w:val="0"/>
        </w:rPr>
        <w:t>&lt;Article&gt;</w:t>
      </w:r>
      <w:r w:rsidRPr="00E502E5">
        <w:t>Article 5 – paragraphe 1 – alinéa 1</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73F837C5" w14:textId="77777777" w:rsidTr="007924BE">
        <w:trPr>
          <w:jc w:val="center"/>
        </w:trPr>
        <w:tc>
          <w:tcPr>
            <w:tcW w:w="9752" w:type="dxa"/>
            <w:gridSpan w:val="2"/>
          </w:tcPr>
          <w:p w14:paraId="75AC7458" w14:textId="77777777" w:rsidR="00BF7ACA" w:rsidRPr="00E502E5" w:rsidRDefault="00BF7ACA" w:rsidP="007924BE">
            <w:pPr>
              <w:keepNext/>
            </w:pPr>
          </w:p>
        </w:tc>
      </w:tr>
      <w:tr w:rsidR="00BF7ACA" w:rsidRPr="00E502E5" w14:paraId="2A15637C" w14:textId="77777777" w:rsidTr="007924BE">
        <w:trPr>
          <w:jc w:val="center"/>
        </w:trPr>
        <w:tc>
          <w:tcPr>
            <w:tcW w:w="4876" w:type="dxa"/>
            <w:hideMark/>
          </w:tcPr>
          <w:p w14:paraId="14807EAC" w14:textId="77777777" w:rsidR="00BF7ACA" w:rsidRPr="00E502E5" w:rsidRDefault="00BF7ACA" w:rsidP="007924BE">
            <w:pPr>
              <w:pStyle w:val="ColumnHeading"/>
              <w:keepNext/>
            </w:pPr>
            <w:r w:rsidRPr="00E502E5">
              <w:t>Texte proposé par la Commission</w:t>
            </w:r>
          </w:p>
        </w:tc>
        <w:tc>
          <w:tcPr>
            <w:tcW w:w="4876" w:type="dxa"/>
            <w:hideMark/>
          </w:tcPr>
          <w:p w14:paraId="20885AF0" w14:textId="77777777" w:rsidR="00BF7ACA" w:rsidRPr="00E502E5" w:rsidRDefault="00BF7ACA" w:rsidP="007924BE">
            <w:pPr>
              <w:pStyle w:val="ColumnHeading"/>
              <w:keepNext/>
            </w:pPr>
            <w:r w:rsidRPr="00E502E5">
              <w:t>Amendement</w:t>
            </w:r>
          </w:p>
        </w:tc>
      </w:tr>
      <w:tr w:rsidR="00BF7ACA" w:rsidRPr="00E502E5" w14:paraId="5D3B5D5F" w14:textId="77777777" w:rsidTr="007924BE">
        <w:trPr>
          <w:jc w:val="center"/>
        </w:trPr>
        <w:tc>
          <w:tcPr>
            <w:tcW w:w="4876" w:type="dxa"/>
            <w:hideMark/>
          </w:tcPr>
          <w:p w14:paraId="11964BAA" w14:textId="77777777" w:rsidR="00BF7ACA" w:rsidRPr="00E502E5" w:rsidRDefault="00BF7ACA" w:rsidP="007924BE">
            <w:pPr>
              <w:pStyle w:val="Normal6"/>
            </w:pPr>
            <w:r w:rsidRPr="00E502E5">
              <w:rPr>
                <w:b/>
                <w:i/>
              </w:rPr>
              <w:t>La Commission est assistée par un conseil stratégique pour la gestion du FEDD.</w:t>
            </w:r>
          </w:p>
        </w:tc>
        <w:tc>
          <w:tcPr>
            <w:tcW w:w="4876" w:type="dxa"/>
            <w:hideMark/>
          </w:tcPr>
          <w:p w14:paraId="4DE17466" w14:textId="77777777" w:rsidR="00BF7ACA" w:rsidRPr="00E502E5" w:rsidRDefault="00BF7ACA" w:rsidP="007924BE">
            <w:pPr>
              <w:pStyle w:val="Normal6"/>
              <w:rPr>
                <w:szCs w:val="24"/>
              </w:rPr>
            </w:pPr>
            <w:r w:rsidRPr="00E502E5">
              <w:rPr>
                <w:b/>
                <w:i/>
              </w:rPr>
              <w:t>supprimé</w:t>
            </w:r>
          </w:p>
        </w:tc>
      </w:tr>
    </w:tbl>
    <w:p w14:paraId="4979EA11"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65155EDF" w14:textId="77777777" w:rsidR="00BF7ACA" w:rsidRPr="00E502E5" w:rsidRDefault="00BF7ACA" w:rsidP="00BF7ACA">
      <w:r w:rsidRPr="00E502E5">
        <w:rPr>
          <w:rStyle w:val="HideTWBExt"/>
        </w:rPr>
        <w:t>&lt;/Amend&gt;</w:t>
      </w:r>
    </w:p>
    <w:p w14:paraId="2D3DD60C" w14:textId="77777777" w:rsidR="00BF7ACA" w:rsidRPr="00E82ECE" w:rsidRDefault="00BF7ACA" w:rsidP="00BF7ACA">
      <w:pPr>
        <w:pStyle w:val="AMNumberTabs"/>
        <w:keepNext/>
        <w:rPr>
          <w:lang w:val="en-GB"/>
        </w:rPr>
      </w:pPr>
      <w:r w:rsidRPr="00E82ECE">
        <w:rPr>
          <w:rStyle w:val="HideTWBExt"/>
          <w:b w:val="0"/>
          <w:lang w:val="en-GB"/>
        </w:rPr>
        <w:t>&lt;Amend&gt;</w:t>
      </w:r>
      <w:r w:rsidRPr="00E82ECE">
        <w:rPr>
          <w:lang w:val="en-GB"/>
        </w:rPr>
        <w:t>Amendement</w:t>
      </w:r>
      <w:r w:rsidRPr="00E82ECE">
        <w:rPr>
          <w:lang w:val="en-GB"/>
        </w:rPr>
        <w:tab/>
      </w:r>
      <w:r w:rsidRPr="00E82ECE">
        <w:rPr>
          <w:lang w:val="en-GB"/>
        </w:rPr>
        <w:tab/>
      </w:r>
      <w:r w:rsidRPr="00E82ECE">
        <w:rPr>
          <w:rStyle w:val="HideTWBExt"/>
          <w:b w:val="0"/>
          <w:lang w:val="en-GB"/>
        </w:rPr>
        <w:t>&lt;NumAm&gt;</w:t>
      </w:r>
      <w:r w:rsidRPr="00E82ECE">
        <w:rPr>
          <w:lang w:val="en-GB"/>
        </w:rPr>
        <w:t>206</w:t>
      </w:r>
      <w:r w:rsidRPr="00E82ECE">
        <w:rPr>
          <w:rStyle w:val="HideTWBExt"/>
          <w:b w:val="0"/>
          <w:lang w:val="en-GB"/>
        </w:rPr>
        <w:t>&lt;/NumAm&gt;</w:t>
      </w:r>
    </w:p>
    <w:p w14:paraId="38495B0F" w14:textId="77777777" w:rsidR="00BF7ACA" w:rsidRPr="00E82ECE" w:rsidRDefault="00BF7ACA" w:rsidP="00BF7ACA">
      <w:pPr>
        <w:pStyle w:val="NormalBold"/>
        <w:rPr>
          <w:lang w:val="en-GB"/>
        </w:rPr>
      </w:pPr>
      <w:r w:rsidRPr="00E82ECE">
        <w:rPr>
          <w:rStyle w:val="HideTWBExt"/>
          <w:b w:val="0"/>
          <w:lang w:val="en-GB"/>
        </w:rPr>
        <w:t>&lt;RepeatBlock-By&gt;&lt;Members&gt;</w:t>
      </w:r>
      <w:r w:rsidRPr="00E82ECE">
        <w:rPr>
          <w:lang w:val="en-GB"/>
        </w:rPr>
        <w:t>Patrizia Toia, Cécile Kashetu Kyenge, Goffredo Maria Bettini</w:t>
      </w:r>
      <w:r w:rsidRPr="00E82ECE">
        <w:rPr>
          <w:rStyle w:val="HideTWBExt"/>
          <w:b w:val="0"/>
          <w:lang w:val="en-GB"/>
        </w:rPr>
        <w:t>&lt;/Members&gt;</w:t>
      </w:r>
    </w:p>
    <w:p w14:paraId="713719F9" w14:textId="77777777" w:rsidR="00BF7ACA" w:rsidRPr="00E82ECE" w:rsidRDefault="00BF7ACA" w:rsidP="00BF7ACA">
      <w:pPr>
        <w:rPr>
          <w:lang w:val="en-GB"/>
        </w:rPr>
      </w:pPr>
      <w:r w:rsidRPr="00E82ECE">
        <w:rPr>
          <w:rStyle w:val="HideTWBExt"/>
          <w:lang w:val="en-GB"/>
        </w:rPr>
        <w:t>&lt;/RepeatBlock-By&gt;</w:t>
      </w:r>
    </w:p>
    <w:p w14:paraId="69EC6941"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2D8ECFEF" w14:textId="77777777" w:rsidR="00BF7ACA" w:rsidRPr="00355860" w:rsidRDefault="00BF7ACA" w:rsidP="00BF7ACA">
      <w:pPr>
        <w:pStyle w:val="NormalBold"/>
      </w:pPr>
      <w:r>
        <w:rPr>
          <w:rStyle w:val="HideTWBExt"/>
          <w:b w:val="0"/>
        </w:rPr>
        <w:t>&lt;Article&gt;</w:t>
      </w:r>
      <w:r w:rsidRPr="00B915F8">
        <w:t>Article 5 – paragraphe 1 – alinéa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5A17B386" w14:textId="77777777" w:rsidTr="007924BE">
        <w:trPr>
          <w:jc w:val="center"/>
        </w:trPr>
        <w:tc>
          <w:tcPr>
            <w:tcW w:w="9752" w:type="dxa"/>
            <w:gridSpan w:val="2"/>
          </w:tcPr>
          <w:p w14:paraId="5ACBDE30" w14:textId="77777777" w:rsidR="00BF7ACA" w:rsidRPr="00355860" w:rsidRDefault="00BF7ACA" w:rsidP="007924BE">
            <w:pPr>
              <w:keepNext/>
            </w:pPr>
          </w:p>
        </w:tc>
      </w:tr>
      <w:tr w:rsidR="00BF7ACA" w:rsidRPr="00355860" w14:paraId="6F999011" w14:textId="77777777" w:rsidTr="007924BE">
        <w:trPr>
          <w:jc w:val="center"/>
        </w:trPr>
        <w:tc>
          <w:tcPr>
            <w:tcW w:w="4876" w:type="dxa"/>
            <w:hideMark/>
          </w:tcPr>
          <w:p w14:paraId="5A4EFE95" w14:textId="77777777" w:rsidR="00BF7ACA" w:rsidRPr="00B915F8" w:rsidRDefault="00BF7ACA" w:rsidP="007924BE">
            <w:pPr>
              <w:pStyle w:val="ColumnHeading"/>
              <w:keepNext/>
            </w:pPr>
            <w:r w:rsidRPr="00B915F8">
              <w:t>Texte proposé par la Commission</w:t>
            </w:r>
          </w:p>
        </w:tc>
        <w:tc>
          <w:tcPr>
            <w:tcW w:w="4876" w:type="dxa"/>
            <w:hideMark/>
          </w:tcPr>
          <w:p w14:paraId="23899158" w14:textId="77777777" w:rsidR="00BF7ACA" w:rsidRPr="00B915F8" w:rsidRDefault="00BF7ACA" w:rsidP="007924BE">
            <w:pPr>
              <w:pStyle w:val="ColumnHeading"/>
              <w:keepNext/>
            </w:pPr>
            <w:r w:rsidRPr="00B915F8">
              <w:t>Amendement</w:t>
            </w:r>
          </w:p>
        </w:tc>
      </w:tr>
      <w:tr w:rsidR="00BF7ACA" w:rsidRPr="00355860" w14:paraId="52816CC2" w14:textId="77777777" w:rsidTr="007924BE">
        <w:trPr>
          <w:jc w:val="center"/>
        </w:trPr>
        <w:tc>
          <w:tcPr>
            <w:tcW w:w="4876" w:type="dxa"/>
            <w:hideMark/>
          </w:tcPr>
          <w:p w14:paraId="7138D7BB" w14:textId="77777777" w:rsidR="00BF7ACA" w:rsidRPr="00DC274A" w:rsidRDefault="00BF7ACA" w:rsidP="007924BE">
            <w:pPr>
              <w:pStyle w:val="Normal6"/>
              <w:rPr>
                <w:b/>
                <w:i/>
              </w:rPr>
            </w:pPr>
            <w:r w:rsidRPr="00DC274A">
              <w:t>La Commission est</w:t>
            </w:r>
            <w:r w:rsidRPr="00DC274A">
              <w:rPr>
                <w:b/>
                <w:i/>
              </w:rPr>
              <w:t xml:space="preserve"> assistée</w:t>
            </w:r>
            <w:r w:rsidRPr="00DC274A">
              <w:t xml:space="preserve"> par un conseil stratégique pour la gestion</w:t>
            </w:r>
            <w:r w:rsidRPr="00DC274A">
              <w:rPr>
                <w:b/>
                <w:i/>
              </w:rPr>
              <w:t xml:space="preserve"> du FEDD</w:t>
            </w:r>
            <w:r w:rsidRPr="00DC274A">
              <w:t>.</w:t>
            </w:r>
          </w:p>
        </w:tc>
        <w:tc>
          <w:tcPr>
            <w:tcW w:w="4876" w:type="dxa"/>
            <w:hideMark/>
          </w:tcPr>
          <w:p w14:paraId="2CB90F01" w14:textId="77777777" w:rsidR="00BF7ACA" w:rsidRPr="00DC274A" w:rsidRDefault="00BF7ACA" w:rsidP="007924BE">
            <w:pPr>
              <w:pStyle w:val="Normal6"/>
              <w:rPr>
                <w:b/>
                <w:i/>
                <w:szCs w:val="24"/>
              </w:rPr>
            </w:pPr>
            <w:r w:rsidRPr="00DC274A">
              <w:t>La Commission est</w:t>
            </w:r>
            <w:r w:rsidRPr="00DC274A">
              <w:rPr>
                <w:b/>
                <w:i/>
              </w:rPr>
              <w:t xml:space="preserve"> conseillée</w:t>
            </w:r>
            <w:r w:rsidRPr="00DC274A">
              <w:t xml:space="preserve"> par un conseil stratégique pour la gestion</w:t>
            </w:r>
            <w:r w:rsidRPr="00DC274A">
              <w:rPr>
                <w:b/>
                <w:i/>
              </w:rPr>
              <w:t xml:space="preserve"> du FEDD</w:t>
            </w:r>
            <w:r w:rsidRPr="00DC274A">
              <w:t>.</w:t>
            </w:r>
          </w:p>
        </w:tc>
      </w:tr>
    </w:tbl>
    <w:p w14:paraId="4A362EAF"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BA9D21C" w14:textId="77777777" w:rsidR="00BF7ACA" w:rsidRPr="00BF7ACA" w:rsidRDefault="00BF7ACA" w:rsidP="00BF7ACA">
      <w:r w:rsidRPr="00BF7ACA">
        <w:rPr>
          <w:rStyle w:val="HideTWBExt"/>
        </w:rPr>
        <w:t>&lt;/Amend&gt;</w:t>
      </w:r>
    </w:p>
    <w:p w14:paraId="62523A6F"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207</w:t>
      </w:r>
      <w:r w:rsidRPr="00BF7ACA">
        <w:rPr>
          <w:rStyle w:val="HideTWBExt"/>
          <w:b w:val="0"/>
        </w:rPr>
        <w:t>&lt;/NumAm&gt;</w:t>
      </w:r>
    </w:p>
    <w:p w14:paraId="0798AB9D" w14:textId="77777777"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14:paraId="06FC601C" w14:textId="77777777" w:rsidR="00BF7ACA" w:rsidRPr="00355860" w:rsidRDefault="00BF7ACA" w:rsidP="00BF7ACA">
      <w:r>
        <w:rPr>
          <w:rStyle w:val="HideTWBExt"/>
        </w:rPr>
        <w:t>&lt;/RepeatBlock-By&gt;</w:t>
      </w:r>
    </w:p>
    <w:p w14:paraId="1AFFBCE2"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FFDF21B" w14:textId="77777777" w:rsidR="00BF7ACA" w:rsidRPr="00355860" w:rsidRDefault="00BF7ACA" w:rsidP="00BF7ACA">
      <w:pPr>
        <w:pStyle w:val="NormalBold"/>
      </w:pPr>
      <w:r>
        <w:rPr>
          <w:rStyle w:val="HideTWBExt"/>
          <w:b w:val="0"/>
        </w:rPr>
        <w:t>&lt;Article&gt;</w:t>
      </w:r>
      <w:r w:rsidRPr="00B915F8">
        <w:t>Article 5 – paragraphe 1 – alinéa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5D87201E" w14:textId="77777777" w:rsidTr="007924BE">
        <w:trPr>
          <w:jc w:val="center"/>
        </w:trPr>
        <w:tc>
          <w:tcPr>
            <w:tcW w:w="9752" w:type="dxa"/>
            <w:gridSpan w:val="2"/>
          </w:tcPr>
          <w:p w14:paraId="2C3DE501" w14:textId="77777777" w:rsidR="00BF7ACA" w:rsidRPr="00355860" w:rsidRDefault="00BF7ACA" w:rsidP="007924BE">
            <w:pPr>
              <w:keepNext/>
            </w:pPr>
          </w:p>
        </w:tc>
      </w:tr>
      <w:tr w:rsidR="00BF7ACA" w:rsidRPr="00355860" w14:paraId="56266362" w14:textId="77777777" w:rsidTr="007924BE">
        <w:trPr>
          <w:jc w:val="center"/>
        </w:trPr>
        <w:tc>
          <w:tcPr>
            <w:tcW w:w="4876" w:type="dxa"/>
            <w:hideMark/>
          </w:tcPr>
          <w:p w14:paraId="23E8070D" w14:textId="77777777" w:rsidR="00BF7ACA" w:rsidRPr="00B915F8" w:rsidRDefault="00BF7ACA" w:rsidP="007924BE">
            <w:pPr>
              <w:pStyle w:val="ColumnHeading"/>
              <w:keepNext/>
            </w:pPr>
            <w:r w:rsidRPr="00B915F8">
              <w:t>Texte proposé par la Commission</w:t>
            </w:r>
          </w:p>
        </w:tc>
        <w:tc>
          <w:tcPr>
            <w:tcW w:w="4876" w:type="dxa"/>
            <w:hideMark/>
          </w:tcPr>
          <w:p w14:paraId="176343A2" w14:textId="77777777" w:rsidR="00BF7ACA" w:rsidRPr="00B915F8" w:rsidRDefault="00BF7ACA" w:rsidP="007924BE">
            <w:pPr>
              <w:pStyle w:val="ColumnHeading"/>
              <w:keepNext/>
            </w:pPr>
            <w:r w:rsidRPr="00B915F8">
              <w:t>Amendement</w:t>
            </w:r>
          </w:p>
        </w:tc>
      </w:tr>
      <w:tr w:rsidR="00BF7ACA" w:rsidRPr="00355860" w14:paraId="0789F31C" w14:textId="77777777" w:rsidTr="007924BE">
        <w:trPr>
          <w:jc w:val="center"/>
        </w:trPr>
        <w:tc>
          <w:tcPr>
            <w:tcW w:w="4876" w:type="dxa"/>
            <w:hideMark/>
          </w:tcPr>
          <w:p w14:paraId="19BF9606" w14:textId="77777777" w:rsidR="00BF7ACA" w:rsidRPr="00DC274A" w:rsidRDefault="00BF7ACA" w:rsidP="007924BE">
            <w:pPr>
              <w:pStyle w:val="Normal6"/>
              <w:rPr>
                <w:b/>
                <w:i/>
              </w:rPr>
            </w:pPr>
            <w:r w:rsidRPr="00DC274A">
              <w:t>Ce conseil</w:t>
            </w:r>
            <w:r w:rsidRPr="00DC274A">
              <w:rPr>
                <w:b/>
                <w:i/>
              </w:rPr>
              <w:t xml:space="preserve"> fournit</w:t>
            </w:r>
            <w:r w:rsidRPr="00DC274A">
              <w:t xml:space="preserve"> des orientations stratégiques et aide la Commission à fixer les grands objectifs d’investissement pour ce qui est du recours à la garantie FEDD</w:t>
            </w:r>
            <w:r w:rsidRPr="00DC274A">
              <w:rPr>
                <w:b/>
                <w:i/>
              </w:rPr>
              <w:t>. Il soutient également la coordination et la cohérence globales entre les plateformes régionales</w:t>
            </w:r>
            <w:r w:rsidRPr="00DC274A">
              <w:t xml:space="preserve"> d’investissement et</w:t>
            </w:r>
            <w:r w:rsidRPr="00DC274A">
              <w:rPr>
                <w:b/>
                <w:i/>
              </w:rPr>
              <w:t xml:space="preserve"> avec</w:t>
            </w:r>
            <w:r w:rsidRPr="00DC274A">
              <w:t xml:space="preserve"> les opérations</w:t>
            </w:r>
            <w:r w:rsidRPr="00DC274A">
              <w:rPr>
                <w:b/>
                <w:i/>
              </w:rPr>
              <w:t xml:space="preserve"> relatives au mandat extérieur gérées par la BEI, y compris</w:t>
            </w:r>
            <w:r w:rsidRPr="00DC274A">
              <w:t xml:space="preserve"> l’</w:t>
            </w:r>
            <w:r w:rsidRPr="00DC274A">
              <w:rPr>
                <w:b/>
                <w:i/>
              </w:rPr>
              <w:t>initiative «résilience»</w:t>
            </w:r>
            <w:r w:rsidRPr="00DC274A">
              <w:t xml:space="preserve"> de la</w:t>
            </w:r>
            <w:r w:rsidRPr="00DC274A">
              <w:rPr>
                <w:b/>
                <w:i/>
              </w:rPr>
              <w:t xml:space="preserve"> BEI</w:t>
            </w:r>
            <w:r w:rsidRPr="00DC274A">
              <w:t>.</w:t>
            </w:r>
          </w:p>
        </w:tc>
        <w:tc>
          <w:tcPr>
            <w:tcW w:w="4876" w:type="dxa"/>
            <w:hideMark/>
          </w:tcPr>
          <w:p w14:paraId="65EB1B7A" w14:textId="77777777" w:rsidR="00BF7ACA" w:rsidRPr="00DC274A" w:rsidRDefault="00BF7ACA" w:rsidP="007924BE">
            <w:pPr>
              <w:pStyle w:val="Normal6"/>
              <w:rPr>
                <w:b/>
                <w:i/>
                <w:szCs w:val="24"/>
              </w:rPr>
            </w:pPr>
            <w:r w:rsidRPr="00DC274A">
              <w:t>Ce conseil</w:t>
            </w:r>
            <w:r w:rsidRPr="00DC274A">
              <w:rPr>
                <w:b/>
                <w:i/>
              </w:rPr>
              <w:t xml:space="preserve"> communique</w:t>
            </w:r>
            <w:r w:rsidRPr="00DC274A">
              <w:t xml:space="preserve"> des orientations stratégiques et aide la Commission à fixer les grands objectifs d’investissement pour ce qui est du recours à la garantie FEDD</w:t>
            </w:r>
            <w:r w:rsidRPr="00DC274A">
              <w:rPr>
                <w:b/>
                <w:i/>
              </w:rPr>
              <w:t>, ainsi qu’à veiller à ce que les volets</w:t>
            </w:r>
            <w:r w:rsidRPr="00DC274A">
              <w:t xml:space="preserve"> d’investissement</w:t>
            </w:r>
            <w:r w:rsidRPr="00DC274A">
              <w:rPr>
                <w:b/>
                <w:i/>
              </w:rPr>
              <w:t xml:space="preserve"> aient une couverture géographique</w:t>
            </w:r>
            <w:r w:rsidRPr="00DC274A">
              <w:t xml:space="preserve"> et</w:t>
            </w:r>
            <w:r w:rsidRPr="00DC274A">
              <w:rPr>
                <w:b/>
                <w:i/>
              </w:rPr>
              <w:t xml:space="preserve"> thématique adéquate et diversifiée, tout en portant une attention particulière aux pays</w:t>
            </w:r>
            <w:r w:rsidRPr="00DC274A">
              <w:t xml:space="preserve"> les</w:t>
            </w:r>
            <w:r w:rsidRPr="00DC274A">
              <w:rPr>
                <w:b/>
                <w:i/>
              </w:rPr>
              <w:t xml:space="preserve"> moins avancés (PMA) et aux États fragiles. Il veille à ce que les</w:t>
            </w:r>
            <w:r w:rsidRPr="00DC274A">
              <w:t xml:space="preserve"> opérations</w:t>
            </w:r>
            <w:r w:rsidRPr="00DC274A">
              <w:rPr>
                <w:b/>
                <w:i/>
              </w:rPr>
              <w:t xml:space="preserve"> menées au titre du FEDD accompagnent les priorités stratégiques de</w:t>
            </w:r>
            <w:r w:rsidRPr="00DC274A">
              <w:t xml:space="preserve"> l’</w:t>
            </w:r>
            <w:r w:rsidRPr="00DC274A">
              <w:rPr>
                <w:b/>
                <w:i/>
              </w:rPr>
              <w:t>action extérieure et</w:t>
            </w:r>
            <w:r w:rsidRPr="00DC274A">
              <w:t xml:space="preserve"> de la</w:t>
            </w:r>
            <w:r w:rsidRPr="00DC274A">
              <w:rPr>
                <w:b/>
                <w:i/>
              </w:rPr>
              <w:t xml:space="preserve"> politique de développement de l’Union et, notamment, ses principes directeurs et ses objectifs, tels qu’ils sont énoncés à l’article 21 du traité UE et à l’article 208 du TFUE, respectivement</w:t>
            </w:r>
            <w:r w:rsidRPr="00DC274A">
              <w:t>.</w:t>
            </w:r>
          </w:p>
        </w:tc>
      </w:tr>
    </w:tbl>
    <w:p w14:paraId="52404034"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5EBEC3A" w14:textId="77777777" w:rsidR="00BF7ACA" w:rsidRPr="00BF7ACA" w:rsidRDefault="00BF7ACA" w:rsidP="00BF7ACA">
      <w:r w:rsidRPr="00BF7ACA">
        <w:rPr>
          <w:rStyle w:val="HideTWBExt"/>
        </w:rPr>
        <w:t>&lt;/Amend&gt;</w:t>
      </w:r>
    </w:p>
    <w:p w14:paraId="1D88B6B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208</w:t>
      </w:r>
      <w:r w:rsidRPr="00BF7ACA">
        <w:rPr>
          <w:rStyle w:val="HideTWBExt"/>
          <w:b w:val="0"/>
        </w:rPr>
        <w:t>&lt;/NumAm&gt;</w:t>
      </w:r>
    </w:p>
    <w:p w14:paraId="20D5692A"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Marielle de Sarnez, Nedzhmi Ali</w:t>
      </w:r>
      <w:r w:rsidRPr="00BF7ACA">
        <w:rPr>
          <w:rStyle w:val="HideTWBExt"/>
          <w:b w:val="0"/>
        </w:rPr>
        <w:t>&lt;/Members&gt;</w:t>
      </w:r>
    </w:p>
    <w:p w14:paraId="363020F6" w14:textId="77777777" w:rsidR="00BF7ACA" w:rsidRPr="00355860" w:rsidRDefault="00BF7ACA" w:rsidP="00BF7ACA">
      <w:r>
        <w:rPr>
          <w:rStyle w:val="HideTWBExt"/>
        </w:rPr>
        <w:t>&lt;/RepeatBlock-By&gt;</w:t>
      </w:r>
    </w:p>
    <w:p w14:paraId="6F6D59C0"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1191987" w14:textId="77777777" w:rsidR="00BF7ACA" w:rsidRPr="00355860" w:rsidRDefault="00BF7ACA" w:rsidP="00BF7ACA">
      <w:pPr>
        <w:pStyle w:val="NormalBold"/>
      </w:pPr>
      <w:r>
        <w:rPr>
          <w:rStyle w:val="HideTWBExt"/>
          <w:b w:val="0"/>
        </w:rPr>
        <w:t>&lt;Article&gt;</w:t>
      </w:r>
      <w:r w:rsidRPr="00B915F8">
        <w:t>Article 5 – paragraphe 1 – alinéa 2 bis (nouveau)</w:t>
      </w:r>
      <w:r>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3C42FE88" w14:textId="77777777" w:rsidTr="007924BE">
        <w:trPr>
          <w:jc w:val="center"/>
        </w:trPr>
        <w:tc>
          <w:tcPr>
            <w:tcW w:w="9752" w:type="dxa"/>
            <w:gridSpan w:val="2"/>
          </w:tcPr>
          <w:p w14:paraId="4AF536C5" w14:textId="77777777" w:rsidR="00BF7ACA" w:rsidRPr="00355860" w:rsidRDefault="00BF7ACA" w:rsidP="007924BE">
            <w:pPr>
              <w:keepNext/>
            </w:pPr>
          </w:p>
        </w:tc>
      </w:tr>
      <w:tr w:rsidR="00BF7ACA" w:rsidRPr="00355860" w14:paraId="47A621AC" w14:textId="77777777" w:rsidTr="007924BE">
        <w:trPr>
          <w:jc w:val="center"/>
        </w:trPr>
        <w:tc>
          <w:tcPr>
            <w:tcW w:w="4876" w:type="dxa"/>
            <w:hideMark/>
          </w:tcPr>
          <w:p w14:paraId="712B6E83" w14:textId="77777777" w:rsidR="00BF7ACA" w:rsidRPr="00B915F8" w:rsidRDefault="00BF7ACA" w:rsidP="007924BE">
            <w:pPr>
              <w:pStyle w:val="ColumnHeading"/>
              <w:keepNext/>
            </w:pPr>
            <w:r w:rsidRPr="00B915F8">
              <w:t>Texte proposé par la Commission</w:t>
            </w:r>
          </w:p>
        </w:tc>
        <w:tc>
          <w:tcPr>
            <w:tcW w:w="4876" w:type="dxa"/>
            <w:hideMark/>
          </w:tcPr>
          <w:p w14:paraId="2A3B7FE4" w14:textId="77777777" w:rsidR="00BF7ACA" w:rsidRPr="00B915F8" w:rsidRDefault="00BF7ACA" w:rsidP="007924BE">
            <w:pPr>
              <w:pStyle w:val="ColumnHeading"/>
              <w:keepNext/>
            </w:pPr>
            <w:r w:rsidRPr="00B915F8">
              <w:t>Amendement</w:t>
            </w:r>
          </w:p>
        </w:tc>
      </w:tr>
      <w:tr w:rsidR="00BF7ACA" w:rsidRPr="00355860" w14:paraId="398189B8" w14:textId="77777777" w:rsidTr="007924BE">
        <w:trPr>
          <w:jc w:val="center"/>
        </w:trPr>
        <w:tc>
          <w:tcPr>
            <w:tcW w:w="4876" w:type="dxa"/>
          </w:tcPr>
          <w:p w14:paraId="4B66A723" w14:textId="77777777" w:rsidR="00BF7ACA" w:rsidRPr="00B915F8" w:rsidRDefault="00BF7ACA" w:rsidP="007924BE">
            <w:pPr>
              <w:pStyle w:val="Normal6"/>
            </w:pPr>
          </w:p>
        </w:tc>
        <w:tc>
          <w:tcPr>
            <w:tcW w:w="4876" w:type="dxa"/>
            <w:hideMark/>
          </w:tcPr>
          <w:p w14:paraId="3C26D9E2" w14:textId="77777777" w:rsidR="00BF7ACA" w:rsidRPr="00DC274A" w:rsidRDefault="00BF7ACA" w:rsidP="007924BE">
            <w:pPr>
              <w:pStyle w:val="Normal6"/>
              <w:rPr>
                <w:b/>
                <w:i/>
                <w:szCs w:val="24"/>
              </w:rPr>
            </w:pPr>
            <w:r w:rsidRPr="00DC274A">
              <w:rPr>
                <w:b/>
                <w:i/>
              </w:rPr>
              <w:t>Ce conseil soutient la coordination, la complémentarité et la cohérence générales entre le FEDD et les stratégies et instruments en place, les programmes indicatifs nationaux et géographiques, les plateformes régionales d’investissement, entre les trois piliers du PIE et entre le PIE et les efforts de l’Union en vue de concrétiser le programme de développement durable à l’horizon 2030.</w:t>
            </w:r>
          </w:p>
        </w:tc>
      </w:tr>
    </w:tbl>
    <w:p w14:paraId="398D30C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89559CB" w14:textId="77777777" w:rsidR="00BF7ACA" w:rsidRPr="00BF7ACA" w:rsidRDefault="00BF7ACA" w:rsidP="00BF7ACA">
      <w:r w:rsidRPr="00BF7ACA">
        <w:rPr>
          <w:rStyle w:val="HideTWBExt"/>
        </w:rPr>
        <w:t>&lt;/Amend&gt;</w:t>
      </w:r>
    </w:p>
    <w:p w14:paraId="533A6E6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209</w:t>
      </w:r>
      <w:r w:rsidRPr="00BF7ACA">
        <w:rPr>
          <w:rStyle w:val="HideTWBExt"/>
          <w:b w:val="0"/>
        </w:rPr>
        <w:t>&lt;/NumAm&gt;</w:t>
      </w:r>
    </w:p>
    <w:p w14:paraId="03A9B219" w14:textId="77777777"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14:paraId="20220C4D" w14:textId="77777777" w:rsidR="00BF7ACA" w:rsidRPr="00355860" w:rsidRDefault="00BF7ACA" w:rsidP="00BF7ACA">
      <w:r>
        <w:rPr>
          <w:rStyle w:val="HideTWBExt"/>
        </w:rPr>
        <w:t>&lt;/RepeatBlock-By&gt;</w:t>
      </w:r>
    </w:p>
    <w:p w14:paraId="553EA7AF"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FB3C9E0" w14:textId="77777777" w:rsidR="00BF7ACA" w:rsidRPr="00355860" w:rsidRDefault="00BF7ACA" w:rsidP="00BF7ACA">
      <w:pPr>
        <w:pStyle w:val="NormalBold"/>
      </w:pPr>
      <w:r>
        <w:rPr>
          <w:rStyle w:val="HideTWBExt"/>
          <w:b w:val="0"/>
        </w:rPr>
        <w:t>&lt;Article&gt;</w:t>
      </w:r>
      <w:r w:rsidRPr="00B915F8">
        <w:t>Article 5 – paragraphe 1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38B4995F" w14:textId="77777777" w:rsidTr="007924BE">
        <w:trPr>
          <w:jc w:val="center"/>
        </w:trPr>
        <w:tc>
          <w:tcPr>
            <w:tcW w:w="9752" w:type="dxa"/>
            <w:gridSpan w:val="2"/>
          </w:tcPr>
          <w:p w14:paraId="0F548665" w14:textId="77777777" w:rsidR="00BF7ACA" w:rsidRPr="00355860" w:rsidRDefault="00BF7ACA" w:rsidP="007924BE">
            <w:pPr>
              <w:keepNext/>
            </w:pPr>
          </w:p>
        </w:tc>
      </w:tr>
      <w:tr w:rsidR="00BF7ACA" w:rsidRPr="00355860" w14:paraId="11C311D3" w14:textId="77777777" w:rsidTr="007924BE">
        <w:trPr>
          <w:jc w:val="center"/>
        </w:trPr>
        <w:tc>
          <w:tcPr>
            <w:tcW w:w="4876" w:type="dxa"/>
            <w:hideMark/>
          </w:tcPr>
          <w:p w14:paraId="036CB2B3" w14:textId="77777777" w:rsidR="00BF7ACA" w:rsidRPr="00B915F8" w:rsidRDefault="00BF7ACA" w:rsidP="007924BE">
            <w:pPr>
              <w:pStyle w:val="ColumnHeading"/>
              <w:keepNext/>
            </w:pPr>
            <w:r w:rsidRPr="00B915F8">
              <w:t>Texte proposé par la Commission</w:t>
            </w:r>
          </w:p>
        </w:tc>
        <w:tc>
          <w:tcPr>
            <w:tcW w:w="4876" w:type="dxa"/>
            <w:hideMark/>
          </w:tcPr>
          <w:p w14:paraId="7C1020B1" w14:textId="77777777" w:rsidR="00BF7ACA" w:rsidRPr="00B915F8" w:rsidRDefault="00BF7ACA" w:rsidP="007924BE">
            <w:pPr>
              <w:pStyle w:val="ColumnHeading"/>
              <w:keepNext/>
            </w:pPr>
            <w:r w:rsidRPr="00B915F8">
              <w:t>Amendement</w:t>
            </w:r>
          </w:p>
        </w:tc>
      </w:tr>
      <w:tr w:rsidR="00BF7ACA" w:rsidRPr="00355860" w14:paraId="4D64B60C" w14:textId="77777777" w:rsidTr="007924BE">
        <w:trPr>
          <w:jc w:val="center"/>
        </w:trPr>
        <w:tc>
          <w:tcPr>
            <w:tcW w:w="4876" w:type="dxa"/>
          </w:tcPr>
          <w:p w14:paraId="038F984F" w14:textId="77777777" w:rsidR="00BF7ACA" w:rsidRPr="00B915F8" w:rsidRDefault="00BF7ACA" w:rsidP="007924BE">
            <w:pPr>
              <w:pStyle w:val="Normal6"/>
            </w:pPr>
          </w:p>
        </w:tc>
        <w:tc>
          <w:tcPr>
            <w:tcW w:w="4876" w:type="dxa"/>
            <w:hideMark/>
          </w:tcPr>
          <w:p w14:paraId="36D2BB35" w14:textId="77777777" w:rsidR="00BF7ACA" w:rsidRPr="00DC274A" w:rsidRDefault="00BF7ACA" w:rsidP="007924BE">
            <w:pPr>
              <w:pStyle w:val="Normal6"/>
              <w:rPr>
                <w:b/>
                <w:i/>
                <w:szCs w:val="24"/>
              </w:rPr>
            </w:pPr>
            <w:r w:rsidRPr="00DC274A">
              <w:rPr>
                <w:b/>
                <w:i/>
              </w:rPr>
              <w:t>1 bis.</w:t>
            </w:r>
            <w:r w:rsidRPr="00DC274A">
              <w:rPr>
                <w:b/>
                <w:i/>
              </w:rPr>
              <w:tab/>
              <w:t>Le plus tôt possible lors de la phase de mise en œuvre du FEDD, le conseil stratégique adopte et publie des orientations qui précisent en détail la manière de garantir la conformité des opérations menées au titre du FEDD avec les objectifs et les critères d’éligibilité visés à l’article 8.</w:t>
            </w:r>
          </w:p>
        </w:tc>
      </w:tr>
    </w:tbl>
    <w:p w14:paraId="2BA8C36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45C0BA0" w14:textId="77777777" w:rsidR="00BF7ACA" w:rsidRPr="00BF7ACA" w:rsidRDefault="00BF7ACA" w:rsidP="00BF7ACA">
      <w:r w:rsidRPr="00BF7ACA">
        <w:rPr>
          <w:rStyle w:val="HideTWBExt"/>
        </w:rPr>
        <w:t>&lt;/Amend&gt;</w:t>
      </w:r>
    </w:p>
    <w:p w14:paraId="71021E3F"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210</w:t>
      </w:r>
      <w:r w:rsidRPr="00BF7ACA">
        <w:rPr>
          <w:rStyle w:val="HideTWBExt"/>
          <w:b w:val="0"/>
        </w:rPr>
        <w:t>&lt;/NumAm&gt;</w:t>
      </w:r>
    </w:p>
    <w:p w14:paraId="794F506B" w14:textId="77777777"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14:paraId="72CD0AAF" w14:textId="77777777" w:rsidR="00BF7ACA" w:rsidRPr="00355860" w:rsidRDefault="00BF7ACA" w:rsidP="00BF7ACA">
      <w:r>
        <w:rPr>
          <w:rStyle w:val="HideTWBExt"/>
        </w:rPr>
        <w:t>&lt;/RepeatBlock-By&gt;</w:t>
      </w:r>
    </w:p>
    <w:p w14:paraId="3F1FD87B"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43C0B8BB" w14:textId="77777777" w:rsidR="00BF7ACA" w:rsidRPr="00355860" w:rsidRDefault="00BF7ACA" w:rsidP="00BF7ACA">
      <w:pPr>
        <w:pStyle w:val="NormalBold"/>
      </w:pPr>
      <w:r>
        <w:rPr>
          <w:rStyle w:val="HideTWBExt"/>
          <w:b w:val="0"/>
        </w:rPr>
        <w:t>&lt;Article&gt;</w:t>
      </w:r>
      <w:r w:rsidRPr="00B915F8">
        <w:t>Article 5 – paragraphe 1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4BAD9F75" w14:textId="77777777" w:rsidTr="007924BE">
        <w:trPr>
          <w:jc w:val="center"/>
        </w:trPr>
        <w:tc>
          <w:tcPr>
            <w:tcW w:w="9752" w:type="dxa"/>
            <w:gridSpan w:val="2"/>
          </w:tcPr>
          <w:p w14:paraId="537BB3CD" w14:textId="77777777" w:rsidR="00BF7ACA" w:rsidRPr="00355860" w:rsidRDefault="00BF7ACA" w:rsidP="007924BE">
            <w:pPr>
              <w:keepNext/>
            </w:pPr>
          </w:p>
        </w:tc>
      </w:tr>
      <w:tr w:rsidR="00BF7ACA" w:rsidRPr="00355860" w14:paraId="1BB96ACB" w14:textId="77777777" w:rsidTr="007924BE">
        <w:trPr>
          <w:jc w:val="center"/>
        </w:trPr>
        <w:tc>
          <w:tcPr>
            <w:tcW w:w="4876" w:type="dxa"/>
            <w:hideMark/>
          </w:tcPr>
          <w:p w14:paraId="5ECB1921" w14:textId="77777777" w:rsidR="00BF7ACA" w:rsidRPr="00B915F8" w:rsidRDefault="00BF7ACA" w:rsidP="007924BE">
            <w:pPr>
              <w:pStyle w:val="ColumnHeading"/>
              <w:keepNext/>
            </w:pPr>
            <w:r w:rsidRPr="00B915F8">
              <w:t>Texte proposé par la Commission</w:t>
            </w:r>
          </w:p>
        </w:tc>
        <w:tc>
          <w:tcPr>
            <w:tcW w:w="4876" w:type="dxa"/>
            <w:hideMark/>
          </w:tcPr>
          <w:p w14:paraId="308FE7B9" w14:textId="77777777" w:rsidR="00BF7ACA" w:rsidRPr="00B915F8" w:rsidRDefault="00BF7ACA" w:rsidP="007924BE">
            <w:pPr>
              <w:pStyle w:val="ColumnHeading"/>
              <w:keepNext/>
            </w:pPr>
            <w:r w:rsidRPr="00B915F8">
              <w:t>Amendement</w:t>
            </w:r>
          </w:p>
        </w:tc>
      </w:tr>
      <w:tr w:rsidR="00BF7ACA" w:rsidRPr="00355860" w14:paraId="6F8D8DB9" w14:textId="77777777" w:rsidTr="007924BE">
        <w:trPr>
          <w:jc w:val="center"/>
        </w:trPr>
        <w:tc>
          <w:tcPr>
            <w:tcW w:w="4876" w:type="dxa"/>
          </w:tcPr>
          <w:p w14:paraId="3342A545" w14:textId="77777777" w:rsidR="00BF7ACA" w:rsidRPr="00B915F8" w:rsidRDefault="00BF7ACA" w:rsidP="007924BE">
            <w:pPr>
              <w:pStyle w:val="Normal6"/>
            </w:pPr>
          </w:p>
        </w:tc>
        <w:tc>
          <w:tcPr>
            <w:tcW w:w="4876" w:type="dxa"/>
            <w:hideMark/>
          </w:tcPr>
          <w:p w14:paraId="1ECB1266" w14:textId="77777777" w:rsidR="00BF7ACA" w:rsidRPr="00DC274A" w:rsidRDefault="00BF7ACA" w:rsidP="007924BE">
            <w:pPr>
              <w:pStyle w:val="Normal6"/>
              <w:rPr>
                <w:b/>
                <w:i/>
                <w:szCs w:val="24"/>
              </w:rPr>
            </w:pPr>
            <w:r w:rsidRPr="00DC274A">
              <w:rPr>
                <w:b/>
                <w:i/>
              </w:rPr>
              <w:t>1 bis.</w:t>
            </w:r>
            <w:r w:rsidRPr="00DC274A">
              <w:rPr>
                <w:b/>
                <w:i/>
              </w:rPr>
              <w:tab/>
              <w:t>Le conseil stratégique arrête son règlement intérieur lors de sa première réunion. Ce règlement fixe le nombre de réunions à tenir annuellement et contient des détails sur les droits de vote des membres du conseil et sur les rapports d’avancement que la Commission doit présenter.</w:t>
            </w:r>
          </w:p>
        </w:tc>
      </w:tr>
    </w:tbl>
    <w:p w14:paraId="2482D4A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A254B4F" w14:textId="77777777" w:rsidR="00BF7ACA" w:rsidRPr="00BF7ACA" w:rsidRDefault="00BF7ACA" w:rsidP="00BF7ACA">
      <w:r w:rsidRPr="00BF7ACA">
        <w:rPr>
          <w:rStyle w:val="HideTWBExt"/>
        </w:rPr>
        <w:t>&lt;/Amend&gt;</w:t>
      </w:r>
    </w:p>
    <w:p w14:paraId="3EC962D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211</w:t>
      </w:r>
      <w:r w:rsidRPr="00BF7ACA">
        <w:rPr>
          <w:rStyle w:val="HideTWBExt"/>
          <w:b w:val="0"/>
        </w:rPr>
        <w:t>&lt;/NumAm&gt;</w:t>
      </w:r>
    </w:p>
    <w:p w14:paraId="4EE09510" w14:textId="77777777"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14:paraId="18C355F1" w14:textId="77777777" w:rsidR="00BF7ACA" w:rsidRPr="00355860" w:rsidRDefault="00BF7ACA" w:rsidP="00BF7ACA">
      <w:r>
        <w:rPr>
          <w:rStyle w:val="HideTWBExt"/>
        </w:rPr>
        <w:t>&lt;/RepeatBlock-By&gt;</w:t>
      </w:r>
    </w:p>
    <w:p w14:paraId="18C4AAD6"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4BDA94A1" w14:textId="77777777" w:rsidR="00BF7ACA" w:rsidRPr="00355860" w:rsidRDefault="00BF7ACA" w:rsidP="00BF7ACA">
      <w:pPr>
        <w:pStyle w:val="NormalBold"/>
      </w:pPr>
      <w:r>
        <w:rPr>
          <w:rStyle w:val="HideTWBExt"/>
          <w:b w:val="0"/>
        </w:rPr>
        <w:t>&lt;Article&gt;</w:t>
      </w:r>
      <w:r w:rsidRPr="00B915F8">
        <w:t>Article 5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50411A45" w14:textId="77777777" w:rsidTr="007924BE">
        <w:trPr>
          <w:jc w:val="center"/>
        </w:trPr>
        <w:tc>
          <w:tcPr>
            <w:tcW w:w="9752" w:type="dxa"/>
            <w:gridSpan w:val="2"/>
          </w:tcPr>
          <w:p w14:paraId="1B84C9DE" w14:textId="77777777" w:rsidR="00BF7ACA" w:rsidRPr="00355860" w:rsidRDefault="00BF7ACA" w:rsidP="007924BE">
            <w:pPr>
              <w:keepNext/>
            </w:pPr>
          </w:p>
        </w:tc>
      </w:tr>
      <w:tr w:rsidR="00BF7ACA" w:rsidRPr="00355860" w14:paraId="51890C40" w14:textId="77777777" w:rsidTr="007924BE">
        <w:trPr>
          <w:jc w:val="center"/>
        </w:trPr>
        <w:tc>
          <w:tcPr>
            <w:tcW w:w="4876" w:type="dxa"/>
            <w:hideMark/>
          </w:tcPr>
          <w:p w14:paraId="6C99B3FD" w14:textId="77777777" w:rsidR="00BF7ACA" w:rsidRPr="00B915F8" w:rsidRDefault="00BF7ACA" w:rsidP="007924BE">
            <w:pPr>
              <w:pStyle w:val="ColumnHeading"/>
              <w:keepNext/>
            </w:pPr>
            <w:r w:rsidRPr="00B915F8">
              <w:t>Texte proposé par la Commission</w:t>
            </w:r>
          </w:p>
        </w:tc>
        <w:tc>
          <w:tcPr>
            <w:tcW w:w="4876" w:type="dxa"/>
            <w:hideMark/>
          </w:tcPr>
          <w:p w14:paraId="5F9AD277" w14:textId="77777777" w:rsidR="00BF7ACA" w:rsidRPr="00B915F8" w:rsidRDefault="00BF7ACA" w:rsidP="007924BE">
            <w:pPr>
              <w:pStyle w:val="ColumnHeading"/>
              <w:keepNext/>
            </w:pPr>
            <w:r w:rsidRPr="00B915F8">
              <w:t>Amendement</w:t>
            </w:r>
          </w:p>
        </w:tc>
      </w:tr>
      <w:tr w:rsidR="00BF7ACA" w:rsidRPr="00355860" w14:paraId="5E965CDC" w14:textId="77777777" w:rsidTr="007924BE">
        <w:trPr>
          <w:jc w:val="center"/>
        </w:trPr>
        <w:tc>
          <w:tcPr>
            <w:tcW w:w="4876" w:type="dxa"/>
            <w:hideMark/>
          </w:tcPr>
          <w:p w14:paraId="11A7D81B" w14:textId="77777777" w:rsidR="00BF7ACA" w:rsidRPr="00DC274A" w:rsidRDefault="00BF7ACA" w:rsidP="007924BE">
            <w:pPr>
              <w:pStyle w:val="Normal6"/>
              <w:rPr>
                <w:b/>
                <w:i/>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w:t>
            </w:r>
            <w:r w:rsidRPr="00DC274A">
              <w:rPr>
                <w:b/>
                <w:i/>
              </w:rPr>
              <w:t xml:space="preserve"> et</w:t>
            </w:r>
            <w:r w:rsidRPr="00DC274A">
              <w:t xml:space="preserve"> de la BEI. La Commission</w:t>
            </w:r>
            <w:r w:rsidRPr="00DC274A">
              <w:rPr>
                <w:b/>
                <w:i/>
              </w:rPr>
              <w:t xml:space="preserve"> peut inviter</w:t>
            </w:r>
            <w:r w:rsidRPr="00DC274A">
              <w:t xml:space="preserve"> d’autres contributeurs à devenir membres du conseil stratégique</w:t>
            </w:r>
            <w:r w:rsidRPr="00DC274A">
              <w:rPr>
                <w:b/>
                <w:i/>
              </w:rPr>
              <w:t xml:space="preserve"> eu égard</w:t>
            </w:r>
            <w:r w:rsidRPr="00DC274A">
              <w:t>, le cas échéant,</w:t>
            </w:r>
            <w:r w:rsidRPr="00DC274A">
              <w:rPr>
                <w:b/>
                <w:i/>
              </w:rPr>
              <w:t xml:space="preserve"> à</w:t>
            </w:r>
            <w:r w:rsidRPr="00DC274A">
              <w:t xml:space="preserve"> l’</w:t>
            </w:r>
            <w:r w:rsidRPr="00DC274A">
              <w:rPr>
                <w:b/>
                <w:i/>
              </w:rPr>
              <w:t>avis</w:t>
            </w:r>
            <w:r w:rsidRPr="00DC274A">
              <w:t xml:space="preserve"> du conseil. Les pays partenaires</w:t>
            </w:r>
            <w:r w:rsidRPr="00DC274A">
              <w:rPr>
                <w:b/>
                <w:i/>
              </w:rPr>
              <w:t xml:space="preserve"> et</w:t>
            </w:r>
            <w:r w:rsidRPr="00DC274A">
              <w:t xml:space="preserve"> les organisations régionales concernées</w:t>
            </w:r>
            <w:r w:rsidRPr="00DC274A">
              <w:rPr>
                <w:b/>
                <w:i/>
              </w:rPr>
              <w:t>,</w:t>
            </w:r>
            <w:r w:rsidRPr="00DC274A">
              <w:t xml:space="preserve"> les contreparties éligibles</w:t>
            </w:r>
            <w:r w:rsidRPr="00DC274A">
              <w:rPr>
                <w:b/>
                <w:i/>
              </w:rPr>
              <w:t xml:space="preserve"> et le Parlement européen</w:t>
            </w:r>
            <w:r w:rsidRPr="00DC274A">
              <w:t xml:space="preserve"> peuvent se voir accorder le statut d’observateur, s’il y a lieu. Le conseil stratégique est coprésidé par la Commission et le haut représentant.</w:t>
            </w:r>
          </w:p>
        </w:tc>
        <w:tc>
          <w:tcPr>
            <w:tcW w:w="4876" w:type="dxa"/>
            <w:hideMark/>
          </w:tcPr>
          <w:p w14:paraId="6F1A4A04" w14:textId="77777777" w:rsidR="00BF7ACA" w:rsidRPr="00DC274A" w:rsidRDefault="00BF7ACA" w:rsidP="007924BE">
            <w:pPr>
              <w:pStyle w:val="Normal6"/>
              <w:rPr>
                <w:b/>
                <w:i/>
                <w:szCs w:val="24"/>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w:t>
            </w:r>
            <w:r w:rsidRPr="00DC274A">
              <w:rPr>
                <w:b/>
                <w:i/>
              </w:rPr>
              <w:t>,</w:t>
            </w:r>
            <w:r w:rsidRPr="00DC274A">
              <w:t xml:space="preserve"> de la BEI</w:t>
            </w:r>
            <w:r w:rsidRPr="00DC274A">
              <w:rPr>
                <w:b/>
                <w:i/>
              </w:rPr>
              <w:t xml:space="preserve"> et du Parlement européen</w:t>
            </w:r>
            <w:r w:rsidRPr="00DC274A">
              <w:t>. La Commission</w:t>
            </w:r>
            <w:r w:rsidRPr="00DC274A">
              <w:rPr>
                <w:b/>
                <w:i/>
              </w:rPr>
              <w:t xml:space="preserve"> invite</w:t>
            </w:r>
            <w:r w:rsidRPr="00DC274A">
              <w:t xml:space="preserve"> d’autres contributeurs à devenir membres du conseil stratégique, le cas échéant,</w:t>
            </w:r>
            <w:r w:rsidRPr="00DC274A">
              <w:rPr>
                <w:b/>
                <w:i/>
              </w:rPr>
              <w:t xml:space="preserve"> avec</w:t>
            </w:r>
            <w:r w:rsidRPr="00DC274A">
              <w:t xml:space="preserve"> l’</w:t>
            </w:r>
            <w:r w:rsidRPr="00DC274A">
              <w:rPr>
                <w:b/>
                <w:i/>
              </w:rPr>
              <w:t>accord</w:t>
            </w:r>
            <w:r w:rsidRPr="00DC274A">
              <w:t xml:space="preserve"> du conseil. Les pays partenaires</w:t>
            </w:r>
            <w:r w:rsidRPr="00DC274A">
              <w:rPr>
                <w:b/>
                <w:i/>
              </w:rPr>
              <w:t>,</w:t>
            </w:r>
            <w:r w:rsidRPr="00DC274A">
              <w:t xml:space="preserve"> les organisations régionales concernées</w:t>
            </w:r>
            <w:r w:rsidRPr="00DC274A">
              <w:rPr>
                <w:b/>
                <w:i/>
              </w:rPr>
              <w:t xml:space="preserve"> et</w:t>
            </w:r>
            <w:r w:rsidRPr="00DC274A">
              <w:t xml:space="preserve"> les contreparties éligibles peuvent se voir accorder le statut d’observateur, s’il y a lieu. Le conseil stratégique est coprésidé par la Commission et le haut représentant.</w:t>
            </w:r>
          </w:p>
        </w:tc>
      </w:tr>
      <w:tr w:rsidR="00BF7ACA" w:rsidRPr="00355860" w14:paraId="3FAC228B" w14:textId="77777777" w:rsidTr="007924BE">
        <w:trPr>
          <w:jc w:val="center"/>
        </w:trPr>
        <w:tc>
          <w:tcPr>
            <w:tcW w:w="4876" w:type="dxa"/>
          </w:tcPr>
          <w:p w14:paraId="497542DB" w14:textId="77777777" w:rsidR="00BF7ACA" w:rsidRPr="00B915F8" w:rsidRDefault="00BF7ACA" w:rsidP="007924BE">
            <w:pPr>
              <w:pStyle w:val="Normal6"/>
            </w:pPr>
          </w:p>
        </w:tc>
        <w:tc>
          <w:tcPr>
            <w:tcW w:w="4876" w:type="dxa"/>
            <w:hideMark/>
          </w:tcPr>
          <w:p w14:paraId="3292AAB8" w14:textId="77777777" w:rsidR="00BF7ACA" w:rsidRPr="00DC274A" w:rsidRDefault="00BF7ACA" w:rsidP="007924BE">
            <w:pPr>
              <w:pStyle w:val="Normal6"/>
              <w:rPr>
                <w:b/>
                <w:i/>
                <w:szCs w:val="24"/>
              </w:rPr>
            </w:pPr>
            <w:r w:rsidRPr="00DC274A">
              <w:rPr>
                <w:b/>
                <w:i/>
              </w:rPr>
              <w:t>Le secrétariat du FEDD, organe nouvellement formé sous les auspices de la Commission, devrait comprendre des membres de toutes les directions générales concernées (DEVCO, NEAR, BUDG) et être placé sous la tutelle du haut représentant de l’Union pour les affaires étrangères et la politique de sécurité, afin de bénéficier de tout le poids et de toute l’influence de la Commission lors de la prise de décisions d’investissement capitales.</w:t>
            </w:r>
          </w:p>
        </w:tc>
      </w:tr>
    </w:tbl>
    <w:p w14:paraId="49B61632" w14:textId="77777777" w:rsidR="00BF7ACA" w:rsidRPr="00355860" w:rsidRDefault="00BF7ACA" w:rsidP="00BF7ACA">
      <w:pPr>
        <w:pStyle w:val="Olang"/>
        <w:rPr>
          <w:noProof w:val="0"/>
          <w:szCs w:val="24"/>
        </w:rPr>
      </w:pPr>
      <w:r w:rsidRPr="00B915F8">
        <w:rPr>
          <w:noProof w:val="0"/>
        </w:rPr>
        <w:t xml:space="preserve">Or. </w:t>
      </w:r>
      <w:r w:rsidRPr="00944EA9">
        <w:rPr>
          <w:rStyle w:val="HideTWBExt"/>
          <w:noProof w:val="0"/>
        </w:rPr>
        <w:t>&lt;Original&gt;</w:t>
      </w:r>
      <w:r w:rsidRPr="00944EA9">
        <w:rPr>
          <w:rStyle w:val="HideTWBInt"/>
          <w:noProof w:val="0"/>
        </w:rPr>
        <w:t>{EN}</w:t>
      </w:r>
      <w:r w:rsidRPr="00B915F8">
        <w:rPr>
          <w:noProof w:val="0"/>
        </w:rPr>
        <w:t>en</w:t>
      </w:r>
      <w:r w:rsidRPr="00944EA9">
        <w:rPr>
          <w:rStyle w:val="HideTWBExt"/>
          <w:noProof w:val="0"/>
        </w:rPr>
        <w:t>&lt;/Original&gt;</w:t>
      </w:r>
    </w:p>
    <w:p w14:paraId="697E64FD" w14:textId="77777777" w:rsidR="00BF7ACA" w:rsidRPr="00355860" w:rsidRDefault="00BF7ACA" w:rsidP="00BF7ACA">
      <w:pPr>
        <w:pStyle w:val="JustificationTitle"/>
        <w:rPr>
          <w:noProof w:val="0"/>
        </w:rPr>
      </w:pPr>
      <w:r>
        <w:rPr>
          <w:rStyle w:val="HideTWBExt"/>
          <w:i w:val="0"/>
          <w:noProof w:val="0"/>
        </w:rPr>
        <w:t>&lt;TitreJust&gt;</w:t>
      </w:r>
      <w:r w:rsidRPr="00B915F8">
        <w:rPr>
          <w:noProof w:val="0"/>
        </w:rPr>
        <w:t>Justification</w:t>
      </w:r>
      <w:r>
        <w:rPr>
          <w:rStyle w:val="HideTWBExt"/>
          <w:i w:val="0"/>
          <w:noProof w:val="0"/>
        </w:rPr>
        <w:t>&lt;/TitreJust&gt;</w:t>
      </w:r>
    </w:p>
    <w:p w14:paraId="30F51C2C" w14:textId="77777777" w:rsidR="00BF7ACA" w:rsidRPr="00355860" w:rsidRDefault="00BF7ACA" w:rsidP="00BF7ACA">
      <w:pPr>
        <w:pStyle w:val="Normal12Italic"/>
        <w:rPr>
          <w:noProof w:val="0"/>
        </w:rPr>
      </w:pPr>
      <w:r>
        <w:rPr>
          <w:noProof w:val="0"/>
        </w:rPr>
        <w:t>Le Parlement européen devrait être un membre à part entière du conseil stratégique, car il peut stimuler la responsabilité et la transparence du FEDD et jouer son rôle de suivi et de contrôle d’une manière nettement plus cohérente.</w:t>
      </w:r>
    </w:p>
    <w:p w14:paraId="46468ACB" w14:textId="77777777" w:rsidR="00BF7ACA" w:rsidRPr="00BF7ACA" w:rsidRDefault="00BF7ACA" w:rsidP="00BF7ACA">
      <w:r w:rsidRPr="00BF7ACA">
        <w:rPr>
          <w:rStyle w:val="HideTWBExt"/>
        </w:rPr>
        <w:t>&lt;/Amend&gt;</w:t>
      </w:r>
    </w:p>
    <w:p w14:paraId="3B513E3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212</w:t>
      </w:r>
      <w:r w:rsidRPr="00BF7ACA">
        <w:rPr>
          <w:rStyle w:val="HideTWBExt"/>
          <w:b w:val="0"/>
        </w:rPr>
        <w:t>&lt;/NumAm&gt;</w:t>
      </w:r>
    </w:p>
    <w:p w14:paraId="36CBAB5A"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3E797576" w14:textId="77777777" w:rsidR="00BF7ACA" w:rsidRPr="00355860" w:rsidRDefault="00BF7ACA" w:rsidP="00BF7ACA">
      <w:r>
        <w:rPr>
          <w:rStyle w:val="HideTWBExt"/>
        </w:rPr>
        <w:t>&lt;/RepeatBlock-By&gt;</w:t>
      </w:r>
    </w:p>
    <w:p w14:paraId="549BFA92"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7EE8908C" w14:textId="77777777" w:rsidR="00BF7ACA" w:rsidRPr="00355860" w:rsidRDefault="00BF7ACA" w:rsidP="00BF7ACA">
      <w:pPr>
        <w:pStyle w:val="NormalBold"/>
      </w:pPr>
      <w:r>
        <w:rPr>
          <w:rStyle w:val="HideTWBExt"/>
          <w:b w:val="0"/>
        </w:rPr>
        <w:t>&lt;Article&gt;</w:t>
      </w:r>
      <w:r w:rsidRPr="00B915F8">
        <w:t>Article 5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46C68B40" w14:textId="77777777" w:rsidTr="007924BE">
        <w:trPr>
          <w:jc w:val="center"/>
        </w:trPr>
        <w:tc>
          <w:tcPr>
            <w:tcW w:w="9752" w:type="dxa"/>
            <w:gridSpan w:val="2"/>
          </w:tcPr>
          <w:p w14:paraId="3AFE3F13" w14:textId="77777777" w:rsidR="00BF7ACA" w:rsidRPr="00355860" w:rsidRDefault="00BF7ACA" w:rsidP="007924BE">
            <w:pPr>
              <w:keepNext/>
            </w:pPr>
          </w:p>
        </w:tc>
      </w:tr>
      <w:tr w:rsidR="00BF7ACA" w:rsidRPr="00355860" w14:paraId="62E8BBEC" w14:textId="77777777" w:rsidTr="007924BE">
        <w:trPr>
          <w:jc w:val="center"/>
        </w:trPr>
        <w:tc>
          <w:tcPr>
            <w:tcW w:w="4876" w:type="dxa"/>
            <w:hideMark/>
          </w:tcPr>
          <w:p w14:paraId="49D8FDCD" w14:textId="77777777" w:rsidR="00BF7ACA" w:rsidRPr="00B915F8" w:rsidRDefault="00BF7ACA" w:rsidP="007924BE">
            <w:pPr>
              <w:pStyle w:val="ColumnHeading"/>
              <w:keepNext/>
            </w:pPr>
            <w:r w:rsidRPr="00B915F8">
              <w:t>Texte proposé par la Commission</w:t>
            </w:r>
          </w:p>
        </w:tc>
        <w:tc>
          <w:tcPr>
            <w:tcW w:w="4876" w:type="dxa"/>
            <w:hideMark/>
          </w:tcPr>
          <w:p w14:paraId="248D7C5D" w14:textId="77777777" w:rsidR="00BF7ACA" w:rsidRPr="00B915F8" w:rsidRDefault="00BF7ACA" w:rsidP="007924BE">
            <w:pPr>
              <w:pStyle w:val="ColumnHeading"/>
              <w:keepNext/>
            </w:pPr>
            <w:r w:rsidRPr="00B915F8">
              <w:t>Amendement</w:t>
            </w:r>
          </w:p>
        </w:tc>
      </w:tr>
      <w:tr w:rsidR="00BF7ACA" w:rsidRPr="00355860" w14:paraId="533EF22D" w14:textId="77777777" w:rsidTr="007924BE">
        <w:trPr>
          <w:jc w:val="center"/>
        </w:trPr>
        <w:tc>
          <w:tcPr>
            <w:tcW w:w="4876" w:type="dxa"/>
            <w:hideMark/>
          </w:tcPr>
          <w:p w14:paraId="157E3929" w14:textId="77777777" w:rsidR="00BF7ACA" w:rsidRPr="00DC274A" w:rsidRDefault="00BF7ACA" w:rsidP="007924BE">
            <w:pPr>
              <w:pStyle w:val="Normal6"/>
              <w:rPr>
                <w:b/>
                <w:i/>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 et de la BEI. La Commission peut inviter d’autres contributeurs à devenir</w:t>
            </w:r>
            <w:r w:rsidRPr="00DC274A">
              <w:rPr>
                <w:b/>
                <w:i/>
              </w:rPr>
              <w:t xml:space="preserve"> membres</w:t>
            </w:r>
            <w:r w:rsidRPr="00DC274A">
              <w:t xml:space="preserve"> du conseil stratégique eu égard, le cas échéant, à l’avis du conseil. Les pays partenaires</w:t>
            </w:r>
            <w:r w:rsidRPr="00DC274A">
              <w:rPr>
                <w:b/>
                <w:i/>
              </w:rPr>
              <w:t xml:space="preserve"> et</w:t>
            </w:r>
            <w:r w:rsidRPr="00DC274A">
              <w:t xml:space="preserve"> les organisations régionales concernées</w:t>
            </w:r>
            <w:r w:rsidRPr="00DC274A">
              <w:rPr>
                <w:b/>
                <w:i/>
              </w:rPr>
              <w:t>,</w:t>
            </w:r>
            <w:r w:rsidRPr="00DC274A">
              <w:t xml:space="preserve"> les contreparties éligibles</w:t>
            </w:r>
            <w:r w:rsidRPr="00DC274A">
              <w:rPr>
                <w:b/>
                <w:i/>
              </w:rPr>
              <w:t xml:space="preserve"> et le Parlement européen</w:t>
            </w:r>
            <w:r w:rsidRPr="00DC274A">
              <w:t xml:space="preserve"> peuvent se voir accorder le statut d’observateur, s’il y a lieu. Le conseil stratégique est coprésidé par la Commission et le haut représentant.</w:t>
            </w:r>
          </w:p>
        </w:tc>
        <w:tc>
          <w:tcPr>
            <w:tcW w:w="4876" w:type="dxa"/>
            <w:hideMark/>
          </w:tcPr>
          <w:p w14:paraId="26638701" w14:textId="77777777" w:rsidR="00BF7ACA" w:rsidRPr="00DC274A" w:rsidRDefault="00BF7ACA" w:rsidP="007924BE">
            <w:pPr>
              <w:pStyle w:val="Normal6"/>
              <w:rPr>
                <w:b/>
                <w:i/>
                <w:szCs w:val="24"/>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 et de la BEI.</w:t>
            </w:r>
            <w:r w:rsidRPr="00DC274A">
              <w:rPr>
                <w:b/>
                <w:i/>
              </w:rPr>
              <w:t xml:space="preserve"> Le Parlement européen et des représentants des communautés locales sont invités à titre d’observateurs, afin d’améliorer</w:t>
            </w:r>
            <w:r w:rsidRPr="00DC274A">
              <w:t xml:space="preserve"> la</w:t>
            </w:r>
            <w:r w:rsidRPr="00DC274A">
              <w:rPr>
                <w:b/>
                <w:i/>
              </w:rPr>
              <w:t xml:space="preserve"> transparence et la responsabilité démocratique. La</w:t>
            </w:r>
            <w:r w:rsidRPr="00DC274A">
              <w:t xml:space="preserve"> Commission peut inviter d’autres contributeurs à devenir</w:t>
            </w:r>
            <w:r w:rsidRPr="00DC274A">
              <w:rPr>
                <w:b/>
                <w:i/>
              </w:rPr>
              <w:t xml:space="preserve"> observateurs au sein</w:t>
            </w:r>
            <w:r w:rsidRPr="00DC274A">
              <w:t xml:space="preserve"> du conseil stratégique eu égard, le cas échéant, à l’avis du conseil. Les pays partenaires</w:t>
            </w:r>
            <w:r w:rsidRPr="00DC274A">
              <w:rPr>
                <w:b/>
                <w:i/>
              </w:rPr>
              <w:t>,</w:t>
            </w:r>
            <w:r w:rsidRPr="00DC274A">
              <w:t xml:space="preserve"> les organisations régionales concernées</w:t>
            </w:r>
            <w:r w:rsidRPr="00DC274A">
              <w:rPr>
                <w:b/>
                <w:i/>
              </w:rPr>
              <w:t xml:space="preserve"> et</w:t>
            </w:r>
            <w:r w:rsidRPr="00DC274A">
              <w:t xml:space="preserve"> les contreparties éligibles peuvent se voir accorder le statut d’observateur, s’il y a lieu. Le conseil stratégique est coprésidé par la Commission et le haut représentant.</w:t>
            </w:r>
            <w:r w:rsidRPr="00DC274A">
              <w:rPr>
                <w:b/>
                <w:i/>
              </w:rPr>
              <w:t xml:space="preserve"> Les recommandations du Parlement européen guident les priorités du conseil stratégique. Le Parlement reste dûment informé de la réalisation de ces priorités par la voie d’un rapport annuel.</w:t>
            </w:r>
          </w:p>
        </w:tc>
      </w:tr>
    </w:tbl>
    <w:p w14:paraId="30DD86C2"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D879539" w14:textId="77777777" w:rsidR="00BF7ACA" w:rsidRPr="00BF7ACA" w:rsidRDefault="00BF7ACA" w:rsidP="00BF7ACA">
      <w:r w:rsidRPr="00BF7ACA">
        <w:rPr>
          <w:rStyle w:val="HideTWBExt"/>
        </w:rPr>
        <w:t>&lt;/Amend&gt;</w:t>
      </w:r>
    </w:p>
    <w:p w14:paraId="2221AD09"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213</w:t>
      </w:r>
      <w:r w:rsidRPr="00BF7ACA">
        <w:rPr>
          <w:rStyle w:val="HideTWBExt"/>
          <w:b w:val="0"/>
        </w:rPr>
        <w:t>&lt;/NumAm&gt;</w:t>
      </w:r>
    </w:p>
    <w:p w14:paraId="00F80718" w14:textId="77777777"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14:paraId="4634C882" w14:textId="77777777" w:rsidR="00BF7ACA" w:rsidRPr="00355860" w:rsidRDefault="00BF7ACA" w:rsidP="00BF7ACA">
      <w:r>
        <w:rPr>
          <w:rStyle w:val="HideTWBExt"/>
        </w:rPr>
        <w:t>&lt;/RepeatBlock-By&gt;</w:t>
      </w:r>
    </w:p>
    <w:p w14:paraId="71FD042F"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12966607" w14:textId="77777777" w:rsidR="00BF7ACA" w:rsidRPr="00355860" w:rsidRDefault="00BF7ACA" w:rsidP="00BF7ACA">
      <w:pPr>
        <w:pStyle w:val="NormalBold"/>
      </w:pPr>
      <w:r>
        <w:rPr>
          <w:rStyle w:val="HideTWBExt"/>
          <w:b w:val="0"/>
        </w:rPr>
        <w:t>&lt;Article&gt;</w:t>
      </w:r>
      <w:r w:rsidRPr="00B915F8">
        <w:t>Article 5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38434135" w14:textId="77777777" w:rsidTr="007924BE">
        <w:trPr>
          <w:jc w:val="center"/>
        </w:trPr>
        <w:tc>
          <w:tcPr>
            <w:tcW w:w="9752" w:type="dxa"/>
            <w:gridSpan w:val="2"/>
          </w:tcPr>
          <w:p w14:paraId="2ED4E433" w14:textId="77777777" w:rsidR="00BF7ACA" w:rsidRPr="00355860" w:rsidRDefault="00BF7ACA" w:rsidP="007924BE">
            <w:pPr>
              <w:keepNext/>
            </w:pPr>
          </w:p>
        </w:tc>
      </w:tr>
      <w:tr w:rsidR="00BF7ACA" w:rsidRPr="00355860" w14:paraId="600D8900" w14:textId="77777777" w:rsidTr="007924BE">
        <w:trPr>
          <w:jc w:val="center"/>
        </w:trPr>
        <w:tc>
          <w:tcPr>
            <w:tcW w:w="4876" w:type="dxa"/>
            <w:hideMark/>
          </w:tcPr>
          <w:p w14:paraId="07296F71" w14:textId="77777777" w:rsidR="00BF7ACA" w:rsidRPr="00B915F8" w:rsidRDefault="00BF7ACA" w:rsidP="007924BE">
            <w:pPr>
              <w:pStyle w:val="ColumnHeading"/>
              <w:keepNext/>
            </w:pPr>
            <w:r w:rsidRPr="00B915F8">
              <w:t>Texte proposé par la Commission</w:t>
            </w:r>
          </w:p>
        </w:tc>
        <w:tc>
          <w:tcPr>
            <w:tcW w:w="4876" w:type="dxa"/>
            <w:hideMark/>
          </w:tcPr>
          <w:p w14:paraId="5BA4E5B7" w14:textId="77777777" w:rsidR="00BF7ACA" w:rsidRPr="00B915F8" w:rsidRDefault="00BF7ACA" w:rsidP="007924BE">
            <w:pPr>
              <w:pStyle w:val="ColumnHeading"/>
              <w:keepNext/>
            </w:pPr>
            <w:r w:rsidRPr="00B915F8">
              <w:t>Amendement</w:t>
            </w:r>
          </w:p>
        </w:tc>
      </w:tr>
      <w:tr w:rsidR="00BF7ACA" w:rsidRPr="00355860" w14:paraId="7698900E" w14:textId="77777777" w:rsidTr="007924BE">
        <w:trPr>
          <w:jc w:val="center"/>
        </w:trPr>
        <w:tc>
          <w:tcPr>
            <w:tcW w:w="4876" w:type="dxa"/>
            <w:hideMark/>
          </w:tcPr>
          <w:p w14:paraId="024DB7F2" w14:textId="77777777" w:rsidR="00BF7ACA" w:rsidRPr="00DC274A" w:rsidRDefault="00BF7ACA" w:rsidP="007924BE">
            <w:pPr>
              <w:pStyle w:val="Normal6"/>
              <w:rPr>
                <w:b/>
                <w:i/>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 et de la BEI. La Commission peut inviter d’autres contributeurs à devenir membres du conseil stratégique eu égard, le cas échéant, à l’avis du conseil. Les pays partenaires</w:t>
            </w:r>
            <w:r w:rsidRPr="00DC274A">
              <w:rPr>
                <w:b/>
                <w:i/>
              </w:rPr>
              <w:t xml:space="preserve"> et</w:t>
            </w:r>
            <w:r w:rsidRPr="00DC274A">
              <w:t xml:space="preserve"> les organisations régionales concernées</w:t>
            </w:r>
            <w:r w:rsidRPr="00DC274A">
              <w:rPr>
                <w:b/>
                <w:i/>
              </w:rPr>
              <w:t>,</w:t>
            </w:r>
            <w:r w:rsidRPr="00DC274A">
              <w:t xml:space="preserve"> les contreparties éligibles</w:t>
            </w:r>
            <w:r w:rsidRPr="00DC274A">
              <w:rPr>
                <w:b/>
                <w:i/>
              </w:rPr>
              <w:t xml:space="preserve"> et le Parlement européen</w:t>
            </w:r>
            <w:r w:rsidRPr="00DC274A">
              <w:t xml:space="preserve"> peuvent se voir accorder le statut d’observateur, s’il y a lieu. Le conseil stratégique est coprésidé par la Commission et le haut représentant.</w:t>
            </w:r>
          </w:p>
        </w:tc>
        <w:tc>
          <w:tcPr>
            <w:tcW w:w="4876" w:type="dxa"/>
            <w:hideMark/>
          </w:tcPr>
          <w:p w14:paraId="7A966473" w14:textId="77777777" w:rsidR="00BF7ACA" w:rsidRPr="00DC274A" w:rsidRDefault="00BF7ACA" w:rsidP="007924BE">
            <w:pPr>
              <w:pStyle w:val="Normal6"/>
              <w:rPr>
                <w:b/>
                <w:i/>
                <w:szCs w:val="24"/>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w:t>
            </w:r>
            <w:r w:rsidRPr="00DC274A">
              <w:rPr>
                <w:b/>
                <w:i/>
              </w:rPr>
              <w:t xml:space="preserve"> contributeurs</w:t>
            </w:r>
            <w:r w:rsidRPr="00DC274A">
              <w:t xml:space="preserve"> et de la BEI. La Commission peut inviter d’autres contributeurs à devenir membres du conseil stratégique eu égard, le cas échéant, à l’avis du conseil.</w:t>
            </w:r>
            <w:r w:rsidRPr="00DC274A">
              <w:rPr>
                <w:b/>
                <w:i/>
              </w:rPr>
              <w:t xml:space="preserve"> Le Parlement européen dispose du statut d’observateur.</w:t>
            </w:r>
            <w:r w:rsidRPr="00DC274A">
              <w:t xml:space="preserve"> Les</w:t>
            </w:r>
            <w:r w:rsidRPr="00DC274A">
              <w:rPr>
                <w:b/>
                <w:i/>
              </w:rPr>
              <w:t xml:space="preserve"> observateurs qu’il désigne peuvent contribuer aux délibérations, sans droit de vote. Les</w:t>
            </w:r>
            <w:r w:rsidRPr="00DC274A">
              <w:t xml:space="preserve"> pays partenaires</w:t>
            </w:r>
            <w:r w:rsidRPr="00DC274A">
              <w:rPr>
                <w:b/>
                <w:i/>
              </w:rPr>
              <w:t>,</w:t>
            </w:r>
            <w:r w:rsidRPr="00DC274A">
              <w:t xml:space="preserve"> les organisations régionales concernées</w:t>
            </w:r>
            <w:r w:rsidRPr="00DC274A">
              <w:rPr>
                <w:b/>
                <w:i/>
              </w:rPr>
              <w:t xml:space="preserve"> et</w:t>
            </w:r>
            <w:r w:rsidRPr="00DC274A">
              <w:t xml:space="preserve"> les contreparties éligibles peuvent se voir accorder le statut d’observateur, s’il y a lieu. Le conseil stratégique est coprésidé par la Commission et le haut représentant.</w:t>
            </w:r>
          </w:p>
        </w:tc>
      </w:tr>
    </w:tbl>
    <w:p w14:paraId="55DB58CE"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AEAAA14" w14:textId="77777777" w:rsidR="00BF7ACA" w:rsidRPr="00BF7ACA" w:rsidRDefault="00BF7ACA" w:rsidP="00BF7ACA">
      <w:r w:rsidRPr="00BF7ACA">
        <w:rPr>
          <w:rStyle w:val="HideTWBExt"/>
        </w:rPr>
        <w:t>&lt;/Amend&gt;</w:t>
      </w:r>
    </w:p>
    <w:p w14:paraId="1467EBFA"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214</w:t>
      </w:r>
      <w:r w:rsidRPr="00BF7ACA">
        <w:rPr>
          <w:rStyle w:val="HideTWBExt"/>
          <w:b w:val="0"/>
        </w:rPr>
        <w:t>&lt;/NumAm&gt;</w:t>
      </w:r>
    </w:p>
    <w:p w14:paraId="71D48985"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01AC99E6" w14:textId="77777777" w:rsidR="00BF7ACA" w:rsidRPr="00355860" w:rsidRDefault="00BF7ACA" w:rsidP="00BF7ACA">
      <w:r>
        <w:rPr>
          <w:rStyle w:val="HideTWBExt"/>
        </w:rPr>
        <w:t>&lt;/RepeatBlock-By&gt;</w:t>
      </w:r>
    </w:p>
    <w:p w14:paraId="5598B34B"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E231A90" w14:textId="77777777" w:rsidR="00BF7ACA" w:rsidRPr="00355860" w:rsidRDefault="00BF7ACA" w:rsidP="00BF7ACA">
      <w:pPr>
        <w:pStyle w:val="NormalBold"/>
      </w:pPr>
      <w:r>
        <w:rPr>
          <w:rStyle w:val="HideTWBExt"/>
          <w:b w:val="0"/>
        </w:rPr>
        <w:t>&lt;Article&gt;</w:t>
      </w:r>
      <w:r w:rsidRPr="00B915F8">
        <w:t>Article 5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518C7195" w14:textId="77777777" w:rsidTr="007924BE">
        <w:trPr>
          <w:jc w:val="center"/>
        </w:trPr>
        <w:tc>
          <w:tcPr>
            <w:tcW w:w="9752" w:type="dxa"/>
            <w:gridSpan w:val="2"/>
          </w:tcPr>
          <w:p w14:paraId="03BF00C0" w14:textId="77777777" w:rsidR="00BF7ACA" w:rsidRPr="00355860" w:rsidRDefault="00BF7ACA" w:rsidP="007924BE">
            <w:pPr>
              <w:keepNext/>
            </w:pPr>
          </w:p>
        </w:tc>
      </w:tr>
      <w:tr w:rsidR="00BF7ACA" w:rsidRPr="00355860" w14:paraId="7F06F50C" w14:textId="77777777" w:rsidTr="007924BE">
        <w:trPr>
          <w:jc w:val="center"/>
        </w:trPr>
        <w:tc>
          <w:tcPr>
            <w:tcW w:w="4876" w:type="dxa"/>
            <w:hideMark/>
          </w:tcPr>
          <w:p w14:paraId="13EE44F0" w14:textId="77777777" w:rsidR="00BF7ACA" w:rsidRPr="00B915F8" w:rsidRDefault="00BF7ACA" w:rsidP="007924BE">
            <w:pPr>
              <w:pStyle w:val="ColumnHeading"/>
              <w:keepNext/>
            </w:pPr>
            <w:r w:rsidRPr="00B915F8">
              <w:t>Texte proposé par la Commission</w:t>
            </w:r>
          </w:p>
        </w:tc>
        <w:tc>
          <w:tcPr>
            <w:tcW w:w="4876" w:type="dxa"/>
            <w:hideMark/>
          </w:tcPr>
          <w:p w14:paraId="36D75C91" w14:textId="77777777" w:rsidR="00BF7ACA" w:rsidRPr="00B915F8" w:rsidRDefault="00BF7ACA" w:rsidP="007924BE">
            <w:pPr>
              <w:pStyle w:val="ColumnHeading"/>
              <w:keepNext/>
            </w:pPr>
            <w:r w:rsidRPr="00B915F8">
              <w:t>Amendement</w:t>
            </w:r>
          </w:p>
        </w:tc>
      </w:tr>
      <w:tr w:rsidR="00BF7ACA" w:rsidRPr="00355860" w14:paraId="6DEA4F06" w14:textId="77777777" w:rsidTr="007924BE">
        <w:trPr>
          <w:jc w:val="center"/>
        </w:trPr>
        <w:tc>
          <w:tcPr>
            <w:tcW w:w="4876" w:type="dxa"/>
            <w:hideMark/>
          </w:tcPr>
          <w:p w14:paraId="48F3CD69" w14:textId="77777777" w:rsidR="00BF7ACA" w:rsidRPr="00DC274A" w:rsidRDefault="00BF7ACA" w:rsidP="007924BE">
            <w:pPr>
              <w:pStyle w:val="Normal6"/>
              <w:rPr>
                <w:b/>
                <w:i/>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 et de la BEI. La Commission</w:t>
            </w:r>
            <w:r w:rsidRPr="00DC274A">
              <w:rPr>
                <w:b/>
                <w:i/>
              </w:rPr>
              <w:t xml:space="preserve"> peut inviter</w:t>
            </w:r>
            <w:r w:rsidRPr="00DC274A">
              <w:t xml:space="preserve"> d’autres contributeurs à devenir membres du conseil stratégique eu égard, le cas échéant, à l’avis du conseil. Les</w:t>
            </w:r>
            <w:r w:rsidRPr="00DC274A">
              <w:rPr>
                <w:b/>
                <w:i/>
              </w:rPr>
              <w:t xml:space="preserve"> pays partenaires et les</w:t>
            </w:r>
            <w:r w:rsidRPr="00DC274A">
              <w:t xml:space="preserve"> organisations régionales concernées,</w:t>
            </w:r>
            <w:r w:rsidRPr="00DC274A">
              <w:rPr>
                <w:b/>
                <w:i/>
              </w:rPr>
              <w:t xml:space="preserve"> les contreparties éligibles et le Parlement européen</w:t>
            </w:r>
            <w:r w:rsidRPr="00DC274A">
              <w:t xml:space="preserve"> peuvent se voir accorder le statut d’observateur, s’il y a lieu. Le conseil stratégique est coprésidé par la Commission et le haut représentant.</w:t>
            </w:r>
          </w:p>
        </w:tc>
        <w:tc>
          <w:tcPr>
            <w:tcW w:w="4876" w:type="dxa"/>
            <w:hideMark/>
          </w:tcPr>
          <w:p w14:paraId="4C1C1F51" w14:textId="77777777" w:rsidR="00BF7ACA" w:rsidRPr="00DC274A" w:rsidRDefault="00BF7ACA" w:rsidP="007924BE">
            <w:pPr>
              <w:pStyle w:val="Normal6"/>
              <w:rPr>
                <w:b/>
                <w:i/>
                <w:szCs w:val="24"/>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w:t>
            </w:r>
            <w:r w:rsidRPr="00DC274A">
              <w:rPr>
                <w:b/>
                <w:i/>
              </w:rPr>
              <w:t>, du Parlement européen</w:t>
            </w:r>
            <w:r w:rsidRPr="00DC274A">
              <w:t xml:space="preserve"> et de la BEI. La Commission</w:t>
            </w:r>
            <w:r w:rsidRPr="00DC274A">
              <w:rPr>
                <w:b/>
                <w:i/>
              </w:rPr>
              <w:t xml:space="preserve"> invite</w:t>
            </w:r>
            <w:r w:rsidRPr="00DC274A">
              <w:t xml:space="preserve"> d’autres contributeurs à devenir membres du conseil stratégique eu égard, le cas échéant, à l’avis du conseil. Les organisations régionales concernées</w:t>
            </w:r>
            <w:r w:rsidRPr="00DC274A">
              <w:rPr>
                <w:b/>
                <w:i/>
              </w:rPr>
              <w:t xml:space="preserve"> et d’autres parties prenantes</w:t>
            </w:r>
            <w:r w:rsidRPr="00DC274A">
              <w:t>,</w:t>
            </w:r>
            <w:r w:rsidRPr="00DC274A">
              <w:rPr>
                <w:b/>
                <w:i/>
              </w:rPr>
              <w:t xml:space="preserve"> comme des organisations de la société civile,</w:t>
            </w:r>
            <w:r w:rsidRPr="00DC274A">
              <w:t xml:space="preserve"> peuvent se voir accorder le statut d’observateur, s’il y a lieu. Le conseil stratégique est coprésidé par la Commission et le haut représentant.</w:t>
            </w:r>
            <w:r w:rsidRPr="00DC274A">
              <w:rPr>
                <w:b/>
                <w:i/>
              </w:rPr>
              <w:t xml:space="preserve"> Il veille à la consultation en bonne et due forme d’un large éventail de parties intéressées dans les pays partenaires.</w:t>
            </w:r>
          </w:p>
        </w:tc>
      </w:tr>
    </w:tbl>
    <w:p w14:paraId="50E688E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71EB2CD" w14:textId="77777777" w:rsidR="00BF7ACA" w:rsidRPr="00BF7ACA" w:rsidRDefault="00BF7ACA" w:rsidP="00BF7ACA">
      <w:r w:rsidRPr="00BF7ACA">
        <w:rPr>
          <w:rStyle w:val="HideTWBExt"/>
        </w:rPr>
        <w:t>&lt;/Amend&gt;</w:t>
      </w:r>
    </w:p>
    <w:p w14:paraId="3961B8CD"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215</w:t>
      </w:r>
      <w:r w:rsidRPr="00BF7ACA">
        <w:rPr>
          <w:rStyle w:val="HideTWBExt"/>
          <w:b w:val="0"/>
        </w:rPr>
        <w:t>&lt;/NumAm&gt;</w:t>
      </w:r>
    </w:p>
    <w:p w14:paraId="74FB5B19"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Nedzhmi Ali</w:t>
      </w:r>
      <w:r w:rsidRPr="00BF7ACA">
        <w:rPr>
          <w:rStyle w:val="HideTWBExt"/>
          <w:b w:val="0"/>
        </w:rPr>
        <w:t>&lt;/Members&gt;</w:t>
      </w:r>
    </w:p>
    <w:p w14:paraId="69E2CAFC" w14:textId="77777777" w:rsidR="00BF7ACA" w:rsidRPr="00355860" w:rsidRDefault="00BF7ACA" w:rsidP="00BF7ACA">
      <w:r>
        <w:rPr>
          <w:rStyle w:val="HideTWBExt"/>
        </w:rPr>
        <w:t>&lt;/RepeatBlock-By&gt;</w:t>
      </w:r>
    </w:p>
    <w:p w14:paraId="3C921DF5"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4C9415DF" w14:textId="77777777" w:rsidR="00BF7ACA" w:rsidRPr="00355860" w:rsidRDefault="00BF7ACA" w:rsidP="00BF7ACA">
      <w:pPr>
        <w:pStyle w:val="NormalBold"/>
      </w:pPr>
      <w:r>
        <w:rPr>
          <w:rStyle w:val="HideTWBExt"/>
          <w:b w:val="0"/>
        </w:rPr>
        <w:t>&lt;Article&gt;</w:t>
      </w:r>
      <w:r w:rsidRPr="00B915F8">
        <w:t>Article 5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78C56342" w14:textId="77777777" w:rsidTr="007924BE">
        <w:trPr>
          <w:jc w:val="center"/>
        </w:trPr>
        <w:tc>
          <w:tcPr>
            <w:tcW w:w="9752" w:type="dxa"/>
            <w:gridSpan w:val="2"/>
          </w:tcPr>
          <w:p w14:paraId="6817EBFE" w14:textId="77777777" w:rsidR="00BF7ACA" w:rsidRPr="00355860" w:rsidRDefault="00BF7ACA" w:rsidP="007924BE">
            <w:pPr>
              <w:keepNext/>
            </w:pPr>
          </w:p>
        </w:tc>
      </w:tr>
      <w:tr w:rsidR="00BF7ACA" w:rsidRPr="00355860" w14:paraId="711987CD" w14:textId="77777777" w:rsidTr="007924BE">
        <w:trPr>
          <w:jc w:val="center"/>
        </w:trPr>
        <w:tc>
          <w:tcPr>
            <w:tcW w:w="4876" w:type="dxa"/>
            <w:hideMark/>
          </w:tcPr>
          <w:p w14:paraId="477DE212" w14:textId="77777777" w:rsidR="00BF7ACA" w:rsidRPr="00B915F8" w:rsidRDefault="00BF7ACA" w:rsidP="007924BE">
            <w:pPr>
              <w:pStyle w:val="ColumnHeading"/>
              <w:keepNext/>
            </w:pPr>
            <w:r w:rsidRPr="00B915F8">
              <w:t>Texte proposé par la Commission</w:t>
            </w:r>
          </w:p>
        </w:tc>
        <w:tc>
          <w:tcPr>
            <w:tcW w:w="4876" w:type="dxa"/>
            <w:hideMark/>
          </w:tcPr>
          <w:p w14:paraId="4356B98F" w14:textId="77777777" w:rsidR="00BF7ACA" w:rsidRPr="00B915F8" w:rsidRDefault="00BF7ACA" w:rsidP="007924BE">
            <w:pPr>
              <w:pStyle w:val="ColumnHeading"/>
              <w:keepNext/>
            </w:pPr>
            <w:r w:rsidRPr="00B915F8">
              <w:t>Amendement</w:t>
            </w:r>
          </w:p>
        </w:tc>
      </w:tr>
      <w:tr w:rsidR="00BF7ACA" w:rsidRPr="00355860" w14:paraId="2C7D694D" w14:textId="77777777" w:rsidTr="007924BE">
        <w:trPr>
          <w:jc w:val="center"/>
        </w:trPr>
        <w:tc>
          <w:tcPr>
            <w:tcW w:w="4876" w:type="dxa"/>
            <w:hideMark/>
          </w:tcPr>
          <w:p w14:paraId="7B7BB00A" w14:textId="77777777" w:rsidR="00BF7ACA" w:rsidRPr="00DC274A" w:rsidRDefault="00BF7ACA" w:rsidP="007924BE">
            <w:pPr>
              <w:pStyle w:val="Normal6"/>
              <w:rPr>
                <w:b/>
                <w:i/>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w:t>
            </w:r>
            <w:r w:rsidRPr="00DC274A">
              <w:rPr>
                <w:b/>
                <w:i/>
              </w:rPr>
              <w:t xml:space="preserve"> et</w:t>
            </w:r>
            <w:r w:rsidRPr="00DC274A">
              <w:t xml:space="preserve"> de la BEI.</w:t>
            </w:r>
            <w:r w:rsidRPr="00DC274A">
              <w:rPr>
                <w:b/>
                <w:i/>
              </w:rPr>
              <w:t xml:space="preserve"> La Commission peut inviter</w:t>
            </w:r>
            <w:r w:rsidRPr="00DC274A">
              <w:t xml:space="preserve"> d’</w:t>
            </w:r>
            <w:r w:rsidRPr="00DC274A">
              <w:rPr>
                <w:b/>
                <w:i/>
              </w:rPr>
              <w:t>autres contributeurs à devenir membres du conseil stratégique eu égard, le cas échéant, à l’avis du conseil.</w:t>
            </w:r>
            <w:r w:rsidRPr="00DC274A">
              <w:t xml:space="preserve"> Les</w:t>
            </w:r>
            <w:r w:rsidRPr="00DC274A">
              <w:rPr>
                <w:b/>
                <w:i/>
              </w:rPr>
              <w:t xml:space="preserve"> pays partenaires et les</w:t>
            </w:r>
            <w:r w:rsidRPr="00DC274A">
              <w:t xml:space="preserve"> organisations régionales concernées, les</w:t>
            </w:r>
            <w:r w:rsidRPr="00DC274A">
              <w:rPr>
                <w:b/>
                <w:i/>
              </w:rPr>
              <w:t xml:space="preserve"> contreparties éligibles et le Parlement européen</w:t>
            </w:r>
            <w:r w:rsidRPr="00DC274A">
              <w:t xml:space="preserve"> peuvent se voir accorder le statut d’observateur, s’il y a lieu. Le conseil stratégique est coprésidé par la Commission et le haut représentant.</w:t>
            </w:r>
          </w:p>
        </w:tc>
        <w:tc>
          <w:tcPr>
            <w:tcW w:w="4876" w:type="dxa"/>
            <w:hideMark/>
          </w:tcPr>
          <w:p w14:paraId="531D777A" w14:textId="77777777" w:rsidR="00BF7ACA" w:rsidRPr="00DC274A" w:rsidRDefault="00BF7ACA" w:rsidP="007924BE">
            <w:pPr>
              <w:pStyle w:val="Normal6"/>
              <w:rPr>
                <w:b/>
                <w:i/>
                <w:szCs w:val="24"/>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w:t>
            </w:r>
            <w:r w:rsidRPr="00DC274A">
              <w:rPr>
                <w:b/>
                <w:i/>
              </w:rPr>
              <w:t>,</w:t>
            </w:r>
            <w:r w:rsidRPr="00DC274A">
              <w:t xml:space="preserve"> de la BEI</w:t>
            </w:r>
            <w:r w:rsidRPr="00DC274A">
              <w:rPr>
                <w:b/>
                <w:i/>
              </w:rPr>
              <w:t xml:space="preserve"> et des pays partenaires</w:t>
            </w:r>
            <w:r w:rsidRPr="00DC274A">
              <w:t>.</w:t>
            </w:r>
            <w:r w:rsidRPr="00DC274A">
              <w:rPr>
                <w:b/>
                <w:i/>
              </w:rPr>
              <w:t xml:space="preserve"> Le Parlement européen participe au conseil stratégique avec le statut</w:t>
            </w:r>
            <w:r w:rsidRPr="00DC274A">
              <w:t xml:space="preserve"> d’</w:t>
            </w:r>
            <w:r w:rsidRPr="00DC274A">
              <w:rPr>
                <w:b/>
                <w:i/>
              </w:rPr>
              <w:t>observateur permanent et a le droit de participer pleinement à ses délibérations.</w:t>
            </w:r>
            <w:r w:rsidRPr="00DC274A">
              <w:t xml:space="preserve"> Les organisations régionales concernées, les</w:t>
            </w:r>
            <w:r w:rsidRPr="00DC274A">
              <w:rPr>
                <w:b/>
                <w:i/>
              </w:rPr>
              <w:t xml:space="preserve"> autres contributeurs et d’autres parties prenantes, comme des organisations de la société civile,</w:t>
            </w:r>
            <w:r w:rsidRPr="00DC274A">
              <w:t xml:space="preserve"> peuvent se voir accorder le statut d’observateur, s’il y a lieu. Le conseil stratégique est coprésidé par la Commission et le haut représentant.</w:t>
            </w:r>
          </w:p>
        </w:tc>
      </w:tr>
    </w:tbl>
    <w:p w14:paraId="623D6A9D" w14:textId="77777777"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14:paraId="692FF95A" w14:textId="77777777" w:rsidR="00BF7ACA" w:rsidRPr="00BF7ACA" w:rsidRDefault="00BF7ACA" w:rsidP="00BF7ACA">
      <w:pPr>
        <w:rPr>
          <w:lang w:val="nl-NL"/>
        </w:rPr>
      </w:pPr>
      <w:r w:rsidRPr="00BF7ACA">
        <w:rPr>
          <w:rStyle w:val="HideTWBExt"/>
          <w:lang w:val="nl-NL"/>
        </w:rPr>
        <w:t>&lt;/Amend&gt;</w:t>
      </w:r>
    </w:p>
    <w:p w14:paraId="316D5793" w14:textId="77777777"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216</w:t>
      </w:r>
      <w:r w:rsidRPr="00BF7ACA">
        <w:rPr>
          <w:rStyle w:val="HideTWBExt"/>
          <w:b w:val="0"/>
          <w:lang w:val="nl-NL"/>
        </w:rPr>
        <w:t>&lt;/NumAm&gt;</w:t>
      </w:r>
    </w:p>
    <w:p w14:paraId="4AC57AF8" w14:textId="77777777"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14:paraId="150B4A66" w14:textId="77777777" w:rsidR="00BF7ACA" w:rsidRPr="00BF7ACA" w:rsidRDefault="00BF7ACA" w:rsidP="00BF7ACA">
      <w:pPr>
        <w:rPr>
          <w:lang w:val="nl-NL"/>
        </w:rPr>
      </w:pPr>
      <w:r w:rsidRPr="00BF7ACA">
        <w:rPr>
          <w:rStyle w:val="HideTWBExt"/>
          <w:lang w:val="nl-NL"/>
        </w:rPr>
        <w:t>&lt;/RepeatBlock-By&gt;</w:t>
      </w:r>
    </w:p>
    <w:p w14:paraId="6D31D769"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2C21C55E" w14:textId="77777777" w:rsidR="00BF7ACA" w:rsidRPr="00355860" w:rsidRDefault="00BF7ACA" w:rsidP="00BF7ACA">
      <w:pPr>
        <w:pStyle w:val="NormalBold"/>
      </w:pPr>
      <w:r>
        <w:rPr>
          <w:rStyle w:val="HideTWBExt"/>
          <w:b w:val="0"/>
        </w:rPr>
        <w:t>&lt;Article&gt;</w:t>
      </w:r>
      <w:r w:rsidRPr="00B915F8">
        <w:t>Article 5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7EC9F0DC" w14:textId="77777777" w:rsidTr="007924BE">
        <w:trPr>
          <w:jc w:val="center"/>
        </w:trPr>
        <w:tc>
          <w:tcPr>
            <w:tcW w:w="9752" w:type="dxa"/>
            <w:gridSpan w:val="2"/>
          </w:tcPr>
          <w:p w14:paraId="269D621E" w14:textId="77777777" w:rsidR="00BF7ACA" w:rsidRPr="00355860" w:rsidRDefault="00BF7ACA" w:rsidP="007924BE">
            <w:pPr>
              <w:keepNext/>
            </w:pPr>
          </w:p>
        </w:tc>
      </w:tr>
      <w:tr w:rsidR="00BF7ACA" w:rsidRPr="00355860" w14:paraId="3118AC18" w14:textId="77777777" w:rsidTr="007924BE">
        <w:trPr>
          <w:jc w:val="center"/>
        </w:trPr>
        <w:tc>
          <w:tcPr>
            <w:tcW w:w="4876" w:type="dxa"/>
            <w:hideMark/>
          </w:tcPr>
          <w:p w14:paraId="242A3191" w14:textId="77777777" w:rsidR="00BF7ACA" w:rsidRPr="00B915F8" w:rsidRDefault="00BF7ACA" w:rsidP="007924BE">
            <w:pPr>
              <w:pStyle w:val="ColumnHeading"/>
              <w:keepNext/>
            </w:pPr>
            <w:r w:rsidRPr="00B915F8">
              <w:t>Texte proposé par la Commission</w:t>
            </w:r>
          </w:p>
        </w:tc>
        <w:tc>
          <w:tcPr>
            <w:tcW w:w="4876" w:type="dxa"/>
            <w:hideMark/>
          </w:tcPr>
          <w:p w14:paraId="01BC5515" w14:textId="77777777" w:rsidR="00BF7ACA" w:rsidRPr="00B915F8" w:rsidRDefault="00BF7ACA" w:rsidP="007924BE">
            <w:pPr>
              <w:pStyle w:val="ColumnHeading"/>
              <w:keepNext/>
            </w:pPr>
            <w:r w:rsidRPr="00B915F8">
              <w:t>Amendement</w:t>
            </w:r>
          </w:p>
        </w:tc>
      </w:tr>
      <w:tr w:rsidR="00BF7ACA" w:rsidRPr="00355860" w14:paraId="6002D881" w14:textId="77777777" w:rsidTr="007924BE">
        <w:trPr>
          <w:jc w:val="center"/>
        </w:trPr>
        <w:tc>
          <w:tcPr>
            <w:tcW w:w="4876" w:type="dxa"/>
            <w:hideMark/>
          </w:tcPr>
          <w:p w14:paraId="1A8EE7AB" w14:textId="77777777" w:rsidR="00BF7ACA" w:rsidRPr="00DC274A" w:rsidRDefault="00BF7ACA" w:rsidP="007924BE">
            <w:pPr>
              <w:pStyle w:val="Normal6"/>
              <w:rPr>
                <w:b/>
                <w:i/>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 et de la BEI. La Commission peut inviter d’autres contributeurs à devenir membres du conseil stratégique eu égard, le cas échéant, à l’avis du conseil. Les pays partenaires et les organisations régionales concernées, les contreparties éligibles et le Parlement européen peuvent se voir accorder le statut d’observateur, s’il y a lieu. Le conseil stratégique est coprésidé par la Commission et le haut représentant.</w:t>
            </w:r>
          </w:p>
        </w:tc>
        <w:tc>
          <w:tcPr>
            <w:tcW w:w="4876" w:type="dxa"/>
            <w:hideMark/>
          </w:tcPr>
          <w:p w14:paraId="775A5885" w14:textId="77777777" w:rsidR="00BF7ACA" w:rsidRPr="00DC274A" w:rsidRDefault="00BF7ACA" w:rsidP="007924BE">
            <w:pPr>
              <w:pStyle w:val="Normal6"/>
              <w:rPr>
                <w:b/>
                <w:i/>
                <w:szCs w:val="24"/>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 et de la BEI. La Commission peut inviter d’autres contributeurs</w:t>
            </w:r>
            <w:r w:rsidRPr="00DC274A">
              <w:rPr>
                <w:b/>
                <w:i/>
              </w:rPr>
              <w:t>, notamment des représentants des organes concernés du Parlement européen,</w:t>
            </w:r>
            <w:r w:rsidRPr="00DC274A">
              <w:t xml:space="preserve"> à devenir membres du conseil stratégique eu égard, le cas échéant, à l’avis du conseil. Les pays partenaires et les organisations régionales concernées, les contreparties éligibles et le Parlement européen peuvent se voir accorder le statut d’observateur, s’il y a lieu. Le conseil stratégique est coprésidé par la Commission et le haut représentant.</w:t>
            </w:r>
          </w:p>
        </w:tc>
      </w:tr>
    </w:tbl>
    <w:p w14:paraId="6838C62C"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51762BE" w14:textId="77777777" w:rsidR="00BF7ACA" w:rsidRPr="00BF7ACA" w:rsidRDefault="00BF7ACA" w:rsidP="00BF7ACA">
      <w:r w:rsidRPr="00BF7ACA">
        <w:rPr>
          <w:rStyle w:val="HideTWBExt"/>
        </w:rPr>
        <w:t>&lt;/Amend&gt;</w:t>
      </w:r>
    </w:p>
    <w:p w14:paraId="72F13BA6"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217</w:t>
      </w:r>
      <w:r w:rsidRPr="00BF7ACA">
        <w:rPr>
          <w:rStyle w:val="HideTWBExt"/>
          <w:b w:val="0"/>
        </w:rPr>
        <w:t>&lt;/NumAm&gt;</w:t>
      </w:r>
    </w:p>
    <w:p w14:paraId="2B8A3E46" w14:textId="77777777" w:rsidR="00BF7ACA" w:rsidRPr="00BF7ACA" w:rsidRDefault="00BF7ACA" w:rsidP="00BF7ACA">
      <w:pPr>
        <w:pStyle w:val="NormalBold"/>
      </w:pPr>
      <w:r w:rsidRPr="00BF7ACA">
        <w:rPr>
          <w:rStyle w:val="HideTWBExt"/>
          <w:b w:val="0"/>
        </w:rPr>
        <w:t>&lt;RepeatBlock-By&gt;&lt;Members&gt;</w:t>
      </w:r>
      <w:r w:rsidRPr="00BF7ACA">
        <w:t>Pina Picierno, Nicola Caputo</w:t>
      </w:r>
      <w:r w:rsidRPr="00BF7ACA">
        <w:rPr>
          <w:rStyle w:val="HideTWBExt"/>
          <w:b w:val="0"/>
        </w:rPr>
        <w:t>&lt;/Members&gt;</w:t>
      </w:r>
    </w:p>
    <w:p w14:paraId="7183DDB7" w14:textId="77777777" w:rsidR="00BF7ACA" w:rsidRPr="00BF7ACA" w:rsidRDefault="00BF7ACA" w:rsidP="00BF7ACA">
      <w:r w:rsidRPr="00BF7ACA">
        <w:rPr>
          <w:rStyle w:val="HideTWBExt"/>
        </w:rPr>
        <w:t>&lt;/RepeatBlock-By&gt;</w:t>
      </w:r>
    </w:p>
    <w:p w14:paraId="6ADDB0F6" w14:textId="77777777"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14:paraId="55DAB465" w14:textId="77777777" w:rsidR="00BF7ACA" w:rsidRPr="00E502E5" w:rsidRDefault="00BF7ACA" w:rsidP="00BF7ACA">
      <w:pPr>
        <w:pStyle w:val="NormalBold"/>
      </w:pPr>
      <w:r>
        <w:rPr>
          <w:rStyle w:val="HideTWBExt"/>
          <w:b w:val="0"/>
        </w:rPr>
        <w:t>&lt;Article&gt;</w:t>
      </w:r>
      <w:r w:rsidRPr="002E43F3">
        <w:t>Article 5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45EAA31D" w14:textId="77777777" w:rsidTr="007924BE">
        <w:trPr>
          <w:jc w:val="center"/>
        </w:trPr>
        <w:tc>
          <w:tcPr>
            <w:tcW w:w="9752" w:type="dxa"/>
            <w:gridSpan w:val="2"/>
          </w:tcPr>
          <w:p w14:paraId="4247573D" w14:textId="77777777" w:rsidR="00BF7ACA" w:rsidRPr="00E502E5" w:rsidRDefault="00BF7ACA" w:rsidP="007924BE">
            <w:pPr>
              <w:keepNext/>
            </w:pPr>
          </w:p>
        </w:tc>
      </w:tr>
      <w:tr w:rsidR="00BF7ACA" w:rsidRPr="00E502E5" w14:paraId="538883F9" w14:textId="77777777" w:rsidTr="007924BE">
        <w:trPr>
          <w:jc w:val="center"/>
        </w:trPr>
        <w:tc>
          <w:tcPr>
            <w:tcW w:w="4876" w:type="dxa"/>
            <w:hideMark/>
          </w:tcPr>
          <w:p w14:paraId="55807536" w14:textId="77777777" w:rsidR="00BF7ACA" w:rsidRPr="002E43F3" w:rsidRDefault="00BF7ACA" w:rsidP="007924BE">
            <w:pPr>
              <w:pStyle w:val="ColumnHeading"/>
              <w:keepNext/>
            </w:pPr>
            <w:r w:rsidRPr="002E43F3">
              <w:t>Texte proposé par la Commission</w:t>
            </w:r>
          </w:p>
        </w:tc>
        <w:tc>
          <w:tcPr>
            <w:tcW w:w="4876" w:type="dxa"/>
            <w:hideMark/>
          </w:tcPr>
          <w:p w14:paraId="3C1D851D" w14:textId="77777777" w:rsidR="00BF7ACA" w:rsidRPr="002E43F3" w:rsidRDefault="00BF7ACA" w:rsidP="007924BE">
            <w:pPr>
              <w:pStyle w:val="ColumnHeading"/>
              <w:keepNext/>
            </w:pPr>
            <w:r w:rsidRPr="002E43F3">
              <w:t>Amendement</w:t>
            </w:r>
          </w:p>
        </w:tc>
      </w:tr>
      <w:tr w:rsidR="00BF7ACA" w:rsidRPr="00E502E5" w14:paraId="00FD4E1A" w14:textId="77777777" w:rsidTr="007924BE">
        <w:trPr>
          <w:jc w:val="center"/>
        </w:trPr>
        <w:tc>
          <w:tcPr>
            <w:tcW w:w="4876" w:type="dxa"/>
            <w:hideMark/>
          </w:tcPr>
          <w:p w14:paraId="373BCA83" w14:textId="77777777" w:rsidR="00BF7ACA" w:rsidRPr="002E43F3" w:rsidRDefault="00BF7ACA" w:rsidP="007924BE">
            <w:pPr>
              <w:pStyle w:val="Normal6"/>
            </w:pPr>
            <w:r w:rsidRPr="002E43F3">
              <w:t>2.</w:t>
            </w:r>
            <w:r>
              <w:tab/>
            </w:r>
            <w:r w:rsidRPr="002E43F3">
              <w:t>Le conseil stratégique se compose de représentants de la Commission et du haut représentant de l</w:t>
            </w:r>
            <w:r>
              <w:t>’</w:t>
            </w:r>
            <w:r w:rsidRPr="002E43F3">
              <w:t>Union pour les affaires étrangères et la politique de sécurité (le «haut représentant»), des États membres et de la BEI. La Commission peut inviter d</w:t>
            </w:r>
            <w:r>
              <w:t>’</w:t>
            </w:r>
            <w:r w:rsidRPr="002E43F3">
              <w:t>autres contributeurs à devenir membres du conseil stratégique eu égard, le cas échéant, à l</w:t>
            </w:r>
            <w:r>
              <w:t>’</w:t>
            </w:r>
            <w:r w:rsidRPr="002E43F3">
              <w:t>avis du conseil. Les pays partenaires et les organisations régionales concernées, les contreparties éligibles et le Parlement européen peuvent se voir accorder le statut d</w:t>
            </w:r>
            <w:r>
              <w:t>’</w:t>
            </w:r>
            <w:r w:rsidRPr="002E43F3">
              <w:t>observateur, s</w:t>
            </w:r>
            <w:r>
              <w:t>’</w:t>
            </w:r>
            <w:r w:rsidRPr="002E43F3">
              <w:t>il y a lieu. Le conseil stratégique est coprésidé par la Commission et le haut représentant.</w:t>
            </w:r>
          </w:p>
        </w:tc>
        <w:tc>
          <w:tcPr>
            <w:tcW w:w="4876" w:type="dxa"/>
            <w:hideMark/>
          </w:tcPr>
          <w:p w14:paraId="0BD4E261" w14:textId="77777777" w:rsidR="00BF7ACA" w:rsidRPr="002E43F3" w:rsidRDefault="00BF7ACA" w:rsidP="007924BE">
            <w:pPr>
              <w:pStyle w:val="Normal6"/>
              <w:rPr>
                <w:szCs w:val="24"/>
              </w:rPr>
            </w:pPr>
            <w:r w:rsidRPr="002E43F3">
              <w:t>2.</w:t>
            </w:r>
            <w:r>
              <w:tab/>
            </w:r>
            <w:r w:rsidRPr="002E43F3">
              <w:t>Le conseil stratégique se compose de représentants de la Commission et du haut représentant de l</w:t>
            </w:r>
            <w:r>
              <w:t>’</w:t>
            </w:r>
            <w:r w:rsidRPr="002E43F3">
              <w:t>Union pour les affaires étrangères et la politique de sécurité (le «haut représentant»), des États membres et de la BEI. La Commission peut inviter d</w:t>
            </w:r>
            <w:r>
              <w:t>’</w:t>
            </w:r>
            <w:r w:rsidRPr="002E43F3">
              <w:t>autres contributeurs à devenir membres du conseil stratégique eu égard, le cas échéant, à l</w:t>
            </w:r>
            <w:r>
              <w:t>’</w:t>
            </w:r>
            <w:r w:rsidRPr="002E43F3">
              <w:t xml:space="preserve">avis du conseil. </w:t>
            </w:r>
            <w:r w:rsidRPr="002E43F3">
              <w:rPr>
                <w:b/>
                <w:i/>
              </w:rPr>
              <w:t>La composition du conseil stratégique devra tenir compte de la dimension de l</w:t>
            </w:r>
            <w:r>
              <w:rPr>
                <w:b/>
                <w:i/>
              </w:rPr>
              <w:t>’</w:t>
            </w:r>
            <w:r w:rsidRPr="002E43F3">
              <w:rPr>
                <w:b/>
                <w:i/>
              </w:rPr>
              <w:t>égalité hommes-femmes.</w:t>
            </w:r>
            <w:r w:rsidRPr="002E43F3">
              <w:t xml:space="preserve"> Les pays partenaires et les organisations régionales concernées, les contreparties éligibles et le Parlement européen peuvent se voir accorder le statut d</w:t>
            </w:r>
            <w:r>
              <w:t>’</w:t>
            </w:r>
            <w:r w:rsidRPr="002E43F3">
              <w:t>observateur, s</w:t>
            </w:r>
            <w:r>
              <w:t>’</w:t>
            </w:r>
            <w:r w:rsidRPr="002E43F3">
              <w:t>il y a lieu. Le conseil stratégique est coprésidé par la Commission et le haut représentant.</w:t>
            </w:r>
          </w:p>
        </w:tc>
      </w:tr>
    </w:tbl>
    <w:p w14:paraId="10A9EB07" w14:textId="77777777"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&lt;Original&gt;</w:t>
      </w:r>
      <w:r w:rsidRPr="000C3237">
        <w:rPr>
          <w:rStyle w:val="HideTWBInt"/>
          <w:noProof w:val="0"/>
          <w:lang w:val="en-GB"/>
        </w:rPr>
        <w:t>{IT}</w:t>
      </w:r>
      <w:r w:rsidRPr="000C3237">
        <w:rPr>
          <w:noProof w:val="0"/>
          <w:lang w:val="en-GB"/>
        </w:rPr>
        <w:t>it</w:t>
      </w:r>
      <w:r w:rsidRPr="000C3237">
        <w:rPr>
          <w:rStyle w:val="HideTWBExt"/>
          <w:noProof w:val="0"/>
          <w:lang w:val="en-GB"/>
        </w:rPr>
        <w:t>&lt;/Original&gt;</w:t>
      </w:r>
    </w:p>
    <w:p w14:paraId="61AA2C21" w14:textId="77777777" w:rsidR="00BF7ACA" w:rsidRPr="000C3237" w:rsidRDefault="00BF7ACA" w:rsidP="00BF7ACA">
      <w:pPr>
        <w:rPr>
          <w:lang w:val="en-GB"/>
        </w:rPr>
      </w:pPr>
      <w:r w:rsidRPr="000C3237">
        <w:rPr>
          <w:rStyle w:val="HideTWBExt"/>
          <w:lang w:val="en-GB"/>
        </w:rPr>
        <w:t>&lt;/Amend&gt;</w:t>
      </w:r>
    </w:p>
    <w:p w14:paraId="6B9E0792" w14:textId="77777777"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218</w:t>
      </w:r>
      <w:r w:rsidRPr="000C3237">
        <w:rPr>
          <w:rStyle w:val="HideTWBExt"/>
          <w:b w:val="0"/>
          <w:lang w:val="en-GB"/>
        </w:rPr>
        <w:t>&lt;/NumAm&gt;</w:t>
      </w:r>
    </w:p>
    <w:p w14:paraId="28956BDE" w14:textId="77777777"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Marco Zanni</w:t>
      </w:r>
      <w:r w:rsidRPr="000C3237">
        <w:rPr>
          <w:rStyle w:val="HideTWBExt"/>
          <w:b w:val="0"/>
          <w:lang w:val="en-GB"/>
        </w:rPr>
        <w:t>&lt;/Members&gt;</w:t>
      </w:r>
    </w:p>
    <w:p w14:paraId="0757F8FF" w14:textId="77777777" w:rsidR="00BF7ACA" w:rsidRPr="00BF7ACA" w:rsidRDefault="00BF7ACA" w:rsidP="00BF7ACA">
      <w:pPr>
        <w:rPr>
          <w:lang w:val="en-GB"/>
        </w:rPr>
      </w:pPr>
      <w:r w:rsidRPr="00BF7ACA">
        <w:rPr>
          <w:rStyle w:val="HideTWBExt"/>
          <w:lang w:val="en-GB"/>
        </w:rPr>
        <w:t>&lt;/RepeatBlock-By&gt;</w:t>
      </w:r>
    </w:p>
    <w:p w14:paraId="54F7FDD7" w14:textId="77777777"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14:paraId="48D20B94" w14:textId="77777777" w:rsidR="00BF7ACA" w:rsidRPr="00E502E5" w:rsidRDefault="00BF7ACA" w:rsidP="00BF7ACA">
      <w:pPr>
        <w:pStyle w:val="NormalBold"/>
      </w:pPr>
      <w:r>
        <w:rPr>
          <w:rStyle w:val="HideTWBExt"/>
          <w:b w:val="0"/>
        </w:rPr>
        <w:t>&lt;Article&gt;</w:t>
      </w:r>
      <w:r w:rsidRPr="002E43F3">
        <w:t>Article 5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1E95129C" w14:textId="77777777" w:rsidTr="007924BE">
        <w:trPr>
          <w:jc w:val="center"/>
        </w:trPr>
        <w:tc>
          <w:tcPr>
            <w:tcW w:w="9752" w:type="dxa"/>
            <w:gridSpan w:val="2"/>
          </w:tcPr>
          <w:p w14:paraId="3D130AE0" w14:textId="77777777" w:rsidR="00BF7ACA" w:rsidRPr="00E502E5" w:rsidRDefault="00BF7ACA" w:rsidP="007924BE">
            <w:pPr>
              <w:keepNext/>
            </w:pPr>
          </w:p>
        </w:tc>
      </w:tr>
      <w:tr w:rsidR="00BF7ACA" w:rsidRPr="00E502E5" w14:paraId="47350446" w14:textId="77777777" w:rsidTr="007924BE">
        <w:trPr>
          <w:jc w:val="center"/>
        </w:trPr>
        <w:tc>
          <w:tcPr>
            <w:tcW w:w="4876" w:type="dxa"/>
            <w:hideMark/>
          </w:tcPr>
          <w:p w14:paraId="57F7BF57" w14:textId="77777777" w:rsidR="00BF7ACA" w:rsidRPr="002E43F3" w:rsidRDefault="00BF7ACA" w:rsidP="007924BE">
            <w:pPr>
              <w:pStyle w:val="ColumnHeading"/>
              <w:keepNext/>
            </w:pPr>
            <w:r w:rsidRPr="002E43F3">
              <w:t>Texte proposé par la Commission</w:t>
            </w:r>
          </w:p>
        </w:tc>
        <w:tc>
          <w:tcPr>
            <w:tcW w:w="4876" w:type="dxa"/>
            <w:hideMark/>
          </w:tcPr>
          <w:p w14:paraId="5674502F" w14:textId="77777777" w:rsidR="00BF7ACA" w:rsidRPr="002E43F3" w:rsidRDefault="00BF7ACA" w:rsidP="007924BE">
            <w:pPr>
              <w:pStyle w:val="ColumnHeading"/>
              <w:keepNext/>
            </w:pPr>
            <w:r w:rsidRPr="002E43F3">
              <w:t>Amendement</w:t>
            </w:r>
          </w:p>
        </w:tc>
      </w:tr>
      <w:tr w:rsidR="00BF7ACA" w:rsidRPr="00E502E5" w14:paraId="12870DBE" w14:textId="77777777" w:rsidTr="007924BE">
        <w:trPr>
          <w:jc w:val="center"/>
        </w:trPr>
        <w:tc>
          <w:tcPr>
            <w:tcW w:w="4876" w:type="dxa"/>
            <w:hideMark/>
          </w:tcPr>
          <w:p w14:paraId="57F1CC2B" w14:textId="77777777" w:rsidR="00BF7ACA" w:rsidRPr="002E43F3" w:rsidRDefault="00BF7ACA" w:rsidP="007924BE">
            <w:pPr>
              <w:pStyle w:val="Normal6"/>
            </w:pPr>
            <w:r w:rsidRPr="002E43F3">
              <w:t>2.</w:t>
            </w:r>
            <w:r>
              <w:tab/>
            </w:r>
            <w:r w:rsidRPr="002E43F3">
              <w:t>Le conseil stratégique se compose de représentants de la Commission et du haut représentant de l</w:t>
            </w:r>
            <w:r>
              <w:t>’</w:t>
            </w:r>
            <w:r w:rsidRPr="002E43F3">
              <w:t>Union pour les affaires étrangères et la politique de sécurité (le «haut représentant»), des États membres et de la BEI. La Commission peut inviter d</w:t>
            </w:r>
            <w:r>
              <w:t>’</w:t>
            </w:r>
            <w:r w:rsidRPr="002E43F3">
              <w:t>autres contributeurs à devenir membres du conseil stratégique eu égard, le cas échéant, à l</w:t>
            </w:r>
            <w:r>
              <w:t>’</w:t>
            </w:r>
            <w:r w:rsidRPr="002E43F3">
              <w:t>avis du conseil. Les pays partenaires et les organisations régionales concernées, les contreparties éligibles et le Parlement européen peuvent se voir accorder le statut d</w:t>
            </w:r>
            <w:r>
              <w:t>’</w:t>
            </w:r>
            <w:r w:rsidRPr="002E43F3">
              <w:t>observateur, s</w:t>
            </w:r>
            <w:r>
              <w:t>’</w:t>
            </w:r>
            <w:r w:rsidRPr="002E43F3">
              <w:t>il y a lieu. Le conseil stratégique est coprésidé par la Commission et le haut représentant.</w:t>
            </w:r>
          </w:p>
        </w:tc>
        <w:tc>
          <w:tcPr>
            <w:tcW w:w="4876" w:type="dxa"/>
            <w:hideMark/>
          </w:tcPr>
          <w:p w14:paraId="7232662F" w14:textId="77777777" w:rsidR="00BF7ACA" w:rsidRPr="002E43F3" w:rsidRDefault="00BF7ACA" w:rsidP="007924BE">
            <w:pPr>
              <w:pStyle w:val="Normal6"/>
              <w:rPr>
                <w:szCs w:val="24"/>
              </w:rPr>
            </w:pPr>
            <w:r w:rsidRPr="002E43F3">
              <w:t>2.</w:t>
            </w:r>
            <w:r>
              <w:tab/>
            </w:r>
            <w:r w:rsidRPr="002E43F3">
              <w:t>Le conseil stratégique se compose de représentants de la Commission et du haut représentant de l</w:t>
            </w:r>
            <w:r>
              <w:t>’</w:t>
            </w:r>
            <w:r w:rsidRPr="002E43F3">
              <w:t xml:space="preserve">Union pour les affaires étrangères et la politique de sécurité (le «haut représentant»), </w:t>
            </w:r>
            <w:r w:rsidRPr="002E43F3">
              <w:rPr>
                <w:b/>
                <w:i/>
              </w:rPr>
              <w:t xml:space="preserve">du Parlement européen, </w:t>
            </w:r>
            <w:r w:rsidRPr="002E43F3">
              <w:t>des États membres et de la BEI. La Commission peut inviter d</w:t>
            </w:r>
            <w:r>
              <w:t>’</w:t>
            </w:r>
            <w:r w:rsidRPr="002E43F3">
              <w:t>autres contributeurs à devenir membres du conseil stratégique eu égard, le cas échéant, à l</w:t>
            </w:r>
            <w:r>
              <w:t>’</w:t>
            </w:r>
            <w:r w:rsidRPr="002E43F3">
              <w:t>avis du conseil. Les pays partenaires et les organisations régionales concernées, les contreparties éligibles et le Parlement européen peuvent se voir accorder le statut d</w:t>
            </w:r>
            <w:r>
              <w:t>’</w:t>
            </w:r>
            <w:r w:rsidRPr="002E43F3">
              <w:t>observateur, s</w:t>
            </w:r>
            <w:r>
              <w:t>’</w:t>
            </w:r>
            <w:r w:rsidRPr="002E43F3">
              <w:t>il y a lieu. Le conseil stratégique est coprésidé par la Commission et le haut représentant.</w:t>
            </w:r>
          </w:p>
        </w:tc>
      </w:tr>
    </w:tbl>
    <w:p w14:paraId="6226DE74"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{IT}</w:t>
      </w:r>
      <w:r w:rsidRPr="00BF7ACA">
        <w:rPr>
          <w:noProof w:val="0"/>
        </w:rPr>
        <w:t>it</w:t>
      </w:r>
      <w:r w:rsidRPr="00BF7ACA">
        <w:rPr>
          <w:rStyle w:val="HideTWBExt"/>
          <w:noProof w:val="0"/>
        </w:rPr>
        <w:t>&lt;/Original&gt;</w:t>
      </w:r>
    </w:p>
    <w:p w14:paraId="0830FD55" w14:textId="77777777" w:rsidR="00BF7ACA" w:rsidRPr="00BF7ACA" w:rsidRDefault="00BF7ACA" w:rsidP="00BF7ACA">
      <w:r w:rsidRPr="00BF7ACA">
        <w:rPr>
          <w:rStyle w:val="HideTWBExt"/>
        </w:rPr>
        <w:t>&lt;/Amend&gt;</w:t>
      </w:r>
    </w:p>
    <w:p w14:paraId="7BB9C0B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219</w:t>
      </w:r>
      <w:r w:rsidRPr="00BF7ACA">
        <w:rPr>
          <w:rStyle w:val="HideTWBExt"/>
          <w:b w:val="0"/>
        </w:rPr>
        <w:t>&lt;/NumAm&gt;</w:t>
      </w:r>
    </w:p>
    <w:p w14:paraId="2023B3EE" w14:textId="77777777"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14:paraId="14BA7DD1" w14:textId="77777777" w:rsidR="00BF7ACA" w:rsidRPr="00355860" w:rsidRDefault="00BF7ACA" w:rsidP="00BF7ACA">
      <w:r>
        <w:rPr>
          <w:rStyle w:val="HideTWBExt"/>
        </w:rPr>
        <w:t>&lt;/RepeatBlock-By&gt;</w:t>
      </w:r>
    </w:p>
    <w:p w14:paraId="517971EC"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3B145103" w14:textId="77777777" w:rsidR="00BF7ACA" w:rsidRPr="00355860" w:rsidRDefault="00BF7ACA" w:rsidP="00BF7ACA">
      <w:pPr>
        <w:pStyle w:val="NormalBold"/>
      </w:pPr>
      <w:r>
        <w:rPr>
          <w:rStyle w:val="HideTWBExt"/>
          <w:b w:val="0"/>
        </w:rPr>
        <w:t>&lt;Article&gt;</w:t>
      </w:r>
      <w:r w:rsidRPr="00B915F8">
        <w:t>Article 5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39B49525" w14:textId="77777777" w:rsidTr="007924BE">
        <w:trPr>
          <w:jc w:val="center"/>
        </w:trPr>
        <w:tc>
          <w:tcPr>
            <w:tcW w:w="9752" w:type="dxa"/>
            <w:gridSpan w:val="2"/>
          </w:tcPr>
          <w:p w14:paraId="1574B79C" w14:textId="77777777" w:rsidR="00BF7ACA" w:rsidRPr="00355860" w:rsidRDefault="00BF7ACA" w:rsidP="007924BE">
            <w:pPr>
              <w:keepNext/>
            </w:pPr>
          </w:p>
        </w:tc>
      </w:tr>
      <w:tr w:rsidR="00BF7ACA" w:rsidRPr="00355860" w14:paraId="52B4C790" w14:textId="77777777" w:rsidTr="007924BE">
        <w:trPr>
          <w:jc w:val="center"/>
        </w:trPr>
        <w:tc>
          <w:tcPr>
            <w:tcW w:w="4876" w:type="dxa"/>
            <w:hideMark/>
          </w:tcPr>
          <w:p w14:paraId="5FCA6C21" w14:textId="77777777" w:rsidR="00BF7ACA" w:rsidRPr="00B915F8" w:rsidRDefault="00BF7ACA" w:rsidP="007924BE">
            <w:pPr>
              <w:pStyle w:val="ColumnHeading"/>
              <w:keepNext/>
            </w:pPr>
            <w:r w:rsidRPr="00B915F8">
              <w:t>Texte proposé par la Commission</w:t>
            </w:r>
          </w:p>
        </w:tc>
        <w:tc>
          <w:tcPr>
            <w:tcW w:w="4876" w:type="dxa"/>
            <w:hideMark/>
          </w:tcPr>
          <w:p w14:paraId="73A316F6" w14:textId="77777777" w:rsidR="00BF7ACA" w:rsidRPr="00B915F8" w:rsidRDefault="00BF7ACA" w:rsidP="007924BE">
            <w:pPr>
              <w:pStyle w:val="ColumnHeading"/>
              <w:keepNext/>
            </w:pPr>
            <w:r w:rsidRPr="00B915F8">
              <w:t>Amendement</w:t>
            </w:r>
          </w:p>
        </w:tc>
      </w:tr>
      <w:tr w:rsidR="00BF7ACA" w:rsidRPr="00355860" w14:paraId="1FFDEF77" w14:textId="77777777" w:rsidTr="007924BE">
        <w:trPr>
          <w:jc w:val="center"/>
        </w:trPr>
        <w:tc>
          <w:tcPr>
            <w:tcW w:w="4876" w:type="dxa"/>
            <w:hideMark/>
          </w:tcPr>
          <w:p w14:paraId="7C58C43D" w14:textId="77777777" w:rsidR="00BF7ACA" w:rsidRPr="00DC274A" w:rsidRDefault="00BF7ACA" w:rsidP="007924BE">
            <w:pPr>
              <w:pStyle w:val="Normal6"/>
              <w:rPr>
                <w:b/>
                <w:i/>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 et de la BEI. La Commission peut inviter d’autres contributeurs à devenir membres du conseil stratégique eu égard, le cas échéant, à l’avis du conseil. Les pays partenaires</w:t>
            </w:r>
            <w:r w:rsidRPr="00DC274A">
              <w:rPr>
                <w:b/>
                <w:i/>
              </w:rPr>
              <w:t xml:space="preserve"> et</w:t>
            </w:r>
            <w:r w:rsidRPr="00DC274A">
              <w:t xml:space="preserve"> les organisations régionales concernées</w:t>
            </w:r>
            <w:r w:rsidRPr="00DC274A">
              <w:rPr>
                <w:b/>
                <w:i/>
              </w:rPr>
              <w:t>,</w:t>
            </w:r>
            <w:r w:rsidRPr="00DC274A">
              <w:t xml:space="preserve"> les contreparties éligibles</w:t>
            </w:r>
            <w:r w:rsidRPr="00DC274A">
              <w:rPr>
                <w:b/>
                <w:i/>
              </w:rPr>
              <w:t xml:space="preserve"> et le Parlement européen</w:t>
            </w:r>
            <w:r w:rsidRPr="00DC274A">
              <w:t xml:space="preserve"> peuvent se voir accorder le statut d’observateur, s’il y a lieu. Le conseil stratégique est coprésidé par la Commission et le haut représentant.</w:t>
            </w:r>
          </w:p>
        </w:tc>
        <w:tc>
          <w:tcPr>
            <w:tcW w:w="4876" w:type="dxa"/>
            <w:hideMark/>
          </w:tcPr>
          <w:p w14:paraId="746D4BB2" w14:textId="77777777" w:rsidR="00BF7ACA" w:rsidRPr="00DC274A" w:rsidRDefault="00BF7ACA" w:rsidP="007924BE">
            <w:pPr>
              <w:pStyle w:val="Normal6"/>
              <w:rPr>
                <w:b/>
                <w:i/>
                <w:szCs w:val="24"/>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w:t>
            </w:r>
            <w:r w:rsidRPr="00DC274A">
              <w:rPr>
                <w:b/>
                <w:i/>
              </w:rPr>
              <w:t xml:space="preserve"> contributeurs</w:t>
            </w:r>
            <w:r w:rsidRPr="00DC274A">
              <w:t xml:space="preserve"> et de la BEI. La Commission peut inviter d’autres contributeurs à devenir membres du conseil stratégique eu égard, le cas échéant, à l’avis du conseil.</w:t>
            </w:r>
            <w:r w:rsidRPr="00DC274A">
              <w:rPr>
                <w:b/>
                <w:i/>
              </w:rPr>
              <w:t xml:space="preserve"> Le Parlement européen dispose du statut d’observateur.</w:t>
            </w:r>
            <w:r w:rsidRPr="00DC274A">
              <w:t xml:space="preserve"> Les</w:t>
            </w:r>
            <w:r w:rsidRPr="00DC274A">
              <w:rPr>
                <w:b/>
                <w:i/>
              </w:rPr>
              <w:t xml:space="preserve"> observateurs qu’il désigne peuvent contribuer aux délibérations, sans droit de vote. Les</w:t>
            </w:r>
            <w:r w:rsidRPr="00DC274A">
              <w:t xml:space="preserve"> pays partenaires</w:t>
            </w:r>
            <w:r w:rsidRPr="00DC274A">
              <w:rPr>
                <w:b/>
                <w:i/>
              </w:rPr>
              <w:t>,</w:t>
            </w:r>
            <w:r w:rsidRPr="00DC274A">
              <w:t xml:space="preserve"> les organisations régionales concernées</w:t>
            </w:r>
            <w:r w:rsidRPr="00DC274A">
              <w:rPr>
                <w:b/>
                <w:i/>
              </w:rPr>
              <w:t xml:space="preserve"> et</w:t>
            </w:r>
            <w:r w:rsidRPr="00DC274A">
              <w:t xml:space="preserve"> les contreparties éligibles peuvent se voir accorder le statut d’observateur, s’il y a lieu. Le conseil stratégique est coprésidé par la Commission et le haut représentant.</w:t>
            </w:r>
          </w:p>
        </w:tc>
      </w:tr>
    </w:tbl>
    <w:p w14:paraId="6BD86F2F"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92E5ECD" w14:textId="77777777" w:rsidR="00BF7ACA" w:rsidRPr="00BF7ACA" w:rsidRDefault="00BF7ACA" w:rsidP="00BF7ACA">
      <w:r w:rsidRPr="00BF7ACA">
        <w:rPr>
          <w:rStyle w:val="HideTWBExt"/>
        </w:rPr>
        <w:t>&lt;/Amend&gt;</w:t>
      </w:r>
    </w:p>
    <w:p w14:paraId="667E8F2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220</w:t>
      </w:r>
      <w:r w:rsidRPr="00BF7ACA">
        <w:rPr>
          <w:rStyle w:val="HideTWBExt"/>
          <w:b w:val="0"/>
        </w:rPr>
        <w:t>&lt;/NumAm&gt;</w:t>
      </w:r>
    </w:p>
    <w:p w14:paraId="2045B04B" w14:textId="77777777"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Jozo Radoš, Hilde Vautmans, Ilhan Kyuchyuk, Nedzhmi Ali</w:t>
      </w:r>
      <w:r w:rsidRPr="00BF7ACA">
        <w:rPr>
          <w:rStyle w:val="HideTWBExt"/>
          <w:b w:val="0"/>
        </w:rPr>
        <w:t>&lt;/Members&gt;</w:t>
      </w:r>
    </w:p>
    <w:p w14:paraId="2C88F5C7" w14:textId="77777777" w:rsidR="00BF7ACA" w:rsidRPr="00355860" w:rsidRDefault="00BF7ACA" w:rsidP="00BF7ACA">
      <w:r>
        <w:rPr>
          <w:rStyle w:val="HideTWBExt"/>
        </w:rPr>
        <w:t>&lt;/RepeatBlock-By&gt;</w:t>
      </w:r>
    </w:p>
    <w:p w14:paraId="1D49A68A"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2D86CE68" w14:textId="77777777" w:rsidR="00BF7ACA" w:rsidRPr="00355860" w:rsidRDefault="00BF7ACA" w:rsidP="00BF7ACA">
      <w:pPr>
        <w:pStyle w:val="NormalBold"/>
      </w:pPr>
      <w:r>
        <w:rPr>
          <w:rStyle w:val="HideTWBExt"/>
          <w:b w:val="0"/>
        </w:rPr>
        <w:t>&lt;Article&gt;</w:t>
      </w:r>
      <w:r w:rsidRPr="00B915F8">
        <w:t>Article 5 – paragraphe 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20AA9B6C" w14:textId="77777777" w:rsidTr="007924BE">
        <w:trPr>
          <w:jc w:val="center"/>
        </w:trPr>
        <w:tc>
          <w:tcPr>
            <w:tcW w:w="9752" w:type="dxa"/>
            <w:gridSpan w:val="2"/>
          </w:tcPr>
          <w:p w14:paraId="27A93031" w14:textId="77777777" w:rsidR="00BF7ACA" w:rsidRPr="00355860" w:rsidRDefault="00BF7ACA" w:rsidP="007924BE">
            <w:pPr>
              <w:keepNext/>
            </w:pPr>
          </w:p>
        </w:tc>
      </w:tr>
      <w:tr w:rsidR="00BF7ACA" w:rsidRPr="00355860" w14:paraId="203882FA" w14:textId="77777777" w:rsidTr="007924BE">
        <w:trPr>
          <w:jc w:val="center"/>
        </w:trPr>
        <w:tc>
          <w:tcPr>
            <w:tcW w:w="4876" w:type="dxa"/>
            <w:hideMark/>
          </w:tcPr>
          <w:p w14:paraId="4C194CFC" w14:textId="77777777" w:rsidR="00BF7ACA" w:rsidRPr="00B915F8" w:rsidRDefault="00BF7ACA" w:rsidP="007924BE">
            <w:pPr>
              <w:pStyle w:val="ColumnHeading"/>
              <w:keepNext/>
            </w:pPr>
            <w:r w:rsidRPr="00B915F8">
              <w:t>Texte proposé par la Commission</w:t>
            </w:r>
          </w:p>
        </w:tc>
        <w:tc>
          <w:tcPr>
            <w:tcW w:w="4876" w:type="dxa"/>
            <w:hideMark/>
          </w:tcPr>
          <w:p w14:paraId="01AB35B8" w14:textId="77777777" w:rsidR="00BF7ACA" w:rsidRPr="00B915F8" w:rsidRDefault="00BF7ACA" w:rsidP="007924BE">
            <w:pPr>
              <w:pStyle w:val="ColumnHeading"/>
              <w:keepNext/>
            </w:pPr>
            <w:r w:rsidRPr="00B915F8">
              <w:t>Amendement</w:t>
            </w:r>
          </w:p>
        </w:tc>
      </w:tr>
      <w:tr w:rsidR="00BF7ACA" w:rsidRPr="00355860" w14:paraId="45BE3CBD" w14:textId="77777777" w:rsidTr="007924BE">
        <w:trPr>
          <w:jc w:val="center"/>
        </w:trPr>
        <w:tc>
          <w:tcPr>
            <w:tcW w:w="4876" w:type="dxa"/>
          </w:tcPr>
          <w:p w14:paraId="33056DF7" w14:textId="77777777" w:rsidR="00BF7ACA" w:rsidRPr="00B915F8" w:rsidRDefault="00BF7ACA" w:rsidP="007924BE">
            <w:pPr>
              <w:pStyle w:val="Normal6"/>
            </w:pPr>
          </w:p>
        </w:tc>
        <w:tc>
          <w:tcPr>
            <w:tcW w:w="4876" w:type="dxa"/>
            <w:hideMark/>
          </w:tcPr>
          <w:p w14:paraId="72586F99" w14:textId="77777777" w:rsidR="00BF7ACA" w:rsidRPr="00DC274A" w:rsidRDefault="00BF7ACA" w:rsidP="007924BE">
            <w:pPr>
              <w:pStyle w:val="Normal6"/>
              <w:rPr>
                <w:b/>
                <w:i/>
                <w:szCs w:val="24"/>
              </w:rPr>
            </w:pPr>
            <w:r w:rsidRPr="00DC274A">
              <w:rPr>
                <w:b/>
                <w:i/>
              </w:rPr>
              <w:t>2 bis.</w:t>
            </w:r>
            <w:r w:rsidRPr="00DC274A">
              <w:rPr>
                <w:b/>
                <w:i/>
              </w:rPr>
              <w:tab/>
              <w:t>Le conseil stratégique publie le procès-verbal de ses réunions dès qu’il l’a approuvé.</w:t>
            </w:r>
          </w:p>
        </w:tc>
      </w:tr>
    </w:tbl>
    <w:p w14:paraId="2E2CF7C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E295978" w14:textId="77777777" w:rsidR="00BF7ACA" w:rsidRPr="00BF7ACA" w:rsidRDefault="00BF7ACA" w:rsidP="00BF7ACA">
      <w:r w:rsidRPr="00BF7ACA">
        <w:rPr>
          <w:rStyle w:val="HideTWBExt"/>
        </w:rPr>
        <w:t>&lt;/Amend&gt;</w:t>
      </w:r>
    </w:p>
    <w:p w14:paraId="1DADB845"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221</w:t>
      </w:r>
      <w:r w:rsidRPr="00BF7ACA">
        <w:rPr>
          <w:rStyle w:val="HideTWBExt"/>
          <w:b w:val="0"/>
        </w:rPr>
        <w:t>&lt;/NumAm&gt;</w:t>
      </w:r>
    </w:p>
    <w:p w14:paraId="2C82E8EA"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Paavo Väyrynen, Nedzhmi Ali</w:t>
      </w:r>
      <w:r w:rsidRPr="00BF7ACA">
        <w:rPr>
          <w:rStyle w:val="HideTWBExt"/>
          <w:b w:val="0"/>
        </w:rPr>
        <w:t>&lt;/Members&gt;</w:t>
      </w:r>
    </w:p>
    <w:p w14:paraId="352E152D" w14:textId="77777777" w:rsidR="00BF7ACA" w:rsidRPr="00355860" w:rsidRDefault="00BF7ACA" w:rsidP="00BF7ACA">
      <w:r>
        <w:rPr>
          <w:rStyle w:val="HideTWBExt"/>
        </w:rPr>
        <w:t>&lt;/RepeatBlock-By&gt;</w:t>
      </w:r>
    </w:p>
    <w:p w14:paraId="43EF33B8"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4A9FE18D" w14:textId="77777777" w:rsidR="00BF7ACA" w:rsidRPr="00355860" w:rsidRDefault="00BF7ACA" w:rsidP="00BF7ACA">
      <w:pPr>
        <w:pStyle w:val="NormalBold"/>
      </w:pPr>
      <w:r>
        <w:rPr>
          <w:rStyle w:val="HideTWBExt"/>
          <w:b w:val="0"/>
        </w:rPr>
        <w:t>&lt;Article&gt;</w:t>
      </w:r>
      <w:r w:rsidRPr="00B915F8">
        <w:t>Article 5 – paragraphe 2 ter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0053FABD" w14:textId="77777777" w:rsidTr="007924BE">
        <w:trPr>
          <w:jc w:val="center"/>
        </w:trPr>
        <w:tc>
          <w:tcPr>
            <w:tcW w:w="9752" w:type="dxa"/>
            <w:gridSpan w:val="2"/>
          </w:tcPr>
          <w:p w14:paraId="729CB18A" w14:textId="77777777" w:rsidR="00BF7ACA" w:rsidRPr="00355860" w:rsidRDefault="00BF7ACA" w:rsidP="007924BE">
            <w:pPr>
              <w:keepNext/>
            </w:pPr>
          </w:p>
        </w:tc>
      </w:tr>
      <w:tr w:rsidR="00BF7ACA" w:rsidRPr="00355860" w14:paraId="77F24AEE" w14:textId="77777777" w:rsidTr="007924BE">
        <w:trPr>
          <w:jc w:val="center"/>
        </w:trPr>
        <w:tc>
          <w:tcPr>
            <w:tcW w:w="4876" w:type="dxa"/>
            <w:hideMark/>
          </w:tcPr>
          <w:p w14:paraId="30C6E506" w14:textId="77777777" w:rsidR="00BF7ACA" w:rsidRPr="00B915F8" w:rsidRDefault="00BF7ACA" w:rsidP="007924BE">
            <w:pPr>
              <w:pStyle w:val="ColumnHeading"/>
              <w:keepNext/>
            </w:pPr>
            <w:r w:rsidRPr="00B915F8">
              <w:t>Texte proposé par la Commission</w:t>
            </w:r>
          </w:p>
        </w:tc>
        <w:tc>
          <w:tcPr>
            <w:tcW w:w="4876" w:type="dxa"/>
            <w:hideMark/>
          </w:tcPr>
          <w:p w14:paraId="594CF225" w14:textId="77777777" w:rsidR="00BF7ACA" w:rsidRPr="00B915F8" w:rsidRDefault="00BF7ACA" w:rsidP="007924BE">
            <w:pPr>
              <w:pStyle w:val="ColumnHeading"/>
              <w:keepNext/>
            </w:pPr>
            <w:r w:rsidRPr="00B915F8">
              <w:t>Amendement</w:t>
            </w:r>
          </w:p>
        </w:tc>
      </w:tr>
      <w:tr w:rsidR="00BF7ACA" w:rsidRPr="00355860" w14:paraId="74E6DC3E" w14:textId="77777777" w:rsidTr="007924BE">
        <w:trPr>
          <w:jc w:val="center"/>
        </w:trPr>
        <w:tc>
          <w:tcPr>
            <w:tcW w:w="4876" w:type="dxa"/>
          </w:tcPr>
          <w:p w14:paraId="25319655" w14:textId="77777777" w:rsidR="00BF7ACA" w:rsidRPr="00B915F8" w:rsidRDefault="00BF7ACA" w:rsidP="007924BE">
            <w:pPr>
              <w:pStyle w:val="Normal6"/>
            </w:pPr>
          </w:p>
        </w:tc>
        <w:tc>
          <w:tcPr>
            <w:tcW w:w="4876" w:type="dxa"/>
            <w:hideMark/>
          </w:tcPr>
          <w:p w14:paraId="7A60F6BE" w14:textId="77777777" w:rsidR="00BF7ACA" w:rsidRPr="00DC274A" w:rsidRDefault="00BF7ACA" w:rsidP="007924BE">
            <w:pPr>
              <w:pStyle w:val="Normal6"/>
              <w:rPr>
                <w:b/>
                <w:i/>
                <w:szCs w:val="24"/>
              </w:rPr>
            </w:pPr>
            <w:r w:rsidRPr="00DC274A">
              <w:rPr>
                <w:b/>
                <w:i/>
              </w:rPr>
              <w:t>2 ter.</w:t>
            </w:r>
            <w:r w:rsidRPr="00DC274A">
              <w:rPr>
                <w:b/>
                <w:i/>
              </w:rPr>
              <w:tab/>
              <w:t>Le conseil stratégique organise des consultations annuelles des parties prenantes concernées sur l’orientation et la mise en œuvre du FEDD et sur son effet sur l’éradication de la pauvreté et la réduction des inégalités. Ces consultations s’effectuent au sein d’un conseil consultatif de la société civile, qui garantit la bonne application et le respect des normes environnementales et sociales et des normes en matière de droits de l’homme.</w:t>
            </w:r>
          </w:p>
        </w:tc>
      </w:tr>
    </w:tbl>
    <w:p w14:paraId="579C353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EB2D1E8" w14:textId="77777777" w:rsidR="00BF7ACA" w:rsidRPr="00BF7ACA" w:rsidRDefault="00BF7ACA" w:rsidP="00BF7ACA">
      <w:r w:rsidRPr="00BF7ACA">
        <w:rPr>
          <w:rStyle w:val="HideTWBExt"/>
        </w:rPr>
        <w:t>&lt;/Amend&gt;</w:t>
      </w:r>
    </w:p>
    <w:p w14:paraId="218C09EE"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222</w:t>
      </w:r>
      <w:r w:rsidRPr="00BF7ACA">
        <w:rPr>
          <w:rStyle w:val="HideTWBExt"/>
          <w:b w:val="0"/>
        </w:rPr>
        <w:t>&lt;/NumAm&gt;</w:t>
      </w:r>
    </w:p>
    <w:p w14:paraId="1465B945" w14:textId="77777777"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14:paraId="1D813C53" w14:textId="77777777" w:rsidR="00BF7ACA" w:rsidRPr="00355860" w:rsidRDefault="00BF7ACA" w:rsidP="00BF7ACA">
      <w:r>
        <w:rPr>
          <w:rStyle w:val="HideTWBExt"/>
        </w:rPr>
        <w:t>&lt;/RepeatBlock-By&gt;</w:t>
      </w:r>
    </w:p>
    <w:p w14:paraId="01F3EEBC"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061A46B7" w14:textId="77777777" w:rsidR="00BF7ACA" w:rsidRPr="00355860" w:rsidRDefault="00BF7ACA" w:rsidP="00BF7ACA">
      <w:pPr>
        <w:pStyle w:val="NormalBold"/>
      </w:pPr>
      <w:r>
        <w:rPr>
          <w:rStyle w:val="HideTWBExt"/>
          <w:b w:val="0"/>
        </w:rPr>
        <w:t>&lt;Article&gt;</w:t>
      </w:r>
      <w:r w:rsidRPr="00B915F8">
        <w:t>Article 5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5946064E" w14:textId="77777777" w:rsidTr="007924BE">
        <w:trPr>
          <w:jc w:val="center"/>
        </w:trPr>
        <w:tc>
          <w:tcPr>
            <w:tcW w:w="9752" w:type="dxa"/>
            <w:gridSpan w:val="2"/>
          </w:tcPr>
          <w:p w14:paraId="39179899" w14:textId="77777777" w:rsidR="00BF7ACA" w:rsidRPr="00355860" w:rsidRDefault="00BF7ACA" w:rsidP="007924BE">
            <w:pPr>
              <w:keepNext/>
            </w:pPr>
          </w:p>
        </w:tc>
      </w:tr>
      <w:tr w:rsidR="00BF7ACA" w:rsidRPr="00355860" w14:paraId="0FC479B5" w14:textId="77777777" w:rsidTr="007924BE">
        <w:trPr>
          <w:jc w:val="center"/>
        </w:trPr>
        <w:tc>
          <w:tcPr>
            <w:tcW w:w="4876" w:type="dxa"/>
            <w:hideMark/>
          </w:tcPr>
          <w:p w14:paraId="6E6CBBFE" w14:textId="77777777" w:rsidR="00BF7ACA" w:rsidRPr="00B915F8" w:rsidRDefault="00BF7ACA" w:rsidP="007924BE">
            <w:pPr>
              <w:pStyle w:val="ColumnHeading"/>
              <w:keepNext/>
            </w:pPr>
            <w:r w:rsidRPr="00B915F8">
              <w:t>Texte proposé par la Commission</w:t>
            </w:r>
          </w:p>
        </w:tc>
        <w:tc>
          <w:tcPr>
            <w:tcW w:w="4876" w:type="dxa"/>
            <w:hideMark/>
          </w:tcPr>
          <w:p w14:paraId="5C75016C" w14:textId="77777777" w:rsidR="00BF7ACA" w:rsidRPr="00B915F8" w:rsidRDefault="00BF7ACA" w:rsidP="007924BE">
            <w:pPr>
              <w:pStyle w:val="ColumnHeading"/>
              <w:keepNext/>
            </w:pPr>
            <w:r w:rsidRPr="00B915F8">
              <w:t>Amendement</w:t>
            </w:r>
          </w:p>
        </w:tc>
      </w:tr>
      <w:tr w:rsidR="00BF7ACA" w:rsidRPr="00355860" w14:paraId="7A85272B" w14:textId="77777777" w:rsidTr="007924BE">
        <w:trPr>
          <w:jc w:val="center"/>
        </w:trPr>
        <w:tc>
          <w:tcPr>
            <w:tcW w:w="4876" w:type="dxa"/>
          </w:tcPr>
          <w:p w14:paraId="7F7DD6B0" w14:textId="77777777" w:rsidR="00BF7ACA" w:rsidRPr="00B915F8" w:rsidRDefault="00BF7ACA" w:rsidP="007924BE">
            <w:pPr>
              <w:pStyle w:val="Normal6"/>
            </w:pPr>
          </w:p>
        </w:tc>
        <w:tc>
          <w:tcPr>
            <w:tcW w:w="4876" w:type="dxa"/>
            <w:hideMark/>
          </w:tcPr>
          <w:p w14:paraId="19A21826" w14:textId="77777777" w:rsidR="00BF7ACA" w:rsidRPr="00DC274A" w:rsidRDefault="00BF7ACA" w:rsidP="007924BE">
            <w:pPr>
              <w:pStyle w:val="Normal6"/>
              <w:jc w:val="center"/>
              <w:rPr>
                <w:b/>
                <w:i/>
                <w:szCs w:val="24"/>
              </w:rPr>
            </w:pPr>
            <w:r w:rsidRPr="00DC274A">
              <w:rPr>
                <w:b/>
                <w:i/>
              </w:rPr>
              <w:t>Article 5 bis</w:t>
            </w:r>
          </w:p>
        </w:tc>
      </w:tr>
      <w:tr w:rsidR="00BF7ACA" w:rsidRPr="00355860" w14:paraId="6F5E2883" w14:textId="77777777" w:rsidTr="007924BE">
        <w:trPr>
          <w:jc w:val="center"/>
        </w:trPr>
        <w:tc>
          <w:tcPr>
            <w:tcW w:w="4876" w:type="dxa"/>
          </w:tcPr>
          <w:p w14:paraId="613C93C1" w14:textId="77777777" w:rsidR="00BF7ACA" w:rsidRPr="00B915F8" w:rsidRDefault="00BF7ACA" w:rsidP="007924BE">
            <w:pPr>
              <w:pStyle w:val="Normal6"/>
            </w:pPr>
          </w:p>
        </w:tc>
        <w:tc>
          <w:tcPr>
            <w:tcW w:w="4876" w:type="dxa"/>
            <w:hideMark/>
          </w:tcPr>
          <w:p w14:paraId="6BFD4C1F" w14:textId="77777777" w:rsidR="00BF7ACA" w:rsidRPr="00DC274A" w:rsidRDefault="00BF7ACA" w:rsidP="007924BE">
            <w:pPr>
              <w:pStyle w:val="Normal6"/>
              <w:jc w:val="center"/>
              <w:rPr>
                <w:b/>
                <w:i/>
                <w:szCs w:val="24"/>
              </w:rPr>
            </w:pPr>
            <w:r w:rsidRPr="00DC274A">
              <w:rPr>
                <w:b/>
                <w:i/>
              </w:rPr>
              <w:t>Conseils opérationnels régionaux</w:t>
            </w:r>
          </w:p>
        </w:tc>
      </w:tr>
      <w:tr w:rsidR="00BF7ACA" w:rsidRPr="00355860" w14:paraId="4189DB0E" w14:textId="77777777" w:rsidTr="007924BE">
        <w:trPr>
          <w:jc w:val="center"/>
        </w:trPr>
        <w:tc>
          <w:tcPr>
            <w:tcW w:w="4876" w:type="dxa"/>
          </w:tcPr>
          <w:p w14:paraId="0A450F1F" w14:textId="77777777" w:rsidR="00BF7ACA" w:rsidRPr="00B915F8" w:rsidRDefault="00BF7ACA" w:rsidP="007924BE">
            <w:pPr>
              <w:pStyle w:val="Normal6"/>
            </w:pPr>
          </w:p>
        </w:tc>
        <w:tc>
          <w:tcPr>
            <w:tcW w:w="4876" w:type="dxa"/>
            <w:hideMark/>
          </w:tcPr>
          <w:p w14:paraId="1661D089" w14:textId="77777777" w:rsidR="00BF7ACA" w:rsidRPr="00DC274A" w:rsidRDefault="00BF7ACA" w:rsidP="007924BE">
            <w:pPr>
              <w:pStyle w:val="Normal6"/>
              <w:rPr>
                <w:b/>
                <w:i/>
                <w:szCs w:val="24"/>
              </w:rPr>
            </w:pPr>
            <w:r w:rsidRPr="00DC274A">
              <w:rPr>
                <w:b/>
                <w:i/>
              </w:rPr>
              <w:t>1.</w:t>
            </w:r>
            <w:r w:rsidRPr="00DC274A">
              <w:rPr>
                <w:b/>
                <w:i/>
              </w:rPr>
              <w:tab/>
              <w:t>Chaque plateforme régionale d’investissement est dotée d’un conseil opérationnel.</w:t>
            </w:r>
          </w:p>
        </w:tc>
      </w:tr>
      <w:tr w:rsidR="00BF7ACA" w:rsidRPr="00355860" w14:paraId="757A869D" w14:textId="77777777" w:rsidTr="007924BE">
        <w:trPr>
          <w:jc w:val="center"/>
        </w:trPr>
        <w:tc>
          <w:tcPr>
            <w:tcW w:w="4876" w:type="dxa"/>
          </w:tcPr>
          <w:p w14:paraId="60A58645" w14:textId="77777777" w:rsidR="00BF7ACA" w:rsidRPr="00B915F8" w:rsidRDefault="00BF7ACA" w:rsidP="007924BE">
            <w:pPr>
              <w:pStyle w:val="Normal6"/>
            </w:pPr>
          </w:p>
        </w:tc>
        <w:tc>
          <w:tcPr>
            <w:tcW w:w="4876" w:type="dxa"/>
            <w:hideMark/>
          </w:tcPr>
          <w:p w14:paraId="491CEB45" w14:textId="77777777" w:rsidR="00BF7ACA" w:rsidRPr="00DC274A" w:rsidRDefault="00BF7ACA" w:rsidP="007924BE">
            <w:pPr>
              <w:pStyle w:val="Normal6"/>
              <w:rPr>
                <w:b/>
                <w:i/>
                <w:szCs w:val="24"/>
              </w:rPr>
            </w:pPr>
            <w:r w:rsidRPr="00DC274A">
              <w:rPr>
                <w:b/>
                <w:i/>
              </w:rPr>
              <w:t>2.</w:t>
            </w:r>
            <w:r w:rsidRPr="00DC274A">
              <w:rPr>
                <w:b/>
                <w:i/>
              </w:rPr>
              <w:tab/>
              <w:t>Ces conseils opérationnels aident la Commission à définir les objectifs d’investissement aux niveaux régional et sectoriel ainsi que les volets d’investissement aux niveaux régional, sectoriel et thématique, et formule des avis sur les opérations de financement mixte et sur le recours à la garantie FEDD. Ils communiquent des orientations sur les futures propositions de financement, assurent le suivi et l’examen de la réserve de projets, analysent les résultats des projets et assurent le suivi du portefeuille de projets approuvés.</w:t>
            </w:r>
          </w:p>
        </w:tc>
      </w:tr>
      <w:tr w:rsidR="00BF7ACA" w:rsidRPr="00355860" w14:paraId="454631CE" w14:textId="77777777" w:rsidTr="007924BE">
        <w:trPr>
          <w:jc w:val="center"/>
        </w:trPr>
        <w:tc>
          <w:tcPr>
            <w:tcW w:w="4876" w:type="dxa"/>
          </w:tcPr>
          <w:p w14:paraId="788B18FD" w14:textId="77777777" w:rsidR="00BF7ACA" w:rsidRPr="00B915F8" w:rsidRDefault="00BF7ACA" w:rsidP="007924BE">
            <w:pPr>
              <w:pStyle w:val="Normal6"/>
            </w:pPr>
          </w:p>
        </w:tc>
        <w:tc>
          <w:tcPr>
            <w:tcW w:w="4876" w:type="dxa"/>
            <w:hideMark/>
          </w:tcPr>
          <w:p w14:paraId="0B4A87BE" w14:textId="77777777" w:rsidR="00BF7ACA" w:rsidRPr="00DC274A" w:rsidRDefault="00BF7ACA" w:rsidP="007924BE">
            <w:pPr>
              <w:pStyle w:val="Normal6"/>
              <w:rPr>
                <w:b/>
                <w:i/>
                <w:szCs w:val="24"/>
              </w:rPr>
            </w:pPr>
            <w:r w:rsidRPr="00DC274A">
              <w:rPr>
                <w:b/>
                <w:i/>
              </w:rPr>
              <w:t>3.</w:t>
            </w:r>
            <w:r w:rsidRPr="00DC274A">
              <w:rPr>
                <w:b/>
                <w:i/>
              </w:rPr>
              <w:tab/>
              <w:t>Les conseils opérationnels sont présidés par la Commission et sont composés de représentants de la Commission, du haut représentant et des États membres, comme membres disposant du droit de vote, et, le cas échéant, des contreparties éligibles ayant le statut d’observateurs. Le Parlement européen se voit octroyer le statut d’observateur.</w:t>
            </w:r>
          </w:p>
        </w:tc>
      </w:tr>
      <w:tr w:rsidR="00BF7ACA" w:rsidRPr="00355860" w14:paraId="4FC081B0" w14:textId="77777777" w:rsidTr="007924BE">
        <w:trPr>
          <w:jc w:val="center"/>
        </w:trPr>
        <w:tc>
          <w:tcPr>
            <w:tcW w:w="4876" w:type="dxa"/>
          </w:tcPr>
          <w:p w14:paraId="30F18500" w14:textId="77777777" w:rsidR="00BF7ACA" w:rsidRPr="00B915F8" w:rsidRDefault="00BF7ACA" w:rsidP="007924BE">
            <w:pPr>
              <w:pStyle w:val="Normal6"/>
            </w:pPr>
          </w:p>
        </w:tc>
        <w:tc>
          <w:tcPr>
            <w:tcW w:w="4876" w:type="dxa"/>
            <w:hideMark/>
          </w:tcPr>
          <w:p w14:paraId="3C8830AF" w14:textId="77777777" w:rsidR="00BF7ACA" w:rsidRPr="00DC274A" w:rsidRDefault="00BF7ACA" w:rsidP="007924BE">
            <w:pPr>
              <w:pStyle w:val="Normal6"/>
              <w:rPr>
                <w:b/>
                <w:i/>
                <w:szCs w:val="24"/>
              </w:rPr>
            </w:pPr>
            <w:r w:rsidRPr="00DC274A">
              <w:rPr>
                <w:b/>
                <w:i/>
              </w:rPr>
              <w:t>4.</w:t>
            </w:r>
            <w:r w:rsidRPr="00DC274A">
              <w:rPr>
                <w:b/>
                <w:i/>
              </w:rPr>
              <w:tab/>
              <w:t>La Commission et le haut représentant de l’Union pour les affaires étrangères et la politique de sécurité veillent à la participation active des délégations de l’Union européenne et des contreparties éligibles à la préparation des travaux des conseils opérationnels.</w:t>
            </w:r>
          </w:p>
        </w:tc>
      </w:tr>
    </w:tbl>
    <w:p w14:paraId="273C2E28"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AC3799D" w14:textId="77777777" w:rsidR="00BF7ACA" w:rsidRPr="00BF7ACA" w:rsidRDefault="00BF7ACA" w:rsidP="00BF7ACA">
      <w:r w:rsidRPr="00BF7ACA">
        <w:rPr>
          <w:rStyle w:val="HideTWBExt"/>
        </w:rPr>
        <w:t>&lt;/Amend&gt;</w:t>
      </w:r>
    </w:p>
    <w:p w14:paraId="07C4C9E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223</w:t>
      </w:r>
      <w:r w:rsidRPr="00BF7ACA">
        <w:rPr>
          <w:rStyle w:val="HideTWBExt"/>
          <w:b w:val="0"/>
        </w:rPr>
        <w:t>&lt;/NumAm&gt;</w:t>
      </w:r>
    </w:p>
    <w:p w14:paraId="2381CA21"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45342476" w14:textId="77777777" w:rsidR="00BF7ACA" w:rsidRPr="00355860" w:rsidRDefault="00BF7ACA" w:rsidP="00BF7ACA">
      <w:r>
        <w:rPr>
          <w:rStyle w:val="HideTWBExt"/>
        </w:rPr>
        <w:t>&lt;/RepeatBlock-By&gt;</w:t>
      </w:r>
    </w:p>
    <w:p w14:paraId="7C679FDA"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2E6C57FF" w14:textId="77777777" w:rsidR="00BF7ACA" w:rsidRPr="00355860" w:rsidRDefault="00BF7ACA" w:rsidP="00BF7ACA">
      <w:pPr>
        <w:pStyle w:val="NormalBold"/>
      </w:pPr>
      <w:r>
        <w:rPr>
          <w:rStyle w:val="HideTWBExt"/>
          <w:b w:val="0"/>
        </w:rPr>
        <w:t>&lt;Article&gt;</w:t>
      </w:r>
      <w:r w:rsidRPr="00B915F8">
        <w:t>Article 5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6654DBA6" w14:textId="77777777" w:rsidTr="007924BE">
        <w:trPr>
          <w:jc w:val="center"/>
        </w:trPr>
        <w:tc>
          <w:tcPr>
            <w:tcW w:w="9752" w:type="dxa"/>
            <w:gridSpan w:val="2"/>
          </w:tcPr>
          <w:p w14:paraId="0D789766" w14:textId="77777777" w:rsidR="00BF7ACA" w:rsidRPr="00355860" w:rsidRDefault="00BF7ACA" w:rsidP="007924BE">
            <w:pPr>
              <w:keepNext/>
            </w:pPr>
          </w:p>
        </w:tc>
      </w:tr>
      <w:tr w:rsidR="00BF7ACA" w:rsidRPr="00355860" w14:paraId="58B4EC68" w14:textId="77777777" w:rsidTr="007924BE">
        <w:trPr>
          <w:jc w:val="center"/>
        </w:trPr>
        <w:tc>
          <w:tcPr>
            <w:tcW w:w="4876" w:type="dxa"/>
            <w:hideMark/>
          </w:tcPr>
          <w:p w14:paraId="607B66F7" w14:textId="77777777" w:rsidR="00BF7ACA" w:rsidRPr="00B915F8" w:rsidRDefault="00BF7ACA" w:rsidP="007924BE">
            <w:pPr>
              <w:pStyle w:val="ColumnHeading"/>
              <w:keepNext/>
            </w:pPr>
            <w:r w:rsidRPr="00B915F8">
              <w:t>Texte proposé par la Commission</w:t>
            </w:r>
          </w:p>
        </w:tc>
        <w:tc>
          <w:tcPr>
            <w:tcW w:w="4876" w:type="dxa"/>
            <w:hideMark/>
          </w:tcPr>
          <w:p w14:paraId="7929EEA3" w14:textId="77777777" w:rsidR="00BF7ACA" w:rsidRPr="00B915F8" w:rsidRDefault="00BF7ACA" w:rsidP="007924BE">
            <w:pPr>
              <w:pStyle w:val="ColumnHeading"/>
              <w:keepNext/>
            </w:pPr>
            <w:r w:rsidRPr="00B915F8">
              <w:t>Amendement</w:t>
            </w:r>
          </w:p>
        </w:tc>
      </w:tr>
      <w:tr w:rsidR="00BF7ACA" w:rsidRPr="00355860" w14:paraId="529E46E9" w14:textId="77777777" w:rsidTr="007924BE">
        <w:trPr>
          <w:jc w:val="center"/>
        </w:trPr>
        <w:tc>
          <w:tcPr>
            <w:tcW w:w="4876" w:type="dxa"/>
          </w:tcPr>
          <w:p w14:paraId="2FDE421A" w14:textId="77777777" w:rsidR="00BF7ACA" w:rsidRPr="00B915F8" w:rsidRDefault="00BF7ACA" w:rsidP="007924BE">
            <w:pPr>
              <w:pStyle w:val="Normal6"/>
            </w:pPr>
          </w:p>
        </w:tc>
        <w:tc>
          <w:tcPr>
            <w:tcW w:w="4876" w:type="dxa"/>
            <w:hideMark/>
          </w:tcPr>
          <w:p w14:paraId="7C9A9DA2" w14:textId="77777777" w:rsidR="00BF7ACA" w:rsidRPr="00DC274A" w:rsidRDefault="00BF7ACA" w:rsidP="007924BE">
            <w:pPr>
              <w:pStyle w:val="Normal6"/>
              <w:jc w:val="center"/>
              <w:rPr>
                <w:b/>
                <w:i/>
                <w:szCs w:val="24"/>
              </w:rPr>
            </w:pPr>
            <w:r w:rsidRPr="00DC274A">
              <w:rPr>
                <w:b/>
                <w:i/>
              </w:rPr>
              <w:t>Article 5 bis</w:t>
            </w:r>
          </w:p>
        </w:tc>
      </w:tr>
      <w:tr w:rsidR="00BF7ACA" w:rsidRPr="00355860" w14:paraId="2141ED07" w14:textId="77777777" w:rsidTr="007924BE">
        <w:trPr>
          <w:jc w:val="center"/>
        </w:trPr>
        <w:tc>
          <w:tcPr>
            <w:tcW w:w="4876" w:type="dxa"/>
          </w:tcPr>
          <w:p w14:paraId="1D134A9D" w14:textId="77777777" w:rsidR="00BF7ACA" w:rsidRPr="00B915F8" w:rsidRDefault="00BF7ACA" w:rsidP="007924BE">
            <w:pPr>
              <w:pStyle w:val="Normal6"/>
            </w:pPr>
          </w:p>
        </w:tc>
        <w:tc>
          <w:tcPr>
            <w:tcW w:w="4876" w:type="dxa"/>
            <w:hideMark/>
          </w:tcPr>
          <w:p w14:paraId="08222714" w14:textId="77777777" w:rsidR="00BF7ACA" w:rsidRPr="00DC274A" w:rsidRDefault="00BF7ACA" w:rsidP="007924BE">
            <w:pPr>
              <w:pStyle w:val="Normal6"/>
              <w:jc w:val="center"/>
              <w:rPr>
                <w:b/>
                <w:i/>
                <w:szCs w:val="24"/>
              </w:rPr>
            </w:pPr>
            <w:r w:rsidRPr="00DC274A">
              <w:rPr>
                <w:b/>
                <w:i/>
              </w:rPr>
              <w:t>Plateformes de conseil pour le voisinage de l’Union et l’Afrique</w:t>
            </w:r>
          </w:p>
        </w:tc>
      </w:tr>
      <w:tr w:rsidR="00BF7ACA" w:rsidRPr="00355860" w14:paraId="3E1CE9C0" w14:textId="77777777" w:rsidTr="007924BE">
        <w:trPr>
          <w:jc w:val="center"/>
        </w:trPr>
        <w:tc>
          <w:tcPr>
            <w:tcW w:w="4876" w:type="dxa"/>
          </w:tcPr>
          <w:p w14:paraId="792EF94F" w14:textId="77777777" w:rsidR="00BF7ACA" w:rsidRPr="00B915F8" w:rsidRDefault="00BF7ACA" w:rsidP="007924BE">
            <w:pPr>
              <w:pStyle w:val="Normal6"/>
            </w:pPr>
          </w:p>
        </w:tc>
        <w:tc>
          <w:tcPr>
            <w:tcW w:w="4876" w:type="dxa"/>
            <w:hideMark/>
          </w:tcPr>
          <w:p w14:paraId="1A1F4EC0" w14:textId="77777777" w:rsidR="00BF7ACA" w:rsidRPr="00DC274A" w:rsidRDefault="00BF7ACA" w:rsidP="007924BE">
            <w:pPr>
              <w:pStyle w:val="Normal6"/>
              <w:rPr>
                <w:b/>
                <w:i/>
                <w:szCs w:val="24"/>
              </w:rPr>
            </w:pPr>
            <w:r w:rsidRPr="00DC274A">
              <w:rPr>
                <w:b/>
                <w:i/>
              </w:rPr>
              <w:t>1.</w:t>
            </w:r>
            <w:r w:rsidRPr="00DC274A">
              <w:rPr>
                <w:b/>
                <w:i/>
              </w:rPr>
              <w:tab/>
              <w:t>Les plateformes de conseil s’appuient sur les services de conseil existants afin de dispenser des conseils relatifs au renforcement des capacités pour l’identification, la préparation, le développement et le déroulement à long terme des projets. Elles sont des plateformes techniques pour les projets financés dans les pays du voisinage de l’Union et en Afrique. Leur soutien consiste notamment à apporter une aide ciblée en ce qui concerne l’utilisation de l’assistance technique aux fins de la structuration de projets et l’utilisation d’instruments financiers innovants, ainsi qu’à prodiguer des conseils, le cas échéant, sur les dispositions pertinentes du droit de l’Union, en tenant compte des spécificités et des besoins des pays partenaires.</w:t>
            </w:r>
          </w:p>
        </w:tc>
      </w:tr>
      <w:tr w:rsidR="00BF7ACA" w:rsidRPr="00355860" w14:paraId="22F77F97" w14:textId="77777777" w:rsidTr="007924BE">
        <w:trPr>
          <w:jc w:val="center"/>
        </w:trPr>
        <w:tc>
          <w:tcPr>
            <w:tcW w:w="4876" w:type="dxa"/>
          </w:tcPr>
          <w:p w14:paraId="764047F5" w14:textId="77777777" w:rsidR="00BF7ACA" w:rsidRPr="00B915F8" w:rsidRDefault="00BF7ACA" w:rsidP="007924BE">
            <w:pPr>
              <w:pStyle w:val="Normal6"/>
            </w:pPr>
          </w:p>
        </w:tc>
        <w:tc>
          <w:tcPr>
            <w:tcW w:w="4876" w:type="dxa"/>
            <w:hideMark/>
          </w:tcPr>
          <w:p w14:paraId="1B1580B6" w14:textId="77777777" w:rsidR="00BF7ACA" w:rsidRPr="00DC274A" w:rsidRDefault="00BF7ACA" w:rsidP="007924BE">
            <w:pPr>
              <w:pStyle w:val="Normal6"/>
              <w:rPr>
                <w:b/>
                <w:i/>
                <w:szCs w:val="24"/>
              </w:rPr>
            </w:pPr>
            <w:r w:rsidRPr="00DC274A">
              <w:rPr>
                <w:b/>
                <w:i/>
              </w:rPr>
              <w:t>2.</w:t>
            </w:r>
            <w:r w:rsidRPr="00DC274A">
              <w:rPr>
                <w:b/>
                <w:i/>
              </w:rPr>
              <w:tab/>
              <w:t>Les plateformes de conseil fournissent des services en complément de ceux déjà disponibles au titre d’autres programmes de l’Union, notamment:</w:t>
            </w:r>
          </w:p>
        </w:tc>
      </w:tr>
      <w:tr w:rsidR="00BF7ACA" w:rsidRPr="00355860" w14:paraId="3C226BCA" w14:textId="77777777" w:rsidTr="007924BE">
        <w:trPr>
          <w:jc w:val="center"/>
        </w:trPr>
        <w:tc>
          <w:tcPr>
            <w:tcW w:w="4876" w:type="dxa"/>
          </w:tcPr>
          <w:p w14:paraId="0BE6838C" w14:textId="77777777" w:rsidR="00BF7ACA" w:rsidRPr="00B915F8" w:rsidRDefault="00BF7ACA" w:rsidP="007924BE">
            <w:pPr>
              <w:pStyle w:val="Normal6"/>
            </w:pPr>
          </w:p>
        </w:tc>
        <w:tc>
          <w:tcPr>
            <w:tcW w:w="4876" w:type="dxa"/>
            <w:hideMark/>
          </w:tcPr>
          <w:p w14:paraId="25515479" w14:textId="77777777" w:rsidR="00BF7ACA" w:rsidRPr="00DC274A" w:rsidRDefault="00BF7ACA" w:rsidP="007924BE">
            <w:pPr>
              <w:pStyle w:val="Normal6"/>
              <w:rPr>
                <w:b/>
                <w:i/>
                <w:szCs w:val="24"/>
              </w:rPr>
            </w:pPr>
            <w:r w:rsidRPr="00DC274A">
              <w:rPr>
                <w:b/>
                <w:i/>
              </w:rPr>
              <w:t>(a)</w:t>
            </w:r>
            <w:r w:rsidRPr="00DC274A">
              <w:rPr>
                <w:b/>
                <w:i/>
              </w:rPr>
              <w:tab/>
              <w:t>la mise à disposition d’un guichet unique pour apporter une assistance technique aux autorités et aux promoteurs de projets;</w:t>
            </w:r>
          </w:p>
        </w:tc>
      </w:tr>
      <w:tr w:rsidR="00BF7ACA" w:rsidRPr="00355860" w14:paraId="6B3D7472" w14:textId="77777777" w:rsidTr="007924BE">
        <w:trPr>
          <w:jc w:val="center"/>
        </w:trPr>
        <w:tc>
          <w:tcPr>
            <w:tcW w:w="4876" w:type="dxa"/>
          </w:tcPr>
          <w:p w14:paraId="0F8E0951" w14:textId="77777777" w:rsidR="00BF7ACA" w:rsidRPr="00B915F8" w:rsidRDefault="00BF7ACA" w:rsidP="007924BE">
            <w:pPr>
              <w:pStyle w:val="Normal6"/>
            </w:pPr>
          </w:p>
        </w:tc>
        <w:tc>
          <w:tcPr>
            <w:tcW w:w="4876" w:type="dxa"/>
            <w:hideMark/>
          </w:tcPr>
          <w:p w14:paraId="57080F3D" w14:textId="77777777" w:rsidR="00BF7ACA" w:rsidRPr="00DC274A" w:rsidRDefault="00BF7ACA" w:rsidP="007924BE">
            <w:pPr>
              <w:pStyle w:val="Normal6"/>
              <w:rPr>
                <w:b/>
                <w:i/>
                <w:szCs w:val="24"/>
              </w:rPr>
            </w:pPr>
            <w:r w:rsidRPr="00DC274A">
              <w:rPr>
                <w:b/>
                <w:i/>
              </w:rPr>
              <w:t>(b)</w:t>
            </w:r>
            <w:r w:rsidRPr="00DC274A">
              <w:rPr>
                <w:b/>
                <w:i/>
              </w:rPr>
              <w:tab/>
              <w:t>l’aide aux promoteurs de projets, le cas échéant, afin que ces projets répondent aux critères d’éligibilité et contribuent aux objectifs de développement durable à l’horizon 2030;</w:t>
            </w:r>
          </w:p>
        </w:tc>
      </w:tr>
      <w:tr w:rsidR="00BF7ACA" w:rsidRPr="00355860" w14:paraId="295ED9EE" w14:textId="77777777" w:rsidTr="007924BE">
        <w:trPr>
          <w:jc w:val="center"/>
        </w:trPr>
        <w:tc>
          <w:tcPr>
            <w:tcW w:w="4876" w:type="dxa"/>
          </w:tcPr>
          <w:p w14:paraId="2FA918B9" w14:textId="77777777" w:rsidR="00BF7ACA" w:rsidRPr="00B915F8" w:rsidRDefault="00BF7ACA" w:rsidP="007924BE">
            <w:pPr>
              <w:pStyle w:val="Normal6"/>
            </w:pPr>
          </w:p>
        </w:tc>
        <w:tc>
          <w:tcPr>
            <w:tcW w:w="4876" w:type="dxa"/>
            <w:hideMark/>
          </w:tcPr>
          <w:p w14:paraId="05264CD9" w14:textId="77777777" w:rsidR="00BF7ACA" w:rsidRPr="00DC274A" w:rsidRDefault="00BF7ACA" w:rsidP="007924BE">
            <w:pPr>
              <w:pStyle w:val="Normal6"/>
              <w:rPr>
                <w:b/>
                <w:i/>
                <w:szCs w:val="24"/>
              </w:rPr>
            </w:pPr>
            <w:r w:rsidRPr="00DC274A">
              <w:rPr>
                <w:b/>
                <w:i/>
              </w:rPr>
              <w:t>(c)</w:t>
            </w:r>
            <w:r w:rsidRPr="00DC274A">
              <w:rPr>
                <w:b/>
                <w:i/>
              </w:rPr>
              <w:tab/>
              <w:t>l’exploitation des connaissances locales;</w:t>
            </w:r>
          </w:p>
        </w:tc>
      </w:tr>
      <w:tr w:rsidR="00BF7ACA" w:rsidRPr="00355860" w14:paraId="635D9859" w14:textId="77777777" w:rsidTr="007924BE">
        <w:trPr>
          <w:jc w:val="center"/>
        </w:trPr>
        <w:tc>
          <w:tcPr>
            <w:tcW w:w="4876" w:type="dxa"/>
          </w:tcPr>
          <w:p w14:paraId="36DB42AC" w14:textId="77777777" w:rsidR="00BF7ACA" w:rsidRPr="00B915F8" w:rsidRDefault="00BF7ACA" w:rsidP="007924BE">
            <w:pPr>
              <w:pStyle w:val="Normal6"/>
            </w:pPr>
          </w:p>
        </w:tc>
        <w:tc>
          <w:tcPr>
            <w:tcW w:w="4876" w:type="dxa"/>
            <w:hideMark/>
          </w:tcPr>
          <w:p w14:paraId="149997B4" w14:textId="77777777" w:rsidR="00BF7ACA" w:rsidRPr="00DC274A" w:rsidRDefault="00BF7ACA" w:rsidP="007924BE">
            <w:pPr>
              <w:pStyle w:val="Normal6"/>
              <w:rPr>
                <w:b/>
                <w:i/>
                <w:szCs w:val="24"/>
              </w:rPr>
            </w:pPr>
            <w:r w:rsidRPr="00DC274A">
              <w:rPr>
                <w:b/>
                <w:i/>
              </w:rPr>
              <w:t>(d)</w:t>
            </w:r>
            <w:r w:rsidRPr="00DC274A">
              <w:rPr>
                <w:b/>
                <w:i/>
              </w:rPr>
              <w:tab/>
              <w:t>la mise à disposition d’une plateforme permettant les échanges entre pairs et le partage de savoir-faire en matière de développement de projets;</w:t>
            </w:r>
          </w:p>
        </w:tc>
      </w:tr>
      <w:tr w:rsidR="00BF7ACA" w:rsidRPr="00355860" w14:paraId="12B53F8C" w14:textId="77777777" w:rsidTr="007924BE">
        <w:trPr>
          <w:jc w:val="center"/>
        </w:trPr>
        <w:tc>
          <w:tcPr>
            <w:tcW w:w="4876" w:type="dxa"/>
          </w:tcPr>
          <w:p w14:paraId="18AA84DF" w14:textId="77777777" w:rsidR="00BF7ACA" w:rsidRPr="00B915F8" w:rsidRDefault="00BF7ACA" w:rsidP="007924BE">
            <w:pPr>
              <w:pStyle w:val="Normal6"/>
            </w:pPr>
          </w:p>
        </w:tc>
        <w:tc>
          <w:tcPr>
            <w:tcW w:w="4876" w:type="dxa"/>
            <w:hideMark/>
          </w:tcPr>
          <w:p w14:paraId="60B8201F" w14:textId="77777777" w:rsidR="00BF7ACA" w:rsidRPr="00DC274A" w:rsidRDefault="00BF7ACA" w:rsidP="007924BE">
            <w:pPr>
              <w:pStyle w:val="Normal6"/>
              <w:rPr>
                <w:b/>
                <w:i/>
                <w:szCs w:val="24"/>
              </w:rPr>
            </w:pPr>
            <w:r w:rsidRPr="00DC274A">
              <w:rPr>
                <w:b/>
                <w:i/>
              </w:rPr>
              <w:t>(e)</w:t>
            </w:r>
            <w:r w:rsidRPr="00DC274A">
              <w:rPr>
                <w:b/>
                <w:i/>
              </w:rPr>
              <w:tab/>
              <w:t>la fourniture de conseils concernant la mise en place de plateformes d’investissement.</w:t>
            </w:r>
          </w:p>
        </w:tc>
      </w:tr>
      <w:tr w:rsidR="00BF7ACA" w:rsidRPr="00355860" w14:paraId="2284CEE8" w14:textId="77777777" w:rsidTr="007924BE">
        <w:trPr>
          <w:jc w:val="center"/>
        </w:trPr>
        <w:tc>
          <w:tcPr>
            <w:tcW w:w="4876" w:type="dxa"/>
          </w:tcPr>
          <w:p w14:paraId="4E53A21E" w14:textId="77777777" w:rsidR="00BF7ACA" w:rsidRPr="00B915F8" w:rsidRDefault="00BF7ACA" w:rsidP="007924BE">
            <w:pPr>
              <w:pStyle w:val="Normal6"/>
            </w:pPr>
          </w:p>
        </w:tc>
        <w:tc>
          <w:tcPr>
            <w:tcW w:w="4876" w:type="dxa"/>
            <w:hideMark/>
          </w:tcPr>
          <w:p w14:paraId="797F44F1" w14:textId="77777777" w:rsidR="00BF7ACA" w:rsidRPr="00DC274A" w:rsidRDefault="00BF7ACA" w:rsidP="007924BE">
            <w:pPr>
              <w:pStyle w:val="Normal6"/>
              <w:rPr>
                <w:b/>
                <w:i/>
                <w:szCs w:val="24"/>
              </w:rPr>
            </w:pPr>
            <w:r w:rsidRPr="00DC274A">
              <w:rPr>
                <w:b/>
                <w:i/>
              </w:rPr>
              <w:t>3.</w:t>
            </w:r>
            <w:r w:rsidRPr="00DC274A">
              <w:rPr>
                <w:b/>
                <w:i/>
              </w:rPr>
              <w:tab/>
              <w:t>Les services des plateformes de conseil sont destinés aux promoteurs publics et privés de projets, y compris les banques ou institutions nationales de développement, les plateformes ou fonds d’investissement ainsi que les entités publiques régionales et locales.</w:t>
            </w:r>
          </w:p>
        </w:tc>
      </w:tr>
      <w:tr w:rsidR="00BF7ACA" w:rsidRPr="00355860" w14:paraId="25A99E8F" w14:textId="77777777" w:rsidTr="007924BE">
        <w:trPr>
          <w:jc w:val="center"/>
        </w:trPr>
        <w:tc>
          <w:tcPr>
            <w:tcW w:w="4876" w:type="dxa"/>
          </w:tcPr>
          <w:p w14:paraId="5C026FC6" w14:textId="77777777" w:rsidR="00BF7ACA" w:rsidRPr="00B915F8" w:rsidRDefault="00BF7ACA" w:rsidP="007924BE">
            <w:pPr>
              <w:pStyle w:val="Normal6"/>
            </w:pPr>
          </w:p>
        </w:tc>
        <w:tc>
          <w:tcPr>
            <w:tcW w:w="4876" w:type="dxa"/>
            <w:hideMark/>
          </w:tcPr>
          <w:p w14:paraId="6486E26F" w14:textId="77777777" w:rsidR="00BF7ACA" w:rsidRPr="00DC274A" w:rsidRDefault="00BF7ACA" w:rsidP="007924BE">
            <w:pPr>
              <w:pStyle w:val="Normal6"/>
              <w:rPr>
                <w:b/>
                <w:i/>
                <w:szCs w:val="24"/>
              </w:rPr>
            </w:pPr>
            <w:r w:rsidRPr="00DC274A">
              <w:rPr>
                <w:b/>
                <w:i/>
              </w:rPr>
              <w:t>4.</w:t>
            </w:r>
            <w:r w:rsidRPr="00DC274A">
              <w:rPr>
                <w:b/>
                <w:i/>
              </w:rPr>
              <w:tab/>
              <w:t>Les plateformes de conseil contribuent à créer des groupes locaux de suivi, composés d’intervenants locaux divers.</w:t>
            </w:r>
          </w:p>
        </w:tc>
      </w:tr>
      <w:tr w:rsidR="00BF7ACA" w:rsidRPr="00355860" w14:paraId="3DCF1135" w14:textId="77777777" w:rsidTr="007924BE">
        <w:trPr>
          <w:jc w:val="center"/>
        </w:trPr>
        <w:tc>
          <w:tcPr>
            <w:tcW w:w="4876" w:type="dxa"/>
          </w:tcPr>
          <w:p w14:paraId="77348C71" w14:textId="77777777" w:rsidR="00BF7ACA" w:rsidRPr="00B915F8" w:rsidRDefault="00BF7ACA" w:rsidP="007924BE">
            <w:pPr>
              <w:pStyle w:val="Normal6"/>
            </w:pPr>
          </w:p>
        </w:tc>
        <w:tc>
          <w:tcPr>
            <w:tcW w:w="4876" w:type="dxa"/>
            <w:hideMark/>
          </w:tcPr>
          <w:p w14:paraId="35FCC99B" w14:textId="77777777" w:rsidR="00BF7ACA" w:rsidRPr="00DC274A" w:rsidRDefault="00BF7ACA" w:rsidP="007924BE">
            <w:pPr>
              <w:pStyle w:val="Normal6"/>
              <w:rPr>
                <w:b/>
                <w:i/>
                <w:szCs w:val="24"/>
              </w:rPr>
            </w:pPr>
            <w:r w:rsidRPr="00DC274A">
              <w:rPr>
                <w:b/>
                <w:i/>
              </w:rPr>
              <w:t>5.</w:t>
            </w:r>
            <w:r w:rsidRPr="00DC274A">
              <w:rPr>
                <w:b/>
                <w:i/>
              </w:rPr>
              <w:tab/>
              <w:t>L’Union contribue à hauteur d’un montant maximal de 10 millions d’euros par an à la couverture des coûts de ces plateformes.</w:t>
            </w:r>
          </w:p>
        </w:tc>
      </w:tr>
    </w:tbl>
    <w:p w14:paraId="4BD3E62F"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B32814D" w14:textId="77777777" w:rsidR="00BF7ACA" w:rsidRPr="00BF7ACA" w:rsidRDefault="00BF7ACA" w:rsidP="00BF7ACA">
      <w:r w:rsidRPr="00BF7ACA">
        <w:rPr>
          <w:rStyle w:val="HideTWBExt"/>
        </w:rPr>
        <w:t>&lt;/Amend&gt;</w:t>
      </w:r>
    </w:p>
    <w:p w14:paraId="1EC0AA6C"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224</w:t>
      </w:r>
      <w:r w:rsidRPr="00BF7ACA">
        <w:rPr>
          <w:rStyle w:val="HideTWBExt"/>
          <w:b w:val="0"/>
        </w:rPr>
        <w:t>&lt;/NumAm&gt;</w:t>
      </w:r>
    </w:p>
    <w:p w14:paraId="6056A36F" w14:textId="77777777"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14:paraId="76C8CDFC" w14:textId="77777777" w:rsidR="00BF7ACA" w:rsidRPr="00355860" w:rsidRDefault="00BF7ACA" w:rsidP="00BF7ACA">
      <w:r>
        <w:rPr>
          <w:rStyle w:val="HideTWBExt"/>
        </w:rPr>
        <w:t>&lt;/RepeatBlock-By&gt;</w:t>
      </w:r>
    </w:p>
    <w:p w14:paraId="109335A2"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7A7D4FB4" w14:textId="77777777" w:rsidR="00BF7ACA" w:rsidRPr="00355860" w:rsidRDefault="00BF7ACA" w:rsidP="00BF7ACA">
      <w:pPr>
        <w:pStyle w:val="NormalBold"/>
      </w:pPr>
      <w:r>
        <w:rPr>
          <w:rStyle w:val="HideTWBExt"/>
          <w:b w:val="0"/>
        </w:rPr>
        <w:t>&lt;Article&gt;</w:t>
      </w:r>
      <w:r w:rsidRPr="00B915F8">
        <w:t>Article 5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0971A83E" w14:textId="77777777" w:rsidTr="007924BE">
        <w:trPr>
          <w:jc w:val="center"/>
        </w:trPr>
        <w:tc>
          <w:tcPr>
            <w:tcW w:w="9752" w:type="dxa"/>
            <w:gridSpan w:val="2"/>
          </w:tcPr>
          <w:p w14:paraId="3467B403" w14:textId="77777777" w:rsidR="00BF7ACA" w:rsidRPr="00355860" w:rsidRDefault="00BF7ACA" w:rsidP="007924BE">
            <w:pPr>
              <w:keepNext/>
            </w:pPr>
          </w:p>
        </w:tc>
      </w:tr>
      <w:tr w:rsidR="00BF7ACA" w:rsidRPr="00355860" w14:paraId="553548BA" w14:textId="77777777" w:rsidTr="007924BE">
        <w:trPr>
          <w:jc w:val="center"/>
        </w:trPr>
        <w:tc>
          <w:tcPr>
            <w:tcW w:w="4876" w:type="dxa"/>
            <w:hideMark/>
          </w:tcPr>
          <w:p w14:paraId="684FFB22" w14:textId="77777777" w:rsidR="00BF7ACA" w:rsidRPr="00B915F8" w:rsidRDefault="00BF7ACA" w:rsidP="007924BE">
            <w:pPr>
              <w:pStyle w:val="ColumnHeading"/>
              <w:keepNext/>
            </w:pPr>
            <w:r w:rsidRPr="00B915F8">
              <w:t>Texte proposé par la Commission</w:t>
            </w:r>
          </w:p>
        </w:tc>
        <w:tc>
          <w:tcPr>
            <w:tcW w:w="4876" w:type="dxa"/>
            <w:hideMark/>
          </w:tcPr>
          <w:p w14:paraId="5F62326C" w14:textId="77777777" w:rsidR="00BF7ACA" w:rsidRPr="00B915F8" w:rsidRDefault="00BF7ACA" w:rsidP="007924BE">
            <w:pPr>
              <w:pStyle w:val="ColumnHeading"/>
              <w:keepNext/>
            </w:pPr>
            <w:r w:rsidRPr="00B915F8">
              <w:t>Amendement</w:t>
            </w:r>
          </w:p>
        </w:tc>
      </w:tr>
      <w:tr w:rsidR="00BF7ACA" w:rsidRPr="00355860" w14:paraId="45ED9DB8" w14:textId="77777777" w:rsidTr="007924BE">
        <w:trPr>
          <w:jc w:val="center"/>
        </w:trPr>
        <w:tc>
          <w:tcPr>
            <w:tcW w:w="4876" w:type="dxa"/>
          </w:tcPr>
          <w:p w14:paraId="7833EC32" w14:textId="77777777" w:rsidR="00BF7ACA" w:rsidRPr="00B915F8" w:rsidRDefault="00BF7ACA" w:rsidP="007924BE">
            <w:pPr>
              <w:pStyle w:val="Normal6"/>
            </w:pPr>
          </w:p>
        </w:tc>
        <w:tc>
          <w:tcPr>
            <w:tcW w:w="4876" w:type="dxa"/>
            <w:hideMark/>
          </w:tcPr>
          <w:p w14:paraId="7AF93831" w14:textId="77777777" w:rsidR="00BF7ACA" w:rsidRPr="00DC274A" w:rsidRDefault="00BF7ACA" w:rsidP="007924BE">
            <w:pPr>
              <w:pStyle w:val="Normal6"/>
              <w:jc w:val="center"/>
              <w:rPr>
                <w:b/>
                <w:i/>
                <w:szCs w:val="24"/>
              </w:rPr>
            </w:pPr>
            <w:r w:rsidRPr="00DC274A">
              <w:rPr>
                <w:b/>
                <w:i/>
              </w:rPr>
              <w:t>Article 5 bis</w:t>
            </w:r>
          </w:p>
        </w:tc>
      </w:tr>
      <w:tr w:rsidR="00BF7ACA" w:rsidRPr="00355860" w14:paraId="4BAF6C09" w14:textId="77777777" w:rsidTr="007924BE">
        <w:trPr>
          <w:jc w:val="center"/>
        </w:trPr>
        <w:tc>
          <w:tcPr>
            <w:tcW w:w="4876" w:type="dxa"/>
          </w:tcPr>
          <w:p w14:paraId="47C887AA" w14:textId="77777777" w:rsidR="00BF7ACA" w:rsidRPr="00B915F8" w:rsidRDefault="00BF7ACA" w:rsidP="007924BE">
            <w:pPr>
              <w:pStyle w:val="Normal6"/>
            </w:pPr>
          </w:p>
        </w:tc>
        <w:tc>
          <w:tcPr>
            <w:tcW w:w="4876" w:type="dxa"/>
            <w:hideMark/>
          </w:tcPr>
          <w:p w14:paraId="73096D34" w14:textId="77777777" w:rsidR="00BF7ACA" w:rsidRPr="00DC274A" w:rsidRDefault="00BF7ACA" w:rsidP="007924BE">
            <w:pPr>
              <w:pStyle w:val="Normal6"/>
              <w:jc w:val="center"/>
              <w:rPr>
                <w:b/>
                <w:i/>
                <w:szCs w:val="24"/>
              </w:rPr>
            </w:pPr>
            <w:r w:rsidRPr="00DC274A">
              <w:rPr>
                <w:b/>
                <w:i/>
              </w:rPr>
              <w:t>Assistance technique et aide consultative</w:t>
            </w:r>
          </w:p>
        </w:tc>
      </w:tr>
      <w:tr w:rsidR="00BF7ACA" w:rsidRPr="00355860" w14:paraId="42748F74" w14:textId="77777777" w:rsidTr="007924BE">
        <w:trPr>
          <w:jc w:val="center"/>
        </w:trPr>
        <w:tc>
          <w:tcPr>
            <w:tcW w:w="4876" w:type="dxa"/>
          </w:tcPr>
          <w:p w14:paraId="23D070C2" w14:textId="77777777" w:rsidR="00BF7ACA" w:rsidRPr="00B915F8" w:rsidRDefault="00BF7ACA" w:rsidP="007924BE">
            <w:pPr>
              <w:pStyle w:val="Normal6"/>
            </w:pPr>
          </w:p>
        </w:tc>
        <w:tc>
          <w:tcPr>
            <w:tcW w:w="4876" w:type="dxa"/>
            <w:hideMark/>
          </w:tcPr>
          <w:p w14:paraId="0E829400" w14:textId="77777777" w:rsidR="00BF7ACA" w:rsidRPr="00DC274A" w:rsidRDefault="00BF7ACA" w:rsidP="007924BE">
            <w:pPr>
              <w:pStyle w:val="Normal6"/>
              <w:rPr>
                <w:b/>
                <w:i/>
                <w:szCs w:val="24"/>
              </w:rPr>
            </w:pPr>
            <w:r w:rsidRPr="00DC274A">
              <w:rPr>
                <w:b/>
                <w:i/>
              </w:rPr>
              <w:t>La Commission et le haut représentant, par le truchement d’un secrétariat central et des délégations de l’Union, font office de guichet unique pour les autorités et les promoteurs de projets. Ils fournissent leur aide, de leur propre initiative, à l’identification, à la préparation, au développement et à la promotion des projets d’investissement, concernant l’utilisation de l’assistance technique aux fins de la structuration des projets, l’utilisation d’instruments financiers innovants et des partenariats public-privé, et l’identification des possibilités de promouvoir l’égalité entre les hommes et les femmes. Ce faisant, ils s’efforcent de tirer parti des compétences de la BEI et des autres contreparties éligibles.</w:t>
            </w:r>
          </w:p>
        </w:tc>
      </w:tr>
      <w:tr w:rsidR="00BF7ACA" w:rsidRPr="00355860" w14:paraId="70BD21DE" w14:textId="77777777" w:rsidTr="007924BE">
        <w:trPr>
          <w:jc w:val="center"/>
        </w:trPr>
        <w:tc>
          <w:tcPr>
            <w:tcW w:w="4876" w:type="dxa"/>
          </w:tcPr>
          <w:p w14:paraId="0CB02B9D" w14:textId="77777777" w:rsidR="00BF7ACA" w:rsidRPr="00B915F8" w:rsidRDefault="00BF7ACA" w:rsidP="007924BE">
            <w:pPr>
              <w:pStyle w:val="Normal6"/>
            </w:pPr>
          </w:p>
        </w:tc>
        <w:tc>
          <w:tcPr>
            <w:tcW w:w="4876" w:type="dxa"/>
            <w:hideMark/>
          </w:tcPr>
          <w:p w14:paraId="5D85CAAC" w14:textId="77777777" w:rsidR="00BF7ACA" w:rsidRPr="00DC274A" w:rsidRDefault="00BF7ACA" w:rsidP="007924BE">
            <w:pPr>
              <w:pStyle w:val="Normal6"/>
              <w:rPr>
                <w:b/>
                <w:i/>
                <w:szCs w:val="24"/>
              </w:rPr>
            </w:pPr>
            <w:r w:rsidRPr="00DC274A">
              <w:rPr>
                <w:b/>
                <w:i/>
              </w:rPr>
              <w:t>La Commission entretient un flux d’investissements publics qui englobe les projets actuels du FEDD et vise à en attirer d’autres. Elle met en place un portail de projets sur le web.</w:t>
            </w:r>
          </w:p>
        </w:tc>
      </w:tr>
      <w:tr w:rsidR="00BF7ACA" w:rsidRPr="00355860" w14:paraId="6E9AE474" w14:textId="77777777" w:rsidTr="007924BE">
        <w:trPr>
          <w:jc w:val="center"/>
        </w:trPr>
        <w:tc>
          <w:tcPr>
            <w:tcW w:w="4876" w:type="dxa"/>
          </w:tcPr>
          <w:p w14:paraId="22C92561" w14:textId="77777777" w:rsidR="00BF7ACA" w:rsidRPr="00B915F8" w:rsidRDefault="00BF7ACA" w:rsidP="007924BE">
            <w:pPr>
              <w:pStyle w:val="Normal6"/>
            </w:pPr>
          </w:p>
        </w:tc>
        <w:tc>
          <w:tcPr>
            <w:tcW w:w="4876" w:type="dxa"/>
            <w:hideMark/>
          </w:tcPr>
          <w:p w14:paraId="19ABCB17" w14:textId="77777777" w:rsidR="00BF7ACA" w:rsidRPr="00DC274A" w:rsidRDefault="00BF7ACA" w:rsidP="007924BE">
            <w:pPr>
              <w:pStyle w:val="Normal6"/>
              <w:rPr>
                <w:b/>
                <w:i/>
                <w:szCs w:val="24"/>
              </w:rPr>
            </w:pPr>
            <w:r w:rsidRPr="00DC274A">
              <w:rPr>
                <w:b/>
                <w:i/>
              </w:rPr>
              <w:t>Dans le cadre de la procédure budgétaire annuelle, l’autorité budgétaire peut décider de renforcer les programmes concernés afin d’accroître le budget de l’assistance technique. Celle-ci peut également être utilisée pour atteindre les objectifs énoncés à l’article 5 ter, concernant le dialogue politique.</w:t>
            </w:r>
          </w:p>
        </w:tc>
      </w:tr>
    </w:tbl>
    <w:p w14:paraId="473B31B3"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4EE67BC" w14:textId="77777777" w:rsidR="00BF7ACA" w:rsidRPr="00BF7ACA" w:rsidRDefault="00BF7ACA" w:rsidP="00BF7ACA">
      <w:r w:rsidRPr="00BF7ACA">
        <w:rPr>
          <w:rStyle w:val="HideTWBExt"/>
        </w:rPr>
        <w:t>&lt;/Amend&gt;</w:t>
      </w:r>
    </w:p>
    <w:p w14:paraId="725E29E6"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225</w:t>
      </w:r>
      <w:r w:rsidRPr="00BF7ACA">
        <w:rPr>
          <w:rStyle w:val="HideTWBExt"/>
          <w:b w:val="0"/>
        </w:rPr>
        <w:t>&lt;/NumAm&gt;</w:t>
      </w:r>
    </w:p>
    <w:p w14:paraId="217A4B87" w14:textId="77777777"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14:paraId="6BB02DF7" w14:textId="77777777" w:rsidR="00BF7ACA" w:rsidRPr="00355860" w:rsidRDefault="00BF7ACA" w:rsidP="00BF7ACA">
      <w:r>
        <w:rPr>
          <w:rStyle w:val="HideTWBExt"/>
        </w:rPr>
        <w:t>&lt;/RepeatBlock-By&gt;</w:t>
      </w:r>
    </w:p>
    <w:p w14:paraId="60E05836"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19A4F6A5" w14:textId="77777777" w:rsidR="00BF7ACA" w:rsidRPr="00355860" w:rsidRDefault="00BF7ACA" w:rsidP="00BF7ACA">
      <w:pPr>
        <w:pStyle w:val="NormalBold"/>
      </w:pPr>
      <w:r>
        <w:rPr>
          <w:rStyle w:val="HideTWBExt"/>
          <w:b w:val="0"/>
        </w:rPr>
        <w:t>&lt;Article&gt;</w:t>
      </w:r>
      <w:r w:rsidRPr="00B915F8">
        <w:t>Article 5 ter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005F077F" w14:textId="77777777" w:rsidTr="007924BE">
        <w:trPr>
          <w:jc w:val="center"/>
        </w:trPr>
        <w:tc>
          <w:tcPr>
            <w:tcW w:w="9752" w:type="dxa"/>
            <w:gridSpan w:val="2"/>
          </w:tcPr>
          <w:p w14:paraId="6896E86A" w14:textId="77777777" w:rsidR="00BF7ACA" w:rsidRPr="00355860" w:rsidRDefault="00BF7ACA" w:rsidP="007924BE">
            <w:pPr>
              <w:keepNext/>
            </w:pPr>
          </w:p>
        </w:tc>
      </w:tr>
      <w:tr w:rsidR="00BF7ACA" w:rsidRPr="00355860" w14:paraId="5F4E103D" w14:textId="77777777" w:rsidTr="007924BE">
        <w:trPr>
          <w:jc w:val="center"/>
        </w:trPr>
        <w:tc>
          <w:tcPr>
            <w:tcW w:w="4876" w:type="dxa"/>
            <w:hideMark/>
          </w:tcPr>
          <w:p w14:paraId="58AF5692" w14:textId="77777777" w:rsidR="00BF7ACA" w:rsidRPr="00B915F8" w:rsidRDefault="00BF7ACA" w:rsidP="007924BE">
            <w:pPr>
              <w:pStyle w:val="ColumnHeading"/>
              <w:keepNext/>
            </w:pPr>
            <w:r w:rsidRPr="00B915F8">
              <w:t>Texte proposé par la Commission</w:t>
            </w:r>
          </w:p>
        </w:tc>
        <w:tc>
          <w:tcPr>
            <w:tcW w:w="4876" w:type="dxa"/>
            <w:hideMark/>
          </w:tcPr>
          <w:p w14:paraId="59990B29" w14:textId="77777777" w:rsidR="00BF7ACA" w:rsidRPr="00B915F8" w:rsidRDefault="00BF7ACA" w:rsidP="007924BE">
            <w:pPr>
              <w:pStyle w:val="ColumnHeading"/>
              <w:keepNext/>
            </w:pPr>
            <w:r w:rsidRPr="00B915F8">
              <w:t>Amendement</w:t>
            </w:r>
          </w:p>
        </w:tc>
      </w:tr>
      <w:tr w:rsidR="00BF7ACA" w:rsidRPr="00355860" w14:paraId="4183725B" w14:textId="77777777" w:rsidTr="007924BE">
        <w:trPr>
          <w:jc w:val="center"/>
        </w:trPr>
        <w:tc>
          <w:tcPr>
            <w:tcW w:w="4876" w:type="dxa"/>
          </w:tcPr>
          <w:p w14:paraId="50D1E706" w14:textId="77777777" w:rsidR="00BF7ACA" w:rsidRPr="00B915F8" w:rsidRDefault="00BF7ACA" w:rsidP="007924BE">
            <w:pPr>
              <w:pStyle w:val="Normal6"/>
            </w:pPr>
          </w:p>
        </w:tc>
        <w:tc>
          <w:tcPr>
            <w:tcW w:w="4876" w:type="dxa"/>
            <w:hideMark/>
          </w:tcPr>
          <w:p w14:paraId="1F98BC7B" w14:textId="77777777" w:rsidR="00BF7ACA" w:rsidRPr="00DC274A" w:rsidRDefault="00BF7ACA" w:rsidP="007924BE">
            <w:pPr>
              <w:pStyle w:val="Normal6"/>
              <w:jc w:val="center"/>
              <w:rPr>
                <w:b/>
                <w:i/>
                <w:szCs w:val="24"/>
              </w:rPr>
            </w:pPr>
            <w:r w:rsidRPr="00DC274A">
              <w:rPr>
                <w:b/>
                <w:i/>
              </w:rPr>
              <w:t>Article 5 ter</w:t>
            </w:r>
          </w:p>
        </w:tc>
      </w:tr>
      <w:tr w:rsidR="00BF7ACA" w:rsidRPr="00355860" w14:paraId="3C4AF5D5" w14:textId="77777777" w:rsidTr="007924BE">
        <w:trPr>
          <w:jc w:val="center"/>
        </w:trPr>
        <w:tc>
          <w:tcPr>
            <w:tcW w:w="4876" w:type="dxa"/>
          </w:tcPr>
          <w:p w14:paraId="6AC6E552" w14:textId="77777777" w:rsidR="00BF7ACA" w:rsidRPr="00B915F8" w:rsidRDefault="00BF7ACA" w:rsidP="007924BE">
            <w:pPr>
              <w:pStyle w:val="Normal6"/>
            </w:pPr>
          </w:p>
        </w:tc>
        <w:tc>
          <w:tcPr>
            <w:tcW w:w="4876" w:type="dxa"/>
            <w:hideMark/>
          </w:tcPr>
          <w:p w14:paraId="6B5879F1" w14:textId="77777777" w:rsidR="00BF7ACA" w:rsidRPr="00DC274A" w:rsidRDefault="00BF7ACA" w:rsidP="007924BE">
            <w:pPr>
              <w:pStyle w:val="Normal6"/>
              <w:jc w:val="center"/>
              <w:rPr>
                <w:b/>
                <w:i/>
                <w:szCs w:val="24"/>
              </w:rPr>
            </w:pPr>
            <w:r w:rsidRPr="00DC274A">
              <w:rPr>
                <w:b/>
                <w:i/>
              </w:rPr>
              <w:t>Dialogue politique</w:t>
            </w:r>
          </w:p>
        </w:tc>
      </w:tr>
      <w:tr w:rsidR="00BF7ACA" w:rsidRPr="00355860" w14:paraId="2093DCFF" w14:textId="77777777" w:rsidTr="007924BE">
        <w:trPr>
          <w:jc w:val="center"/>
        </w:trPr>
        <w:tc>
          <w:tcPr>
            <w:tcW w:w="4876" w:type="dxa"/>
          </w:tcPr>
          <w:p w14:paraId="22C5B9C8" w14:textId="77777777" w:rsidR="00BF7ACA" w:rsidRPr="00B915F8" w:rsidRDefault="00BF7ACA" w:rsidP="007924BE">
            <w:pPr>
              <w:pStyle w:val="Normal6"/>
            </w:pPr>
          </w:p>
        </w:tc>
        <w:tc>
          <w:tcPr>
            <w:tcW w:w="4876" w:type="dxa"/>
            <w:hideMark/>
          </w:tcPr>
          <w:p w14:paraId="1674F97D" w14:textId="77777777" w:rsidR="00BF7ACA" w:rsidRPr="00DC274A" w:rsidRDefault="00BF7ACA" w:rsidP="007924BE">
            <w:pPr>
              <w:pStyle w:val="Normal6"/>
              <w:rPr>
                <w:b/>
                <w:i/>
                <w:szCs w:val="24"/>
              </w:rPr>
            </w:pPr>
            <w:r w:rsidRPr="00DC274A">
              <w:rPr>
                <w:b/>
                <w:i/>
              </w:rPr>
              <w:t>Dans le cadre des relations politiques qu’entretient l’Union avec les pays partenaires, la Commission et le haut représentant entretiennent des dialogues politiques afin d’améliorer le climat des investissements et le cadre stratégique général, d’élaborer des cadres juridiques, des politiques et des institutions plus efficaces et de promouvoir la stabilité économique, l’investissement durable et la croissance inclusive.</w:t>
            </w:r>
          </w:p>
        </w:tc>
      </w:tr>
      <w:tr w:rsidR="00BF7ACA" w:rsidRPr="00355860" w14:paraId="4BC63461" w14:textId="77777777" w:rsidTr="007924BE">
        <w:trPr>
          <w:jc w:val="center"/>
        </w:trPr>
        <w:tc>
          <w:tcPr>
            <w:tcW w:w="4876" w:type="dxa"/>
          </w:tcPr>
          <w:p w14:paraId="6391D908" w14:textId="77777777" w:rsidR="00BF7ACA" w:rsidRPr="00B915F8" w:rsidRDefault="00BF7ACA" w:rsidP="007924BE">
            <w:pPr>
              <w:pStyle w:val="Normal6"/>
            </w:pPr>
          </w:p>
        </w:tc>
        <w:tc>
          <w:tcPr>
            <w:tcW w:w="4876" w:type="dxa"/>
            <w:hideMark/>
          </w:tcPr>
          <w:p w14:paraId="6D400329" w14:textId="77777777" w:rsidR="00BF7ACA" w:rsidRPr="00DC274A" w:rsidRDefault="00BF7ACA" w:rsidP="007924BE">
            <w:pPr>
              <w:pStyle w:val="Normal6"/>
              <w:rPr>
                <w:b/>
                <w:i/>
                <w:szCs w:val="24"/>
              </w:rPr>
            </w:pPr>
            <w:r w:rsidRPr="00DC274A">
              <w:rPr>
                <w:b/>
                <w:i/>
              </w:rPr>
              <w:t>Ces dialogues politiques portent notamment sur la lutte contre la corruption et la criminalité organisée, sur les flux financiers illicites, sur l’énergie durable et les mesures dans le domaine du climat, sur le respect des droits de l’homme et de l’état de droit, ainsi que sur des politiques en faveur de l’égalité hommes-femmes qui visent à résoudre les restrictions des politiques et des réglementations qui contribuent à creuser les écarts entre les sexes dans l’accès aux financements et à l’entrepreneuriat.</w:t>
            </w:r>
          </w:p>
        </w:tc>
      </w:tr>
      <w:tr w:rsidR="00BF7ACA" w:rsidRPr="00355860" w14:paraId="10E6AB35" w14:textId="77777777" w:rsidTr="007924BE">
        <w:trPr>
          <w:jc w:val="center"/>
        </w:trPr>
        <w:tc>
          <w:tcPr>
            <w:tcW w:w="4876" w:type="dxa"/>
          </w:tcPr>
          <w:p w14:paraId="0DD44A14" w14:textId="77777777" w:rsidR="00BF7ACA" w:rsidRPr="00B915F8" w:rsidRDefault="00BF7ACA" w:rsidP="007924BE">
            <w:pPr>
              <w:pStyle w:val="Normal6"/>
            </w:pPr>
          </w:p>
        </w:tc>
        <w:tc>
          <w:tcPr>
            <w:tcW w:w="4876" w:type="dxa"/>
            <w:hideMark/>
          </w:tcPr>
          <w:p w14:paraId="242A96C4" w14:textId="77777777" w:rsidR="00BF7ACA" w:rsidRPr="00DC274A" w:rsidRDefault="00BF7ACA" w:rsidP="007924BE">
            <w:pPr>
              <w:pStyle w:val="Normal6"/>
              <w:rPr>
                <w:b/>
                <w:i/>
                <w:szCs w:val="24"/>
              </w:rPr>
            </w:pPr>
            <w:r w:rsidRPr="00DC274A">
              <w:rPr>
                <w:b/>
                <w:i/>
              </w:rPr>
              <w:t>Lors de la mise en œuvre du FEDD, ses organes dirigeants et la Commission portent un regard plus favorable sur les opérations de financement et d’investissement dans les pays partenaires qui prennent des mesures destinées à faciliter la réussite des investissements soutenus par le Fonds et à contribuer à la réalisation des objectifs énoncés dans le présent règlement.</w:t>
            </w:r>
          </w:p>
        </w:tc>
      </w:tr>
    </w:tbl>
    <w:p w14:paraId="7C42C719" w14:textId="77777777" w:rsidR="00BF7ACA" w:rsidRPr="00E82ECE" w:rsidRDefault="00BF7ACA" w:rsidP="00BF7ACA">
      <w:pPr>
        <w:pStyle w:val="Olang"/>
        <w:rPr>
          <w:noProof w:val="0"/>
          <w:szCs w:val="24"/>
          <w:lang w:val="en-GB"/>
        </w:rPr>
      </w:pPr>
      <w:r w:rsidRPr="00E82ECE">
        <w:rPr>
          <w:noProof w:val="0"/>
          <w:lang w:val="en-GB"/>
        </w:rPr>
        <w:t xml:space="preserve">Or. </w:t>
      </w:r>
      <w:r w:rsidRPr="00E82ECE">
        <w:rPr>
          <w:rStyle w:val="HideTWBExt"/>
          <w:noProof w:val="0"/>
          <w:lang w:val="en-GB"/>
        </w:rPr>
        <w:t>&lt;Original&gt;</w:t>
      </w:r>
      <w:r w:rsidRPr="00E82ECE">
        <w:rPr>
          <w:rStyle w:val="HideTWBInt"/>
          <w:noProof w:val="0"/>
          <w:lang w:val="en-GB"/>
        </w:rPr>
        <w:t>{EN}</w:t>
      </w:r>
      <w:r w:rsidRPr="00E82ECE">
        <w:rPr>
          <w:noProof w:val="0"/>
          <w:lang w:val="en-GB"/>
        </w:rPr>
        <w:t>en</w:t>
      </w:r>
      <w:r w:rsidRPr="00E82ECE">
        <w:rPr>
          <w:rStyle w:val="HideTWBExt"/>
          <w:noProof w:val="0"/>
          <w:lang w:val="en-GB"/>
        </w:rPr>
        <w:t>&lt;/Original&gt;</w:t>
      </w:r>
    </w:p>
    <w:p w14:paraId="28DD08CA" w14:textId="77777777" w:rsidR="00BF7ACA" w:rsidRPr="00E82ECE" w:rsidRDefault="00BF7ACA" w:rsidP="00BF7ACA">
      <w:pPr>
        <w:rPr>
          <w:lang w:val="en-GB"/>
        </w:rPr>
      </w:pPr>
      <w:r w:rsidRPr="00E82ECE">
        <w:rPr>
          <w:rStyle w:val="HideTWBExt"/>
          <w:lang w:val="en-GB"/>
        </w:rPr>
        <w:t>&lt;/Amend&gt;</w:t>
      </w:r>
    </w:p>
    <w:p w14:paraId="67EE0929" w14:textId="77777777"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226</w:t>
      </w:r>
      <w:r w:rsidRPr="000C3237">
        <w:rPr>
          <w:rStyle w:val="HideTWBExt"/>
          <w:b w:val="0"/>
          <w:lang w:val="en-GB"/>
        </w:rPr>
        <w:t>&lt;/NumAm&gt;</w:t>
      </w:r>
    </w:p>
    <w:p w14:paraId="31E26843" w14:textId="77777777"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Fabio Massimo Castaldo, Ignazio Corrao, Marco Valli</w:t>
      </w:r>
      <w:r w:rsidRPr="000C3237">
        <w:rPr>
          <w:rStyle w:val="HideTWBExt"/>
          <w:b w:val="0"/>
          <w:lang w:val="en-GB"/>
        </w:rPr>
        <w:t>&lt;/Members&gt;</w:t>
      </w:r>
    </w:p>
    <w:p w14:paraId="55C69147" w14:textId="77777777" w:rsidR="00BF7ACA" w:rsidRPr="000C3237" w:rsidRDefault="00BF7ACA" w:rsidP="00BF7ACA">
      <w:pPr>
        <w:rPr>
          <w:lang w:val="en-GB"/>
        </w:rPr>
      </w:pPr>
      <w:r w:rsidRPr="000C3237">
        <w:rPr>
          <w:rStyle w:val="HideTWBExt"/>
          <w:lang w:val="en-GB"/>
        </w:rPr>
        <w:t>&lt;/RepeatBlock-By&gt;</w:t>
      </w:r>
    </w:p>
    <w:p w14:paraId="3DC040D0" w14:textId="77777777" w:rsidR="00BF7ACA" w:rsidRPr="000C3237" w:rsidRDefault="00BF7ACA" w:rsidP="00BF7ACA">
      <w:pPr>
        <w:pStyle w:val="NormalBold"/>
        <w:keepNext/>
        <w:rPr>
          <w:lang w:val="en-GB"/>
        </w:rPr>
      </w:pPr>
      <w:r w:rsidRPr="000C3237">
        <w:rPr>
          <w:rStyle w:val="HideTWBExt"/>
          <w:b w:val="0"/>
          <w:lang w:val="en-GB"/>
        </w:rPr>
        <w:t>&lt;DocAmend&gt;</w:t>
      </w:r>
      <w:r w:rsidRPr="000C3237">
        <w:rPr>
          <w:lang w:val="en-GB"/>
        </w:rPr>
        <w:t>Proposition de règlement</w:t>
      </w:r>
      <w:r w:rsidRPr="000C3237">
        <w:rPr>
          <w:rStyle w:val="HideTWBExt"/>
          <w:b w:val="0"/>
          <w:lang w:val="en-GB"/>
        </w:rPr>
        <w:t>&lt;/DocAmend&gt;</w:t>
      </w:r>
    </w:p>
    <w:p w14:paraId="1383343F" w14:textId="77777777" w:rsidR="00BF7ACA" w:rsidRPr="00E502E5" w:rsidRDefault="00BF7ACA" w:rsidP="00BF7ACA">
      <w:pPr>
        <w:pStyle w:val="NormalBold"/>
      </w:pPr>
      <w:r>
        <w:rPr>
          <w:rStyle w:val="HideTWBExt"/>
          <w:b w:val="0"/>
        </w:rPr>
        <w:t>&lt;Article&gt;</w:t>
      </w:r>
      <w:r w:rsidRPr="002E43F3">
        <w:t>Article 6 – paragraphe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37FF5CC9" w14:textId="77777777" w:rsidTr="007924BE">
        <w:trPr>
          <w:jc w:val="center"/>
        </w:trPr>
        <w:tc>
          <w:tcPr>
            <w:tcW w:w="9752" w:type="dxa"/>
            <w:gridSpan w:val="2"/>
          </w:tcPr>
          <w:p w14:paraId="2B780FB5" w14:textId="77777777" w:rsidR="00BF7ACA" w:rsidRPr="00E502E5" w:rsidRDefault="00BF7ACA" w:rsidP="007924BE">
            <w:pPr>
              <w:keepNext/>
            </w:pPr>
          </w:p>
        </w:tc>
      </w:tr>
      <w:tr w:rsidR="00BF7ACA" w:rsidRPr="00E502E5" w14:paraId="6462FFC9" w14:textId="77777777" w:rsidTr="007924BE">
        <w:trPr>
          <w:jc w:val="center"/>
        </w:trPr>
        <w:tc>
          <w:tcPr>
            <w:tcW w:w="4876" w:type="dxa"/>
            <w:hideMark/>
          </w:tcPr>
          <w:p w14:paraId="5A97502D" w14:textId="77777777" w:rsidR="00BF7ACA" w:rsidRPr="002E43F3" w:rsidRDefault="00BF7ACA" w:rsidP="007924BE">
            <w:pPr>
              <w:pStyle w:val="ColumnHeading"/>
              <w:keepNext/>
            </w:pPr>
            <w:r w:rsidRPr="002E43F3">
              <w:t>Texte proposé par la Commission</w:t>
            </w:r>
          </w:p>
        </w:tc>
        <w:tc>
          <w:tcPr>
            <w:tcW w:w="4876" w:type="dxa"/>
            <w:hideMark/>
          </w:tcPr>
          <w:p w14:paraId="79EBC149" w14:textId="77777777" w:rsidR="00BF7ACA" w:rsidRPr="002E43F3" w:rsidRDefault="00BF7ACA" w:rsidP="007924BE">
            <w:pPr>
              <w:pStyle w:val="ColumnHeading"/>
              <w:keepNext/>
            </w:pPr>
            <w:r w:rsidRPr="002E43F3">
              <w:t>Amendement</w:t>
            </w:r>
          </w:p>
        </w:tc>
      </w:tr>
      <w:tr w:rsidR="00BF7ACA" w:rsidRPr="00E502E5" w14:paraId="33242C64" w14:textId="77777777" w:rsidTr="007924BE">
        <w:trPr>
          <w:jc w:val="center"/>
        </w:trPr>
        <w:tc>
          <w:tcPr>
            <w:tcW w:w="4876" w:type="dxa"/>
            <w:hideMark/>
          </w:tcPr>
          <w:p w14:paraId="44FB9C02" w14:textId="77777777" w:rsidR="00BF7ACA" w:rsidRPr="002E43F3" w:rsidRDefault="00BF7ACA" w:rsidP="007924BE">
            <w:pPr>
              <w:pStyle w:val="Normal6"/>
            </w:pPr>
            <w:r w:rsidRPr="002E43F3">
              <w:t>1.</w:t>
            </w:r>
            <w:r>
              <w:tab/>
            </w:r>
            <w:r w:rsidRPr="002E43F3">
              <w:t>L</w:t>
            </w:r>
            <w:r>
              <w:t>’</w:t>
            </w:r>
            <w:r w:rsidRPr="002E43F3">
              <w:t xml:space="preserve">Union fournit à la contrepartie éligible une garantie </w:t>
            </w:r>
            <w:r w:rsidRPr="002E43F3">
              <w:rPr>
                <w:b/>
                <w:i/>
              </w:rPr>
              <w:t xml:space="preserve">irrévocable et inconditionnelle à première demande </w:t>
            </w:r>
            <w:r w:rsidRPr="002E43F3">
              <w:t>pour les opérations de financement et d</w:t>
            </w:r>
            <w:r>
              <w:t>’</w:t>
            </w:r>
            <w:r w:rsidRPr="002E43F3">
              <w:t>investissement visées par le présent règlement, commençant dans les pays partenaires d</w:t>
            </w:r>
            <w:r>
              <w:t>’</w:t>
            </w:r>
            <w:r w:rsidRPr="002E43F3">
              <w:t>Afrique et du voisinage.</w:t>
            </w:r>
          </w:p>
        </w:tc>
        <w:tc>
          <w:tcPr>
            <w:tcW w:w="4876" w:type="dxa"/>
            <w:hideMark/>
          </w:tcPr>
          <w:p w14:paraId="039CD857" w14:textId="77777777" w:rsidR="00BF7ACA" w:rsidRPr="002E43F3" w:rsidRDefault="00BF7ACA" w:rsidP="007924BE">
            <w:pPr>
              <w:pStyle w:val="Normal6"/>
              <w:rPr>
                <w:szCs w:val="24"/>
              </w:rPr>
            </w:pPr>
            <w:r w:rsidRPr="002E43F3">
              <w:t>1.</w:t>
            </w:r>
            <w:r>
              <w:tab/>
            </w:r>
            <w:r w:rsidRPr="002E43F3">
              <w:t>L</w:t>
            </w:r>
            <w:r>
              <w:t>’</w:t>
            </w:r>
            <w:r w:rsidRPr="002E43F3">
              <w:t>Union fournit à la contrepartie éligible une garantie pour les opérations de financement et d</w:t>
            </w:r>
            <w:r>
              <w:t>’</w:t>
            </w:r>
            <w:r w:rsidRPr="002E43F3">
              <w:t>investissement visées par le présent règlement, commençant dans les pays partenaires d</w:t>
            </w:r>
            <w:r>
              <w:t>’</w:t>
            </w:r>
            <w:r w:rsidRPr="002E43F3">
              <w:t>Afrique et du voisinage.</w:t>
            </w:r>
          </w:p>
        </w:tc>
      </w:tr>
    </w:tbl>
    <w:p w14:paraId="0DC7C74E" w14:textId="77777777"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&lt;Original&gt;</w:t>
      </w:r>
      <w:r w:rsidRPr="000C3237">
        <w:rPr>
          <w:rStyle w:val="HideTWBInt"/>
          <w:noProof w:val="0"/>
          <w:lang w:val="en-GB"/>
        </w:rPr>
        <w:t>{IT}</w:t>
      </w:r>
      <w:r w:rsidRPr="000C3237">
        <w:rPr>
          <w:noProof w:val="0"/>
          <w:lang w:val="en-GB"/>
        </w:rPr>
        <w:t>it</w:t>
      </w:r>
      <w:r w:rsidRPr="000C3237">
        <w:rPr>
          <w:rStyle w:val="HideTWBExt"/>
          <w:noProof w:val="0"/>
          <w:lang w:val="en-GB"/>
        </w:rPr>
        <w:t>&lt;/Original&gt;</w:t>
      </w:r>
    </w:p>
    <w:p w14:paraId="4435C00C" w14:textId="77777777" w:rsidR="00BF7ACA" w:rsidRPr="000C3237" w:rsidRDefault="00BF7ACA" w:rsidP="00BF7ACA">
      <w:pPr>
        <w:rPr>
          <w:lang w:val="en-GB"/>
        </w:rPr>
      </w:pPr>
      <w:r w:rsidRPr="000C3237">
        <w:rPr>
          <w:rStyle w:val="HideTWBExt"/>
          <w:lang w:val="en-GB"/>
        </w:rPr>
        <w:t>&lt;/Amend&gt;</w:t>
      </w:r>
    </w:p>
    <w:p w14:paraId="569885CE" w14:textId="77777777" w:rsidR="00BF7ACA" w:rsidRPr="00E82ECE" w:rsidRDefault="00BF7ACA" w:rsidP="00BF7ACA">
      <w:pPr>
        <w:pStyle w:val="AMNumberTabs"/>
        <w:keepNext/>
        <w:rPr>
          <w:lang w:val="en-GB"/>
        </w:rPr>
      </w:pPr>
      <w:r w:rsidRPr="00E82ECE">
        <w:rPr>
          <w:rStyle w:val="HideTWBExt"/>
          <w:b w:val="0"/>
          <w:lang w:val="en-GB"/>
        </w:rPr>
        <w:t>&lt;Amend&gt;</w:t>
      </w:r>
      <w:r w:rsidRPr="00E82ECE">
        <w:rPr>
          <w:lang w:val="en-GB"/>
        </w:rPr>
        <w:t>Amendement</w:t>
      </w:r>
      <w:r w:rsidRPr="00E82ECE">
        <w:rPr>
          <w:lang w:val="en-GB"/>
        </w:rPr>
        <w:tab/>
      </w:r>
      <w:r w:rsidRPr="00E82ECE">
        <w:rPr>
          <w:lang w:val="en-GB"/>
        </w:rPr>
        <w:tab/>
      </w:r>
      <w:r w:rsidRPr="00E82ECE">
        <w:rPr>
          <w:rStyle w:val="HideTWBExt"/>
          <w:b w:val="0"/>
          <w:lang w:val="en-GB"/>
        </w:rPr>
        <w:t>&lt;NumAm&gt;</w:t>
      </w:r>
      <w:r w:rsidRPr="00E82ECE">
        <w:rPr>
          <w:lang w:val="en-GB"/>
        </w:rPr>
        <w:t>227</w:t>
      </w:r>
      <w:r w:rsidRPr="00E82ECE">
        <w:rPr>
          <w:rStyle w:val="HideTWBExt"/>
          <w:b w:val="0"/>
          <w:lang w:val="en-GB"/>
        </w:rPr>
        <w:t>&lt;/NumAm&gt;</w:t>
      </w:r>
    </w:p>
    <w:p w14:paraId="34522626" w14:textId="77777777" w:rsidR="00BF7ACA" w:rsidRPr="00E82ECE" w:rsidRDefault="00BF7ACA" w:rsidP="00BF7ACA">
      <w:pPr>
        <w:pStyle w:val="NormalBold"/>
        <w:rPr>
          <w:lang w:val="en-GB"/>
        </w:rPr>
      </w:pPr>
      <w:r w:rsidRPr="00E82ECE">
        <w:rPr>
          <w:rStyle w:val="HideTWBExt"/>
          <w:b w:val="0"/>
          <w:lang w:val="en-GB"/>
        </w:rPr>
        <w:t>&lt;RepeatBlock-By&gt;&lt;Members&gt;</w:t>
      </w:r>
      <w:r w:rsidRPr="00E82ECE">
        <w:rPr>
          <w:lang w:val="en-GB"/>
        </w:rPr>
        <w:t>Sabine Lösing</w:t>
      </w:r>
      <w:r w:rsidRPr="00E82ECE">
        <w:rPr>
          <w:rStyle w:val="HideTWBExt"/>
          <w:b w:val="0"/>
          <w:lang w:val="en-GB"/>
        </w:rPr>
        <w:t>&lt;/Members&gt;</w:t>
      </w:r>
    </w:p>
    <w:p w14:paraId="4E8E5260" w14:textId="77777777" w:rsidR="00BF7ACA" w:rsidRPr="00BF7ACA" w:rsidRDefault="00BF7ACA" w:rsidP="00BF7ACA">
      <w:pPr>
        <w:rPr>
          <w:lang w:val="en-GB"/>
        </w:rPr>
      </w:pPr>
      <w:r w:rsidRPr="00BF7ACA">
        <w:rPr>
          <w:rStyle w:val="HideTWBExt"/>
          <w:lang w:val="en-GB"/>
        </w:rPr>
        <w:t>&lt;/RepeatBlock-By&gt;</w:t>
      </w:r>
    </w:p>
    <w:p w14:paraId="44FB0D28"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6E34A107" w14:textId="77777777" w:rsidR="00BF7ACA" w:rsidRPr="00355860" w:rsidRDefault="00BF7ACA" w:rsidP="00BF7ACA">
      <w:pPr>
        <w:pStyle w:val="NormalBold"/>
      </w:pPr>
      <w:r>
        <w:rPr>
          <w:rStyle w:val="HideTWBExt"/>
          <w:b w:val="0"/>
        </w:rPr>
        <w:t>&lt;Article&gt;</w:t>
      </w:r>
      <w:r w:rsidRPr="00B915F8">
        <w:t>Article 6 – paragraphe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04CB46B1" w14:textId="77777777" w:rsidTr="007924BE">
        <w:trPr>
          <w:jc w:val="center"/>
        </w:trPr>
        <w:tc>
          <w:tcPr>
            <w:tcW w:w="9752" w:type="dxa"/>
            <w:gridSpan w:val="2"/>
          </w:tcPr>
          <w:p w14:paraId="74128027" w14:textId="77777777" w:rsidR="00BF7ACA" w:rsidRPr="00355860" w:rsidRDefault="00BF7ACA" w:rsidP="007924BE">
            <w:pPr>
              <w:keepNext/>
            </w:pPr>
          </w:p>
        </w:tc>
      </w:tr>
      <w:tr w:rsidR="00BF7ACA" w:rsidRPr="00355860" w14:paraId="7969A77D" w14:textId="77777777" w:rsidTr="007924BE">
        <w:trPr>
          <w:jc w:val="center"/>
        </w:trPr>
        <w:tc>
          <w:tcPr>
            <w:tcW w:w="4876" w:type="dxa"/>
            <w:hideMark/>
          </w:tcPr>
          <w:p w14:paraId="0563A4C9" w14:textId="77777777" w:rsidR="00BF7ACA" w:rsidRPr="00B915F8" w:rsidRDefault="00BF7ACA" w:rsidP="007924BE">
            <w:pPr>
              <w:pStyle w:val="ColumnHeading"/>
              <w:keepNext/>
            </w:pPr>
            <w:r w:rsidRPr="00B915F8">
              <w:t>Texte proposé par la Commission</w:t>
            </w:r>
          </w:p>
        </w:tc>
        <w:tc>
          <w:tcPr>
            <w:tcW w:w="4876" w:type="dxa"/>
            <w:hideMark/>
          </w:tcPr>
          <w:p w14:paraId="5AB55423" w14:textId="77777777" w:rsidR="00BF7ACA" w:rsidRPr="00B915F8" w:rsidRDefault="00BF7ACA" w:rsidP="007924BE">
            <w:pPr>
              <w:pStyle w:val="ColumnHeading"/>
              <w:keepNext/>
            </w:pPr>
            <w:r w:rsidRPr="00B915F8">
              <w:t>Amendement</w:t>
            </w:r>
          </w:p>
        </w:tc>
      </w:tr>
      <w:tr w:rsidR="00BF7ACA" w:rsidRPr="00355860" w14:paraId="4A1BF7FA" w14:textId="77777777" w:rsidTr="007924BE">
        <w:trPr>
          <w:jc w:val="center"/>
        </w:trPr>
        <w:tc>
          <w:tcPr>
            <w:tcW w:w="4876" w:type="dxa"/>
            <w:hideMark/>
          </w:tcPr>
          <w:p w14:paraId="654B7260" w14:textId="77777777" w:rsidR="00BF7ACA" w:rsidRPr="00DC274A" w:rsidRDefault="00BF7ACA" w:rsidP="007924BE">
            <w:pPr>
              <w:pStyle w:val="Normal6"/>
              <w:rPr>
                <w:b/>
                <w:i/>
              </w:rPr>
            </w:pPr>
            <w:r w:rsidRPr="00DC274A">
              <w:t>1.</w:t>
            </w:r>
            <w:r w:rsidRPr="00DC274A">
              <w:rPr>
                <w:b/>
                <w:i/>
              </w:rPr>
              <w:tab/>
            </w:r>
            <w:r w:rsidRPr="00DC274A">
              <w:t>L’Union fournit à la contrepartie éligible une garantie irrévocable</w:t>
            </w:r>
            <w:r w:rsidRPr="00DC274A">
              <w:rPr>
                <w:b/>
                <w:i/>
              </w:rPr>
              <w:t xml:space="preserve"> et inconditionnelle</w:t>
            </w:r>
            <w:r w:rsidRPr="00DC274A">
              <w:t xml:space="preserve"> à première demande pour les opérations de financement et d’investissement visées par le présent règlement, commençant dans les pays partenaires d’Afrique et du voisinage.</w:t>
            </w:r>
          </w:p>
        </w:tc>
        <w:tc>
          <w:tcPr>
            <w:tcW w:w="4876" w:type="dxa"/>
            <w:hideMark/>
          </w:tcPr>
          <w:p w14:paraId="1A6FB268" w14:textId="77777777" w:rsidR="00BF7ACA" w:rsidRPr="00DC274A" w:rsidRDefault="00BF7ACA" w:rsidP="007924BE">
            <w:pPr>
              <w:pStyle w:val="Normal6"/>
              <w:rPr>
                <w:b/>
                <w:i/>
                <w:szCs w:val="24"/>
              </w:rPr>
            </w:pPr>
            <w:r w:rsidRPr="00DC274A">
              <w:t>1.</w:t>
            </w:r>
            <w:r w:rsidRPr="00DC274A">
              <w:rPr>
                <w:b/>
                <w:i/>
              </w:rPr>
              <w:tab/>
            </w:r>
            <w:r w:rsidRPr="00DC274A">
              <w:t>L’Union fournit à la contrepartie éligible une garantie irrévocable à</w:t>
            </w:r>
            <w:r w:rsidRPr="00DC274A">
              <w:rPr>
                <w:b/>
                <w:i/>
              </w:rPr>
              <w:t xml:space="preserve"> la</w:t>
            </w:r>
            <w:r w:rsidRPr="00DC274A">
              <w:t xml:space="preserve"> première demande pour les opérations de financement et d’investissement visées par le présent règlement, commençant dans les pays partenaires d’Afrique et du voisinage.</w:t>
            </w:r>
          </w:p>
        </w:tc>
      </w:tr>
    </w:tbl>
    <w:p w14:paraId="2E051481" w14:textId="77777777" w:rsidR="00BF7ACA" w:rsidRPr="00355860" w:rsidRDefault="00BF7ACA" w:rsidP="00BF7ACA">
      <w:pPr>
        <w:pStyle w:val="Olang"/>
        <w:rPr>
          <w:noProof w:val="0"/>
          <w:szCs w:val="24"/>
        </w:rPr>
      </w:pPr>
      <w:r w:rsidRPr="00B915F8">
        <w:rPr>
          <w:noProof w:val="0"/>
        </w:rPr>
        <w:t xml:space="preserve">Or. </w:t>
      </w:r>
      <w:r w:rsidRPr="00944EA9">
        <w:rPr>
          <w:rStyle w:val="HideTWBExt"/>
          <w:noProof w:val="0"/>
        </w:rPr>
        <w:t>&lt;Original&gt;</w:t>
      </w:r>
      <w:r w:rsidRPr="00944EA9">
        <w:rPr>
          <w:rStyle w:val="HideTWBInt"/>
          <w:noProof w:val="0"/>
        </w:rPr>
        <w:t>{EN}</w:t>
      </w:r>
      <w:r w:rsidRPr="00B915F8">
        <w:rPr>
          <w:noProof w:val="0"/>
        </w:rPr>
        <w:t>en</w:t>
      </w:r>
      <w:r w:rsidRPr="00944EA9">
        <w:rPr>
          <w:rStyle w:val="HideTWBExt"/>
          <w:noProof w:val="0"/>
        </w:rPr>
        <w:t>&lt;/Original&gt;</w:t>
      </w:r>
    </w:p>
    <w:p w14:paraId="13F054CF" w14:textId="77777777" w:rsidR="00BF7ACA" w:rsidRPr="00355860" w:rsidRDefault="00BF7ACA" w:rsidP="00BF7ACA">
      <w:pPr>
        <w:pStyle w:val="JustificationTitle"/>
        <w:rPr>
          <w:noProof w:val="0"/>
        </w:rPr>
      </w:pPr>
      <w:r>
        <w:rPr>
          <w:rStyle w:val="HideTWBExt"/>
          <w:i w:val="0"/>
          <w:noProof w:val="0"/>
        </w:rPr>
        <w:t>&lt;TitreJust&gt;</w:t>
      </w:r>
      <w:r w:rsidRPr="00B915F8">
        <w:rPr>
          <w:noProof w:val="0"/>
        </w:rPr>
        <w:t>Justification</w:t>
      </w:r>
      <w:r>
        <w:rPr>
          <w:rStyle w:val="HideTWBExt"/>
          <w:i w:val="0"/>
          <w:noProof w:val="0"/>
        </w:rPr>
        <w:t>&lt;/TitreJust&gt;</w:t>
      </w:r>
    </w:p>
    <w:p w14:paraId="05F248AB" w14:textId="77777777" w:rsidR="00BF7ACA" w:rsidRPr="00355860" w:rsidRDefault="00BF7ACA" w:rsidP="00BF7ACA">
      <w:pPr>
        <w:pStyle w:val="Normal12Italic"/>
        <w:rPr>
          <w:noProof w:val="0"/>
        </w:rPr>
      </w:pPr>
      <w:r>
        <w:rPr>
          <w:noProof w:val="0"/>
        </w:rPr>
        <w:t>Les accords sont conclus sous réserve que l’investissement ou la mesure contribue à l’objectif visant à soutenir un développement durable et inclusif sur les plans économique, social et environnemental dans les pays partenaires.</w:t>
      </w:r>
    </w:p>
    <w:p w14:paraId="3ADA75D4" w14:textId="77777777" w:rsidR="00BF7ACA" w:rsidRPr="00BF7ACA" w:rsidRDefault="00BF7ACA" w:rsidP="00BF7ACA">
      <w:r w:rsidRPr="00BF7ACA">
        <w:rPr>
          <w:rStyle w:val="HideTWBExt"/>
        </w:rPr>
        <w:t>&lt;/Amend&gt;</w:t>
      </w:r>
    </w:p>
    <w:p w14:paraId="24FD8CED"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228</w:t>
      </w:r>
      <w:r w:rsidRPr="00BF7ACA">
        <w:rPr>
          <w:rStyle w:val="HideTWBExt"/>
          <w:b w:val="0"/>
        </w:rPr>
        <w:t>&lt;/NumAm&gt;</w:t>
      </w:r>
    </w:p>
    <w:p w14:paraId="2E141EF7" w14:textId="77777777" w:rsidR="00BF7ACA" w:rsidRPr="00BF7ACA" w:rsidRDefault="00BF7ACA" w:rsidP="00BF7ACA">
      <w:pPr>
        <w:pStyle w:val="NormalBold"/>
      </w:pPr>
      <w:r w:rsidRPr="00BF7ACA">
        <w:rPr>
          <w:rStyle w:val="HideTWBExt"/>
          <w:b w:val="0"/>
        </w:rPr>
        <w:t>&lt;RepeatBlock-By&gt;&lt;Members&gt;</w:t>
      </w:r>
      <w:r w:rsidRPr="00BF7ACA">
        <w:t>Eduard Kukan, Doru-Claudian Frunzulică, Eider Gardiazabal Rubial</w:t>
      </w:r>
      <w:r w:rsidRPr="00BF7ACA">
        <w:rPr>
          <w:rStyle w:val="HideTWBExt"/>
          <w:b w:val="0"/>
        </w:rPr>
        <w:t>&lt;/Members&gt;</w:t>
      </w:r>
    </w:p>
    <w:p w14:paraId="54F4AC6A" w14:textId="77777777" w:rsidR="00BF7ACA" w:rsidRPr="00355860" w:rsidRDefault="00BF7ACA" w:rsidP="00BF7ACA">
      <w:r>
        <w:rPr>
          <w:rStyle w:val="HideTWBExt"/>
        </w:rPr>
        <w:t>&lt;/RepeatBlock-By&gt;</w:t>
      </w:r>
    </w:p>
    <w:p w14:paraId="498751AC"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6755144A" w14:textId="77777777" w:rsidR="00BF7ACA" w:rsidRPr="00355860" w:rsidRDefault="00BF7ACA" w:rsidP="00BF7ACA">
      <w:pPr>
        <w:pStyle w:val="NormalBold"/>
      </w:pPr>
      <w:r>
        <w:rPr>
          <w:rStyle w:val="HideTWBExt"/>
          <w:b w:val="0"/>
        </w:rPr>
        <w:t>&lt;Article&gt;</w:t>
      </w:r>
      <w:r w:rsidRPr="00B915F8">
        <w:t>Article 6 – paragraphe 1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61F3C1DF" w14:textId="77777777" w:rsidTr="007924BE">
        <w:trPr>
          <w:jc w:val="center"/>
        </w:trPr>
        <w:tc>
          <w:tcPr>
            <w:tcW w:w="9752" w:type="dxa"/>
            <w:gridSpan w:val="2"/>
          </w:tcPr>
          <w:p w14:paraId="45F84ECC" w14:textId="77777777" w:rsidR="00BF7ACA" w:rsidRPr="00355860" w:rsidRDefault="00BF7ACA" w:rsidP="007924BE">
            <w:pPr>
              <w:keepNext/>
            </w:pPr>
          </w:p>
        </w:tc>
      </w:tr>
      <w:tr w:rsidR="00BF7ACA" w:rsidRPr="00355860" w14:paraId="6B728D24" w14:textId="77777777" w:rsidTr="007924BE">
        <w:trPr>
          <w:jc w:val="center"/>
        </w:trPr>
        <w:tc>
          <w:tcPr>
            <w:tcW w:w="4876" w:type="dxa"/>
            <w:hideMark/>
          </w:tcPr>
          <w:p w14:paraId="5F617914" w14:textId="77777777" w:rsidR="00BF7ACA" w:rsidRPr="00B915F8" w:rsidRDefault="00BF7ACA" w:rsidP="007924BE">
            <w:pPr>
              <w:pStyle w:val="ColumnHeading"/>
              <w:keepNext/>
            </w:pPr>
            <w:r w:rsidRPr="00B915F8">
              <w:t>Texte proposé par la Commission</w:t>
            </w:r>
          </w:p>
        </w:tc>
        <w:tc>
          <w:tcPr>
            <w:tcW w:w="4876" w:type="dxa"/>
            <w:hideMark/>
          </w:tcPr>
          <w:p w14:paraId="396ED1C7" w14:textId="77777777" w:rsidR="00BF7ACA" w:rsidRPr="00B915F8" w:rsidRDefault="00BF7ACA" w:rsidP="007924BE">
            <w:pPr>
              <w:pStyle w:val="ColumnHeading"/>
              <w:keepNext/>
            </w:pPr>
            <w:r w:rsidRPr="00B915F8">
              <w:t>Amendement</w:t>
            </w:r>
          </w:p>
        </w:tc>
      </w:tr>
      <w:tr w:rsidR="00BF7ACA" w:rsidRPr="00355860" w14:paraId="36666890" w14:textId="77777777" w:rsidTr="007924BE">
        <w:trPr>
          <w:jc w:val="center"/>
        </w:trPr>
        <w:tc>
          <w:tcPr>
            <w:tcW w:w="4876" w:type="dxa"/>
          </w:tcPr>
          <w:p w14:paraId="249D93B8" w14:textId="77777777" w:rsidR="00BF7ACA" w:rsidRPr="00B915F8" w:rsidRDefault="00BF7ACA" w:rsidP="007924BE">
            <w:pPr>
              <w:pStyle w:val="Normal6"/>
            </w:pPr>
          </w:p>
        </w:tc>
        <w:tc>
          <w:tcPr>
            <w:tcW w:w="4876" w:type="dxa"/>
            <w:hideMark/>
          </w:tcPr>
          <w:p w14:paraId="4C38B436" w14:textId="77777777" w:rsidR="00BF7ACA" w:rsidRPr="00DC274A" w:rsidRDefault="00BF7ACA" w:rsidP="007924BE">
            <w:pPr>
              <w:pStyle w:val="Normal6"/>
              <w:rPr>
                <w:b/>
                <w:i/>
                <w:szCs w:val="24"/>
              </w:rPr>
            </w:pPr>
            <w:r w:rsidRPr="00DC274A">
              <w:rPr>
                <w:b/>
                <w:i/>
              </w:rPr>
              <w:t>1 bis.</w:t>
            </w:r>
            <w:r w:rsidRPr="00DC274A">
              <w:rPr>
                <w:b/>
                <w:i/>
              </w:rPr>
              <w:tab/>
              <w:t>La garantie FEDD soutient des opérations de financement et d’investissement dans les pays partenaires dans les régions énumérées à l’annexe du présent règlement. La Commission est habilitée à adopter des actes délégués conformément à l’article 20 bis relatifs aux modifications apportées à l’annexe.</w:t>
            </w:r>
          </w:p>
        </w:tc>
      </w:tr>
    </w:tbl>
    <w:p w14:paraId="11C63A33"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CB380DA" w14:textId="77777777" w:rsidR="00BF7ACA" w:rsidRPr="00BF7ACA" w:rsidRDefault="00BF7ACA" w:rsidP="00BF7ACA">
      <w:r w:rsidRPr="00BF7ACA">
        <w:rPr>
          <w:rStyle w:val="HideTWBExt"/>
        </w:rPr>
        <w:t>&lt;/Amend&gt;</w:t>
      </w:r>
    </w:p>
    <w:p w14:paraId="3B76104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229</w:t>
      </w:r>
      <w:r w:rsidRPr="00BF7ACA">
        <w:rPr>
          <w:rStyle w:val="HideTWBExt"/>
          <w:b w:val="0"/>
        </w:rPr>
        <w:t>&lt;/NumAm&gt;</w:t>
      </w:r>
    </w:p>
    <w:p w14:paraId="3B5A9B74" w14:textId="77777777"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Jozo Radoš, Hilde Vautmans, Ilhan Kyuchyuk, Nedzhmi Ali, Jasenko Selimovic</w:t>
      </w:r>
      <w:r w:rsidRPr="00BF7ACA">
        <w:rPr>
          <w:rStyle w:val="HideTWBExt"/>
          <w:b w:val="0"/>
        </w:rPr>
        <w:t>&lt;/Members&gt;</w:t>
      </w:r>
    </w:p>
    <w:p w14:paraId="1E0A8510" w14:textId="77777777" w:rsidR="00BF7ACA" w:rsidRPr="00355860" w:rsidRDefault="00BF7ACA" w:rsidP="00BF7ACA">
      <w:r>
        <w:rPr>
          <w:rStyle w:val="HideTWBExt"/>
        </w:rPr>
        <w:t>&lt;/RepeatBlock-By&gt;</w:t>
      </w:r>
    </w:p>
    <w:p w14:paraId="149F7B13"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45414D96" w14:textId="77777777" w:rsidR="00BF7ACA" w:rsidRPr="00355860" w:rsidRDefault="00BF7ACA" w:rsidP="00BF7ACA">
      <w:pPr>
        <w:pStyle w:val="NormalBold"/>
      </w:pPr>
      <w:r>
        <w:rPr>
          <w:rStyle w:val="HideTWBExt"/>
          <w:b w:val="0"/>
        </w:rPr>
        <w:t>&lt;Article&gt;</w:t>
      </w:r>
      <w:r w:rsidRPr="00B915F8">
        <w:t>Article 6 – paragraphe 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3E184C77" w14:textId="77777777" w:rsidTr="007924BE">
        <w:trPr>
          <w:jc w:val="center"/>
        </w:trPr>
        <w:tc>
          <w:tcPr>
            <w:tcW w:w="9752" w:type="dxa"/>
            <w:gridSpan w:val="2"/>
          </w:tcPr>
          <w:p w14:paraId="754A4A7B" w14:textId="77777777" w:rsidR="00BF7ACA" w:rsidRPr="00355860" w:rsidRDefault="00BF7ACA" w:rsidP="007924BE">
            <w:pPr>
              <w:keepNext/>
            </w:pPr>
          </w:p>
        </w:tc>
      </w:tr>
      <w:tr w:rsidR="00BF7ACA" w:rsidRPr="00355860" w14:paraId="185AAC13" w14:textId="77777777" w:rsidTr="007924BE">
        <w:trPr>
          <w:jc w:val="center"/>
        </w:trPr>
        <w:tc>
          <w:tcPr>
            <w:tcW w:w="4876" w:type="dxa"/>
            <w:hideMark/>
          </w:tcPr>
          <w:p w14:paraId="453A4DC4" w14:textId="77777777" w:rsidR="00BF7ACA" w:rsidRPr="00B915F8" w:rsidRDefault="00BF7ACA" w:rsidP="007924BE">
            <w:pPr>
              <w:pStyle w:val="ColumnHeading"/>
              <w:keepNext/>
            </w:pPr>
            <w:r w:rsidRPr="00B915F8">
              <w:t>Texte proposé par la Commission</w:t>
            </w:r>
          </w:p>
        </w:tc>
        <w:tc>
          <w:tcPr>
            <w:tcW w:w="4876" w:type="dxa"/>
            <w:hideMark/>
          </w:tcPr>
          <w:p w14:paraId="68C63E8E" w14:textId="77777777" w:rsidR="00BF7ACA" w:rsidRPr="00B915F8" w:rsidRDefault="00BF7ACA" w:rsidP="007924BE">
            <w:pPr>
              <w:pStyle w:val="ColumnHeading"/>
              <w:keepNext/>
            </w:pPr>
            <w:r w:rsidRPr="00B915F8">
              <w:t>Amendement</w:t>
            </w:r>
          </w:p>
        </w:tc>
      </w:tr>
      <w:tr w:rsidR="00BF7ACA" w:rsidRPr="00355860" w14:paraId="0A12154E" w14:textId="77777777" w:rsidTr="007924BE">
        <w:trPr>
          <w:jc w:val="center"/>
        </w:trPr>
        <w:tc>
          <w:tcPr>
            <w:tcW w:w="4876" w:type="dxa"/>
          </w:tcPr>
          <w:p w14:paraId="69880A40" w14:textId="77777777" w:rsidR="00BF7ACA" w:rsidRPr="00B915F8" w:rsidRDefault="00BF7ACA" w:rsidP="007924BE">
            <w:pPr>
              <w:pStyle w:val="Normal6"/>
            </w:pPr>
          </w:p>
        </w:tc>
        <w:tc>
          <w:tcPr>
            <w:tcW w:w="4876" w:type="dxa"/>
            <w:hideMark/>
          </w:tcPr>
          <w:p w14:paraId="22FE1FAE" w14:textId="77777777" w:rsidR="00BF7ACA" w:rsidRPr="00DC274A" w:rsidRDefault="00BF7ACA" w:rsidP="007924BE">
            <w:pPr>
              <w:pStyle w:val="Normal6"/>
              <w:rPr>
                <w:b/>
                <w:i/>
                <w:szCs w:val="24"/>
              </w:rPr>
            </w:pPr>
            <w:r w:rsidRPr="00DC274A">
              <w:rPr>
                <w:b/>
                <w:i/>
              </w:rPr>
              <w:t>2 bis.</w:t>
            </w:r>
            <w:r w:rsidRPr="00DC274A">
              <w:rPr>
                <w:b/>
                <w:i/>
              </w:rPr>
              <w:tab/>
              <w:t>La Commission met en place et rend public un tableau de bord d’indicateurs qui englobe les trois dimensions du développement durable censées servir de référence à la sélection des projets économiquement viables, en vue de garantir une évaluation indépendante et transparente de l’utilisation potentielle et effective de la garantie de l’Union.</w:t>
            </w:r>
          </w:p>
        </w:tc>
      </w:tr>
    </w:tbl>
    <w:p w14:paraId="72C80290" w14:textId="77777777"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14:paraId="7E17351C" w14:textId="77777777" w:rsidR="00BF7ACA" w:rsidRPr="00BF7ACA" w:rsidRDefault="00BF7ACA" w:rsidP="00BF7ACA">
      <w:pPr>
        <w:rPr>
          <w:lang w:val="nl-NL"/>
        </w:rPr>
      </w:pPr>
      <w:r w:rsidRPr="00BF7ACA">
        <w:rPr>
          <w:rStyle w:val="HideTWBExt"/>
          <w:lang w:val="nl-NL"/>
        </w:rPr>
        <w:t>&lt;/Amend&gt;</w:t>
      </w:r>
    </w:p>
    <w:p w14:paraId="1CD6DAF0" w14:textId="77777777"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230</w:t>
      </w:r>
      <w:r w:rsidRPr="00BF7ACA">
        <w:rPr>
          <w:rStyle w:val="HideTWBExt"/>
          <w:b w:val="0"/>
          <w:lang w:val="nl-NL"/>
        </w:rPr>
        <w:t>&lt;/NumAm&gt;</w:t>
      </w:r>
    </w:p>
    <w:p w14:paraId="7999F310" w14:textId="77777777"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14:paraId="220EB0C3" w14:textId="77777777" w:rsidR="00BF7ACA" w:rsidRPr="00BF7ACA" w:rsidRDefault="00BF7ACA" w:rsidP="00BF7ACA">
      <w:pPr>
        <w:rPr>
          <w:lang w:val="nl-NL"/>
        </w:rPr>
      </w:pPr>
      <w:r w:rsidRPr="00BF7ACA">
        <w:rPr>
          <w:rStyle w:val="HideTWBExt"/>
          <w:lang w:val="nl-NL"/>
        </w:rPr>
        <w:t>&lt;/RepeatBlock-By&gt;</w:t>
      </w:r>
    </w:p>
    <w:p w14:paraId="289FFDBC"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1CD5E76C" w14:textId="77777777" w:rsidR="00BF7ACA" w:rsidRPr="00355860" w:rsidRDefault="00BF7ACA" w:rsidP="00BF7ACA">
      <w:pPr>
        <w:pStyle w:val="NormalBold"/>
      </w:pPr>
      <w:r>
        <w:rPr>
          <w:rStyle w:val="HideTWBExt"/>
          <w:b w:val="0"/>
        </w:rPr>
        <w:t>&lt;Article&gt;</w:t>
      </w:r>
      <w:r w:rsidRPr="00B915F8">
        <w:t>Article 7 – paragraphe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27228B9E" w14:textId="77777777" w:rsidTr="007924BE">
        <w:trPr>
          <w:jc w:val="center"/>
        </w:trPr>
        <w:tc>
          <w:tcPr>
            <w:tcW w:w="9752" w:type="dxa"/>
            <w:gridSpan w:val="2"/>
          </w:tcPr>
          <w:p w14:paraId="551BD0B5" w14:textId="77777777" w:rsidR="00BF7ACA" w:rsidRPr="00355860" w:rsidRDefault="00BF7ACA" w:rsidP="007924BE">
            <w:pPr>
              <w:keepNext/>
            </w:pPr>
          </w:p>
        </w:tc>
      </w:tr>
      <w:tr w:rsidR="00BF7ACA" w:rsidRPr="00355860" w14:paraId="76AD210A" w14:textId="77777777" w:rsidTr="007924BE">
        <w:trPr>
          <w:jc w:val="center"/>
        </w:trPr>
        <w:tc>
          <w:tcPr>
            <w:tcW w:w="4876" w:type="dxa"/>
            <w:hideMark/>
          </w:tcPr>
          <w:p w14:paraId="7352FA65" w14:textId="77777777" w:rsidR="00BF7ACA" w:rsidRPr="00B915F8" w:rsidRDefault="00BF7ACA" w:rsidP="007924BE">
            <w:pPr>
              <w:pStyle w:val="ColumnHeading"/>
              <w:keepNext/>
            </w:pPr>
            <w:r w:rsidRPr="00B915F8">
              <w:t>Texte proposé par la Commission</w:t>
            </w:r>
          </w:p>
        </w:tc>
        <w:tc>
          <w:tcPr>
            <w:tcW w:w="4876" w:type="dxa"/>
            <w:hideMark/>
          </w:tcPr>
          <w:p w14:paraId="515CF844" w14:textId="77777777" w:rsidR="00BF7ACA" w:rsidRPr="00B915F8" w:rsidRDefault="00BF7ACA" w:rsidP="007924BE">
            <w:pPr>
              <w:pStyle w:val="ColumnHeading"/>
              <w:keepNext/>
            </w:pPr>
            <w:r w:rsidRPr="00B915F8">
              <w:t>Amendement</w:t>
            </w:r>
          </w:p>
        </w:tc>
      </w:tr>
      <w:tr w:rsidR="00BF7ACA" w:rsidRPr="00355860" w14:paraId="252BFC14" w14:textId="77777777" w:rsidTr="007924BE">
        <w:trPr>
          <w:jc w:val="center"/>
        </w:trPr>
        <w:tc>
          <w:tcPr>
            <w:tcW w:w="4876" w:type="dxa"/>
            <w:hideMark/>
          </w:tcPr>
          <w:p w14:paraId="6AD982C1" w14:textId="77777777" w:rsidR="00BF7ACA" w:rsidRPr="00DC274A" w:rsidRDefault="00BF7ACA" w:rsidP="007924BE">
            <w:pPr>
              <w:pStyle w:val="Normal6"/>
              <w:rPr>
                <w:b/>
                <w:i/>
              </w:rPr>
            </w:pPr>
            <w:r w:rsidRPr="00DC274A">
              <w:t>1.</w:t>
            </w:r>
            <w:r w:rsidRPr="00DC274A">
              <w:rPr>
                <w:b/>
                <w:i/>
              </w:rPr>
              <w:tab/>
            </w:r>
            <w:r w:rsidRPr="00DC274A">
              <w:t>L’octroi de la garantie FEDD est subordonné à la conclusion de l’accord de garantie FEDD correspondant entre la Commission, au nom de l’Union, et la contrepartie éligible.</w:t>
            </w:r>
          </w:p>
        </w:tc>
        <w:tc>
          <w:tcPr>
            <w:tcW w:w="4876" w:type="dxa"/>
            <w:hideMark/>
          </w:tcPr>
          <w:p w14:paraId="357A0559" w14:textId="77777777" w:rsidR="00BF7ACA" w:rsidRPr="00DC274A" w:rsidRDefault="00BF7ACA" w:rsidP="007924BE">
            <w:pPr>
              <w:pStyle w:val="Normal6"/>
              <w:rPr>
                <w:b/>
                <w:i/>
                <w:szCs w:val="24"/>
              </w:rPr>
            </w:pPr>
            <w:r w:rsidRPr="00DC274A">
              <w:t>1.</w:t>
            </w:r>
            <w:r w:rsidRPr="00DC274A">
              <w:rPr>
                <w:b/>
                <w:i/>
              </w:rPr>
              <w:tab/>
            </w:r>
            <w:r w:rsidRPr="00DC274A">
              <w:t>L’octroi de la garantie FEDD est subordonné à la conclusion de l’accord de garantie FEDD correspondant entre la Commission, au nom de l’Union, et la contrepartie éligible</w:t>
            </w:r>
            <w:r w:rsidRPr="00DC274A">
              <w:rPr>
                <w:b/>
                <w:i/>
              </w:rPr>
              <w:t>, conformément aux principes et aux objectifs de l’action extérieure de l’Union</w:t>
            </w:r>
            <w:r w:rsidRPr="00DC274A">
              <w:t>.</w:t>
            </w:r>
          </w:p>
        </w:tc>
      </w:tr>
    </w:tbl>
    <w:p w14:paraId="23724F74"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35ED3DA" w14:textId="77777777" w:rsidR="00BF7ACA" w:rsidRPr="00BF7ACA" w:rsidRDefault="00BF7ACA" w:rsidP="00BF7ACA">
      <w:r w:rsidRPr="00BF7ACA">
        <w:rPr>
          <w:rStyle w:val="HideTWBExt"/>
        </w:rPr>
        <w:t>&lt;/Amend&gt;</w:t>
      </w:r>
    </w:p>
    <w:p w14:paraId="79F3D89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231</w:t>
      </w:r>
      <w:r w:rsidRPr="00BF7ACA">
        <w:rPr>
          <w:rStyle w:val="HideTWBExt"/>
          <w:b w:val="0"/>
        </w:rPr>
        <w:t>&lt;/NumAm&gt;</w:t>
      </w:r>
    </w:p>
    <w:p w14:paraId="1AC87D49" w14:textId="77777777"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14:paraId="187B12FE" w14:textId="77777777" w:rsidR="00BF7ACA" w:rsidRPr="00355860" w:rsidRDefault="00BF7ACA" w:rsidP="00BF7ACA">
      <w:r>
        <w:rPr>
          <w:rStyle w:val="HideTWBExt"/>
        </w:rPr>
        <w:t>&lt;/RepeatBlock-By&gt;</w:t>
      </w:r>
    </w:p>
    <w:p w14:paraId="449459F6"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0A4C1B58" w14:textId="77777777" w:rsidR="00BF7ACA" w:rsidRPr="00355860" w:rsidRDefault="00BF7ACA" w:rsidP="00BF7ACA">
      <w:pPr>
        <w:pStyle w:val="NormalBold"/>
      </w:pPr>
      <w:r>
        <w:rPr>
          <w:rStyle w:val="HideTWBExt"/>
          <w:b w:val="0"/>
        </w:rPr>
        <w:t>&lt;Article&gt;</w:t>
      </w:r>
      <w:r w:rsidRPr="00B915F8">
        <w:t>Article 7 – paragraphe 3</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38A7D167" w14:textId="77777777" w:rsidTr="007924BE">
        <w:trPr>
          <w:jc w:val="center"/>
        </w:trPr>
        <w:tc>
          <w:tcPr>
            <w:tcW w:w="9752" w:type="dxa"/>
            <w:gridSpan w:val="2"/>
          </w:tcPr>
          <w:p w14:paraId="24C1C4CE" w14:textId="77777777" w:rsidR="00BF7ACA" w:rsidRPr="00355860" w:rsidRDefault="00BF7ACA" w:rsidP="007924BE">
            <w:pPr>
              <w:keepNext/>
            </w:pPr>
          </w:p>
        </w:tc>
      </w:tr>
      <w:tr w:rsidR="00BF7ACA" w:rsidRPr="00355860" w14:paraId="2070F92D" w14:textId="77777777" w:rsidTr="007924BE">
        <w:trPr>
          <w:jc w:val="center"/>
        </w:trPr>
        <w:tc>
          <w:tcPr>
            <w:tcW w:w="4876" w:type="dxa"/>
            <w:hideMark/>
          </w:tcPr>
          <w:p w14:paraId="19192999" w14:textId="77777777" w:rsidR="00BF7ACA" w:rsidRPr="00B915F8" w:rsidRDefault="00BF7ACA" w:rsidP="007924BE">
            <w:pPr>
              <w:pStyle w:val="ColumnHeading"/>
              <w:keepNext/>
            </w:pPr>
            <w:r w:rsidRPr="00B915F8">
              <w:t>Texte proposé par la Commission</w:t>
            </w:r>
          </w:p>
        </w:tc>
        <w:tc>
          <w:tcPr>
            <w:tcW w:w="4876" w:type="dxa"/>
            <w:hideMark/>
          </w:tcPr>
          <w:p w14:paraId="755D8980" w14:textId="77777777" w:rsidR="00BF7ACA" w:rsidRPr="00B915F8" w:rsidRDefault="00BF7ACA" w:rsidP="007924BE">
            <w:pPr>
              <w:pStyle w:val="ColumnHeading"/>
              <w:keepNext/>
            </w:pPr>
            <w:r w:rsidRPr="00B915F8">
              <w:t>Amendement</w:t>
            </w:r>
          </w:p>
        </w:tc>
      </w:tr>
      <w:tr w:rsidR="00BF7ACA" w:rsidRPr="00355860" w14:paraId="74E57CEA" w14:textId="77777777" w:rsidTr="007924BE">
        <w:trPr>
          <w:jc w:val="center"/>
        </w:trPr>
        <w:tc>
          <w:tcPr>
            <w:tcW w:w="4876" w:type="dxa"/>
            <w:hideMark/>
          </w:tcPr>
          <w:p w14:paraId="2913E8A0" w14:textId="77777777" w:rsidR="00BF7ACA" w:rsidRPr="00DC274A" w:rsidRDefault="00BF7ACA" w:rsidP="007924BE">
            <w:pPr>
              <w:pStyle w:val="Normal6"/>
              <w:rPr>
                <w:b/>
                <w:i/>
              </w:rPr>
            </w:pPr>
            <w:r w:rsidRPr="00DC274A">
              <w:t>3.</w:t>
            </w:r>
            <w:r w:rsidRPr="00DC274A">
              <w:rPr>
                <w:b/>
                <w:i/>
              </w:rPr>
              <w:tab/>
            </w:r>
            <w:r w:rsidRPr="00DC274A">
              <w:t>Le délai maximal dans lequel les contreparties éligibles peuvent conclure des accords avec des intermédiaires financiers ou des bénéficiaires finaux est de quatre ans après la conclusion de l’accord de garantie y afférent.</w:t>
            </w:r>
          </w:p>
        </w:tc>
        <w:tc>
          <w:tcPr>
            <w:tcW w:w="4876" w:type="dxa"/>
            <w:hideMark/>
          </w:tcPr>
          <w:p w14:paraId="7BCFFB38" w14:textId="77777777" w:rsidR="00BF7ACA" w:rsidRPr="00DC274A" w:rsidRDefault="00BF7ACA" w:rsidP="007924BE">
            <w:pPr>
              <w:pStyle w:val="Normal6"/>
              <w:rPr>
                <w:b/>
                <w:i/>
                <w:szCs w:val="24"/>
              </w:rPr>
            </w:pPr>
            <w:r w:rsidRPr="00DC274A">
              <w:t>3.</w:t>
            </w:r>
            <w:r w:rsidRPr="00DC274A">
              <w:rPr>
                <w:b/>
                <w:i/>
              </w:rPr>
              <w:tab/>
            </w:r>
            <w:r w:rsidRPr="00DC274A">
              <w:t>Le délai maximal dans lequel les contreparties éligibles peuvent conclure des accords avec des</w:t>
            </w:r>
            <w:r w:rsidRPr="00DC274A">
              <w:rPr>
                <w:b/>
                <w:i/>
              </w:rPr>
              <w:t xml:space="preserve"> partenaires privés cofinanceurs, des</w:t>
            </w:r>
            <w:r w:rsidRPr="00DC274A">
              <w:t xml:space="preserve"> intermédiaires financiers ou des bénéficiaires finaux est de quatre ans après la conclusion de l’accord de garantie y afférent.</w:t>
            </w:r>
          </w:p>
        </w:tc>
      </w:tr>
    </w:tbl>
    <w:p w14:paraId="22F61AA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669B6C3" w14:textId="77777777" w:rsidR="00BF7ACA" w:rsidRPr="00BF7ACA" w:rsidRDefault="00BF7ACA" w:rsidP="00BF7ACA">
      <w:r w:rsidRPr="00BF7ACA">
        <w:rPr>
          <w:rStyle w:val="HideTWBExt"/>
        </w:rPr>
        <w:t>&lt;/Amend&gt;</w:t>
      </w:r>
    </w:p>
    <w:p w14:paraId="756F2C6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232</w:t>
      </w:r>
      <w:r w:rsidRPr="00BF7ACA">
        <w:rPr>
          <w:rStyle w:val="HideTWBExt"/>
          <w:b w:val="0"/>
        </w:rPr>
        <w:t>&lt;/NumAm&gt;</w:t>
      </w:r>
    </w:p>
    <w:p w14:paraId="450654F6"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1EF64566" w14:textId="77777777" w:rsidR="00BF7ACA" w:rsidRPr="00355860" w:rsidRDefault="00BF7ACA" w:rsidP="00BF7ACA">
      <w:r>
        <w:rPr>
          <w:rStyle w:val="HideTWBExt"/>
        </w:rPr>
        <w:t>&lt;/RepeatBlock-By&gt;</w:t>
      </w:r>
    </w:p>
    <w:p w14:paraId="68D12056"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39D26B9E" w14:textId="77777777" w:rsidR="00BF7ACA" w:rsidRPr="00355860" w:rsidRDefault="00BF7ACA" w:rsidP="00BF7ACA">
      <w:pPr>
        <w:pStyle w:val="NormalBold"/>
      </w:pPr>
      <w:r>
        <w:rPr>
          <w:rStyle w:val="HideTWBExt"/>
          <w:b w:val="0"/>
        </w:rPr>
        <w:t>&lt;Article&gt;</w:t>
      </w:r>
      <w:r w:rsidRPr="00B915F8">
        <w:t>Article 8 – titre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77BF6226" w14:textId="77777777" w:rsidTr="007924BE">
        <w:trPr>
          <w:jc w:val="center"/>
        </w:trPr>
        <w:tc>
          <w:tcPr>
            <w:tcW w:w="9752" w:type="dxa"/>
            <w:gridSpan w:val="2"/>
          </w:tcPr>
          <w:p w14:paraId="58776736" w14:textId="77777777" w:rsidR="00BF7ACA" w:rsidRPr="00355860" w:rsidRDefault="00BF7ACA" w:rsidP="007924BE">
            <w:pPr>
              <w:keepNext/>
            </w:pPr>
          </w:p>
        </w:tc>
      </w:tr>
      <w:tr w:rsidR="00BF7ACA" w:rsidRPr="00355860" w14:paraId="58420109" w14:textId="77777777" w:rsidTr="007924BE">
        <w:trPr>
          <w:jc w:val="center"/>
        </w:trPr>
        <w:tc>
          <w:tcPr>
            <w:tcW w:w="4876" w:type="dxa"/>
            <w:hideMark/>
          </w:tcPr>
          <w:p w14:paraId="04253C5A" w14:textId="77777777" w:rsidR="00BF7ACA" w:rsidRPr="00B915F8" w:rsidRDefault="00BF7ACA" w:rsidP="007924BE">
            <w:pPr>
              <w:pStyle w:val="ColumnHeading"/>
              <w:keepNext/>
            </w:pPr>
            <w:r w:rsidRPr="00B915F8">
              <w:t>Texte proposé par la Commission</w:t>
            </w:r>
          </w:p>
        </w:tc>
        <w:tc>
          <w:tcPr>
            <w:tcW w:w="4876" w:type="dxa"/>
            <w:hideMark/>
          </w:tcPr>
          <w:p w14:paraId="2388F594" w14:textId="77777777" w:rsidR="00BF7ACA" w:rsidRPr="00B915F8" w:rsidRDefault="00BF7ACA" w:rsidP="007924BE">
            <w:pPr>
              <w:pStyle w:val="ColumnHeading"/>
              <w:keepNext/>
            </w:pPr>
            <w:r w:rsidRPr="00B915F8">
              <w:t>Amendement</w:t>
            </w:r>
          </w:p>
        </w:tc>
      </w:tr>
      <w:tr w:rsidR="00BF7ACA" w:rsidRPr="00355860" w14:paraId="34D5DA26" w14:textId="77777777" w:rsidTr="007924BE">
        <w:trPr>
          <w:jc w:val="center"/>
        </w:trPr>
        <w:tc>
          <w:tcPr>
            <w:tcW w:w="4876" w:type="dxa"/>
            <w:hideMark/>
          </w:tcPr>
          <w:p w14:paraId="772EA10A" w14:textId="77777777" w:rsidR="00BF7ACA" w:rsidRPr="00DC274A" w:rsidRDefault="00BF7ACA" w:rsidP="007924BE">
            <w:pPr>
              <w:pStyle w:val="Normal6"/>
              <w:rPr>
                <w:b/>
                <w:i/>
              </w:rPr>
            </w:pPr>
            <w:r w:rsidRPr="00DC274A">
              <w:t>Critères d’éligibilité applicables à l’utilisation de la garantie FEDD</w:t>
            </w:r>
          </w:p>
        </w:tc>
        <w:tc>
          <w:tcPr>
            <w:tcW w:w="4876" w:type="dxa"/>
            <w:hideMark/>
          </w:tcPr>
          <w:p w14:paraId="52E4F69E" w14:textId="77777777" w:rsidR="00BF7ACA" w:rsidRPr="00DC274A" w:rsidRDefault="00BF7ACA" w:rsidP="007924BE">
            <w:pPr>
              <w:pStyle w:val="Normal6"/>
              <w:rPr>
                <w:b/>
                <w:i/>
                <w:szCs w:val="24"/>
              </w:rPr>
            </w:pPr>
            <w:r w:rsidRPr="00DC274A">
              <w:t>Critères d’éligibilité</w:t>
            </w:r>
            <w:r w:rsidRPr="00DC274A">
              <w:rPr>
                <w:b/>
                <w:i/>
              </w:rPr>
              <w:t xml:space="preserve"> et d’exclusion</w:t>
            </w:r>
            <w:r w:rsidRPr="00DC274A">
              <w:t xml:space="preserve"> applicables à l’utilisation de la garantie FEDD</w:t>
            </w:r>
          </w:p>
        </w:tc>
      </w:tr>
    </w:tbl>
    <w:p w14:paraId="0B1EB9F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4D15AF4" w14:textId="77777777" w:rsidR="00BF7ACA" w:rsidRPr="00BF7ACA" w:rsidRDefault="00BF7ACA" w:rsidP="00BF7ACA">
      <w:r w:rsidRPr="00BF7ACA">
        <w:rPr>
          <w:rStyle w:val="HideTWBExt"/>
        </w:rPr>
        <w:t>&lt;/Amend&gt;</w:t>
      </w:r>
    </w:p>
    <w:p w14:paraId="04135B1D"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233</w:t>
      </w:r>
      <w:r w:rsidRPr="00BF7ACA">
        <w:rPr>
          <w:rStyle w:val="HideTWBExt"/>
          <w:b w:val="0"/>
        </w:rPr>
        <w:t>&lt;/NumAm&gt;</w:t>
      </w:r>
    </w:p>
    <w:p w14:paraId="759B19F5" w14:textId="77777777" w:rsidR="00BF7ACA" w:rsidRPr="00BF7ACA" w:rsidRDefault="00BF7ACA" w:rsidP="00BF7ACA">
      <w:pPr>
        <w:pStyle w:val="NormalBold"/>
      </w:pPr>
      <w:r w:rsidRPr="00BF7ACA">
        <w:rPr>
          <w:rStyle w:val="HideTWBExt"/>
          <w:b w:val="0"/>
        </w:rPr>
        <w:t>&lt;RepeatBlock-By&gt;&lt;Members&gt;</w:t>
      </w:r>
      <w:r w:rsidRPr="00BF7ACA">
        <w:t>Eduard Kukan</w:t>
      </w:r>
      <w:r w:rsidRPr="00BF7ACA">
        <w:rPr>
          <w:rStyle w:val="HideTWBExt"/>
          <w:b w:val="0"/>
        </w:rPr>
        <w:t>&lt;/Members&gt;</w:t>
      </w:r>
    </w:p>
    <w:p w14:paraId="5A3FD592" w14:textId="77777777" w:rsidR="00BF7ACA" w:rsidRPr="00355860" w:rsidRDefault="00BF7ACA" w:rsidP="00BF7ACA">
      <w:r>
        <w:rPr>
          <w:rStyle w:val="HideTWBExt"/>
        </w:rPr>
        <w:t>&lt;/RepeatBlock-By&gt;</w:t>
      </w:r>
    </w:p>
    <w:p w14:paraId="5DF12EC2"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089BB7D3" w14:textId="77777777" w:rsidR="00BF7ACA" w:rsidRPr="00355860" w:rsidRDefault="00BF7ACA" w:rsidP="00BF7ACA">
      <w:pPr>
        <w:pStyle w:val="NormalBold"/>
      </w:pPr>
      <w:r>
        <w:rPr>
          <w:rStyle w:val="HideTWBExt"/>
          <w:b w:val="0"/>
        </w:rPr>
        <w:t>&lt;Article&gt;</w:t>
      </w:r>
      <w:r w:rsidRPr="00B915F8">
        <w:t>Article 8 – paragraphe 1 – partie introductive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4F3C8217" w14:textId="77777777" w:rsidTr="007924BE">
        <w:trPr>
          <w:jc w:val="center"/>
        </w:trPr>
        <w:tc>
          <w:tcPr>
            <w:tcW w:w="9752" w:type="dxa"/>
            <w:gridSpan w:val="2"/>
          </w:tcPr>
          <w:p w14:paraId="58E7C9FB" w14:textId="77777777" w:rsidR="00BF7ACA" w:rsidRPr="00355860" w:rsidRDefault="00BF7ACA" w:rsidP="007924BE">
            <w:pPr>
              <w:keepNext/>
            </w:pPr>
          </w:p>
        </w:tc>
      </w:tr>
      <w:tr w:rsidR="00BF7ACA" w:rsidRPr="00355860" w14:paraId="2F57B825" w14:textId="77777777" w:rsidTr="007924BE">
        <w:trPr>
          <w:jc w:val="center"/>
        </w:trPr>
        <w:tc>
          <w:tcPr>
            <w:tcW w:w="4876" w:type="dxa"/>
            <w:hideMark/>
          </w:tcPr>
          <w:p w14:paraId="5F579960" w14:textId="77777777" w:rsidR="00BF7ACA" w:rsidRPr="00B915F8" w:rsidRDefault="00BF7ACA" w:rsidP="007924BE">
            <w:pPr>
              <w:pStyle w:val="ColumnHeading"/>
              <w:keepNext/>
            </w:pPr>
            <w:r w:rsidRPr="00B915F8">
              <w:t>Texte proposé par la Commission</w:t>
            </w:r>
          </w:p>
        </w:tc>
        <w:tc>
          <w:tcPr>
            <w:tcW w:w="4876" w:type="dxa"/>
            <w:hideMark/>
          </w:tcPr>
          <w:p w14:paraId="3EA3DCBB" w14:textId="77777777" w:rsidR="00BF7ACA" w:rsidRPr="00B915F8" w:rsidRDefault="00BF7ACA" w:rsidP="007924BE">
            <w:pPr>
              <w:pStyle w:val="ColumnHeading"/>
              <w:keepNext/>
            </w:pPr>
            <w:r w:rsidRPr="00B915F8">
              <w:t>Amendement</w:t>
            </w:r>
          </w:p>
        </w:tc>
      </w:tr>
      <w:tr w:rsidR="00BF7ACA" w:rsidRPr="00355860" w14:paraId="362ED158" w14:textId="77777777" w:rsidTr="007924BE">
        <w:trPr>
          <w:jc w:val="center"/>
        </w:trPr>
        <w:tc>
          <w:tcPr>
            <w:tcW w:w="4876" w:type="dxa"/>
            <w:hideMark/>
          </w:tcPr>
          <w:p w14:paraId="53401E7C" w14:textId="77777777" w:rsidR="00BF7ACA" w:rsidRPr="00DC274A" w:rsidRDefault="00BF7ACA" w:rsidP="007924BE">
            <w:pPr>
              <w:pStyle w:val="Normal6"/>
              <w:rPr>
                <w:b/>
                <w:i/>
              </w:rPr>
            </w:pPr>
            <w:r w:rsidRPr="00DC274A">
              <w:t>1.</w:t>
            </w:r>
            <w:r w:rsidRPr="00DC274A">
              <w:rPr>
                <w:b/>
                <w:i/>
              </w:rPr>
              <w:tab/>
            </w:r>
            <w:r w:rsidRPr="00DC274A">
              <w:t>Les opérations de financement et d’investissement pouvant bénéficier d’un soutien au titre de la garantie FEDD cadrent avec les politiques de l’Union, en particulier sa politique de développement et sa politique de voisinage, ainsi qu’avec les stratégies et les politiques des pays partenaires et ont pour objectif de favoriser la réalisation des objectifs généraux suivants:</w:t>
            </w:r>
          </w:p>
        </w:tc>
        <w:tc>
          <w:tcPr>
            <w:tcW w:w="4876" w:type="dxa"/>
            <w:hideMark/>
          </w:tcPr>
          <w:p w14:paraId="5DDE59FB" w14:textId="77777777" w:rsidR="00BF7ACA" w:rsidRPr="00DC274A" w:rsidRDefault="00BF7ACA" w:rsidP="007924BE">
            <w:pPr>
              <w:pStyle w:val="Normal6"/>
              <w:rPr>
                <w:b/>
                <w:i/>
                <w:szCs w:val="24"/>
              </w:rPr>
            </w:pPr>
            <w:r w:rsidRPr="00DC274A">
              <w:t>1.</w:t>
            </w:r>
            <w:r w:rsidRPr="00DC274A">
              <w:rPr>
                <w:b/>
                <w:i/>
              </w:rPr>
              <w:tab/>
            </w:r>
            <w:r w:rsidRPr="00DC274A">
              <w:t>Les opérations de financement et d’investissement pouvant bénéficier d’un soutien au titre de la garantie FEDD</w:t>
            </w:r>
            <w:r w:rsidRPr="00DC274A">
              <w:rPr>
                <w:b/>
                <w:i/>
              </w:rPr>
              <w:t xml:space="preserve"> sont compatibles avec l’objet du FEDD énoncé à l’article 3. Elles</w:t>
            </w:r>
            <w:r w:rsidRPr="00DC274A">
              <w:t xml:space="preserve"> cadrent avec les politiques de l’Union, en particulier sa politique de développement et sa politique de voisinage, ainsi qu’avec les stratégies et les politiques des pays partenaires</w:t>
            </w:r>
            <w:r w:rsidRPr="00DC274A">
              <w:rPr>
                <w:b/>
                <w:i/>
              </w:rPr>
              <w:t>. Elles tiennent compte de toute autre forme de soutien de l’Union</w:t>
            </w:r>
            <w:r w:rsidRPr="00DC274A">
              <w:t xml:space="preserve"> et</w:t>
            </w:r>
            <w:r w:rsidRPr="00DC274A">
              <w:rPr>
                <w:b/>
                <w:i/>
              </w:rPr>
              <w:t xml:space="preserve"> de la communauté internationale afin d’assurer la complémentarité avec d’autres initiatives, et elles</w:t>
            </w:r>
            <w:r w:rsidRPr="00DC274A">
              <w:t xml:space="preserve"> ont pour objectif de favoriser la réalisation des objectifs généraux suivants:</w:t>
            </w:r>
          </w:p>
        </w:tc>
      </w:tr>
    </w:tbl>
    <w:p w14:paraId="3D21EAAB"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93489D2" w14:textId="77777777" w:rsidR="00BF7ACA" w:rsidRPr="00BF7ACA" w:rsidRDefault="00BF7ACA" w:rsidP="00BF7ACA">
      <w:r w:rsidRPr="00BF7ACA">
        <w:rPr>
          <w:rStyle w:val="HideTWBExt"/>
        </w:rPr>
        <w:t>&lt;/Amend&gt;</w:t>
      </w:r>
    </w:p>
    <w:p w14:paraId="06CB6DF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234</w:t>
      </w:r>
      <w:r w:rsidRPr="00BF7ACA">
        <w:rPr>
          <w:rStyle w:val="HideTWBExt"/>
          <w:b w:val="0"/>
        </w:rPr>
        <w:t>&lt;/NumAm&gt;</w:t>
      </w:r>
    </w:p>
    <w:p w14:paraId="454670F3" w14:textId="77777777"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14:paraId="3A67FA69" w14:textId="77777777" w:rsidR="00BF7ACA" w:rsidRPr="00355860" w:rsidRDefault="00BF7ACA" w:rsidP="00BF7ACA">
      <w:r>
        <w:rPr>
          <w:rStyle w:val="HideTWBExt"/>
        </w:rPr>
        <w:t>&lt;/RepeatBlock-By&gt;</w:t>
      </w:r>
    </w:p>
    <w:p w14:paraId="41FE69B5"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82A1D3E" w14:textId="77777777" w:rsidR="00BF7ACA" w:rsidRPr="00355860" w:rsidRDefault="00BF7ACA" w:rsidP="00BF7ACA">
      <w:pPr>
        <w:pStyle w:val="NormalBold"/>
      </w:pPr>
      <w:r>
        <w:rPr>
          <w:rStyle w:val="HideTWBExt"/>
          <w:b w:val="0"/>
        </w:rPr>
        <w:t>&lt;Article&gt;</w:t>
      </w:r>
      <w:r w:rsidRPr="00B915F8">
        <w:t>Article 8 – paragraphe 1 – partie introductive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31F15830" w14:textId="77777777" w:rsidTr="007924BE">
        <w:trPr>
          <w:jc w:val="center"/>
        </w:trPr>
        <w:tc>
          <w:tcPr>
            <w:tcW w:w="9752" w:type="dxa"/>
            <w:gridSpan w:val="2"/>
          </w:tcPr>
          <w:p w14:paraId="62B0C137" w14:textId="77777777" w:rsidR="00BF7ACA" w:rsidRPr="00355860" w:rsidRDefault="00BF7ACA" w:rsidP="007924BE">
            <w:pPr>
              <w:keepNext/>
            </w:pPr>
          </w:p>
        </w:tc>
      </w:tr>
      <w:tr w:rsidR="00BF7ACA" w:rsidRPr="00355860" w14:paraId="36F13369" w14:textId="77777777" w:rsidTr="007924BE">
        <w:trPr>
          <w:jc w:val="center"/>
        </w:trPr>
        <w:tc>
          <w:tcPr>
            <w:tcW w:w="4876" w:type="dxa"/>
            <w:hideMark/>
          </w:tcPr>
          <w:p w14:paraId="12D0F0EC" w14:textId="77777777" w:rsidR="00BF7ACA" w:rsidRPr="00B915F8" w:rsidRDefault="00BF7ACA" w:rsidP="007924BE">
            <w:pPr>
              <w:pStyle w:val="ColumnHeading"/>
              <w:keepNext/>
            </w:pPr>
            <w:r w:rsidRPr="00B915F8">
              <w:t>Texte proposé par la Commission</w:t>
            </w:r>
          </w:p>
        </w:tc>
        <w:tc>
          <w:tcPr>
            <w:tcW w:w="4876" w:type="dxa"/>
            <w:hideMark/>
          </w:tcPr>
          <w:p w14:paraId="74B74C26" w14:textId="77777777" w:rsidR="00BF7ACA" w:rsidRPr="00B915F8" w:rsidRDefault="00BF7ACA" w:rsidP="007924BE">
            <w:pPr>
              <w:pStyle w:val="ColumnHeading"/>
              <w:keepNext/>
            </w:pPr>
            <w:r w:rsidRPr="00B915F8">
              <w:t>Amendement</w:t>
            </w:r>
          </w:p>
        </w:tc>
      </w:tr>
      <w:tr w:rsidR="00BF7ACA" w:rsidRPr="00355860" w14:paraId="3EA819A8" w14:textId="77777777" w:rsidTr="007924BE">
        <w:trPr>
          <w:jc w:val="center"/>
        </w:trPr>
        <w:tc>
          <w:tcPr>
            <w:tcW w:w="4876" w:type="dxa"/>
            <w:hideMark/>
          </w:tcPr>
          <w:p w14:paraId="5E4E024F" w14:textId="77777777" w:rsidR="00BF7ACA" w:rsidRPr="00DC274A" w:rsidRDefault="00BF7ACA" w:rsidP="007924BE">
            <w:pPr>
              <w:pStyle w:val="Normal6"/>
              <w:rPr>
                <w:b/>
                <w:i/>
              </w:rPr>
            </w:pPr>
            <w:r w:rsidRPr="00DC274A">
              <w:t>1.</w:t>
            </w:r>
            <w:r w:rsidRPr="00DC274A">
              <w:rPr>
                <w:b/>
                <w:i/>
              </w:rPr>
              <w:tab/>
            </w:r>
            <w:r w:rsidRPr="00DC274A">
              <w:t>Les opérations de financement et d’investissement pouvant bénéficier d’un soutien au titre de la garantie FEDD cadrent avec les politiques de l’Union, en particulier sa politique de développement et sa politique de voisinage, ainsi qu’avec les stratégies et les politiques des pays partenaires et</w:t>
            </w:r>
            <w:r w:rsidRPr="00DC274A">
              <w:rPr>
                <w:b/>
                <w:i/>
              </w:rPr>
              <w:t xml:space="preserve"> ont pour objectif de favoriser</w:t>
            </w:r>
            <w:r w:rsidRPr="00DC274A">
              <w:t xml:space="preserve"> la réalisation des objectifs</w:t>
            </w:r>
            <w:r w:rsidRPr="00DC274A">
              <w:rPr>
                <w:b/>
                <w:i/>
              </w:rPr>
              <w:t xml:space="preserve"> généraux</w:t>
            </w:r>
            <w:r w:rsidRPr="00DC274A">
              <w:t xml:space="preserve"> suivants:</w:t>
            </w:r>
          </w:p>
        </w:tc>
        <w:tc>
          <w:tcPr>
            <w:tcW w:w="4876" w:type="dxa"/>
            <w:hideMark/>
          </w:tcPr>
          <w:p w14:paraId="71BB6F42" w14:textId="77777777" w:rsidR="00BF7ACA" w:rsidRPr="00DC274A" w:rsidRDefault="00BF7ACA" w:rsidP="007924BE">
            <w:pPr>
              <w:pStyle w:val="Normal6"/>
              <w:rPr>
                <w:b/>
                <w:i/>
                <w:szCs w:val="24"/>
              </w:rPr>
            </w:pPr>
            <w:r w:rsidRPr="00DC274A">
              <w:t>1.</w:t>
            </w:r>
            <w:r w:rsidRPr="00DC274A">
              <w:rPr>
                <w:b/>
                <w:i/>
              </w:rPr>
              <w:tab/>
            </w:r>
            <w:r w:rsidRPr="00DC274A">
              <w:t>Les opérations de financement et d’investissement pouvant bénéficier d’un soutien au titre de la garantie FEDD</w:t>
            </w:r>
            <w:r w:rsidRPr="00DC274A">
              <w:rPr>
                <w:b/>
                <w:i/>
              </w:rPr>
              <w:t xml:space="preserve"> sont compatibles avec l’objet du FEDD énoncé à l’article 3 et respectent pleinement la liste des activités exclues énoncées à l’article 20. Elles</w:t>
            </w:r>
            <w:r w:rsidRPr="00DC274A">
              <w:t xml:space="preserve"> cadrent avec les politiques de l’Union, en particulier sa politique de développement et sa politique de voisinage, ainsi qu’avec les stratégies et les politiques des pays partenaires et</w:t>
            </w:r>
            <w:r w:rsidRPr="00DC274A">
              <w:rPr>
                <w:b/>
                <w:i/>
              </w:rPr>
              <w:t xml:space="preserve"> favorisent</w:t>
            </w:r>
            <w:r w:rsidRPr="00DC274A">
              <w:t xml:space="preserve"> la réalisation des objectifs suivants:</w:t>
            </w:r>
          </w:p>
        </w:tc>
      </w:tr>
    </w:tbl>
    <w:p w14:paraId="51ED2469" w14:textId="77777777"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14:paraId="119ABCF2" w14:textId="77777777" w:rsidR="00BF7ACA" w:rsidRPr="00BF7ACA" w:rsidRDefault="00BF7ACA" w:rsidP="00BF7ACA">
      <w:pPr>
        <w:rPr>
          <w:lang w:val="nl-NL"/>
        </w:rPr>
      </w:pPr>
      <w:r w:rsidRPr="00BF7ACA">
        <w:rPr>
          <w:rStyle w:val="HideTWBExt"/>
          <w:lang w:val="nl-NL"/>
        </w:rPr>
        <w:t>&lt;/Amend&gt;</w:t>
      </w:r>
    </w:p>
    <w:p w14:paraId="2125285B" w14:textId="77777777"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235</w:t>
      </w:r>
      <w:r w:rsidRPr="00BF7ACA">
        <w:rPr>
          <w:rStyle w:val="HideTWBExt"/>
          <w:b w:val="0"/>
          <w:lang w:val="nl-NL"/>
        </w:rPr>
        <w:t>&lt;/NumAm&gt;</w:t>
      </w:r>
    </w:p>
    <w:p w14:paraId="2989E0EF" w14:textId="77777777"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14:paraId="2986FB4E" w14:textId="77777777" w:rsidR="00BF7ACA" w:rsidRPr="00BF7ACA" w:rsidRDefault="00BF7ACA" w:rsidP="00BF7ACA">
      <w:pPr>
        <w:rPr>
          <w:lang w:val="nl-NL"/>
        </w:rPr>
      </w:pPr>
      <w:r w:rsidRPr="00BF7ACA">
        <w:rPr>
          <w:rStyle w:val="HideTWBExt"/>
          <w:lang w:val="nl-NL"/>
        </w:rPr>
        <w:t>&lt;/RepeatBlock-By&gt;</w:t>
      </w:r>
    </w:p>
    <w:p w14:paraId="3A63A7F1"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1C2EA2C4" w14:textId="77777777" w:rsidR="00BF7ACA" w:rsidRPr="00355860" w:rsidRDefault="00BF7ACA" w:rsidP="00BF7ACA">
      <w:pPr>
        <w:pStyle w:val="NormalBold"/>
      </w:pPr>
      <w:r>
        <w:rPr>
          <w:rStyle w:val="HideTWBExt"/>
          <w:b w:val="0"/>
        </w:rPr>
        <w:t>&lt;Article&gt;</w:t>
      </w:r>
      <w:r w:rsidRPr="00B915F8">
        <w:t>Article 8 – paragraphe 1 – partie introductive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2851F2D8" w14:textId="77777777" w:rsidTr="007924BE">
        <w:trPr>
          <w:jc w:val="center"/>
        </w:trPr>
        <w:tc>
          <w:tcPr>
            <w:tcW w:w="9752" w:type="dxa"/>
            <w:gridSpan w:val="2"/>
          </w:tcPr>
          <w:p w14:paraId="4427075A" w14:textId="77777777" w:rsidR="00BF7ACA" w:rsidRPr="00355860" w:rsidRDefault="00BF7ACA" w:rsidP="007924BE">
            <w:pPr>
              <w:keepNext/>
            </w:pPr>
          </w:p>
        </w:tc>
      </w:tr>
      <w:tr w:rsidR="00BF7ACA" w:rsidRPr="00355860" w14:paraId="61C10A1D" w14:textId="77777777" w:rsidTr="007924BE">
        <w:trPr>
          <w:jc w:val="center"/>
        </w:trPr>
        <w:tc>
          <w:tcPr>
            <w:tcW w:w="4876" w:type="dxa"/>
            <w:hideMark/>
          </w:tcPr>
          <w:p w14:paraId="6ADE1891" w14:textId="77777777" w:rsidR="00BF7ACA" w:rsidRPr="00B915F8" w:rsidRDefault="00BF7ACA" w:rsidP="007924BE">
            <w:pPr>
              <w:pStyle w:val="ColumnHeading"/>
              <w:keepNext/>
            </w:pPr>
            <w:r w:rsidRPr="00B915F8">
              <w:t>Texte proposé par la Commission</w:t>
            </w:r>
          </w:p>
        </w:tc>
        <w:tc>
          <w:tcPr>
            <w:tcW w:w="4876" w:type="dxa"/>
            <w:hideMark/>
          </w:tcPr>
          <w:p w14:paraId="6561532E" w14:textId="77777777" w:rsidR="00BF7ACA" w:rsidRPr="00B915F8" w:rsidRDefault="00BF7ACA" w:rsidP="007924BE">
            <w:pPr>
              <w:pStyle w:val="ColumnHeading"/>
              <w:keepNext/>
            </w:pPr>
            <w:r w:rsidRPr="00B915F8">
              <w:t>Amendement</w:t>
            </w:r>
          </w:p>
        </w:tc>
      </w:tr>
      <w:tr w:rsidR="00BF7ACA" w:rsidRPr="00355860" w14:paraId="0AF7C24F" w14:textId="77777777" w:rsidTr="007924BE">
        <w:trPr>
          <w:jc w:val="center"/>
        </w:trPr>
        <w:tc>
          <w:tcPr>
            <w:tcW w:w="4876" w:type="dxa"/>
            <w:hideMark/>
          </w:tcPr>
          <w:p w14:paraId="45ADE4C9" w14:textId="77777777" w:rsidR="00BF7ACA" w:rsidRPr="00DC274A" w:rsidRDefault="00BF7ACA" w:rsidP="007924BE">
            <w:pPr>
              <w:pStyle w:val="Normal6"/>
              <w:rPr>
                <w:b/>
                <w:i/>
              </w:rPr>
            </w:pPr>
            <w:r w:rsidRPr="00DC274A">
              <w:t>1.</w:t>
            </w:r>
            <w:r w:rsidRPr="00DC274A">
              <w:rPr>
                <w:b/>
                <w:i/>
              </w:rPr>
              <w:tab/>
            </w:r>
            <w:r w:rsidRPr="00DC274A">
              <w:t>Les opérations de financement et d’investissement pouvant bénéficier d’un soutien au titre de la garantie FEDD cadrent avec les politiques de l’Union, en particulier sa politique de développement et sa politique de voisinage, ainsi qu’avec les stratégies et les politiques des pays partenaires et ont pour objectif de favoriser la réalisation des objectifs généraux suivants:</w:t>
            </w:r>
          </w:p>
        </w:tc>
        <w:tc>
          <w:tcPr>
            <w:tcW w:w="4876" w:type="dxa"/>
            <w:hideMark/>
          </w:tcPr>
          <w:p w14:paraId="3B2EBC3A" w14:textId="77777777" w:rsidR="00BF7ACA" w:rsidRPr="00DC274A" w:rsidRDefault="00BF7ACA" w:rsidP="007924BE">
            <w:pPr>
              <w:pStyle w:val="Normal6"/>
              <w:rPr>
                <w:b/>
                <w:i/>
                <w:szCs w:val="24"/>
              </w:rPr>
            </w:pPr>
            <w:r w:rsidRPr="00DC274A">
              <w:t>1.</w:t>
            </w:r>
            <w:r w:rsidRPr="00DC274A">
              <w:rPr>
                <w:b/>
                <w:i/>
              </w:rPr>
              <w:tab/>
            </w:r>
            <w:r w:rsidRPr="00DC274A">
              <w:t>Les opérations de financement et d’investissement pouvant bénéficier d’un soutien au titre de la garantie FEDD cadrent avec les politiques de l’Union, en particulier sa politique de développement et sa politique de voisinage, ainsi qu’avec les</w:t>
            </w:r>
            <w:r w:rsidRPr="00DC274A">
              <w:rPr>
                <w:b/>
                <w:i/>
              </w:rPr>
              <w:t xml:space="preserve"> principes de sa politique étrangère énoncés à l’article 21 du traité UE et avec les</w:t>
            </w:r>
            <w:r w:rsidRPr="00DC274A">
              <w:t xml:space="preserve"> stratégies et les politiques des pays partenaires</w:t>
            </w:r>
            <w:r w:rsidRPr="00DC274A">
              <w:rPr>
                <w:b/>
                <w:i/>
              </w:rPr>
              <w:t>,</w:t>
            </w:r>
            <w:r w:rsidRPr="00DC274A">
              <w:t xml:space="preserve"> et ont pour objectif de favoriser la réalisation des objectifs généraux suivants:</w:t>
            </w:r>
          </w:p>
        </w:tc>
      </w:tr>
    </w:tbl>
    <w:p w14:paraId="5DE5FDE1"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B498EE2" w14:textId="77777777" w:rsidR="00BF7ACA" w:rsidRPr="00BF7ACA" w:rsidRDefault="00BF7ACA" w:rsidP="00BF7ACA">
      <w:r w:rsidRPr="00BF7ACA">
        <w:rPr>
          <w:rStyle w:val="HideTWBExt"/>
        </w:rPr>
        <w:t>&lt;/Amend&gt;</w:t>
      </w:r>
    </w:p>
    <w:p w14:paraId="34191F89"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236</w:t>
      </w:r>
      <w:r w:rsidRPr="00BF7ACA">
        <w:rPr>
          <w:rStyle w:val="HideTWBExt"/>
          <w:b w:val="0"/>
        </w:rPr>
        <w:t>&lt;/NumAm&gt;</w:t>
      </w:r>
    </w:p>
    <w:p w14:paraId="42DB90D4"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7C4FE87B" w14:textId="77777777" w:rsidR="00BF7ACA" w:rsidRPr="00355860" w:rsidRDefault="00BF7ACA" w:rsidP="00BF7ACA">
      <w:r>
        <w:rPr>
          <w:rStyle w:val="HideTWBExt"/>
        </w:rPr>
        <w:t>&lt;/RepeatBlock-By&gt;</w:t>
      </w:r>
    </w:p>
    <w:p w14:paraId="2096C43A"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2F29D31" w14:textId="77777777" w:rsidR="00BF7ACA" w:rsidRPr="00355860" w:rsidRDefault="00BF7ACA" w:rsidP="00BF7ACA">
      <w:pPr>
        <w:pStyle w:val="NormalBold"/>
      </w:pPr>
      <w:r>
        <w:rPr>
          <w:rStyle w:val="HideTWBExt"/>
          <w:b w:val="0"/>
        </w:rPr>
        <w:t>&lt;Article&gt;</w:t>
      </w:r>
      <w:r w:rsidRPr="00B915F8">
        <w:t>Article 8 – paragraphe 1 – point a</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526F5404" w14:textId="77777777" w:rsidTr="007924BE">
        <w:trPr>
          <w:jc w:val="center"/>
        </w:trPr>
        <w:tc>
          <w:tcPr>
            <w:tcW w:w="9752" w:type="dxa"/>
            <w:gridSpan w:val="2"/>
          </w:tcPr>
          <w:p w14:paraId="40853C83" w14:textId="77777777" w:rsidR="00BF7ACA" w:rsidRPr="00355860" w:rsidRDefault="00BF7ACA" w:rsidP="007924BE">
            <w:pPr>
              <w:keepNext/>
            </w:pPr>
          </w:p>
        </w:tc>
      </w:tr>
      <w:tr w:rsidR="00BF7ACA" w:rsidRPr="00355860" w14:paraId="13E632D1" w14:textId="77777777" w:rsidTr="007924BE">
        <w:trPr>
          <w:jc w:val="center"/>
        </w:trPr>
        <w:tc>
          <w:tcPr>
            <w:tcW w:w="4876" w:type="dxa"/>
            <w:hideMark/>
          </w:tcPr>
          <w:p w14:paraId="13F702E9" w14:textId="77777777" w:rsidR="00BF7ACA" w:rsidRPr="00B915F8" w:rsidRDefault="00BF7ACA" w:rsidP="007924BE">
            <w:pPr>
              <w:pStyle w:val="ColumnHeading"/>
              <w:keepNext/>
            </w:pPr>
            <w:r w:rsidRPr="00B915F8">
              <w:t>Texte proposé par la Commission</w:t>
            </w:r>
          </w:p>
        </w:tc>
        <w:tc>
          <w:tcPr>
            <w:tcW w:w="4876" w:type="dxa"/>
            <w:hideMark/>
          </w:tcPr>
          <w:p w14:paraId="063755E0" w14:textId="77777777" w:rsidR="00BF7ACA" w:rsidRPr="00B915F8" w:rsidRDefault="00BF7ACA" w:rsidP="007924BE">
            <w:pPr>
              <w:pStyle w:val="ColumnHeading"/>
              <w:keepNext/>
            </w:pPr>
            <w:r w:rsidRPr="00B915F8">
              <w:t>Amendement</w:t>
            </w:r>
          </w:p>
        </w:tc>
      </w:tr>
      <w:tr w:rsidR="00BF7ACA" w:rsidRPr="00355860" w14:paraId="2C7E7BF0" w14:textId="77777777" w:rsidTr="007924BE">
        <w:trPr>
          <w:jc w:val="center"/>
        </w:trPr>
        <w:tc>
          <w:tcPr>
            <w:tcW w:w="4876" w:type="dxa"/>
            <w:hideMark/>
          </w:tcPr>
          <w:p w14:paraId="0138377F" w14:textId="77777777" w:rsidR="00BF7ACA" w:rsidRPr="00DC274A" w:rsidRDefault="00BF7ACA" w:rsidP="007924BE">
            <w:pPr>
              <w:pStyle w:val="Normal6"/>
              <w:rPr>
                <w:b/>
                <w:i/>
              </w:rPr>
            </w:pPr>
            <w:r w:rsidRPr="00DC274A">
              <w:t>(a)</w:t>
            </w:r>
            <w:r w:rsidRPr="00DC274A">
              <w:rPr>
                <w:b/>
                <w:i/>
              </w:rPr>
              <w:tab/>
            </w:r>
            <w:r w:rsidRPr="00DC274A">
              <w:t>contribuer au développement économique et social, en mettant particulièrement l’accent sur la</w:t>
            </w:r>
            <w:r w:rsidRPr="00DC274A">
              <w:rPr>
                <w:b/>
                <w:i/>
              </w:rPr>
              <w:t xml:space="preserve"> durabilité</w:t>
            </w:r>
            <w:r w:rsidRPr="00DC274A">
              <w:t xml:space="preserve"> et la création d’emplois</w:t>
            </w:r>
            <w:r w:rsidRPr="00DC274A">
              <w:rPr>
                <w:b/>
                <w:i/>
              </w:rPr>
              <w:t xml:space="preserve"> (notamment en faveur des jeunes et des femmes)</w:t>
            </w:r>
            <w:r w:rsidRPr="00DC274A">
              <w:t>, et,</w:t>
            </w:r>
            <w:r w:rsidRPr="00DC274A">
              <w:rPr>
                <w:b/>
                <w:i/>
              </w:rPr>
              <w:t xml:space="preserve"> partant</w:t>
            </w:r>
            <w:r w:rsidRPr="00DC274A">
              <w:t>, lutter contre les causes profondes de la migration et</w:t>
            </w:r>
            <w:r w:rsidRPr="00DC274A">
              <w:rPr>
                <w:b/>
                <w:i/>
              </w:rPr>
              <w:t xml:space="preserve"> contribuer à</w:t>
            </w:r>
            <w:r w:rsidRPr="00DC274A">
              <w:t xml:space="preserve"> la réintégration durable des migrants</w:t>
            </w:r>
            <w:r w:rsidRPr="00DC274A">
              <w:rPr>
                <w:b/>
                <w:i/>
              </w:rPr>
              <w:t xml:space="preserve"> de retour</w:t>
            </w:r>
            <w:r w:rsidRPr="00DC274A">
              <w:t xml:space="preserve"> dans</w:t>
            </w:r>
            <w:r w:rsidRPr="00DC274A">
              <w:rPr>
                <w:b/>
                <w:i/>
              </w:rPr>
              <w:t xml:space="preserve"> leur</w:t>
            </w:r>
            <w:r w:rsidRPr="00DC274A">
              <w:t xml:space="preserve"> pays d’origine;</w:t>
            </w:r>
          </w:p>
        </w:tc>
        <w:tc>
          <w:tcPr>
            <w:tcW w:w="4876" w:type="dxa"/>
            <w:hideMark/>
          </w:tcPr>
          <w:p w14:paraId="64B5C61F" w14:textId="77777777" w:rsidR="00BF7ACA" w:rsidRPr="00DC274A" w:rsidRDefault="00BF7ACA" w:rsidP="007924BE">
            <w:pPr>
              <w:pStyle w:val="Normal6"/>
              <w:rPr>
                <w:b/>
                <w:i/>
                <w:szCs w:val="24"/>
              </w:rPr>
            </w:pPr>
            <w:r w:rsidRPr="00DC274A">
              <w:t>(a)</w:t>
            </w:r>
            <w:r w:rsidRPr="00DC274A">
              <w:rPr>
                <w:b/>
                <w:i/>
              </w:rPr>
              <w:tab/>
            </w:r>
            <w:r w:rsidRPr="00DC274A">
              <w:t>contribuer au développement économique</w:t>
            </w:r>
            <w:r w:rsidRPr="00DC274A">
              <w:rPr>
                <w:b/>
                <w:i/>
              </w:rPr>
              <w:t>, endogène</w:t>
            </w:r>
            <w:r w:rsidRPr="00DC274A">
              <w:t xml:space="preserve"> et social, en mettant particulièrement l’accent sur la</w:t>
            </w:r>
            <w:r w:rsidRPr="00DC274A">
              <w:rPr>
                <w:b/>
                <w:i/>
              </w:rPr>
              <w:t xml:space="preserve"> réalisation des objectifs de développement durable, en particulier sur l’éradication de la pauvreté</w:t>
            </w:r>
            <w:r w:rsidRPr="00DC274A">
              <w:t xml:space="preserve"> et la</w:t>
            </w:r>
            <w:r w:rsidRPr="00DC274A">
              <w:rPr>
                <w:b/>
                <w:i/>
              </w:rPr>
              <w:t xml:space="preserve"> réduction des inégalités. Ces opérations sont guidées par les objectifs énoncés à l’article 21 du traité UE et à l’article 208 du TFUE et par les principes de l’efficacité du développement convenus au niveau international, notamment l’appropriation, l’alignement sur les stratégies nationales, l’harmonisation, la responsabilité démocratique et les résultats, et contribuent ainsi à la réalisation des objectifs de l’Union en faveur du développement, en particulier l’éradication de la pauvreté, la réduction des inégalités, la croissance durable à long terme pour tous, la</w:t>
            </w:r>
            <w:r w:rsidRPr="00DC274A">
              <w:t xml:space="preserve"> création d’emplois</w:t>
            </w:r>
            <w:r w:rsidRPr="00DC274A">
              <w:rPr>
                <w:b/>
                <w:i/>
              </w:rPr>
              <w:t xml:space="preserve"> décents</w:t>
            </w:r>
            <w:r w:rsidRPr="00DC274A">
              <w:t>,</w:t>
            </w:r>
            <w:r w:rsidRPr="00DC274A">
              <w:rPr>
                <w:b/>
                <w:i/>
              </w:rPr>
              <w:t xml:space="preserve"> les transferts de technologies</w:t>
            </w:r>
            <w:r w:rsidRPr="00DC274A">
              <w:t xml:space="preserve"> et</w:t>
            </w:r>
            <w:r w:rsidRPr="00DC274A">
              <w:rPr>
                <w:b/>
                <w:i/>
              </w:rPr>
              <w:t xml:space="preserve"> le partage du savoir</w:t>
            </w:r>
            <w:r w:rsidRPr="00DC274A">
              <w:t>,</w:t>
            </w:r>
            <w:r w:rsidRPr="00DC274A">
              <w:rPr>
                <w:b/>
                <w:i/>
              </w:rPr>
              <w:t xml:space="preserve"> les secteurs socio-économiques et le soutien aux microentreprises et aux petites et moyennes entreprises. Ce faisant</w:t>
            </w:r>
            <w:r w:rsidRPr="00DC274A">
              <w:t>,</w:t>
            </w:r>
            <w:r w:rsidRPr="00DC274A">
              <w:rPr>
                <w:b/>
                <w:i/>
              </w:rPr>
              <w:t xml:space="preserve"> le FEDD contribue, entre autres, à</w:t>
            </w:r>
            <w:r w:rsidRPr="00DC274A">
              <w:t xml:space="preserve"> lutter contre les causes</w:t>
            </w:r>
            <w:r w:rsidRPr="00DC274A">
              <w:rPr>
                <w:b/>
                <w:i/>
              </w:rPr>
              <w:t xml:space="preserve"> socio-économiques spécifiques</w:t>
            </w:r>
            <w:r w:rsidRPr="00DC274A">
              <w:t xml:space="preserve"> profondes de la migration</w:t>
            </w:r>
            <w:r w:rsidRPr="00DC274A">
              <w:rPr>
                <w:b/>
                <w:i/>
              </w:rPr>
              <w:t xml:space="preserve"> forcée (notamment la pauvreté, les inégalités, la croissance démographique, la pénurie d’emplois</w:t>
            </w:r>
            <w:r w:rsidRPr="00DC274A">
              <w:t xml:space="preserve"> et</w:t>
            </w:r>
            <w:r w:rsidRPr="00DC274A">
              <w:rPr>
                <w:b/>
                <w:i/>
              </w:rPr>
              <w:t xml:space="preserve"> de perspectives économiques et le changement climatique), favorise</w:t>
            </w:r>
            <w:r w:rsidRPr="00DC274A">
              <w:t xml:space="preserve"> la réintégration durable des migrants</w:t>
            </w:r>
            <w:r w:rsidRPr="00DC274A">
              <w:rPr>
                <w:b/>
                <w:i/>
              </w:rPr>
              <w:t xml:space="preserve"> qui retournent volontairement</w:t>
            </w:r>
            <w:r w:rsidRPr="00DC274A">
              <w:t xml:space="preserve"> dans</w:t>
            </w:r>
            <w:r w:rsidRPr="00DC274A">
              <w:rPr>
                <w:b/>
                <w:i/>
              </w:rPr>
              <w:t xml:space="preserve"> leurs</w:t>
            </w:r>
            <w:r w:rsidRPr="00DC274A">
              <w:t xml:space="preserve"> pays d’origine</w:t>
            </w:r>
            <w:r w:rsidRPr="00DC274A">
              <w:rPr>
                <w:b/>
                <w:i/>
              </w:rPr>
              <w:t xml:space="preserve"> ou qui transitent par ces pays, et renforce la résilience des communautés d’accueil en stimulant la création d’emplois durables et décents, en particulier pour les jeunes et les femmes</w:t>
            </w:r>
            <w:r w:rsidRPr="00DC274A">
              <w:t>;</w:t>
            </w:r>
          </w:p>
        </w:tc>
      </w:tr>
    </w:tbl>
    <w:p w14:paraId="0B6581F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0381ADA" w14:textId="77777777" w:rsidR="00BF7ACA" w:rsidRPr="00BF7ACA" w:rsidRDefault="00BF7ACA" w:rsidP="00BF7ACA">
      <w:r w:rsidRPr="00BF7ACA">
        <w:rPr>
          <w:rStyle w:val="HideTWBExt"/>
        </w:rPr>
        <w:t>&lt;/Amend&gt;</w:t>
      </w:r>
    </w:p>
    <w:p w14:paraId="5F82C534"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237</w:t>
      </w:r>
      <w:r w:rsidRPr="00E502E5">
        <w:rPr>
          <w:rStyle w:val="HideTWBExt"/>
          <w:b w:val="0"/>
        </w:rPr>
        <w:t>&lt;/NumAm&gt;</w:t>
      </w:r>
    </w:p>
    <w:p w14:paraId="36D43488" w14:textId="77777777"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14:paraId="05F01AAE" w14:textId="77777777" w:rsidR="00BF7ACA" w:rsidRPr="00E502E5" w:rsidRDefault="00BF7ACA" w:rsidP="00BF7ACA">
      <w:r w:rsidRPr="00E502E5">
        <w:rPr>
          <w:rStyle w:val="HideTWBExt"/>
        </w:rPr>
        <w:t>&lt;/RepeatBlock-By&gt;</w:t>
      </w:r>
    </w:p>
    <w:p w14:paraId="673C2D72"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0AA85D03" w14:textId="77777777" w:rsidR="00BF7ACA" w:rsidRPr="00E502E5" w:rsidRDefault="00BF7ACA" w:rsidP="00BF7ACA">
      <w:pPr>
        <w:pStyle w:val="NormalBold"/>
      </w:pPr>
      <w:r w:rsidRPr="00E502E5">
        <w:rPr>
          <w:rStyle w:val="HideTWBExt"/>
          <w:b w:val="0"/>
        </w:rPr>
        <w:t>&lt;Article&gt;</w:t>
      </w:r>
      <w:r w:rsidRPr="00E502E5">
        <w:t>Article 8 – paragraphe 1 – point a</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70FCD89F" w14:textId="77777777" w:rsidTr="007924BE">
        <w:trPr>
          <w:jc w:val="center"/>
        </w:trPr>
        <w:tc>
          <w:tcPr>
            <w:tcW w:w="9752" w:type="dxa"/>
            <w:gridSpan w:val="2"/>
          </w:tcPr>
          <w:p w14:paraId="7804F375" w14:textId="77777777" w:rsidR="00BF7ACA" w:rsidRPr="00E502E5" w:rsidRDefault="00BF7ACA" w:rsidP="007924BE">
            <w:pPr>
              <w:keepNext/>
            </w:pPr>
          </w:p>
        </w:tc>
      </w:tr>
      <w:tr w:rsidR="00BF7ACA" w:rsidRPr="00E502E5" w14:paraId="209AADEB" w14:textId="77777777" w:rsidTr="007924BE">
        <w:trPr>
          <w:jc w:val="center"/>
        </w:trPr>
        <w:tc>
          <w:tcPr>
            <w:tcW w:w="4876" w:type="dxa"/>
            <w:hideMark/>
          </w:tcPr>
          <w:p w14:paraId="2F0F3530" w14:textId="77777777" w:rsidR="00BF7ACA" w:rsidRPr="00E502E5" w:rsidRDefault="00BF7ACA" w:rsidP="007924BE">
            <w:pPr>
              <w:pStyle w:val="ColumnHeading"/>
              <w:keepNext/>
            </w:pPr>
            <w:r w:rsidRPr="00E502E5">
              <w:t>Texte proposé par la Commission</w:t>
            </w:r>
          </w:p>
        </w:tc>
        <w:tc>
          <w:tcPr>
            <w:tcW w:w="4876" w:type="dxa"/>
            <w:hideMark/>
          </w:tcPr>
          <w:p w14:paraId="75783BCA" w14:textId="77777777" w:rsidR="00BF7ACA" w:rsidRPr="00E502E5" w:rsidRDefault="00BF7ACA" w:rsidP="007924BE">
            <w:pPr>
              <w:pStyle w:val="ColumnHeading"/>
              <w:keepNext/>
            </w:pPr>
            <w:r w:rsidRPr="00E502E5">
              <w:t>Amendement</w:t>
            </w:r>
          </w:p>
        </w:tc>
      </w:tr>
      <w:tr w:rsidR="00BF7ACA" w:rsidRPr="00E502E5" w14:paraId="6CEEE443" w14:textId="77777777" w:rsidTr="007924BE">
        <w:trPr>
          <w:jc w:val="center"/>
        </w:trPr>
        <w:tc>
          <w:tcPr>
            <w:tcW w:w="4876" w:type="dxa"/>
            <w:hideMark/>
          </w:tcPr>
          <w:p w14:paraId="690EDBD2" w14:textId="77777777" w:rsidR="00BF7ACA" w:rsidRPr="00E502E5" w:rsidRDefault="00BF7ACA" w:rsidP="007924BE">
            <w:pPr>
              <w:pStyle w:val="Normal6"/>
            </w:pPr>
            <w:r w:rsidRPr="00E502E5">
              <w:t>(a)</w:t>
            </w:r>
            <w:r w:rsidRPr="00E502E5">
              <w:tab/>
              <w:t>contribuer au développement économique et social</w:t>
            </w:r>
            <w:r w:rsidRPr="00E502E5">
              <w:rPr>
                <w:b/>
                <w:i/>
              </w:rPr>
              <w:t>,</w:t>
            </w:r>
            <w:r w:rsidRPr="00E502E5">
              <w:t xml:space="preserve"> en mettant particulièrement l</w:t>
            </w:r>
            <w:r>
              <w:t>’</w:t>
            </w:r>
            <w:r w:rsidRPr="00E502E5">
              <w:t xml:space="preserve">accent sur la durabilité et la </w:t>
            </w:r>
            <w:r w:rsidRPr="00E502E5">
              <w:rPr>
                <w:b/>
                <w:i/>
              </w:rPr>
              <w:t>création</w:t>
            </w:r>
            <w:r w:rsidRPr="00E502E5">
              <w:t xml:space="preserve"> d</w:t>
            </w:r>
            <w:r>
              <w:t>’</w:t>
            </w:r>
            <w:r w:rsidRPr="00E502E5">
              <w:t xml:space="preserve">emplois </w:t>
            </w:r>
            <w:r w:rsidRPr="00E502E5">
              <w:rPr>
                <w:b/>
                <w:i/>
              </w:rPr>
              <w:t>(</w:t>
            </w:r>
            <w:r w:rsidRPr="00E502E5">
              <w:t xml:space="preserve">notamment </w:t>
            </w:r>
            <w:r w:rsidRPr="00E502E5">
              <w:rPr>
                <w:b/>
                <w:i/>
              </w:rPr>
              <w:t>en faveur des jeunes</w:t>
            </w:r>
            <w:r w:rsidRPr="00E502E5">
              <w:t xml:space="preserve"> et des </w:t>
            </w:r>
            <w:r w:rsidRPr="00E502E5">
              <w:rPr>
                <w:b/>
                <w:i/>
              </w:rPr>
              <w:t>femmes)</w:t>
            </w:r>
            <w:r w:rsidRPr="00E502E5">
              <w:t xml:space="preserve">, et, partant, </w:t>
            </w:r>
            <w:r w:rsidRPr="00E502E5">
              <w:rPr>
                <w:b/>
                <w:i/>
              </w:rPr>
              <w:t>lutter</w:t>
            </w:r>
            <w:r w:rsidRPr="00E502E5">
              <w:t xml:space="preserve"> contre les causes profondes de la migration </w:t>
            </w:r>
            <w:r w:rsidRPr="00E502E5">
              <w:rPr>
                <w:b/>
                <w:i/>
              </w:rPr>
              <w:t>et contribuer</w:t>
            </w:r>
            <w:r w:rsidRPr="00E502E5">
              <w:t xml:space="preserve"> à la réintégration durable des migrants de retour dans leur pays d</w:t>
            </w:r>
            <w:r>
              <w:t>’</w:t>
            </w:r>
            <w:r w:rsidRPr="00E502E5">
              <w:t>origine</w:t>
            </w:r>
            <w:r w:rsidRPr="00E502E5">
              <w:rPr>
                <w:b/>
                <w:i/>
              </w:rPr>
              <w:t>;</w:t>
            </w:r>
          </w:p>
        </w:tc>
        <w:tc>
          <w:tcPr>
            <w:tcW w:w="4876" w:type="dxa"/>
            <w:hideMark/>
          </w:tcPr>
          <w:p w14:paraId="7A14041E" w14:textId="77777777" w:rsidR="00BF7ACA" w:rsidRPr="00E502E5" w:rsidRDefault="00BF7ACA" w:rsidP="007924BE">
            <w:pPr>
              <w:pStyle w:val="Normal6"/>
              <w:rPr>
                <w:szCs w:val="24"/>
              </w:rPr>
            </w:pPr>
            <w:r w:rsidRPr="00E502E5">
              <w:t>(a)</w:t>
            </w:r>
            <w:r w:rsidRPr="00E502E5">
              <w:tab/>
              <w:t xml:space="preserve">contribuer au développement économique et social </w:t>
            </w:r>
            <w:r w:rsidRPr="00E502E5">
              <w:rPr>
                <w:b/>
                <w:i/>
              </w:rPr>
              <w:t>et à la réalisation des objectifs de développement durable des Nations Unies</w:t>
            </w:r>
            <w:r w:rsidRPr="00E502E5">
              <w:t xml:space="preserve"> en mettant particulièrement l</w:t>
            </w:r>
            <w:r>
              <w:t>’</w:t>
            </w:r>
            <w:r w:rsidRPr="00E502E5">
              <w:t xml:space="preserve">accent sur </w:t>
            </w:r>
            <w:r w:rsidRPr="00E502E5">
              <w:rPr>
                <w:b/>
                <w:i/>
              </w:rPr>
              <w:t>l</w:t>
            </w:r>
            <w:r>
              <w:rPr>
                <w:b/>
                <w:i/>
              </w:rPr>
              <w:t>’</w:t>
            </w:r>
            <w:r w:rsidRPr="00E502E5">
              <w:rPr>
                <w:b/>
                <w:i/>
              </w:rPr>
              <w:t>éradication de la pauvreté,</w:t>
            </w:r>
            <w:r w:rsidRPr="00E502E5">
              <w:t xml:space="preserve"> la durabilité et la </w:t>
            </w:r>
            <w:r w:rsidRPr="00E502E5">
              <w:rPr>
                <w:b/>
                <w:i/>
              </w:rPr>
              <w:t>promotion</w:t>
            </w:r>
            <w:r w:rsidRPr="00E502E5">
              <w:t xml:space="preserve"> d</w:t>
            </w:r>
            <w:r>
              <w:t>’</w:t>
            </w:r>
            <w:r w:rsidRPr="00E502E5">
              <w:t xml:space="preserve">emplois </w:t>
            </w:r>
            <w:r w:rsidRPr="00E502E5">
              <w:rPr>
                <w:b/>
                <w:i/>
              </w:rPr>
              <w:t>décents, de perspectives économiques et de l</w:t>
            </w:r>
            <w:r>
              <w:rPr>
                <w:b/>
                <w:i/>
              </w:rPr>
              <w:t>’</w:t>
            </w:r>
            <w:r w:rsidRPr="00E502E5">
              <w:rPr>
                <w:b/>
                <w:i/>
              </w:rPr>
              <w:t>entreprenariat, en encourageant</w:t>
            </w:r>
            <w:r w:rsidRPr="00E502E5">
              <w:t xml:space="preserve"> notamment </w:t>
            </w:r>
            <w:r w:rsidRPr="00E502E5">
              <w:rPr>
                <w:b/>
                <w:i/>
              </w:rPr>
              <w:t>l</w:t>
            </w:r>
            <w:r>
              <w:rPr>
                <w:b/>
                <w:i/>
              </w:rPr>
              <w:t>’</w:t>
            </w:r>
            <w:r w:rsidRPr="00E502E5">
              <w:rPr>
                <w:b/>
                <w:i/>
              </w:rPr>
              <w:t>égalité entre les hommes et les femmes et l</w:t>
            </w:r>
            <w:r>
              <w:rPr>
                <w:b/>
                <w:i/>
              </w:rPr>
              <w:t>’</w:t>
            </w:r>
            <w:r w:rsidRPr="00E502E5">
              <w:rPr>
                <w:b/>
                <w:i/>
              </w:rPr>
              <w:t>autonomisation des femmes</w:t>
            </w:r>
            <w:r w:rsidRPr="00E502E5">
              <w:t xml:space="preserve"> et des </w:t>
            </w:r>
            <w:r w:rsidRPr="00E502E5">
              <w:rPr>
                <w:b/>
                <w:i/>
              </w:rPr>
              <w:t>jeunes</w:t>
            </w:r>
            <w:r w:rsidRPr="00E502E5">
              <w:t xml:space="preserve">, et, partant, </w:t>
            </w:r>
            <w:r w:rsidRPr="00E502E5">
              <w:rPr>
                <w:b/>
                <w:i/>
              </w:rPr>
              <w:t>en luttant</w:t>
            </w:r>
            <w:r w:rsidRPr="00E502E5">
              <w:t xml:space="preserve"> contre les causes profondes </w:t>
            </w:r>
            <w:r w:rsidRPr="00E502E5">
              <w:rPr>
                <w:b/>
                <w:i/>
              </w:rPr>
              <w:t>spécifiques</w:t>
            </w:r>
            <w:r w:rsidRPr="00E502E5">
              <w:t xml:space="preserve"> de la migration</w:t>
            </w:r>
            <w:r w:rsidRPr="00E502E5">
              <w:rPr>
                <w:b/>
                <w:i/>
              </w:rPr>
              <w:t>, en renforçant la résilience et en contribuant</w:t>
            </w:r>
            <w:r w:rsidRPr="00E502E5">
              <w:t xml:space="preserve"> à la réintégration durable des migrants de retour dans leur pays d</w:t>
            </w:r>
            <w:r>
              <w:t>’</w:t>
            </w:r>
            <w:r w:rsidRPr="00E502E5">
              <w:t>origine</w:t>
            </w:r>
            <w:r w:rsidRPr="00E502E5">
              <w:rPr>
                <w:b/>
                <w:i/>
              </w:rPr>
              <w:t>, tout en consolidant l</w:t>
            </w:r>
            <w:r>
              <w:rPr>
                <w:b/>
                <w:i/>
              </w:rPr>
              <w:t>’</w:t>
            </w:r>
            <w:r w:rsidRPr="00E502E5">
              <w:rPr>
                <w:b/>
                <w:i/>
              </w:rPr>
              <w:t>état de droit, la bonne gouvernance et les droits de l</w:t>
            </w:r>
            <w:r>
              <w:rPr>
                <w:b/>
                <w:i/>
              </w:rPr>
              <w:t>’</w:t>
            </w:r>
            <w:r w:rsidRPr="00E502E5">
              <w:rPr>
                <w:b/>
                <w:i/>
              </w:rPr>
              <w:t>homme.</w:t>
            </w:r>
          </w:p>
        </w:tc>
      </w:tr>
    </w:tbl>
    <w:p w14:paraId="23B7D7CD"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5EDE97E1" w14:textId="77777777" w:rsidR="00BF7ACA" w:rsidRPr="00E502E5" w:rsidRDefault="00BF7ACA" w:rsidP="00BF7ACA">
      <w:r w:rsidRPr="00E502E5">
        <w:rPr>
          <w:rStyle w:val="HideTWBExt"/>
        </w:rPr>
        <w:t>&lt;/Amend&gt;</w:t>
      </w:r>
    </w:p>
    <w:p w14:paraId="1F0200C6"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238</w:t>
      </w:r>
      <w:r w:rsidRPr="00BF7ACA">
        <w:rPr>
          <w:rStyle w:val="HideTWBExt"/>
          <w:b w:val="0"/>
        </w:rPr>
        <w:t>&lt;/NumAm&gt;</w:t>
      </w:r>
    </w:p>
    <w:p w14:paraId="2AE45E82" w14:textId="77777777" w:rsidR="00BF7ACA" w:rsidRPr="00BF7ACA" w:rsidRDefault="00BF7ACA" w:rsidP="00BF7ACA">
      <w:pPr>
        <w:pStyle w:val="NormalBold"/>
      </w:pPr>
      <w:r w:rsidRPr="00BF7ACA">
        <w:rPr>
          <w:rStyle w:val="HideTWBExt"/>
          <w:b w:val="0"/>
        </w:rPr>
        <w:t>&lt;RepeatBlock-By&gt;&lt;Members&gt;</w:t>
      </w:r>
      <w:r w:rsidRPr="00BF7ACA">
        <w:t>György Hölvényi</w:t>
      </w:r>
      <w:r w:rsidRPr="00BF7ACA">
        <w:rPr>
          <w:rStyle w:val="HideTWBExt"/>
          <w:b w:val="0"/>
        </w:rPr>
        <w:t>&lt;/Members&gt;</w:t>
      </w:r>
    </w:p>
    <w:p w14:paraId="160A6C02" w14:textId="77777777" w:rsidR="00BF7ACA" w:rsidRPr="00355860" w:rsidRDefault="00BF7ACA" w:rsidP="00BF7ACA">
      <w:r>
        <w:rPr>
          <w:rStyle w:val="HideTWBExt"/>
        </w:rPr>
        <w:t>&lt;/RepeatBlock-By&gt;</w:t>
      </w:r>
    </w:p>
    <w:p w14:paraId="28DE46D8"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72509632" w14:textId="77777777" w:rsidR="00BF7ACA" w:rsidRPr="00355860" w:rsidRDefault="00BF7ACA" w:rsidP="00BF7ACA">
      <w:pPr>
        <w:pStyle w:val="NormalBold"/>
      </w:pPr>
      <w:r>
        <w:rPr>
          <w:rStyle w:val="HideTWBExt"/>
          <w:b w:val="0"/>
        </w:rPr>
        <w:t>&lt;Article&gt;</w:t>
      </w:r>
      <w:r w:rsidRPr="00B915F8">
        <w:t>Article 8 – paragraphe 1 – point a</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24BD857C" w14:textId="77777777" w:rsidTr="007924BE">
        <w:trPr>
          <w:jc w:val="center"/>
        </w:trPr>
        <w:tc>
          <w:tcPr>
            <w:tcW w:w="9752" w:type="dxa"/>
            <w:gridSpan w:val="2"/>
          </w:tcPr>
          <w:p w14:paraId="189EF22E" w14:textId="77777777" w:rsidR="00BF7ACA" w:rsidRPr="00355860" w:rsidRDefault="00BF7ACA" w:rsidP="007924BE">
            <w:pPr>
              <w:keepNext/>
            </w:pPr>
          </w:p>
        </w:tc>
      </w:tr>
      <w:tr w:rsidR="00BF7ACA" w:rsidRPr="00355860" w14:paraId="3A440F76" w14:textId="77777777" w:rsidTr="007924BE">
        <w:trPr>
          <w:jc w:val="center"/>
        </w:trPr>
        <w:tc>
          <w:tcPr>
            <w:tcW w:w="4876" w:type="dxa"/>
            <w:hideMark/>
          </w:tcPr>
          <w:p w14:paraId="15B6B76C" w14:textId="77777777" w:rsidR="00BF7ACA" w:rsidRPr="00B915F8" w:rsidRDefault="00BF7ACA" w:rsidP="007924BE">
            <w:pPr>
              <w:pStyle w:val="ColumnHeading"/>
              <w:keepNext/>
            </w:pPr>
            <w:r w:rsidRPr="00B915F8">
              <w:t>Texte proposé par la Commission</w:t>
            </w:r>
          </w:p>
        </w:tc>
        <w:tc>
          <w:tcPr>
            <w:tcW w:w="4876" w:type="dxa"/>
            <w:hideMark/>
          </w:tcPr>
          <w:p w14:paraId="1DA767C1" w14:textId="77777777" w:rsidR="00BF7ACA" w:rsidRPr="00B915F8" w:rsidRDefault="00BF7ACA" w:rsidP="007924BE">
            <w:pPr>
              <w:pStyle w:val="ColumnHeading"/>
              <w:keepNext/>
            </w:pPr>
            <w:r w:rsidRPr="00B915F8">
              <w:t>Amendement</w:t>
            </w:r>
          </w:p>
        </w:tc>
      </w:tr>
      <w:tr w:rsidR="00BF7ACA" w:rsidRPr="00355860" w14:paraId="469CC5BB" w14:textId="77777777" w:rsidTr="007924BE">
        <w:trPr>
          <w:jc w:val="center"/>
        </w:trPr>
        <w:tc>
          <w:tcPr>
            <w:tcW w:w="4876" w:type="dxa"/>
            <w:hideMark/>
          </w:tcPr>
          <w:p w14:paraId="6011EC1F" w14:textId="77777777" w:rsidR="00BF7ACA" w:rsidRPr="00DC274A" w:rsidRDefault="00BF7ACA" w:rsidP="007924BE">
            <w:pPr>
              <w:pStyle w:val="Normal6"/>
              <w:rPr>
                <w:b/>
                <w:i/>
              </w:rPr>
            </w:pPr>
            <w:r w:rsidRPr="00DC274A">
              <w:t>(a)</w:t>
            </w:r>
            <w:r w:rsidRPr="00DC274A">
              <w:rPr>
                <w:b/>
                <w:i/>
              </w:rPr>
              <w:tab/>
            </w:r>
            <w:r w:rsidRPr="00DC274A">
              <w:t>contribuer au développement économique et social, en mettant particulièrement l’accent sur la</w:t>
            </w:r>
            <w:r w:rsidRPr="00DC274A">
              <w:rPr>
                <w:b/>
                <w:i/>
              </w:rPr>
              <w:t xml:space="preserve"> durabilité</w:t>
            </w:r>
            <w:r w:rsidRPr="00DC274A">
              <w:t xml:space="preserve"> et la</w:t>
            </w:r>
            <w:r w:rsidRPr="00DC274A">
              <w:rPr>
                <w:b/>
                <w:i/>
              </w:rPr>
              <w:t xml:space="preserve"> création</w:t>
            </w:r>
            <w:r w:rsidRPr="00DC274A">
              <w:t xml:space="preserve"> d’emplois</w:t>
            </w:r>
            <w:r w:rsidRPr="00DC274A">
              <w:rPr>
                <w:b/>
                <w:i/>
              </w:rPr>
              <w:t xml:space="preserve"> (</w:t>
            </w:r>
            <w:r w:rsidRPr="00DC274A">
              <w:t>notamment</w:t>
            </w:r>
            <w:r w:rsidRPr="00DC274A">
              <w:rPr>
                <w:b/>
                <w:i/>
              </w:rPr>
              <w:t xml:space="preserve"> en faveur</w:t>
            </w:r>
            <w:r w:rsidRPr="00DC274A">
              <w:t xml:space="preserve"> des jeunes</w:t>
            </w:r>
            <w:r w:rsidRPr="00DC274A">
              <w:rPr>
                <w:b/>
                <w:i/>
              </w:rPr>
              <w:t xml:space="preserve"> et des femmes)</w:t>
            </w:r>
            <w:r w:rsidRPr="00DC274A">
              <w:t>, et, partant,</w:t>
            </w:r>
            <w:r w:rsidRPr="00DC274A">
              <w:rPr>
                <w:b/>
                <w:i/>
              </w:rPr>
              <w:t xml:space="preserve"> lutter</w:t>
            </w:r>
            <w:r w:rsidRPr="00DC274A">
              <w:t xml:space="preserve"> contre les causes profondes de la migration et</w:t>
            </w:r>
            <w:r w:rsidRPr="00DC274A">
              <w:rPr>
                <w:b/>
                <w:i/>
              </w:rPr>
              <w:t xml:space="preserve"> contribuer</w:t>
            </w:r>
            <w:r w:rsidRPr="00DC274A">
              <w:t xml:space="preserve"> à la réintégration durable des migrants de retour dans leur pays d’origine;</w:t>
            </w:r>
          </w:p>
        </w:tc>
        <w:tc>
          <w:tcPr>
            <w:tcW w:w="4876" w:type="dxa"/>
            <w:hideMark/>
          </w:tcPr>
          <w:p w14:paraId="2A9C3B54" w14:textId="77777777" w:rsidR="00BF7ACA" w:rsidRPr="00DC274A" w:rsidRDefault="00BF7ACA" w:rsidP="007924BE">
            <w:pPr>
              <w:pStyle w:val="Normal6"/>
              <w:rPr>
                <w:b/>
                <w:i/>
                <w:szCs w:val="24"/>
              </w:rPr>
            </w:pPr>
            <w:r w:rsidRPr="00DC274A">
              <w:t>(a)</w:t>
            </w:r>
            <w:r w:rsidRPr="00DC274A">
              <w:rPr>
                <w:b/>
                <w:i/>
              </w:rPr>
              <w:tab/>
            </w:r>
            <w:r w:rsidRPr="00DC274A">
              <w:t>contribuer au développement économique et social, en mettant particulièrement l’accent sur</w:t>
            </w:r>
            <w:r w:rsidRPr="00DC274A">
              <w:rPr>
                <w:b/>
                <w:i/>
              </w:rPr>
              <w:t xml:space="preserve"> l’éradication de</w:t>
            </w:r>
            <w:r w:rsidRPr="00DC274A">
              <w:t xml:space="preserve"> la</w:t>
            </w:r>
            <w:r w:rsidRPr="00DC274A">
              <w:rPr>
                <w:b/>
                <w:i/>
              </w:rPr>
              <w:t xml:space="preserve"> pauvreté, le développement durable</w:t>
            </w:r>
            <w:r w:rsidRPr="00DC274A">
              <w:t xml:space="preserve"> et la</w:t>
            </w:r>
            <w:r w:rsidRPr="00DC274A">
              <w:rPr>
                <w:b/>
                <w:i/>
              </w:rPr>
              <w:t xml:space="preserve"> promotion</w:t>
            </w:r>
            <w:r w:rsidRPr="00DC274A">
              <w:t xml:space="preserve"> d’emplois</w:t>
            </w:r>
            <w:r w:rsidRPr="00DC274A">
              <w:rPr>
                <w:b/>
                <w:i/>
              </w:rPr>
              <w:t xml:space="preserve"> décents, de perspectives économiques et de l’entrepreneuriat, en encourageant</w:t>
            </w:r>
            <w:r w:rsidRPr="00DC274A">
              <w:t xml:space="preserve"> notamment</w:t>
            </w:r>
            <w:r w:rsidRPr="00DC274A">
              <w:rPr>
                <w:b/>
                <w:i/>
              </w:rPr>
              <w:t xml:space="preserve"> l’égalité entre les hommes et les femmes et l’autonomisation</w:t>
            </w:r>
            <w:r w:rsidRPr="00DC274A">
              <w:t xml:space="preserve"> des</w:t>
            </w:r>
            <w:r w:rsidRPr="00DC274A">
              <w:rPr>
                <w:b/>
                <w:i/>
              </w:rPr>
              <w:t xml:space="preserve"> femmes et des</w:t>
            </w:r>
            <w:r w:rsidRPr="00DC274A">
              <w:t xml:space="preserve"> jeunes, et, partant,</w:t>
            </w:r>
            <w:r w:rsidRPr="00DC274A">
              <w:rPr>
                <w:b/>
                <w:i/>
              </w:rPr>
              <w:t xml:space="preserve"> en luttant</w:t>
            </w:r>
            <w:r w:rsidRPr="00DC274A">
              <w:t xml:space="preserve"> contre les causes profondes</w:t>
            </w:r>
            <w:r w:rsidRPr="00DC274A">
              <w:rPr>
                <w:b/>
                <w:i/>
              </w:rPr>
              <w:t xml:space="preserve"> spécifiques</w:t>
            </w:r>
            <w:r w:rsidRPr="00DC274A">
              <w:t xml:space="preserve"> de la migration</w:t>
            </w:r>
            <w:r w:rsidRPr="00DC274A">
              <w:rPr>
                <w:b/>
                <w:i/>
              </w:rPr>
              <w:t>, en renforçant la résilience</w:t>
            </w:r>
            <w:r w:rsidRPr="00DC274A">
              <w:t xml:space="preserve"> et</w:t>
            </w:r>
            <w:r w:rsidRPr="00DC274A">
              <w:rPr>
                <w:b/>
                <w:i/>
              </w:rPr>
              <w:t xml:space="preserve"> en contribuant</w:t>
            </w:r>
            <w:r w:rsidRPr="00DC274A">
              <w:t xml:space="preserve"> à la réintégration durable des migrants de retour dans leur pays d’origine</w:t>
            </w:r>
            <w:r w:rsidRPr="00DC274A">
              <w:rPr>
                <w:b/>
                <w:i/>
              </w:rPr>
              <w:t>, tout en consolidant l’état de droit, la bonne gouvernance et les droits de l’homme, afin d’empêcher la radicalisation</w:t>
            </w:r>
            <w:r w:rsidRPr="00DC274A">
              <w:t>;</w:t>
            </w:r>
          </w:p>
        </w:tc>
      </w:tr>
    </w:tbl>
    <w:p w14:paraId="075A63F7"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1B9A3B8" w14:textId="77777777" w:rsidR="00BF7ACA" w:rsidRPr="00BF7ACA" w:rsidRDefault="00BF7ACA" w:rsidP="00BF7ACA">
      <w:r w:rsidRPr="00BF7ACA">
        <w:rPr>
          <w:rStyle w:val="HideTWBExt"/>
        </w:rPr>
        <w:t>&lt;/Amend&gt;</w:t>
      </w:r>
    </w:p>
    <w:p w14:paraId="716C185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239</w:t>
      </w:r>
      <w:r w:rsidRPr="00BF7ACA">
        <w:rPr>
          <w:rStyle w:val="HideTWBExt"/>
          <w:b w:val="0"/>
        </w:rPr>
        <w:t>&lt;/NumAm&gt;</w:t>
      </w:r>
    </w:p>
    <w:p w14:paraId="5AEE28E1"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7DA31BF9" w14:textId="77777777" w:rsidR="00BF7ACA" w:rsidRPr="00355860" w:rsidRDefault="00BF7ACA" w:rsidP="00BF7ACA">
      <w:r>
        <w:rPr>
          <w:rStyle w:val="HideTWBExt"/>
        </w:rPr>
        <w:t>&lt;/RepeatBlock-By&gt;</w:t>
      </w:r>
    </w:p>
    <w:p w14:paraId="7575104C"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26FF22BB" w14:textId="77777777" w:rsidR="00BF7ACA" w:rsidRPr="00355860" w:rsidRDefault="00BF7ACA" w:rsidP="00BF7ACA">
      <w:pPr>
        <w:pStyle w:val="NormalBold"/>
      </w:pPr>
      <w:r>
        <w:rPr>
          <w:rStyle w:val="HideTWBExt"/>
          <w:b w:val="0"/>
        </w:rPr>
        <w:t>&lt;Article&gt;</w:t>
      </w:r>
      <w:r w:rsidRPr="00B915F8">
        <w:t>Article 8 – paragraphe 1 – point a</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5EF15BFC" w14:textId="77777777" w:rsidTr="007924BE">
        <w:trPr>
          <w:jc w:val="center"/>
        </w:trPr>
        <w:tc>
          <w:tcPr>
            <w:tcW w:w="9752" w:type="dxa"/>
            <w:gridSpan w:val="2"/>
          </w:tcPr>
          <w:p w14:paraId="24E421CC" w14:textId="77777777" w:rsidR="00BF7ACA" w:rsidRPr="00355860" w:rsidRDefault="00BF7ACA" w:rsidP="007924BE">
            <w:pPr>
              <w:keepNext/>
            </w:pPr>
          </w:p>
        </w:tc>
      </w:tr>
      <w:tr w:rsidR="00BF7ACA" w:rsidRPr="00355860" w14:paraId="7498ED44" w14:textId="77777777" w:rsidTr="007924BE">
        <w:trPr>
          <w:jc w:val="center"/>
        </w:trPr>
        <w:tc>
          <w:tcPr>
            <w:tcW w:w="4876" w:type="dxa"/>
            <w:hideMark/>
          </w:tcPr>
          <w:p w14:paraId="6C62BA52" w14:textId="77777777" w:rsidR="00BF7ACA" w:rsidRPr="00B915F8" w:rsidRDefault="00BF7ACA" w:rsidP="007924BE">
            <w:pPr>
              <w:pStyle w:val="ColumnHeading"/>
              <w:keepNext/>
            </w:pPr>
            <w:r w:rsidRPr="00B915F8">
              <w:t>Texte proposé par la Commission</w:t>
            </w:r>
          </w:p>
        </w:tc>
        <w:tc>
          <w:tcPr>
            <w:tcW w:w="4876" w:type="dxa"/>
            <w:hideMark/>
          </w:tcPr>
          <w:p w14:paraId="2292CB96" w14:textId="77777777" w:rsidR="00BF7ACA" w:rsidRPr="00B915F8" w:rsidRDefault="00BF7ACA" w:rsidP="007924BE">
            <w:pPr>
              <w:pStyle w:val="ColumnHeading"/>
              <w:keepNext/>
            </w:pPr>
            <w:r w:rsidRPr="00B915F8">
              <w:t>Amendement</w:t>
            </w:r>
          </w:p>
        </w:tc>
      </w:tr>
      <w:tr w:rsidR="00BF7ACA" w:rsidRPr="00355860" w14:paraId="13EA9D00" w14:textId="77777777" w:rsidTr="007924BE">
        <w:trPr>
          <w:jc w:val="center"/>
        </w:trPr>
        <w:tc>
          <w:tcPr>
            <w:tcW w:w="4876" w:type="dxa"/>
            <w:hideMark/>
          </w:tcPr>
          <w:p w14:paraId="29D33740" w14:textId="77777777" w:rsidR="00BF7ACA" w:rsidRPr="00DC274A" w:rsidRDefault="00BF7ACA" w:rsidP="007924BE">
            <w:pPr>
              <w:pStyle w:val="Normal6"/>
              <w:rPr>
                <w:b/>
                <w:i/>
              </w:rPr>
            </w:pPr>
            <w:r w:rsidRPr="00DC274A">
              <w:t>(a)</w:t>
            </w:r>
            <w:r w:rsidRPr="00DC274A">
              <w:rPr>
                <w:b/>
                <w:i/>
              </w:rPr>
              <w:tab/>
            </w:r>
            <w:r w:rsidRPr="00DC274A">
              <w:t>contribuer au développement économique et social, en mettant particulièrement l’accent sur</w:t>
            </w:r>
            <w:r w:rsidRPr="00DC274A">
              <w:rPr>
                <w:b/>
                <w:i/>
              </w:rPr>
              <w:t xml:space="preserve"> la durabilité</w:t>
            </w:r>
            <w:r w:rsidRPr="00DC274A">
              <w:t xml:space="preserve"> et la création d’emplois</w:t>
            </w:r>
            <w:r w:rsidRPr="00DC274A">
              <w:rPr>
                <w:b/>
                <w:i/>
              </w:rPr>
              <w:t xml:space="preserve"> (</w:t>
            </w:r>
            <w:r w:rsidRPr="00DC274A">
              <w:t>notamment en faveur des jeunes et des femmes</w:t>
            </w:r>
            <w:r w:rsidRPr="00DC274A">
              <w:rPr>
                <w:b/>
                <w:i/>
              </w:rPr>
              <w:t>), et, partant, lutter contre les causes profondes de la migration et contribuer à la réintégration durable des migrants de retour dans leur pays d’origine</w:t>
            </w:r>
            <w:r w:rsidRPr="00DC274A">
              <w:t>;</w:t>
            </w:r>
          </w:p>
        </w:tc>
        <w:tc>
          <w:tcPr>
            <w:tcW w:w="4876" w:type="dxa"/>
            <w:hideMark/>
          </w:tcPr>
          <w:p w14:paraId="26FB5B4F" w14:textId="77777777" w:rsidR="00BF7ACA" w:rsidRPr="00DC274A" w:rsidRDefault="00BF7ACA" w:rsidP="007924BE">
            <w:pPr>
              <w:pStyle w:val="Normal6"/>
              <w:rPr>
                <w:b/>
                <w:i/>
                <w:szCs w:val="24"/>
              </w:rPr>
            </w:pPr>
            <w:r w:rsidRPr="00DC274A">
              <w:t>(a)</w:t>
            </w:r>
            <w:r w:rsidRPr="00DC274A">
              <w:rPr>
                <w:b/>
                <w:i/>
              </w:rPr>
              <w:tab/>
            </w:r>
            <w:r w:rsidRPr="00DC274A">
              <w:t>contribuer au développement économique et social, en mettant particulièrement l’accent sur</w:t>
            </w:r>
            <w:r w:rsidRPr="00DC274A">
              <w:rPr>
                <w:b/>
                <w:i/>
              </w:rPr>
              <w:t xml:space="preserve"> le développement durable</w:t>
            </w:r>
            <w:r w:rsidRPr="00DC274A">
              <w:t xml:space="preserve"> et la création d’emplois</w:t>
            </w:r>
            <w:r w:rsidRPr="00DC274A">
              <w:rPr>
                <w:b/>
                <w:i/>
              </w:rPr>
              <w:t xml:space="preserve"> durables,</w:t>
            </w:r>
            <w:r w:rsidRPr="00DC274A">
              <w:t xml:space="preserve"> notamment en faveur des jeunes et des femmes;</w:t>
            </w:r>
          </w:p>
        </w:tc>
      </w:tr>
    </w:tbl>
    <w:p w14:paraId="2A95BE6D"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DB722A1" w14:textId="77777777" w:rsidR="00BF7ACA" w:rsidRPr="00BF7ACA" w:rsidRDefault="00BF7ACA" w:rsidP="00BF7ACA">
      <w:r w:rsidRPr="00BF7ACA">
        <w:rPr>
          <w:rStyle w:val="HideTWBExt"/>
        </w:rPr>
        <w:t>&lt;/Amend&gt;</w:t>
      </w:r>
    </w:p>
    <w:p w14:paraId="21D2E1D6"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240</w:t>
      </w:r>
      <w:r w:rsidRPr="00BF7ACA">
        <w:rPr>
          <w:rStyle w:val="HideTWBExt"/>
          <w:b w:val="0"/>
        </w:rPr>
        <w:t>&lt;/NumAm&gt;</w:t>
      </w:r>
    </w:p>
    <w:p w14:paraId="322E87D7" w14:textId="77777777"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Hilde Vautmans, Ilhan Kyuchyuk, Nedzhmi Ali</w:t>
      </w:r>
      <w:r w:rsidRPr="00BF7ACA">
        <w:rPr>
          <w:rStyle w:val="HideTWBExt"/>
          <w:b w:val="0"/>
        </w:rPr>
        <w:t>&lt;/Members&gt;</w:t>
      </w:r>
    </w:p>
    <w:p w14:paraId="3E1E0651" w14:textId="77777777" w:rsidR="00BF7ACA" w:rsidRPr="00355860" w:rsidRDefault="00BF7ACA" w:rsidP="00BF7ACA">
      <w:r>
        <w:rPr>
          <w:rStyle w:val="HideTWBExt"/>
        </w:rPr>
        <w:t>&lt;/RepeatBlock-By&gt;</w:t>
      </w:r>
    </w:p>
    <w:p w14:paraId="20E528A5"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125505E8" w14:textId="77777777" w:rsidR="00BF7ACA" w:rsidRPr="00355860" w:rsidRDefault="00BF7ACA" w:rsidP="00BF7ACA">
      <w:pPr>
        <w:pStyle w:val="NormalBold"/>
      </w:pPr>
      <w:r>
        <w:rPr>
          <w:rStyle w:val="HideTWBExt"/>
          <w:b w:val="0"/>
        </w:rPr>
        <w:t>&lt;Article&gt;</w:t>
      </w:r>
      <w:r w:rsidRPr="00B915F8">
        <w:t>Article 8 – paragraphe 1 – point a</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6A113CD4" w14:textId="77777777" w:rsidTr="007924BE">
        <w:trPr>
          <w:jc w:val="center"/>
        </w:trPr>
        <w:tc>
          <w:tcPr>
            <w:tcW w:w="9752" w:type="dxa"/>
            <w:gridSpan w:val="2"/>
          </w:tcPr>
          <w:p w14:paraId="62D03F17" w14:textId="77777777" w:rsidR="00BF7ACA" w:rsidRPr="00355860" w:rsidRDefault="00BF7ACA" w:rsidP="007924BE">
            <w:pPr>
              <w:keepNext/>
            </w:pPr>
          </w:p>
        </w:tc>
      </w:tr>
      <w:tr w:rsidR="00BF7ACA" w:rsidRPr="00355860" w14:paraId="6BD93C7A" w14:textId="77777777" w:rsidTr="007924BE">
        <w:trPr>
          <w:jc w:val="center"/>
        </w:trPr>
        <w:tc>
          <w:tcPr>
            <w:tcW w:w="4876" w:type="dxa"/>
            <w:hideMark/>
          </w:tcPr>
          <w:p w14:paraId="32578B4D" w14:textId="77777777" w:rsidR="00BF7ACA" w:rsidRPr="00B915F8" w:rsidRDefault="00BF7ACA" w:rsidP="007924BE">
            <w:pPr>
              <w:pStyle w:val="ColumnHeading"/>
              <w:keepNext/>
            </w:pPr>
            <w:r w:rsidRPr="00B915F8">
              <w:t>Texte proposé par la Commission</w:t>
            </w:r>
          </w:p>
        </w:tc>
        <w:tc>
          <w:tcPr>
            <w:tcW w:w="4876" w:type="dxa"/>
            <w:hideMark/>
          </w:tcPr>
          <w:p w14:paraId="6387CD3B" w14:textId="77777777" w:rsidR="00BF7ACA" w:rsidRPr="00B915F8" w:rsidRDefault="00BF7ACA" w:rsidP="007924BE">
            <w:pPr>
              <w:pStyle w:val="ColumnHeading"/>
              <w:keepNext/>
            </w:pPr>
            <w:r w:rsidRPr="00B915F8">
              <w:t>Amendement</w:t>
            </w:r>
          </w:p>
        </w:tc>
      </w:tr>
      <w:tr w:rsidR="00BF7ACA" w:rsidRPr="00355860" w14:paraId="5B96C01C" w14:textId="77777777" w:rsidTr="007924BE">
        <w:trPr>
          <w:jc w:val="center"/>
        </w:trPr>
        <w:tc>
          <w:tcPr>
            <w:tcW w:w="4876" w:type="dxa"/>
            <w:hideMark/>
          </w:tcPr>
          <w:p w14:paraId="07F211AE" w14:textId="77777777" w:rsidR="00BF7ACA" w:rsidRPr="00DC274A" w:rsidRDefault="00BF7ACA" w:rsidP="007924BE">
            <w:pPr>
              <w:pStyle w:val="Normal6"/>
              <w:rPr>
                <w:b/>
                <w:i/>
              </w:rPr>
            </w:pPr>
            <w:r w:rsidRPr="00DC274A">
              <w:t>(a)</w:t>
            </w:r>
            <w:r w:rsidRPr="00DC274A">
              <w:rPr>
                <w:b/>
                <w:i/>
              </w:rPr>
              <w:tab/>
            </w:r>
            <w:r w:rsidRPr="00DC274A">
              <w:t>contribuer au développement économique et social, en mettant particulièrement l’accent sur</w:t>
            </w:r>
            <w:r w:rsidRPr="00DC274A">
              <w:rPr>
                <w:b/>
                <w:i/>
              </w:rPr>
              <w:t xml:space="preserve"> la durabilité</w:t>
            </w:r>
            <w:r w:rsidRPr="00DC274A">
              <w:t xml:space="preserve"> et la création d’emplois</w:t>
            </w:r>
            <w:r w:rsidRPr="00DC274A">
              <w:rPr>
                <w:b/>
                <w:i/>
              </w:rPr>
              <w:t xml:space="preserve"> (notamment en faveur des jeunes et des femmes), et, partant, lutter contre les causes profondes de la migration et contribuer à la réintégration durable des migrants de retour dans leur pays d’origine</w:t>
            </w:r>
            <w:r w:rsidRPr="00DC274A">
              <w:t>;</w:t>
            </w:r>
          </w:p>
        </w:tc>
        <w:tc>
          <w:tcPr>
            <w:tcW w:w="4876" w:type="dxa"/>
            <w:hideMark/>
          </w:tcPr>
          <w:p w14:paraId="6C9CEF57" w14:textId="77777777" w:rsidR="00BF7ACA" w:rsidRPr="00DC274A" w:rsidRDefault="00BF7ACA" w:rsidP="007924BE">
            <w:pPr>
              <w:pStyle w:val="Normal6"/>
              <w:rPr>
                <w:b/>
                <w:i/>
                <w:szCs w:val="24"/>
              </w:rPr>
            </w:pPr>
            <w:r w:rsidRPr="00DC274A">
              <w:t>(a)</w:t>
            </w:r>
            <w:r w:rsidRPr="00DC274A">
              <w:rPr>
                <w:b/>
                <w:i/>
              </w:rPr>
              <w:tab/>
            </w:r>
            <w:r w:rsidRPr="00DC274A">
              <w:t>contribuer au développement économique et social, en mettant particulièrement l’accent sur</w:t>
            </w:r>
            <w:r w:rsidRPr="00DC274A">
              <w:rPr>
                <w:b/>
                <w:i/>
              </w:rPr>
              <w:t xml:space="preserve"> le développement durable, sur l’acquisition des qualifications adéquates par les jeunes, spécialement les jeunes femmes,</w:t>
            </w:r>
            <w:r w:rsidRPr="00DC274A">
              <w:t xml:space="preserve"> et</w:t>
            </w:r>
            <w:r w:rsidRPr="00DC274A">
              <w:rPr>
                <w:b/>
                <w:i/>
              </w:rPr>
              <w:t xml:space="preserve"> sur</w:t>
            </w:r>
            <w:r w:rsidRPr="00DC274A">
              <w:t xml:space="preserve"> la création d’emplois</w:t>
            </w:r>
            <w:r w:rsidRPr="00DC274A">
              <w:rPr>
                <w:b/>
                <w:i/>
              </w:rPr>
              <w:t xml:space="preserve"> décents</w:t>
            </w:r>
            <w:r w:rsidRPr="00DC274A">
              <w:t>;</w:t>
            </w:r>
          </w:p>
        </w:tc>
      </w:tr>
    </w:tbl>
    <w:p w14:paraId="4154D467" w14:textId="77777777"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14:paraId="6E655246" w14:textId="77777777" w:rsidR="00BF7ACA" w:rsidRPr="00BF7ACA" w:rsidRDefault="00BF7ACA" w:rsidP="00BF7ACA">
      <w:pPr>
        <w:rPr>
          <w:lang w:val="nl-NL"/>
        </w:rPr>
      </w:pPr>
      <w:r w:rsidRPr="00BF7ACA">
        <w:rPr>
          <w:rStyle w:val="HideTWBExt"/>
          <w:lang w:val="nl-NL"/>
        </w:rPr>
        <w:t>&lt;/Amend&gt;</w:t>
      </w:r>
    </w:p>
    <w:p w14:paraId="2B14D556" w14:textId="77777777"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241</w:t>
      </w:r>
      <w:r w:rsidRPr="00BF7ACA">
        <w:rPr>
          <w:rStyle w:val="HideTWBExt"/>
          <w:b w:val="0"/>
          <w:lang w:val="nl-NL"/>
        </w:rPr>
        <w:t>&lt;/NumAm&gt;</w:t>
      </w:r>
    </w:p>
    <w:p w14:paraId="59491204" w14:textId="77777777"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14:paraId="6345121F" w14:textId="77777777" w:rsidR="00BF7ACA" w:rsidRPr="00BF7ACA" w:rsidRDefault="00BF7ACA" w:rsidP="00BF7ACA">
      <w:pPr>
        <w:rPr>
          <w:lang w:val="nl-NL"/>
        </w:rPr>
      </w:pPr>
      <w:r w:rsidRPr="00BF7ACA">
        <w:rPr>
          <w:rStyle w:val="HideTWBExt"/>
          <w:lang w:val="nl-NL"/>
        </w:rPr>
        <w:t>&lt;/RepeatBlock-By&gt;</w:t>
      </w:r>
    </w:p>
    <w:p w14:paraId="6BD513F7"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686BC95D" w14:textId="77777777" w:rsidR="00BF7ACA" w:rsidRPr="00355860" w:rsidRDefault="00BF7ACA" w:rsidP="00BF7ACA">
      <w:pPr>
        <w:pStyle w:val="NormalBold"/>
      </w:pPr>
      <w:r>
        <w:rPr>
          <w:rStyle w:val="HideTWBExt"/>
          <w:b w:val="0"/>
        </w:rPr>
        <w:t>&lt;Article&gt;</w:t>
      </w:r>
      <w:r w:rsidRPr="00B915F8">
        <w:t>Article 8 – paragraphe 1 – point a</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771D0660" w14:textId="77777777" w:rsidTr="007924BE">
        <w:trPr>
          <w:jc w:val="center"/>
        </w:trPr>
        <w:tc>
          <w:tcPr>
            <w:tcW w:w="9752" w:type="dxa"/>
            <w:gridSpan w:val="2"/>
          </w:tcPr>
          <w:p w14:paraId="0A18DE83" w14:textId="77777777" w:rsidR="00BF7ACA" w:rsidRPr="00355860" w:rsidRDefault="00BF7ACA" w:rsidP="007924BE">
            <w:pPr>
              <w:keepNext/>
            </w:pPr>
          </w:p>
        </w:tc>
      </w:tr>
      <w:tr w:rsidR="00BF7ACA" w:rsidRPr="00355860" w14:paraId="7AEC996B" w14:textId="77777777" w:rsidTr="007924BE">
        <w:trPr>
          <w:jc w:val="center"/>
        </w:trPr>
        <w:tc>
          <w:tcPr>
            <w:tcW w:w="4876" w:type="dxa"/>
            <w:hideMark/>
          </w:tcPr>
          <w:p w14:paraId="2F8A9952" w14:textId="77777777" w:rsidR="00BF7ACA" w:rsidRPr="00B915F8" w:rsidRDefault="00BF7ACA" w:rsidP="007924BE">
            <w:pPr>
              <w:pStyle w:val="ColumnHeading"/>
              <w:keepNext/>
            </w:pPr>
            <w:r w:rsidRPr="00B915F8">
              <w:t>Texte proposé par la Commission</w:t>
            </w:r>
          </w:p>
        </w:tc>
        <w:tc>
          <w:tcPr>
            <w:tcW w:w="4876" w:type="dxa"/>
            <w:hideMark/>
          </w:tcPr>
          <w:p w14:paraId="7328AFC9" w14:textId="77777777" w:rsidR="00BF7ACA" w:rsidRPr="00B915F8" w:rsidRDefault="00BF7ACA" w:rsidP="007924BE">
            <w:pPr>
              <w:pStyle w:val="ColumnHeading"/>
              <w:keepNext/>
            </w:pPr>
            <w:r w:rsidRPr="00B915F8">
              <w:t>Amendement</w:t>
            </w:r>
          </w:p>
        </w:tc>
      </w:tr>
      <w:tr w:rsidR="00BF7ACA" w:rsidRPr="00355860" w14:paraId="755B6B77" w14:textId="77777777" w:rsidTr="007924BE">
        <w:trPr>
          <w:jc w:val="center"/>
        </w:trPr>
        <w:tc>
          <w:tcPr>
            <w:tcW w:w="4876" w:type="dxa"/>
            <w:hideMark/>
          </w:tcPr>
          <w:p w14:paraId="61C6912F" w14:textId="77777777" w:rsidR="00BF7ACA" w:rsidRPr="00DC274A" w:rsidRDefault="00BF7ACA" w:rsidP="007924BE">
            <w:pPr>
              <w:pStyle w:val="Normal6"/>
              <w:rPr>
                <w:b/>
                <w:i/>
              </w:rPr>
            </w:pPr>
            <w:r w:rsidRPr="00DC274A">
              <w:t>(a)</w:t>
            </w:r>
            <w:r w:rsidRPr="00DC274A">
              <w:rPr>
                <w:b/>
                <w:i/>
              </w:rPr>
              <w:tab/>
            </w:r>
            <w:r w:rsidRPr="00DC274A">
              <w:t>contribuer au développement économique et social, en mettant particulièrement l’accent sur</w:t>
            </w:r>
            <w:r w:rsidRPr="00DC274A">
              <w:rPr>
                <w:b/>
                <w:i/>
              </w:rPr>
              <w:t xml:space="preserve"> la durabilité</w:t>
            </w:r>
            <w:r w:rsidRPr="00DC274A">
              <w:t xml:space="preserve"> et la création d’emplois</w:t>
            </w:r>
            <w:r w:rsidRPr="00DC274A">
              <w:rPr>
                <w:b/>
                <w:i/>
              </w:rPr>
              <w:t xml:space="preserve"> </w:t>
            </w:r>
            <w:r w:rsidRPr="00DC274A">
              <w:t>(notamment en faveur des jeunes et des femmes),</w:t>
            </w:r>
            <w:r w:rsidRPr="00DC274A">
              <w:rPr>
                <w:b/>
                <w:i/>
              </w:rPr>
              <w:t xml:space="preserve"> et, partant, lutter</w:t>
            </w:r>
            <w:r w:rsidRPr="00DC274A">
              <w:t xml:space="preserve"> contre les causes profondes de la migration et</w:t>
            </w:r>
            <w:r w:rsidRPr="00DC274A">
              <w:rPr>
                <w:b/>
                <w:i/>
              </w:rPr>
              <w:t xml:space="preserve"> contribuer</w:t>
            </w:r>
            <w:r w:rsidRPr="00DC274A">
              <w:t xml:space="preserve"> à la réintégration durable des migrants de retour dans leur pays d’origine;</w:t>
            </w:r>
          </w:p>
        </w:tc>
        <w:tc>
          <w:tcPr>
            <w:tcW w:w="4876" w:type="dxa"/>
            <w:hideMark/>
          </w:tcPr>
          <w:p w14:paraId="19BCA6E5" w14:textId="77777777" w:rsidR="00BF7ACA" w:rsidRPr="00DC274A" w:rsidRDefault="00BF7ACA" w:rsidP="007924BE">
            <w:pPr>
              <w:pStyle w:val="Normal6"/>
              <w:rPr>
                <w:b/>
                <w:i/>
                <w:szCs w:val="24"/>
              </w:rPr>
            </w:pPr>
            <w:r w:rsidRPr="00DC274A">
              <w:t>(a)</w:t>
            </w:r>
            <w:r w:rsidRPr="00DC274A">
              <w:rPr>
                <w:b/>
                <w:i/>
              </w:rPr>
              <w:tab/>
            </w:r>
            <w:r w:rsidRPr="00DC274A">
              <w:t>contribuer au développement économique et social, en mettant particulièrement l’accent sur</w:t>
            </w:r>
            <w:r w:rsidRPr="00DC274A">
              <w:rPr>
                <w:b/>
                <w:i/>
              </w:rPr>
              <w:t xml:space="preserve"> le développement durable</w:t>
            </w:r>
            <w:r w:rsidRPr="00DC274A">
              <w:t xml:space="preserve"> et la création d’emplois</w:t>
            </w:r>
            <w:r w:rsidRPr="00DC274A">
              <w:rPr>
                <w:b/>
                <w:i/>
              </w:rPr>
              <w:t xml:space="preserve"> </w:t>
            </w:r>
            <w:r w:rsidRPr="00DC274A">
              <w:t>(notamment en faveur des jeunes et des femmes),</w:t>
            </w:r>
            <w:r w:rsidRPr="00DC274A">
              <w:rPr>
                <w:b/>
                <w:i/>
              </w:rPr>
              <w:t xml:space="preserve"> dont l’amélioration peut contribuer à la lutte</w:t>
            </w:r>
            <w:r w:rsidRPr="00DC274A">
              <w:t xml:space="preserve"> contre les causes profondes de la migration et à la réintégration durable des migrants de retour dans leur pays d’origine;</w:t>
            </w:r>
          </w:p>
        </w:tc>
      </w:tr>
    </w:tbl>
    <w:p w14:paraId="4F36B0FC"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0309E06" w14:textId="77777777" w:rsidR="00BF7ACA" w:rsidRPr="00BF7ACA" w:rsidRDefault="00BF7ACA" w:rsidP="00BF7ACA">
      <w:r w:rsidRPr="00BF7ACA">
        <w:rPr>
          <w:rStyle w:val="HideTWBExt"/>
        </w:rPr>
        <w:t>&lt;/Amend&gt;</w:t>
      </w:r>
    </w:p>
    <w:p w14:paraId="150F2C2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242</w:t>
      </w:r>
      <w:r w:rsidRPr="00BF7ACA">
        <w:rPr>
          <w:rStyle w:val="HideTWBExt"/>
          <w:b w:val="0"/>
        </w:rPr>
        <w:t>&lt;/NumAm&gt;</w:t>
      </w:r>
    </w:p>
    <w:p w14:paraId="021C7C1E"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19D23460" w14:textId="77777777" w:rsidR="00BF7ACA" w:rsidRPr="00355860" w:rsidRDefault="00BF7ACA" w:rsidP="00BF7ACA">
      <w:r>
        <w:rPr>
          <w:rStyle w:val="HideTWBExt"/>
        </w:rPr>
        <w:t>&lt;/RepeatBlock-By&gt;</w:t>
      </w:r>
    </w:p>
    <w:p w14:paraId="302FFBD1"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3BDC44D9" w14:textId="77777777" w:rsidR="00BF7ACA" w:rsidRPr="00355860" w:rsidRDefault="00BF7ACA" w:rsidP="00BF7ACA">
      <w:pPr>
        <w:pStyle w:val="NormalBold"/>
      </w:pPr>
      <w:r>
        <w:rPr>
          <w:rStyle w:val="HideTWBExt"/>
          <w:b w:val="0"/>
        </w:rPr>
        <w:t>&lt;Article&gt;</w:t>
      </w:r>
      <w:r w:rsidRPr="00B915F8">
        <w:t>Article 8 – paragraphe 1 – point a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11A287B6" w14:textId="77777777" w:rsidTr="007924BE">
        <w:trPr>
          <w:jc w:val="center"/>
        </w:trPr>
        <w:tc>
          <w:tcPr>
            <w:tcW w:w="9752" w:type="dxa"/>
            <w:gridSpan w:val="2"/>
          </w:tcPr>
          <w:p w14:paraId="0C4A18B5" w14:textId="77777777" w:rsidR="00BF7ACA" w:rsidRPr="00355860" w:rsidRDefault="00BF7ACA" w:rsidP="007924BE">
            <w:pPr>
              <w:keepNext/>
            </w:pPr>
          </w:p>
        </w:tc>
      </w:tr>
      <w:tr w:rsidR="00BF7ACA" w:rsidRPr="00355860" w14:paraId="15BE523A" w14:textId="77777777" w:rsidTr="007924BE">
        <w:trPr>
          <w:jc w:val="center"/>
        </w:trPr>
        <w:tc>
          <w:tcPr>
            <w:tcW w:w="4876" w:type="dxa"/>
            <w:hideMark/>
          </w:tcPr>
          <w:p w14:paraId="233D0E30" w14:textId="77777777" w:rsidR="00BF7ACA" w:rsidRPr="00B915F8" w:rsidRDefault="00BF7ACA" w:rsidP="007924BE">
            <w:pPr>
              <w:pStyle w:val="ColumnHeading"/>
              <w:keepNext/>
            </w:pPr>
            <w:r w:rsidRPr="00B915F8">
              <w:t>Texte proposé par la Commission</w:t>
            </w:r>
          </w:p>
        </w:tc>
        <w:tc>
          <w:tcPr>
            <w:tcW w:w="4876" w:type="dxa"/>
            <w:hideMark/>
          </w:tcPr>
          <w:p w14:paraId="7855FC55" w14:textId="77777777" w:rsidR="00BF7ACA" w:rsidRPr="00B915F8" w:rsidRDefault="00BF7ACA" w:rsidP="007924BE">
            <w:pPr>
              <w:pStyle w:val="ColumnHeading"/>
              <w:keepNext/>
            </w:pPr>
            <w:r w:rsidRPr="00B915F8">
              <w:t>Amendement</w:t>
            </w:r>
          </w:p>
        </w:tc>
      </w:tr>
      <w:tr w:rsidR="00BF7ACA" w:rsidRPr="00355860" w14:paraId="24F0B3A4" w14:textId="77777777" w:rsidTr="007924BE">
        <w:trPr>
          <w:jc w:val="center"/>
        </w:trPr>
        <w:tc>
          <w:tcPr>
            <w:tcW w:w="4876" w:type="dxa"/>
          </w:tcPr>
          <w:p w14:paraId="41652C99" w14:textId="77777777" w:rsidR="00BF7ACA" w:rsidRPr="00B915F8" w:rsidRDefault="00BF7ACA" w:rsidP="007924BE">
            <w:pPr>
              <w:pStyle w:val="Normal6"/>
            </w:pPr>
          </w:p>
        </w:tc>
        <w:tc>
          <w:tcPr>
            <w:tcW w:w="4876" w:type="dxa"/>
            <w:hideMark/>
          </w:tcPr>
          <w:p w14:paraId="616CC5E4" w14:textId="77777777" w:rsidR="00BF7ACA" w:rsidRPr="00DC274A" w:rsidRDefault="00BF7ACA" w:rsidP="007924BE">
            <w:pPr>
              <w:pStyle w:val="Normal6"/>
              <w:rPr>
                <w:b/>
                <w:i/>
                <w:szCs w:val="24"/>
              </w:rPr>
            </w:pPr>
            <w:r w:rsidRPr="00DC274A">
              <w:rPr>
                <w:b/>
                <w:i/>
              </w:rPr>
              <w:t>(a bis)</w:t>
            </w:r>
            <w:r w:rsidRPr="00DC274A">
              <w:rPr>
                <w:b/>
                <w:i/>
              </w:rPr>
              <w:tab/>
              <w:t>éviter que les opérations de financement et d’investissement susceptibles de bénéficier d’une aide de la garantie FEDD ne soient utilisées comme des formes de conditionnalité pour la coopération des pays bénéficiaires avec l’Union sur la question des migrations;</w:t>
            </w:r>
          </w:p>
        </w:tc>
      </w:tr>
    </w:tbl>
    <w:p w14:paraId="41285F1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4D3C367" w14:textId="77777777" w:rsidR="00BF7ACA" w:rsidRPr="00BF7ACA" w:rsidRDefault="00BF7ACA" w:rsidP="00BF7ACA">
      <w:r w:rsidRPr="00BF7ACA">
        <w:rPr>
          <w:rStyle w:val="HideTWBExt"/>
        </w:rPr>
        <w:t>&lt;/Amend&gt;</w:t>
      </w:r>
    </w:p>
    <w:p w14:paraId="4D2A8B8E"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243</w:t>
      </w:r>
      <w:r w:rsidRPr="00BF7ACA">
        <w:rPr>
          <w:rStyle w:val="HideTWBExt"/>
          <w:b w:val="0"/>
        </w:rPr>
        <w:t>&lt;/NumAm&gt;</w:t>
      </w:r>
    </w:p>
    <w:p w14:paraId="74389722"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Ilhan Kyuchyuk, Nedzhmi Ali, Hilde Vautmans, Jozo Radoš, Marielle de Sarnez, Paavo Väyrynen</w:t>
      </w:r>
      <w:r w:rsidRPr="00BF7ACA">
        <w:rPr>
          <w:rStyle w:val="HideTWBExt"/>
          <w:b w:val="0"/>
        </w:rPr>
        <w:t>&lt;/Members&gt;</w:t>
      </w:r>
    </w:p>
    <w:p w14:paraId="3A0AD74E" w14:textId="77777777" w:rsidR="00BF7ACA" w:rsidRPr="00355860" w:rsidRDefault="00BF7ACA" w:rsidP="00BF7ACA">
      <w:r>
        <w:rPr>
          <w:rStyle w:val="HideTWBExt"/>
        </w:rPr>
        <w:t>&lt;/RepeatBlock-By&gt;</w:t>
      </w:r>
    </w:p>
    <w:p w14:paraId="4CF2B12A"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15836C55" w14:textId="77777777" w:rsidR="00BF7ACA" w:rsidRPr="00355860" w:rsidRDefault="00BF7ACA" w:rsidP="00BF7ACA">
      <w:pPr>
        <w:pStyle w:val="NormalBold"/>
      </w:pPr>
      <w:r>
        <w:rPr>
          <w:rStyle w:val="HideTWBExt"/>
          <w:b w:val="0"/>
        </w:rPr>
        <w:t>&lt;Article&gt;</w:t>
      </w:r>
      <w:r w:rsidRPr="00B915F8">
        <w:t>Article 8 – paragraphe 1 – point a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37BEBDEC" w14:textId="77777777" w:rsidTr="007924BE">
        <w:trPr>
          <w:jc w:val="center"/>
        </w:trPr>
        <w:tc>
          <w:tcPr>
            <w:tcW w:w="9752" w:type="dxa"/>
            <w:gridSpan w:val="2"/>
          </w:tcPr>
          <w:p w14:paraId="6DDFA4B6" w14:textId="77777777" w:rsidR="00BF7ACA" w:rsidRPr="00355860" w:rsidRDefault="00BF7ACA" w:rsidP="007924BE">
            <w:pPr>
              <w:keepNext/>
            </w:pPr>
          </w:p>
        </w:tc>
      </w:tr>
      <w:tr w:rsidR="00BF7ACA" w:rsidRPr="00355860" w14:paraId="6F12D25A" w14:textId="77777777" w:rsidTr="007924BE">
        <w:trPr>
          <w:jc w:val="center"/>
        </w:trPr>
        <w:tc>
          <w:tcPr>
            <w:tcW w:w="4876" w:type="dxa"/>
            <w:hideMark/>
          </w:tcPr>
          <w:p w14:paraId="2B88DE7A" w14:textId="77777777" w:rsidR="00BF7ACA" w:rsidRPr="00B915F8" w:rsidRDefault="00BF7ACA" w:rsidP="007924BE">
            <w:pPr>
              <w:pStyle w:val="ColumnHeading"/>
              <w:keepNext/>
            </w:pPr>
            <w:r w:rsidRPr="00B915F8">
              <w:t>Texte proposé par la Commission</w:t>
            </w:r>
          </w:p>
        </w:tc>
        <w:tc>
          <w:tcPr>
            <w:tcW w:w="4876" w:type="dxa"/>
            <w:hideMark/>
          </w:tcPr>
          <w:p w14:paraId="3CCBBCB2" w14:textId="77777777" w:rsidR="00BF7ACA" w:rsidRPr="00B915F8" w:rsidRDefault="00BF7ACA" w:rsidP="007924BE">
            <w:pPr>
              <w:pStyle w:val="ColumnHeading"/>
              <w:keepNext/>
            </w:pPr>
            <w:r w:rsidRPr="00B915F8">
              <w:t>Amendement</w:t>
            </w:r>
          </w:p>
        </w:tc>
      </w:tr>
      <w:tr w:rsidR="00BF7ACA" w:rsidRPr="00355860" w14:paraId="3BBA7FB7" w14:textId="77777777" w:rsidTr="007924BE">
        <w:trPr>
          <w:jc w:val="center"/>
        </w:trPr>
        <w:tc>
          <w:tcPr>
            <w:tcW w:w="4876" w:type="dxa"/>
          </w:tcPr>
          <w:p w14:paraId="401CB0CB" w14:textId="77777777" w:rsidR="00BF7ACA" w:rsidRPr="00B915F8" w:rsidRDefault="00BF7ACA" w:rsidP="007924BE">
            <w:pPr>
              <w:pStyle w:val="Normal6"/>
            </w:pPr>
          </w:p>
        </w:tc>
        <w:tc>
          <w:tcPr>
            <w:tcW w:w="4876" w:type="dxa"/>
            <w:hideMark/>
          </w:tcPr>
          <w:p w14:paraId="27B73D61" w14:textId="77777777" w:rsidR="00BF7ACA" w:rsidRPr="00DC274A" w:rsidRDefault="00BF7ACA" w:rsidP="007924BE">
            <w:pPr>
              <w:pStyle w:val="Normal6"/>
              <w:rPr>
                <w:b/>
                <w:i/>
                <w:szCs w:val="24"/>
              </w:rPr>
            </w:pPr>
            <w:r w:rsidRPr="00DC274A">
              <w:rPr>
                <w:b/>
                <w:i/>
              </w:rPr>
              <w:t>(a bis)</w:t>
            </w:r>
            <w:r w:rsidRPr="00DC274A">
              <w:rPr>
                <w:b/>
                <w:i/>
              </w:rPr>
              <w:tab/>
              <w:t>atteindre les objectifs de développement durable à l’horizon 2030, en particulier l’éradication de la pauvreté, la réduction des inégalités et la mobilisation des ressources nationales;</w:t>
            </w:r>
          </w:p>
        </w:tc>
      </w:tr>
    </w:tbl>
    <w:p w14:paraId="7CC2624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8410C9E" w14:textId="77777777" w:rsidR="00BF7ACA" w:rsidRPr="00BF7ACA" w:rsidRDefault="00BF7ACA" w:rsidP="00BF7ACA">
      <w:r w:rsidRPr="00BF7ACA">
        <w:rPr>
          <w:rStyle w:val="HideTWBExt"/>
        </w:rPr>
        <w:t>&lt;/Amend&gt;</w:t>
      </w:r>
    </w:p>
    <w:p w14:paraId="646D2A0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244</w:t>
      </w:r>
      <w:r w:rsidRPr="00BF7ACA">
        <w:rPr>
          <w:rStyle w:val="HideTWBExt"/>
          <w:b w:val="0"/>
        </w:rPr>
        <w:t>&lt;/NumAm&gt;</w:t>
      </w:r>
    </w:p>
    <w:p w14:paraId="4AF1450D"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24F2D1A6" w14:textId="77777777" w:rsidR="00BF7ACA" w:rsidRPr="00355860" w:rsidRDefault="00BF7ACA" w:rsidP="00BF7ACA">
      <w:r>
        <w:rPr>
          <w:rStyle w:val="HideTWBExt"/>
        </w:rPr>
        <w:t>&lt;/RepeatBlock-By&gt;</w:t>
      </w:r>
    </w:p>
    <w:p w14:paraId="1261A38D"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46CC0E52" w14:textId="77777777" w:rsidR="00BF7ACA" w:rsidRPr="00355860" w:rsidRDefault="00BF7ACA" w:rsidP="00BF7ACA">
      <w:pPr>
        <w:pStyle w:val="NormalBold"/>
      </w:pPr>
      <w:r>
        <w:rPr>
          <w:rStyle w:val="HideTWBExt"/>
          <w:b w:val="0"/>
        </w:rPr>
        <w:t>&lt;Article&gt;</w:t>
      </w:r>
      <w:r w:rsidRPr="00B915F8">
        <w:t>Article 8 – paragraphe 1 – point b</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5DDA5D97" w14:textId="77777777" w:rsidTr="007924BE">
        <w:trPr>
          <w:jc w:val="center"/>
        </w:trPr>
        <w:tc>
          <w:tcPr>
            <w:tcW w:w="9752" w:type="dxa"/>
            <w:gridSpan w:val="2"/>
          </w:tcPr>
          <w:p w14:paraId="1D4E3F2D" w14:textId="77777777" w:rsidR="00BF7ACA" w:rsidRPr="00355860" w:rsidRDefault="00BF7ACA" w:rsidP="007924BE">
            <w:pPr>
              <w:keepNext/>
            </w:pPr>
          </w:p>
        </w:tc>
      </w:tr>
      <w:tr w:rsidR="00BF7ACA" w:rsidRPr="00355860" w14:paraId="0D7F6373" w14:textId="77777777" w:rsidTr="007924BE">
        <w:trPr>
          <w:jc w:val="center"/>
        </w:trPr>
        <w:tc>
          <w:tcPr>
            <w:tcW w:w="4876" w:type="dxa"/>
            <w:hideMark/>
          </w:tcPr>
          <w:p w14:paraId="1D454532" w14:textId="77777777" w:rsidR="00BF7ACA" w:rsidRPr="00B915F8" w:rsidRDefault="00BF7ACA" w:rsidP="007924BE">
            <w:pPr>
              <w:pStyle w:val="ColumnHeading"/>
              <w:keepNext/>
            </w:pPr>
            <w:r w:rsidRPr="00B915F8">
              <w:t>Texte proposé par la Commission</w:t>
            </w:r>
          </w:p>
        </w:tc>
        <w:tc>
          <w:tcPr>
            <w:tcW w:w="4876" w:type="dxa"/>
            <w:hideMark/>
          </w:tcPr>
          <w:p w14:paraId="057C52C1" w14:textId="77777777" w:rsidR="00BF7ACA" w:rsidRPr="00B915F8" w:rsidRDefault="00BF7ACA" w:rsidP="007924BE">
            <w:pPr>
              <w:pStyle w:val="ColumnHeading"/>
              <w:keepNext/>
            </w:pPr>
            <w:r w:rsidRPr="00B915F8">
              <w:t>Amendement</w:t>
            </w:r>
          </w:p>
        </w:tc>
      </w:tr>
      <w:tr w:rsidR="00BF7ACA" w:rsidRPr="00355860" w14:paraId="312B9300" w14:textId="77777777" w:rsidTr="007924BE">
        <w:trPr>
          <w:jc w:val="center"/>
        </w:trPr>
        <w:tc>
          <w:tcPr>
            <w:tcW w:w="4876" w:type="dxa"/>
            <w:hideMark/>
          </w:tcPr>
          <w:p w14:paraId="6B16E221" w14:textId="77777777" w:rsidR="00BF7ACA" w:rsidRPr="00DC274A" w:rsidRDefault="00BF7ACA" w:rsidP="007924BE">
            <w:pPr>
              <w:pStyle w:val="Normal6"/>
              <w:rPr>
                <w:b/>
                <w:i/>
              </w:rPr>
            </w:pPr>
            <w:r w:rsidRPr="00DC274A">
              <w:t>(b)</w:t>
            </w:r>
            <w:r w:rsidRPr="00DC274A">
              <w:rPr>
                <w:b/>
                <w:i/>
              </w:rPr>
              <w:tab/>
              <w:t>cibler des</w:t>
            </w:r>
            <w:r w:rsidRPr="00DC274A">
              <w:t xml:space="preserve"> secteurs socio</w:t>
            </w:r>
            <w:r w:rsidRPr="00DC274A">
              <w:rPr>
                <w:b/>
                <w:i/>
              </w:rPr>
              <w:noBreakHyphen/>
            </w:r>
            <w:r w:rsidRPr="00DC274A">
              <w:t>économiques, notamment</w:t>
            </w:r>
            <w:r w:rsidRPr="00DC274A">
              <w:rPr>
                <w:b/>
                <w:i/>
              </w:rPr>
              <w:t xml:space="preserve"> des</w:t>
            </w:r>
            <w:r w:rsidRPr="00DC274A">
              <w:t xml:space="preserve"> infrastructures, dont</w:t>
            </w:r>
            <w:r w:rsidRPr="00DC274A">
              <w:rPr>
                <w:b/>
                <w:i/>
              </w:rPr>
              <w:t xml:space="preserve"> l’énergie durable</w:t>
            </w:r>
            <w:r w:rsidRPr="00DC274A">
              <w:t>, l’eau, les</w:t>
            </w:r>
            <w:r w:rsidRPr="00DC274A">
              <w:rPr>
                <w:b/>
                <w:i/>
              </w:rPr>
              <w:t xml:space="preserve"> transports</w:t>
            </w:r>
            <w:r w:rsidRPr="00DC274A">
              <w:t>, les technologies de l’information et de la communication, l’environnement, l’utilisation durable des ressources naturelles et la croissance bleue,</w:t>
            </w:r>
            <w:r w:rsidRPr="00DC274A">
              <w:rPr>
                <w:b/>
                <w:i/>
              </w:rPr>
              <w:t xml:space="preserve"> les infrastructures sociales</w:t>
            </w:r>
            <w:r w:rsidRPr="00DC274A">
              <w:t xml:space="preserve"> et le capital humain, afin</w:t>
            </w:r>
            <w:r w:rsidRPr="00DC274A">
              <w:rPr>
                <w:b/>
                <w:i/>
              </w:rPr>
              <w:t xml:space="preserve"> d’améliorer l’environnement</w:t>
            </w:r>
            <w:r w:rsidRPr="00DC274A">
              <w:t xml:space="preserve"> socio-économique;</w:t>
            </w:r>
          </w:p>
        </w:tc>
        <w:tc>
          <w:tcPr>
            <w:tcW w:w="4876" w:type="dxa"/>
            <w:hideMark/>
          </w:tcPr>
          <w:p w14:paraId="67EE0465" w14:textId="77777777" w:rsidR="00BF7ACA" w:rsidRPr="00DC274A" w:rsidRDefault="00BF7ACA" w:rsidP="007924BE">
            <w:pPr>
              <w:pStyle w:val="Normal6"/>
              <w:rPr>
                <w:b/>
                <w:i/>
                <w:szCs w:val="24"/>
              </w:rPr>
            </w:pPr>
            <w:r w:rsidRPr="00DC274A">
              <w:t>(b)</w:t>
            </w:r>
            <w:r w:rsidRPr="00DC274A">
              <w:rPr>
                <w:b/>
                <w:i/>
              </w:rPr>
              <w:tab/>
              <w:t>renforcer les</w:t>
            </w:r>
            <w:r w:rsidRPr="00DC274A">
              <w:t xml:space="preserve"> secteurs socio</w:t>
            </w:r>
            <w:r w:rsidRPr="00DC274A">
              <w:rPr>
                <w:b/>
                <w:i/>
              </w:rPr>
              <w:noBreakHyphen/>
            </w:r>
            <w:r w:rsidRPr="00DC274A">
              <w:t>économiques, notamment</w:t>
            </w:r>
            <w:r w:rsidRPr="00DC274A">
              <w:rPr>
                <w:b/>
                <w:i/>
              </w:rPr>
              <w:t xml:space="preserve"> les</w:t>
            </w:r>
            <w:r w:rsidRPr="00DC274A">
              <w:t xml:space="preserve"> infrastructures, dont</w:t>
            </w:r>
            <w:r w:rsidRPr="00DC274A">
              <w:rPr>
                <w:b/>
                <w:i/>
              </w:rPr>
              <w:t xml:space="preserve"> les énergies propres et renouvelables</w:t>
            </w:r>
            <w:r w:rsidRPr="00DC274A">
              <w:t>, l’eau,</w:t>
            </w:r>
            <w:r w:rsidRPr="00DC274A">
              <w:rPr>
                <w:b/>
                <w:i/>
              </w:rPr>
              <w:t xml:space="preserve"> la mobilité à faibles émissions de CO</w:t>
            </w:r>
            <w:r w:rsidRPr="00DC274A">
              <w:rPr>
                <w:b/>
                <w:i/>
                <w:vertAlign w:val="subscript"/>
              </w:rPr>
              <w:t>2</w:t>
            </w:r>
            <w:r w:rsidRPr="00DC274A">
              <w:rPr>
                <w:b/>
                <w:i/>
              </w:rPr>
              <w:t>,</w:t>
            </w:r>
            <w:r w:rsidRPr="00DC274A">
              <w:t xml:space="preserve"> les</w:t>
            </w:r>
            <w:r w:rsidRPr="00DC274A">
              <w:rPr>
                <w:b/>
                <w:i/>
              </w:rPr>
              <w:t xml:space="preserve"> technologies écologiques</w:t>
            </w:r>
            <w:r w:rsidRPr="00DC274A">
              <w:t>, les technologies de l’information et de la communication, l’environnement, l’utilisation durable des ressources naturelles et la croissance bleue,</w:t>
            </w:r>
            <w:r w:rsidRPr="00DC274A">
              <w:rPr>
                <w:b/>
                <w:i/>
              </w:rPr>
              <w:t xml:space="preserve"> la consommation</w:t>
            </w:r>
            <w:r w:rsidRPr="00DC274A">
              <w:t xml:space="preserve"> et</w:t>
            </w:r>
            <w:r w:rsidRPr="00DC274A">
              <w:rPr>
                <w:b/>
                <w:i/>
              </w:rPr>
              <w:t xml:space="preserve"> la production durables, et</w:t>
            </w:r>
            <w:r w:rsidRPr="00DC274A">
              <w:t xml:space="preserve"> le capital humain, afin</w:t>
            </w:r>
            <w:r w:rsidRPr="00DC274A">
              <w:rPr>
                <w:b/>
                <w:i/>
              </w:rPr>
              <w:t xml:space="preserve"> de promouvoir un développement</w:t>
            </w:r>
            <w:r w:rsidRPr="00DC274A">
              <w:t xml:space="preserve"> socio-économique</w:t>
            </w:r>
            <w:r w:rsidRPr="00DC274A">
              <w:rPr>
                <w:b/>
                <w:i/>
              </w:rPr>
              <w:t xml:space="preserve"> inclusif et durable qui soit bénéfique à tous et qui ne laisse personne de côté</w:t>
            </w:r>
            <w:r w:rsidRPr="00DC274A">
              <w:t>;</w:t>
            </w:r>
          </w:p>
        </w:tc>
      </w:tr>
    </w:tbl>
    <w:p w14:paraId="6FB32796" w14:textId="77777777" w:rsidR="00BF7ACA" w:rsidRPr="00DC274A" w:rsidRDefault="00BF7ACA" w:rsidP="00BF7ACA">
      <w:pPr>
        <w:pStyle w:val="Olang"/>
        <w:rPr>
          <w:noProof w:val="0"/>
          <w:szCs w:val="24"/>
        </w:rPr>
      </w:pPr>
      <w:r w:rsidRPr="00DC274A">
        <w:rPr>
          <w:noProof w:val="0"/>
        </w:rPr>
        <w:t xml:space="preserve">Or. </w:t>
      </w:r>
      <w:r w:rsidRPr="00DC274A">
        <w:rPr>
          <w:rStyle w:val="HideTWBExt"/>
          <w:noProof w:val="0"/>
        </w:rPr>
        <w:t>&lt;Original&gt;</w:t>
      </w:r>
      <w:r w:rsidRPr="00DC274A">
        <w:rPr>
          <w:rStyle w:val="HideTWBInt"/>
          <w:noProof w:val="0"/>
        </w:rPr>
        <w:t>{EN}</w:t>
      </w:r>
      <w:r w:rsidRPr="00DC274A">
        <w:rPr>
          <w:noProof w:val="0"/>
        </w:rPr>
        <w:t>en</w:t>
      </w:r>
      <w:r w:rsidRPr="00DC274A">
        <w:rPr>
          <w:rStyle w:val="HideTWBExt"/>
          <w:noProof w:val="0"/>
        </w:rPr>
        <w:t>&lt;/Original&gt;</w:t>
      </w:r>
    </w:p>
    <w:p w14:paraId="4702955C" w14:textId="77777777" w:rsidR="00BF7ACA" w:rsidRPr="00DC274A" w:rsidRDefault="00BF7ACA" w:rsidP="00BF7ACA">
      <w:r w:rsidRPr="00DC274A">
        <w:rPr>
          <w:rStyle w:val="HideTWBExt"/>
        </w:rPr>
        <w:t>&lt;/Amend&gt;</w:t>
      </w:r>
    </w:p>
    <w:p w14:paraId="6ED51A2D" w14:textId="77777777" w:rsidR="00BF7ACA" w:rsidRPr="00DC274A" w:rsidRDefault="00BF7ACA" w:rsidP="00BF7ACA">
      <w:pPr>
        <w:pStyle w:val="AMNumberTabs"/>
        <w:keepNext/>
      </w:pPr>
      <w:r w:rsidRPr="00DC274A">
        <w:rPr>
          <w:rStyle w:val="HideTWBExt"/>
          <w:b w:val="0"/>
        </w:rPr>
        <w:t>&lt;Amend&gt;</w:t>
      </w:r>
      <w:r w:rsidRPr="00DC274A">
        <w:t>Amendement</w:t>
      </w:r>
      <w:r w:rsidRPr="00DC274A">
        <w:tab/>
      </w:r>
      <w:r w:rsidRPr="00DC274A">
        <w:tab/>
      </w:r>
      <w:r w:rsidRPr="00DC274A">
        <w:rPr>
          <w:rStyle w:val="HideTWBExt"/>
          <w:b w:val="0"/>
        </w:rPr>
        <w:t>&lt;NumAm&gt;</w:t>
      </w:r>
      <w:r w:rsidRPr="00DC274A">
        <w:t>245</w:t>
      </w:r>
      <w:r w:rsidRPr="00DC274A">
        <w:rPr>
          <w:rStyle w:val="HideTWBExt"/>
          <w:b w:val="0"/>
        </w:rPr>
        <w:t>&lt;/NumAm&gt;</w:t>
      </w:r>
    </w:p>
    <w:p w14:paraId="005A2684" w14:textId="77777777" w:rsidR="00BF7ACA" w:rsidRPr="00DC274A" w:rsidRDefault="00BF7ACA" w:rsidP="00BF7ACA">
      <w:pPr>
        <w:pStyle w:val="NormalBold"/>
      </w:pPr>
      <w:r w:rsidRPr="00DC274A">
        <w:rPr>
          <w:rStyle w:val="HideTWBExt"/>
          <w:b w:val="0"/>
        </w:rPr>
        <w:t>&lt;RepeatBlock-By&gt;&lt;Members&gt;</w:t>
      </w:r>
      <w:r w:rsidRPr="00DC274A">
        <w:t>Beatriz Becerra Basterrechea, Urmas Paet, Anneli Jäätteenmäki, Jozo Radoš, Hilde Vautmans, Ilhan Kyuchyuk, Nedzhmi Ali</w:t>
      </w:r>
      <w:r w:rsidRPr="00DC274A">
        <w:rPr>
          <w:rStyle w:val="HideTWBExt"/>
          <w:b w:val="0"/>
        </w:rPr>
        <w:t>&lt;/Members&gt;</w:t>
      </w:r>
    </w:p>
    <w:p w14:paraId="1D84344D" w14:textId="77777777" w:rsidR="00BF7ACA" w:rsidRPr="00355860" w:rsidRDefault="00BF7ACA" w:rsidP="00BF7ACA">
      <w:r>
        <w:rPr>
          <w:rStyle w:val="HideTWBExt"/>
        </w:rPr>
        <w:t>&lt;/RepeatBlock-By&gt;</w:t>
      </w:r>
    </w:p>
    <w:p w14:paraId="73D7371A"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2269D376" w14:textId="77777777" w:rsidR="00BF7ACA" w:rsidRPr="00355860" w:rsidRDefault="00BF7ACA" w:rsidP="00BF7ACA">
      <w:pPr>
        <w:pStyle w:val="NormalBold"/>
      </w:pPr>
      <w:r>
        <w:rPr>
          <w:rStyle w:val="HideTWBExt"/>
          <w:b w:val="0"/>
        </w:rPr>
        <w:t>&lt;Article&gt;</w:t>
      </w:r>
      <w:r w:rsidRPr="00B915F8">
        <w:t>Article 8 – paragraphe 1 – point b</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0F449054" w14:textId="77777777" w:rsidTr="007924BE">
        <w:trPr>
          <w:jc w:val="center"/>
        </w:trPr>
        <w:tc>
          <w:tcPr>
            <w:tcW w:w="9752" w:type="dxa"/>
            <w:gridSpan w:val="2"/>
          </w:tcPr>
          <w:p w14:paraId="50E228D0" w14:textId="77777777" w:rsidR="00BF7ACA" w:rsidRPr="00355860" w:rsidRDefault="00BF7ACA" w:rsidP="007924BE">
            <w:pPr>
              <w:keepNext/>
            </w:pPr>
          </w:p>
        </w:tc>
      </w:tr>
      <w:tr w:rsidR="00BF7ACA" w:rsidRPr="00355860" w14:paraId="1181AE86" w14:textId="77777777" w:rsidTr="007924BE">
        <w:trPr>
          <w:jc w:val="center"/>
        </w:trPr>
        <w:tc>
          <w:tcPr>
            <w:tcW w:w="4876" w:type="dxa"/>
            <w:hideMark/>
          </w:tcPr>
          <w:p w14:paraId="5461950C" w14:textId="77777777" w:rsidR="00BF7ACA" w:rsidRPr="00B915F8" w:rsidRDefault="00BF7ACA" w:rsidP="007924BE">
            <w:pPr>
              <w:pStyle w:val="ColumnHeading"/>
              <w:keepNext/>
            </w:pPr>
            <w:r w:rsidRPr="00B915F8">
              <w:t>Texte proposé par la Commission</w:t>
            </w:r>
          </w:p>
        </w:tc>
        <w:tc>
          <w:tcPr>
            <w:tcW w:w="4876" w:type="dxa"/>
            <w:hideMark/>
          </w:tcPr>
          <w:p w14:paraId="3E9FBF7B" w14:textId="77777777" w:rsidR="00BF7ACA" w:rsidRPr="00B915F8" w:rsidRDefault="00BF7ACA" w:rsidP="007924BE">
            <w:pPr>
              <w:pStyle w:val="ColumnHeading"/>
              <w:keepNext/>
            </w:pPr>
            <w:r w:rsidRPr="00B915F8">
              <w:t>Amendement</w:t>
            </w:r>
          </w:p>
        </w:tc>
      </w:tr>
      <w:tr w:rsidR="00BF7ACA" w:rsidRPr="00355860" w14:paraId="2714CD54" w14:textId="77777777" w:rsidTr="007924BE">
        <w:trPr>
          <w:jc w:val="center"/>
        </w:trPr>
        <w:tc>
          <w:tcPr>
            <w:tcW w:w="4876" w:type="dxa"/>
            <w:hideMark/>
          </w:tcPr>
          <w:p w14:paraId="3711002E" w14:textId="77777777" w:rsidR="00BF7ACA" w:rsidRPr="00DC274A" w:rsidRDefault="00BF7ACA" w:rsidP="007924BE">
            <w:pPr>
              <w:pStyle w:val="Normal6"/>
              <w:rPr>
                <w:b/>
                <w:i/>
              </w:rPr>
            </w:pPr>
            <w:r w:rsidRPr="00DC274A">
              <w:t>(b)</w:t>
            </w:r>
            <w:r w:rsidRPr="00DC274A">
              <w:rPr>
                <w:b/>
                <w:i/>
              </w:rPr>
              <w:tab/>
            </w:r>
            <w:r w:rsidRPr="00DC274A">
              <w:t>cibler</w:t>
            </w:r>
            <w:r w:rsidRPr="00DC274A">
              <w:rPr>
                <w:b/>
                <w:i/>
              </w:rPr>
              <w:t xml:space="preserve"> des</w:t>
            </w:r>
            <w:r w:rsidRPr="00DC274A">
              <w:t xml:space="preserve"> secteurs socio</w:t>
            </w:r>
            <w:r w:rsidRPr="00DC274A">
              <w:rPr>
                <w:b/>
                <w:i/>
              </w:rPr>
              <w:noBreakHyphen/>
            </w:r>
            <w:r w:rsidRPr="00DC274A">
              <w:t>économiques, notamment</w:t>
            </w:r>
            <w:r w:rsidRPr="00DC274A">
              <w:rPr>
                <w:b/>
                <w:i/>
              </w:rPr>
              <w:t xml:space="preserve"> des</w:t>
            </w:r>
            <w:r w:rsidRPr="00DC274A">
              <w:t xml:space="preserve"> infrastructures, dont</w:t>
            </w:r>
            <w:r w:rsidRPr="00DC274A">
              <w:rPr>
                <w:b/>
                <w:i/>
              </w:rPr>
              <w:t xml:space="preserve"> l’énergie durable</w:t>
            </w:r>
            <w:r w:rsidRPr="00DC274A">
              <w:t>, l’eau, les</w:t>
            </w:r>
            <w:r w:rsidRPr="00DC274A">
              <w:rPr>
                <w:b/>
                <w:i/>
              </w:rPr>
              <w:t xml:space="preserve"> transports</w:t>
            </w:r>
            <w:r w:rsidRPr="00DC274A">
              <w:t>, les technologies de l’information et de la communication, l’environnement, l’utilisation durable des ressources naturelles et la croissance bleue,</w:t>
            </w:r>
            <w:r w:rsidRPr="00DC274A">
              <w:rPr>
                <w:b/>
                <w:i/>
              </w:rPr>
              <w:t xml:space="preserve"> les infrastructures sociales</w:t>
            </w:r>
            <w:r w:rsidRPr="00DC274A">
              <w:t xml:space="preserve"> et le capital humain, afin</w:t>
            </w:r>
            <w:r w:rsidRPr="00DC274A">
              <w:rPr>
                <w:b/>
                <w:i/>
              </w:rPr>
              <w:t xml:space="preserve"> d’améliorer l’environnement</w:t>
            </w:r>
            <w:r w:rsidRPr="00DC274A">
              <w:t xml:space="preserve"> socio-économique;</w:t>
            </w:r>
          </w:p>
        </w:tc>
        <w:tc>
          <w:tcPr>
            <w:tcW w:w="4876" w:type="dxa"/>
            <w:hideMark/>
          </w:tcPr>
          <w:p w14:paraId="2240B2B7" w14:textId="77777777" w:rsidR="00BF7ACA" w:rsidRPr="00DC274A" w:rsidRDefault="00BF7ACA" w:rsidP="007924BE">
            <w:pPr>
              <w:pStyle w:val="Normal6"/>
              <w:rPr>
                <w:b/>
                <w:i/>
                <w:szCs w:val="24"/>
              </w:rPr>
            </w:pPr>
            <w:r w:rsidRPr="00DC274A">
              <w:t>(b)</w:t>
            </w:r>
            <w:r w:rsidRPr="00DC274A">
              <w:rPr>
                <w:b/>
                <w:i/>
              </w:rPr>
              <w:tab/>
            </w:r>
            <w:r w:rsidRPr="00DC274A">
              <w:t>cibler</w:t>
            </w:r>
            <w:r w:rsidRPr="00DC274A">
              <w:rPr>
                <w:b/>
                <w:i/>
              </w:rPr>
              <w:t xml:space="preserve"> les</w:t>
            </w:r>
            <w:r w:rsidRPr="00DC274A">
              <w:t xml:space="preserve"> secteurs socio</w:t>
            </w:r>
            <w:r w:rsidRPr="00DC274A">
              <w:rPr>
                <w:b/>
                <w:i/>
              </w:rPr>
              <w:noBreakHyphen/>
            </w:r>
            <w:r w:rsidRPr="00DC274A">
              <w:t>économiques, notamment</w:t>
            </w:r>
            <w:r w:rsidRPr="00DC274A">
              <w:rPr>
                <w:b/>
                <w:i/>
              </w:rPr>
              <w:t xml:space="preserve"> les</w:t>
            </w:r>
            <w:r w:rsidRPr="00DC274A">
              <w:t xml:space="preserve"> infrastructures, dont</w:t>
            </w:r>
            <w:r w:rsidRPr="00DC274A">
              <w:rPr>
                <w:b/>
                <w:i/>
              </w:rPr>
              <w:t xml:space="preserve"> les énergies durables et renouvelables</w:t>
            </w:r>
            <w:r w:rsidRPr="00DC274A">
              <w:t>, l’eau, les</w:t>
            </w:r>
            <w:r w:rsidRPr="00DC274A">
              <w:rPr>
                <w:b/>
                <w:i/>
              </w:rPr>
              <w:t xml:space="preserve"> déchets</w:t>
            </w:r>
            <w:r w:rsidRPr="00DC274A">
              <w:t>,</w:t>
            </w:r>
            <w:r w:rsidRPr="00DC274A">
              <w:rPr>
                <w:b/>
                <w:i/>
              </w:rPr>
              <w:t xml:space="preserve"> la mobilité à faibles émissions de CO</w:t>
            </w:r>
            <w:r w:rsidRPr="00DC274A">
              <w:rPr>
                <w:b/>
                <w:i/>
                <w:vertAlign w:val="subscript"/>
              </w:rPr>
              <w:t>2</w:t>
            </w:r>
            <w:r w:rsidRPr="00DC274A">
              <w:rPr>
                <w:b/>
                <w:i/>
              </w:rPr>
              <w:t>,</w:t>
            </w:r>
            <w:r w:rsidRPr="00DC274A">
              <w:t xml:space="preserve"> les technologies de l’information et de la communication, l’environnement, l’utilisation durable des ressources naturelles et la croissance bleue,</w:t>
            </w:r>
            <w:r w:rsidRPr="00DC274A">
              <w:rPr>
                <w:b/>
                <w:i/>
              </w:rPr>
              <w:t xml:space="preserve"> la consommation</w:t>
            </w:r>
            <w:r w:rsidRPr="00DC274A">
              <w:t xml:space="preserve"> et</w:t>
            </w:r>
            <w:r w:rsidRPr="00DC274A">
              <w:rPr>
                <w:b/>
                <w:i/>
              </w:rPr>
              <w:t xml:space="preserve"> la production durables, et</w:t>
            </w:r>
            <w:r w:rsidRPr="00DC274A">
              <w:t xml:space="preserve"> le capital humain, afin</w:t>
            </w:r>
            <w:r w:rsidRPr="00DC274A">
              <w:rPr>
                <w:b/>
                <w:i/>
              </w:rPr>
              <w:t xml:space="preserve"> de promouvoir un développement</w:t>
            </w:r>
            <w:r w:rsidRPr="00DC274A">
              <w:t xml:space="preserve"> socio-économique</w:t>
            </w:r>
            <w:r w:rsidRPr="00DC274A">
              <w:rPr>
                <w:b/>
                <w:i/>
              </w:rPr>
              <w:t xml:space="preserve"> inclusif et durable qui soit bénéfique à tous et qui ne laisse personne de côté</w:t>
            </w:r>
            <w:r w:rsidRPr="00DC274A">
              <w:t>;</w:t>
            </w:r>
          </w:p>
        </w:tc>
      </w:tr>
    </w:tbl>
    <w:p w14:paraId="6415E7DB" w14:textId="77777777" w:rsidR="00BF7ACA" w:rsidRPr="00DC274A" w:rsidRDefault="00BF7ACA" w:rsidP="00BF7ACA">
      <w:pPr>
        <w:pStyle w:val="Olang"/>
        <w:rPr>
          <w:noProof w:val="0"/>
          <w:szCs w:val="24"/>
        </w:rPr>
      </w:pPr>
      <w:r w:rsidRPr="00DC274A">
        <w:rPr>
          <w:noProof w:val="0"/>
        </w:rPr>
        <w:t xml:space="preserve">Or. </w:t>
      </w:r>
      <w:r w:rsidRPr="00DC274A">
        <w:rPr>
          <w:rStyle w:val="HideTWBExt"/>
          <w:noProof w:val="0"/>
        </w:rPr>
        <w:t>&lt;Original&gt;</w:t>
      </w:r>
      <w:r w:rsidRPr="00DC274A">
        <w:rPr>
          <w:rStyle w:val="HideTWBInt"/>
          <w:noProof w:val="0"/>
        </w:rPr>
        <w:t>{EN}</w:t>
      </w:r>
      <w:r w:rsidRPr="00DC274A">
        <w:rPr>
          <w:noProof w:val="0"/>
        </w:rPr>
        <w:t>en</w:t>
      </w:r>
      <w:r w:rsidRPr="00DC274A">
        <w:rPr>
          <w:rStyle w:val="HideTWBExt"/>
          <w:noProof w:val="0"/>
        </w:rPr>
        <w:t>&lt;/Original&gt;</w:t>
      </w:r>
    </w:p>
    <w:p w14:paraId="376C9C51" w14:textId="77777777" w:rsidR="00BF7ACA" w:rsidRPr="00DC274A" w:rsidRDefault="00BF7ACA" w:rsidP="00BF7ACA">
      <w:r w:rsidRPr="00DC274A">
        <w:rPr>
          <w:rStyle w:val="HideTWBExt"/>
        </w:rPr>
        <w:t>&lt;/Amend&gt;</w:t>
      </w:r>
    </w:p>
    <w:p w14:paraId="673C46E5"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246</w:t>
      </w:r>
      <w:r w:rsidRPr="00E502E5">
        <w:rPr>
          <w:rStyle w:val="HideTWBExt"/>
          <w:b w:val="0"/>
        </w:rPr>
        <w:t>&lt;/NumAm&gt;</w:t>
      </w:r>
    </w:p>
    <w:p w14:paraId="0E789A9B" w14:textId="77777777"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14:paraId="43CFF6DD" w14:textId="77777777" w:rsidR="00BF7ACA" w:rsidRPr="00E502E5" w:rsidRDefault="00BF7ACA" w:rsidP="00BF7ACA">
      <w:r w:rsidRPr="00E502E5">
        <w:rPr>
          <w:rStyle w:val="HideTWBExt"/>
        </w:rPr>
        <w:t>&lt;/RepeatBlock-By&gt;</w:t>
      </w:r>
    </w:p>
    <w:p w14:paraId="1C3E4BDD"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1CF10D04" w14:textId="77777777" w:rsidR="00BF7ACA" w:rsidRPr="00E502E5" w:rsidRDefault="00BF7ACA" w:rsidP="00BF7ACA">
      <w:pPr>
        <w:pStyle w:val="NormalBold"/>
      </w:pPr>
      <w:r w:rsidRPr="00E502E5">
        <w:rPr>
          <w:rStyle w:val="HideTWBExt"/>
          <w:b w:val="0"/>
        </w:rPr>
        <w:t>&lt;Article&gt;</w:t>
      </w:r>
      <w:r w:rsidRPr="00E502E5">
        <w:t>Article 8 – paragraphe 1 – point b</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4F36FE72" w14:textId="77777777" w:rsidTr="007924BE">
        <w:trPr>
          <w:jc w:val="center"/>
        </w:trPr>
        <w:tc>
          <w:tcPr>
            <w:tcW w:w="9752" w:type="dxa"/>
            <w:gridSpan w:val="2"/>
          </w:tcPr>
          <w:p w14:paraId="668D20FA" w14:textId="77777777" w:rsidR="00BF7ACA" w:rsidRPr="00E502E5" w:rsidRDefault="00BF7ACA" w:rsidP="007924BE">
            <w:pPr>
              <w:keepNext/>
            </w:pPr>
          </w:p>
        </w:tc>
      </w:tr>
      <w:tr w:rsidR="00BF7ACA" w:rsidRPr="00E502E5" w14:paraId="74689C35" w14:textId="77777777" w:rsidTr="007924BE">
        <w:trPr>
          <w:jc w:val="center"/>
        </w:trPr>
        <w:tc>
          <w:tcPr>
            <w:tcW w:w="4876" w:type="dxa"/>
            <w:hideMark/>
          </w:tcPr>
          <w:p w14:paraId="0BCC3D46" w14:textId="77777777" w:rsidR="00BF7ACA" w:rsidRPr="00E502E5" w:rsidRDefault="00BF7ACA" w:rsidP="007924BE">
            <w:pPr>
              <w:pStyle w:val="ColumnHeading"/>
              <w:keepNext/>
            </w:pPr>
            <w:r w:rsidRPr="00E502E5">
              <w:t>Texte proposé par la Commission</w:t>
            </w:r>
          </w:p>
        </w:tc>
        <w:tc>
          <w:tcPr>
            <w:tcW w:w="4876" w:type="dxa"/>
            <w:hideMark/>
          </w:tcPr>
          <w:p w14:paraId="35576273" w14:textId="77777777" w:rsidR="00BF7ACA" w:rsidRPr="00E502E5" w:rsidRDefault="00BF7ACA" w:rsidP="007924BE">
            <w:pPr>
              <w:pStyle w:val="ColumnHeading"/>
              <w:keepNext/>
            </w:pPr>
            <w:r w:rsidRPr="00E502E5">
              <w:t>Amendement</w:t>
            </w:r>
          </w:p>
        </w:tc>
      </w:tr>
      <w:tr w:rsidR="00BF7ACA" w:rsidRPr="00E502E5" w14:paraId="3673D51E" w14:textId="77777777" w:rsidTr="007924BE">
        <w:trPr>
          <w:jc w:val="center"/>
        </w:trPr>
        <w:tc>
          <w:tcPr>
            <w:tcW w:w="4876" w:type="dxa"/>
            <w:hideMark/>
          </w:tcPr>
          <w:p w14:paraId="6C3D9390" w14:textId="77777777" w:rsidR="00BF7ACA" w:rsidRPr="00E502E5" w:rsidRDefault="00BF7ACA" w:rsidP="007924BE">
            <w:pPr>
              <w:pStyle w:val="Normal6"/>
            </w:pPr>
            <w:r w:rsidRPr="00E502E5">
              <w:t>(b)</w:t>
            </w:r>
            <w:r w:rsidRPr="00E502E5">
              <w:tab/>
            </w:r>
            <w:r w:rsidRPr="00E502E5">
              <w:rPr>
                <w:b/>
                <w:i/>
              </w:rPr>
              <w:t>cibler des</w:t>
            </w:r>
            <w:r w:rsidRPr="00E502E5">
              <w:t xml:space="preserve"> secteurs socio-économiques, notamment des infrastructures, dont </w:t>
            </w:r>
            <w:r w:rsidRPr="00E502E5">
              <w:rPr>
                <w:b/>
                <w:i/>
              </w:rPr>
              <w:t>l</w:t>
            </w:r>
            <w:r>
              <w:rPr>
                <w:b/>
                <w:i/>
              </w:rPr>
              <w:t>’</w:t>
            </w:r>
            <w:r w:rsidRPr="00E502E5">
              <w:rPr>
                <w:b/>
                <w:i/>
              </w:rPr>
              <w:t>énergie durable</w:t>
            </w:r>
            <w:r w:rsidRPr="00E502E5">
              <w:t>, l</w:t>
            </w:r>
            <w:r>
              <w:t>’</w:t>
            </w:r>
            <w:r w:rsidRPr="00E502E5">
              <w:t>eau, les transports, les technologies de l</w:t>
            </w:r>
            <w:r>
              <w:t>’</w:t>
            </w:r>
            <w:r w:rsidRPr="00E502E5">
              <w:t>information et de la communication, l</w:t>
            </w:r>
            <w:r>
              <w:t>’</w:t>
            </w:r>
            <w:r w:rsidRPr="00E502E5">
              <w:t>environnement, l</w:t>
            </w:r>
            <w:r>
              <w:t>’</w:t>
            </w:r>
            <w:r w:rsidRPr="00E502E5">
              <w:t xml:space="preserve">utilisation durable des ressources naturelles et la croissance bleue, les infrastructures sociales </w:t>
            </w:r>
            <w:r w:rsidRPr="00E502E5">
              <w:rPr>
                <w:b/>
                <w:i/>
              </w:rPr>
              <w:t>et</w:t>
            </w:r>
            <w:r w:rsidRPr="00E502E5">
              <w:t xml:space="preserve"> le capital humain, afin d</w:t>
            </w:r>
            <w:r>
              <w:t>’</w:t>
            </w:r>
            <w:r w:rsidRPr="00E502E5">
              <w:t>améliorer l</w:t>
            </w:r>
            <w:r>
              <w:t>’</w:t>
            </w:r>
            <w:r w:rsidRPr="00E502E5">
              <w:t>environnement socio-économique;</w:t>
            </w:r>
          </w:p>
        </w:tc>
        <w:tc>
          <w:tcPr>
            <w:tcW w:w="4876" w:type="dxa"/>
            <w:hideMark/>
          </w:tcPr>
          <w:p w14:paraId="1152F453" w14:textId="77777777" w:rsidR="00BF7ACA" w:rsidRPr="00E502E5" w:rsidRDefault="00BF7ACA" w:rsidP="007924BE">
            <w:pPr>
              <w:pStyle w:val="Normal6"/>
              <w:rPr>
                <w:szCs w:val="24"/>
              </w:rPr>
            </w:pPr>
            <w:r w:rsidRPr="00E502E5">
              <w:t>(b)</w:t>
            </w:r>
            <w:r w:rsidRPr="00E502E5">
              <w:tab/>
            </w:r>
            <w:r w:rsidRPr="00E502E5">
              <w:rPr>
                <w:b/>
                <w:i/>
              </w:rPr>
              <w:t>renforcer certains</w:t>
            </w:r>
            <w:r w:rsidRPr="00E502E5">
              <w:t xml:space="preserve"> secteurs socio-économiques, notamment des infrastructures, dont </w:t>
            </w:r>
            <w:r w:rsidRPr="00E502E5">
              <w:rPr>
                <w:b/>
                <w:i/>
              </w:rPr>
              <w:t>les énergies renouvelables</w:t>
            </w:r>
            <w:r w:rsidRPr="00E502E5">
              <w:t>, l</w:t>
            </w:r>
            <w:r>
              <w:t>’</w:t>
            </w:r>
            <w:r w:rsidRPr="00E502E5">
              <w:t>eau, les transports, les technologies de l</w:t>
            </w:r>
            <w:r>
              <w:t>’</w:t>
            </w:r>
            <w:r w:rsidRPr="00E502E5">
              <w:t>information et de la communication, l</w:t>
            </w:r>
            <w:r>
              <w:t>’</w:t>
            </w:r>
            <w:r w:rsidRPr="00E502E5">
              <w:t>environnement, l</w:t>
            </w:r>
            <w:r>
              <w:t>’</w:t>
            </w:r>
            <w:r w:rsidRPr="00E502E5">
              <w:t>utilisation durable des ressources naturelles et la croissance bleue, les infrastructures sociales</w:t>
            </w:r>
            <w:r w:rsidRPr="00E502E5">
              <w:rPr>
                <w:b/>
                <w:i/>
              </w:rPr>
              <w:t>,</w:t>
            </w:r>
            <w:r w:rsidRPr="00E502E5">
              <w:t xml:space="preserve"> le capital humain </w:t>
            </w:r>
            <w:r w:rsidRPr="00E502E5">
              <w:rPr>
                <w:b/>
                <w:i/>
              </w:rPr>
              <w:t>et l</w:t>
            </w:r>
            <w:r>
              <w:rPr>
                <w:b/>
                <w:i/>
              </w:rPr>
              <w:t>’</w:t>
            </w:r>
            <w:r w:rsidRPr="00E502E5">
              <w:rPr>
                <w:b/>
                <w:i/>
              </w:rPr>
              <w:t>éducation et la formation tout au long de la vie</w:t>
            </w:r>
            <w:r w:rsidRPr="00E502E5">
              <w:t>, afin d</w:t>
            </w:r>
            <w:r>
              <w:t>’</w:t>
            </w:r>
            <w:r w:rsidRPr="00E502E5">
              <w:t>améliorer l</w:t>
            </w:r>
            <w:r>
              <w:t>’</w:t>
            </w:r>
            <w:r w:rsidRPr="00E502E5">
              <w:t>environnement socio-économique;</w:t>
            </w:r>
          </w:p>
        </w:tc>
      </w:tr>
    </w:tbl>
    <w:p w14:paraId="14C3A5E2"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30BF9B9B" w14:textId="77777777" w:rsidR="00BF7ACA" w:rsidRPr="00E502E5" w:rsidRDefault="00BF7ACA" w:rsidP="00BF7ACA">
      <w:r w:rsidRPr="00E502E5">
        <w:rPr>
          <w:rStyle w:val="HideTWBExt"/>
        </w:rPr>
        <w:t>&lt;/Amend&gt;</w:t>
      </w:r>
    </w:p>
    <w:p w14:paraId="02487AFC" w14:textId="77777777" w:rsidR="00BF7ACA" w:rsidRPr="00DC274A" w:rsidRDefault="00BF7ACA" w:rsidP="00BF7ACA">
      <w:pPr>
        <w:pStyle w:val="AMNumberTabs"/>
        <w:keepNext/>
      </w:pPr>
      <w:r w:rsidRPr="00DC274A">
        <w:rPr>
          <w:rStyle w:val="HideTWBExt"/>
          <w:b w:val="0"/>
        </w:rPr>
        <w:t>&lt;Amend&gt;</w:t>
      </w:r>
      <w:r w:rsidRPr="00DC274A">
        <w:t>Amendement</w:t>
      </w:r>
      <w:r w:rsidRPr="00DC274A">
        <w:tab/>
      </w:r>
      <w:r w:rsidRPr="00DC274A">
        <w:tab/>
      </w:r>
      <w:r w:rsidRPr="00DC274A">
        <w:rPr>
          <w:rStyle w:val="HideTWBExt"/>
          <w:b w:val="0"/>
        </w:rPr>
        <w:t>&lt;NumAm&gt;</w:t>
      </w:r>
      <w:r w:rsidRPr="00DC274A">
        <w:t>247</w:t>
      </w:r>
      <w:r w:rsidRPr="00DC274A">
        <w:rPr>
          <w:rStyle w:val="HideTWBExt"/>
          <w:b w:val="0"/>
        </w:rPr>
        <w:t>&lt;/NumAm&gt;</w:t>
      </w:r>
    </w:p>
    <w:p w14:paraId="31A2B6BE" w14:textId="77777777" w:rsidR="00BF7ACA" w:rsidRPr="00DC274A" w:rsidRDefault="00BF7ACA" w:rsidP="00BF7ACA">
      <w:pPr>
        <w:pStyle w:val="NormalBold"/>
      </w:pPr>
      <w:r w:rsidRPr="00DC274A">
        <w:rPr>
          <w:rStyle w:val="HideTWBExt"/>
          <w:b w:val="0"/>
        </w:rPr>
        <w:t>&lt;RepeatBlock-By&gt;&lt;Members&gt;</w:t>
      </w:r>
      <w:r w:rsidRPr="00DC274A">
        <w:t>Heidi Hautala, Maria Heubuch, Judith Sargentini</w:t>
      </w:r>
      <w:r w:rsidRPr="00DC274A">
        <w:rPr>
          <w:rStyle w:val="HideTWBExt"/>
          <w:b w:val="0"/>
        </w:rPr>
        <w:t>&lt;/Members&gt;</w:t>
      </w:r>
    </w:p>
    <w:p w14:paraId="4A495C69" w14:textId="77777777" w:rsidR="00BF7ACA" w:rsidRPr="00355860" w:rsidRDefault="00BF7ACA" w:rsidP="00BF7ACA">
      <w:r>
        <w:rPr>
          <w:rStyle w:val="HideTWBExt"/>
        </w:rPr>
        <w:t>&lt;/RepeatBlock-By&gt;</w:t>
      </w:r>
    </w:p>
    <w:p w14:paraId="7B6AFA43"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20FDF8A" w14:textId="77777777" w:rsidR="00BF7ACA" w:rsidRPr="00355860" w:rsidRDefault="00BF7ACA" w:rsidP="00BF7ACA">
      <w:pPr>
        <w:pStyle w:val="NormalBold"/>
      </w:pPr>
      <w:r>
        <w:rPr>
          <w:rStyle w:val="HideTWBExt"/>
          <w:b w:val="0"/>
        </w:rPr>
        <w:t>&lt;Article&gt;</w:t>
      </w:r>
      <w:r w:rsidRPr="00B915F8">
        <w:t>Article 8 – paragraphe 1 – point b</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77D3C081" w14:textId="77777777" w:rsidTr="007924BE">
        <w:trPr>
          <w:jc w:val="center"/>
        </w:trPr>
        <w:tc>
          <w:tcPr>
            <w:tcW w:w="9752" w:type="dxa"/>
            <w:gridSpan w:val="2"/>
          </w:tcPr>
          <w:p w14:paraId="45FF8D12" w14:textId="77777777" w:rsidR="00BF7ACA" w:rsidRPr="00355860" w:rsidRDefault="00BF7ACA" w:rsidP="007924BE">
            <w:pPr>
              <w:keepNext/>
            </w:pPr>
          </w:p>
        </w:tc>
      </w:tr>
      <w:tr w:rsidR="00BF7ACA" w:rsidRPr="00355860" w14:paraId="04196131" w14:textId="77777777" w:rsidTr="007924BE">
        <w:trPr>
          <w:jc w:val="center"/>
        </w:trPr>
        <w:tc>
          <w:tcPr>
            <w:tcW w:w="4876" w:type="dxa"/>
            <w:hideMark/>
          </w:tcPr>
          <w:p w14:paraId="118D1452" w14:textId="77777777" w:rsidR="00BF7ACA" w:rsidRPr="00B915F8" w:rsidRDefault="00BF7ACA" w:rsidP="007924BE">
            <w:pPr>
              <w:pStyle w:val="ColumnHeading"/>
              <w:keepNext/>
            </w:pPr>
            <w:r w:rsidRPr="00B915F8">
              <w:t>Texte proposé par la Commission</w:t>
            </w:r>
          </w:p>
        </w:tc>
        <w:tc>
          <w:tcPr>
            <w:tcW w:w="4876" w:type="dxa"/>
            <w:hideMark/>
          </w:tcPr>
          <w:p w14:paraId="6C514037" w14:textId="77777777" w:rsidR="00BF7ACA" w:rsidRPr="00B915F8" w:rsidRDefault="00BF7ACA" w:rsidP="007924BE">
            <w:pPr>
              <w:pStyle w:val="ColumnHeading"/>
              <w:keepNext/>
            </w:pPr>
            <w:r w:rsidRPr="00B915F8">
              <w:t>Amendement</w:t>
            </w:r>
          </w:p>
        </w:tc>
      </w:tr>
      <w:tr w:rsidR="00BF7ACA" w:rsidRPr="00355860" w14:paraId="0DA12C0D" w14:textId="77777777" w:rsidTr="007924BE">
        <w:trPr>
          <w:jc w:val="center"/>
        </w:trPr>
        <w:tc>
          <w:tcPr>
            <w:tcW w:w="4876" w:type="dxa"/>
            <w:hideMark/>
          </w:tcPr>
          <w:p w14:paraId="5CB234CB" w14:textId="77777777" w:rsidR="00BF7ACA" w:rsidRPr="00DC274A" w:rsidRDefault="00BF7ACA" w:rsidP="007924BE">
            <w:pPr>
              <w:pStyle w:val="Normal6"/>
              <w:rPr>
                <w:b/>
                <w:i/>
              </w:rPr>
            </w:pPr>
            <w:r w:rsidRPr="00DC274A">
              <w:t>(b)</w:t>
            </w:r>
            <w:r w:rsidRPr="00DC274A">
              <w:rPr>
                <w:b/>
                <w:i/>
              </w:rPr>
              <w:tab/>
            </w:r>
            <w:r w:rsidRPr="00DC274A">
              <w:t>cibler</w:t>
            </w:r>
            <w:r w:rsidRPr="00DC274A">
              <w:rPr>
                <w:b/>
                <w:i/>
              </w:rPr>
              <w:t xml:space="preserve"> des</w:t>
            </w:r>
            <w:r w:rsidRPr="00DC274A">
              <w:t xml:space="preserve"> secteurs socio</w:t>
            </w:r>
            <w:r w:rsidRPr="00DC274A">
              <w:rPr>
                <w:b/>
                <w:i/>
              </w:rPr>
              <w:noBreakHyphen/>
            </w:r>
            <w:r w:rsidRPr="00DC274A">
              <w:t>économiques, notamment</w:t>
            </w:r>
            <w:r w:rsidRPr="00DC274A">
              <w:rPr>
                <w:b/>
                <w:i/>
              </w:rPr>
              <w:t xml:space="preserve"> des</w:t>
            </w:r>
            <w:r w:rsidRPr="00DC274A">
              <w:t xml:space="preserve"> infrastructures, dont l’énergie durable, l’eau, les transports, les technologies de l’information et de la communication, l’environnement, l’utilisation durable des ressources naturelles et la croissance bleue, les infrastructures sociales et le capital humain, afin d’améliorer l’environnement</w:t>
            </w:r>
            <w:r>
              <w:rPr>
                <w:b/>
                <w:i/>
              </w:rPr>
              <w:t xml:space="preserve"> </w:t>
            </w:r>
            <w:r w:rsidRPr="00B25B3A">
              <w:t>socio</w:t>
            </w:r>
            <w:r w:rsidRPr="00B25B3A">
              <w:noBreakHyphen/>
              <w:t>économique;</w:t>
            </w:r>
          </w:p>
        </w:tc>
        <w:tc>
          <w:tcPr>
            <w:tcW w:w="4876" w:type="dxa"/>
            <w:hideMark/>
          </w:tcPr>
          <w:p w14:paraId="3BA03F17" w14:textId="77777777" w:rsidR="00BF7ACA" w:rsidRPr="00DC274A" w:rsidRDefault="00BF7ACA" w:rsidP="007924BE">
            <w:pPr>
              <w:pStyle w:val="Normal6"/>
              <w:rPr>
                <w:b/>
                <w:i/>
                <w:szCs w:val="24"/>
              </w:rPr>
            </w:pPr>
            <w:r w:rsidRPr="00DC274A">
              <w:t>(b)</w:t>
            </w:r>
            <w:r w:rsidRPr="00DC274A">
              <w:rPr>
                <w:b/>
                <w:i/>
              </w:rPr>
              <w:tab/>
            </w:r>
            <w:r w:rsidRPr="00DC274A">
              <w:t>cibler</w:t>
            </w:r>
            <w:r w:rsidRPr="00DC274A">
              <w:rPr>
                <w:b/>
                <w:i/>
              </w:rPr>
              <w:t xml:space="preserve"> les</w:t>
            </w:r>
            <w:r w:rsidRPr="00DC274A">
              <w:t xml:space="preserve"> secteurs socio</w:t>
            </w:r>
            <w:r w:rsidRPr="00DC274A">
              <w:rPr>
                <w:b/>
                <w:i/>
              </w:rPr>
              <w:noBreakHyphen/>
            </w:r>
            <w:r w:rsidRPr="00DC274A">
              <w:t>économiques, notamment</w:t>
            </w:r>
            <w:r w:rsidRPr="00DC274A">
              <w:rPr>
                <w:b/>
                <w:i/>
              </w:rPr>
              <w:t xml:space="preserve"> les</w:t>
            </w:r>
            <w:r w:rsidRPr="00DC274A">
              <w:t xml:space="preserve"> infrastructures, dont l’énergie durable, l’eau, les transports</w:t>
            </w:r>
            <w:r w:rsidRPr="00DC274A">
              <w:rPr>
                <w:b/>
                <w:i/>
              </w:rPr>
              <w:t xml:space="preserve"> à faibles émissions de CO</w:t>
            </w:r>
            <w:r w:rsidRPr="00DC274A">
              <w:rPr>
                <w:b/>
                <w:i/>
                <w:vertAlign w:val="subscript"/>
              </w:rPr>
              <w:t>2</w:t>
            </w:r>
            <w:r w:rsidRPr="00DC274A">
              <w:t>, les technologies de l’information et de la communication, l’environnement, l’utilisation durable des ressources naturelles</w:t>
            </w:r>
            <w:r w:rsidRPr="00DC274A">
              <w:rPr>
                <w:b/>
                <w:i/>
              </w:rPr>
              <w:t>, l’agriculture agro-écologique</w:t>
            </w:r>
            <w:r w:rsidRPr="00DC274A">
              <w:t xml:space="preserve"> et la croissance bleue, les infrastructures sociales et le capital humain, afin d’améliorer l’environnement</w:t>
            </w:r>
            <w:r w:rsidRPr="00DC274A">
              <w:rPr>
                <w:b/>
                <w:i/>
              </w:rPr>
              <w:t xml:space="preserve"> </w:t>
            </w:r>
            <w:r w:rsidRPr="00B25B3A">
              <w:t>socio</w:t>
            </w:r>
            <w:r w:rsidRPr="00B25B3A">
              <w:noBreakHyphen/>
              <w:t>économique;</w:t>
            </w:r>
          </w:p>
        </w:tc>
      </w:tr>
    </w:tbl>
    <w:p w14:paraId="7B23A844"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1FB25BA" w14:textId="77777777" w:rsidR="00BF7ACA" w:rsidRPr="00BF7ACA" w:rsidRDefault="00BF7ACA" w:rsidP="00BF7ACA">
      <w:r w:rsidRPr="00BF7ACA">
        <w:rPr>
          <w:rStyle w:val="HideTWBExt"/>
        </w:rPr>
        <w:t>&lt;/Amend&gt;</w:t>
      </w:r>
    </w:p>
    <w:p w14:paraId="48FB3E77"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248</w:t>
      </w:r>
      <w:r w:rsidRPr="00BF7ACA">
        <w:rPr>
          <w:rStyle w:val="HideTWBExt"/>
          <w:b w:val="0"/>
        </w:rPr>
        <w:t>&lt;/NumAm&gt;</w:t>
      </w:r>
    </w:p>
    <w:p w14:paraId="699827CE" w14:textId="77777777" w:rsidR="00BF7ACA" w:rsidRPr="00BF7ACA" w:rsidRDefault="00BF7ACA" w:rsidP="00BF7ACA">
      <w:pPr>
        <w:pStyle w:val="NormalBold"/>
      </w:pPr>
      <w:r w:rsidRPr="00BF7ACA">
        <w:rPr>
          <w:rStyle w:val="HideTWBExt"/>
          <w:b w:val="0"/>
        </w:rPr>
        <w:t>&lt;RepeatBlock-By&gt;&lt;Members&gt;</w:t>
      </w:r>
      <w:r w:rsidRPr="00BF7ACA">
        <w:t>Sabine Lösing</w:t>
      </w:r>
      <w:r w:rsidRPr="00BF7ACA">
        <w:rPr>
          <w:rStyle w:val="HideTWBExt"/>
          <w:b w:val="0"/>
        </w:rPr>
        <w:t>&lt;/Members&gt;</w:t>
      </w:r>
    </w:p>
    <w:p w14:paraId="0D3BFC1B" w14:textId="77777777" w:rsidR="00BF7ACA" w:rsidRPr="00355860" w:rsidRDefault="00BF7ACA" w:rsidP="00BF7ACA">
      <w:r>
        <w:rPr>
          <w:rStyle w:val="HideTWBExt"/>
        </w:rPr>
        <w:t>&lt;/RepeatBlock-By&gt;</w:t>
      </w:r>
    </w:p>
    <w:p w14:paraId="51434B5C"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1DAEE111" w14:textId="77777777" w:rsidR="00BF7ACA" w:rsidRPr="00355860" w:rsidRDefault="00BF7ACA" w:rsidP="00BF7ACA">
      <w:pPr>
        <w:pStyle w:val="NormalBold"/>
      </w:pPr>
      <w:r>
        <w:rPr>
          <w:rStyle w:val="HideTWBExt"/>
          <w:b w:val="0"/>
        </w:rPr>
        <w:t>&lt;Article&gt;</w:t>
      </w:r>
      <w:r w:rsidRPr="00B915F8">
        <w:t>Article 8 – paragraphe 1 – point b</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7BC60C3A" w14:textId="77777777" w:rsidTr="007924BE">
        <w:trPr>
          <w:jc w:val="center"/>
        </w:trPr>
        <w:tc>
          <w:tcPr>
            <w:tcW w:w="9752" w:type="dxa"/>
            <w:gridSpan w:val="2"/>
          </w:tcPr>
          <w:p w14:paraId="58FCF814" w14:textId="77777777" w:rsidR="00BF7ACA" w:rsidRPr="00355860" w:rsidRDefault="00BF7ACA" w:rsidP="007924BE">
            <w:pPr>
              <w:keepNext/>
            </w:pPr>
          </w:p>
        </w:tc>
      </w:tr>
      <w:tr w:rsidR="00BF7ACA" w:rsidRPr="00355860" w14:paraId="0C92729B" w14:textId="77777777" w:rsidTr="007924BE">
        <w:trPr>
          <w:jc w:val="center"/>
        </w:trPr>
        <w:tc>
          <w:tcPr>
            <w:tcW w:w="4876" w:type="dxa"/>
            <w:hideMark/>
          </w:tcPr>
          <w:p w14:paraId="77CFFBA9" w14:textId="77777777" w:rsidR="00BF7ACA" w:rsidRPr="00B915F8" w:rsidRDefault="00BF7ACA" w:rsidP="007924BE">
            <w:pPr>
              <w:pStyle w:val="ColumnHeading"/>
              <w:keepNext/>
            </w:pPr>
            <w:r w:rsidRPr="00B915F8">
              <w:t>Texte proposé par la Commission</w:t>
            </w:r>
          </w:p>
        </w:tc>
        <w:tc>
          <w:tcPr>
            <w:tcW w:w="4876" w:type="dxa"/>
            <w:hideMark/>
          </w:tcPr>
          <w:p w14:paraId="00F6867F" w14:textId="77777777" w:rsidR="00BF7ACA" w:rsidRPr="00B915F8" w:rsidRDefault="00BF7ACA" w:rsidP="007924BE">
            <w:pPr>
              <w:pStyle w:val="ColumnHeading"/>
              <w:keepNext/>
            </w:pPr>
            <w:r w:rsidRPr="00B915F8">
              <w:t>Amendement</w:t>
            </w:r>
          </w:p>
        </w:tc>
      </w:tr>
      <w:tr w:rsidR="00BF7ACA" w:rsidRPr="00355860" w14:paraId="6D71C82F" w14:textId="77777777" w:rsidTr="007924BE">
        <w:trPr>
          <w:jc w:val="center"/>
        </w:trPr>
        <w:tc>
          <w:tcPr>
            <w:tcW w:w="4876" w:type="dxa"/>
            <w:hideMark/>
          </w:tcPr>
          <w:p w14:paraId="69436E30" w14:textId="77777777" w:rsidR="00BF7ACA" w:rsidRPr="00DC274A" w:rsidRDefault="00BF7ACA" w:rsidP="007924BE">
            <w:pPr>
              <w:pStyle w:val="Normal6"/>
              <w:rPr>
                <w:b/>
                <w:i/>
              </w:rPr>
            </w:pPr>
            <w:r w:rsidRPr="00DC274A">
              <w:t>(b)</w:t>
            </w:r>
            <w:r w:rsidRPr="00DC274A">
              <w:rPr>
                <w:b/>
                <w:i/>
              </w:rPr>
              <w:tab/>
            </w:r>
            <w:r w:rsidRPr="00DC274A">
              <w:t>cibler</w:t>
            </w:r>
            <w:r w:rsidRPr="00DC274A">
              <w:rPr>
                <w:b/>
                <w:i/>
              </w:rPr>
              <w:t xml:space="preserve"> des</w:t>
            </w:r>
            <w:r w:rsidRPr="00DC274A">
              <w:t xml:space="preserve"> secteurs socio</w:t>
            </w:r>
            <w:r w:rsidRPr="00DC274A">
              <w:rPr>
                <w:b/>
                <w:i/>
              </w:rPr>
              <w:noBreakHyphen/>
            </w:r>
            <w:r w:rsidRPr="00DC274A">
              <w:t>économiques, notamment</w:t>
            </w:r>
            <w:r w:rsidRPr="00DC274A">
              <w:rPr>
                <w:b/>
                <w:i/>
              </w:rPr>
              <w:t xml:space="preserve"> des</w:t>
            </w:r>
            <w:r w:rsidRPr="00DC274A">
              <w:t xml:space="preserve"> infrastructures, dont l’énergie durable, l’eau, les transports, les technologies de l’information et de la communication, l’environnement, l’utilisation durable des ressources naturelles et la croissance bleue, les infrastructures sociales et le capital humain, afin d’améliorer l’environnement</w:t>
            </w:r>
            <w:r w:rsidRPr="00DC274A">
              <w:rPr>
                <w:b/>
                <w:i/>
              </w:rPr>
              <w:t xml:space="preserve"> </w:t>
            </w:r>
            <w:r w:rsidRPr="00B25B3A">
              <w:t>socio</w:t>
            </w:r>
            <w:r w:rsidRPr="00B25B3A">
              <w:noBreakHyphen/>
              <w:t>économique;</w:t>
            </w:r>
          </w:p>
        </w:tc>
        <w:tc>
          <w:tcPr>
            <w:tcW w:w="4876" w:type="dxa"/>
            <w:hideMark/>
          </w:tcPr>
          <w:p w14:paraId="5AE71086" w14:textId="77777777" w:rsidR="00BF7ACA" w:rsidRPr="00DC274A" w:rsidRDefault="00BF7ACA" w:rsidP="007924BE">
            <w:pPr>
              <w:pStyle w:val="Normal6"/>
              <w:rPr>
                <w:b/>
                <w:i/>
                <w:szCs w:val="24"/>
              </w:rPr>
            </w:pPr>
            <w:r w:rsidRPr="00DC274A">
              <w:t>(b)</w:t>
            </w:r>
            <w:r w:rsidRPr="00DC274A">
              <w:rPr>
                <w:b/>
                <w:i/>
              </w:rPr>
              <w:tab/>
            </w:r>
            <w:r w:rsidRPr="00DC274A">
              <w:t>cibler</w:t>
            </w:r>
            <w:r w:rsidRPr="00DC274A">
              <w:rPr>
                <w:b/>
                <w:i/>
              </w:rPr>
              <w:t xml:space="preserve"> les</w:t>
            </w:r>
            <w:r w:rsidRPr="00DC274A">
              <w:t xml:space="preserve"> secteurs socio</w:t>
            </w:r>
            <w:r w:rsidRPr="00DC274A">
              <w:rPr>
                <w:b/>
                <w:i/>
              </w:rPr>
              <w:noBreakHyphen/>
            </w:r>
            <w:r w:rsidRPr="00DC274A">
              <w:t>économiques, notamment</w:t>
            </w:r>
            <w:r w:rsidRPr="00DC274A">
              <w:rPr>
                <w:b/>
                <w:i/>
              </w:rPr>
              <w:t xml:space="preserve"> les</w:t>
            </w:r>
            <w:r w:rsidRPr="00DC274A">
              <w:t xml:space="preserve"> infrastructures, dont l’énergie durable, l’eau, les transports, les technologies de l’information et de la communication, l’environnement, l’utilisation durable des ressources naturelles et la croissance bleue, les infrastructures sociales et le capital humain, afin</w:t>
            </w:r>
            <w:r w:rsidRPr="00DC274A">
              <w:rPr>
                <w:b/>
                <w:i/>
              </w:rPr>
              <w:t xml:space="preserve"> de lutter contre la pauvreté et</w:t>
            </w:r>
            <w:r w:rsidRPr="00DC274A">
              <w:t xml:space="preserve"> d’améliorer l’environnement</w:t>
            </w:r>
            <w:r w:rsidRPr="00DC274A">
              <w:rPr>
                <w:b/>
                <w:i/>
              </w:rPr>
              <w:t xml:space="preserve"> </w:t>
            </w:r>
            <w:r w:rsidRPr="00B25B3A">
              <w:t>socio</w:t>
            </w:r>
            <w:r w:rsidRPr="00B25B3A">
              <w:noBreakHyphen/>
              <w:t>économique;</w:t>
            </w:r>
          </w:p>
        </w:tc>
      </w:tr>
    </w:tbl>
    <w:p w14:paraId="4119954E"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D81B046" w14:textId="77777777" w:rsidR="00BF7ACA" w:rsidRPr="00BF7ACA" w:rsidRDefault="00BF7ACA" w:rsidP="00BF7ACA">
      <w:r w:rsidRPr="00BF7ACA">
        <w:rPr>
          <w:rStyle w:val="HideTWBExt"/>
        </w:rPr>
        <w:t>&lt;/Amend&gt;</w:t>
      </w:r>
    </w:p>
    <w:p w14:paraId="7513F9B4"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249</w:t>
      </w:r>
      <w:r w:rsidRPr="00BF7ACA">
        <w:rPr>
          <w:rStyle w:val="HideTWBExt"/>
          <w:b w:val="0"/>
        </w:rPr>
        <w:t>&lt;/NumAm&gt;</w:t>
      </w:r>
    </w:p>
    <w:p w14:paraId="1A5F702B" w14:textId="77777777" w:rsidR="00BF7ACA" w:rsidRPr="00BF7ACA" w:rsidRDefault="00BF7ACA" w:rsidP="00BF7ACA">
      <w:pPr>
        <w:pStyle w:val="NormalBold"/>
      </w:pPr>
      <w:r w:rsidRPr="00BF7ACA">
        <w:rPr>
          <w:rStyle w:val="HideTWBExt"/>
          <w:b w:val="0"/>
        </w:rPr>
        <w:t>&lt;RepeatBlock-By&gt;&lt;Members&gt;</w:t>
      </w:r>
      <w:r w:rsidRPr="00BF7ACA">
        <w:t>Fabio Massimo Castaldo, Ignazio Corrao, Marco Valli</w:t>
      </w:r>
      <w:r w:rsidRPr="00BF7ACA">
        <w:rPr>
          <w:rStyle w:val="HideTWBExt"/>
          <w:b w:val="0"/>
        </w:rPr>
        <w:t>&lt;/Members&gt;</w:t>
      </w:r>
    </w:p>
    <w:p w14:paraId="5A5EEC2C" w14:textId="77777777" w:rsidR="00BF7ACA" w:rsidRPr="00BF7ACA" w:rsidRDefault="00BF7ACA" w:rsidP="00BF7ACA">
      <w:r w:rsidRPr="00BF7ACA">
        <w:rPr>
          <w:rStyle w:val="HideTWBExt"/>
        </w:rPr>
        <w:t>&lt;/RepeatBlock-By&gt;</w:t>
      </w:r>
    </w:p>
    <w:p w14:paraId="069749ED" w14:textId="77777777" w:rsidR="00BF7ACA" w:rsidRPr="00BF7ACA" w:rsidRDefault="00BF7ACA" w:rsidP="00BF7ACA">
      <w:pPr>
        <w:pStyle w:val="NormalBold"/>
        <w:keepNext/>
      </w:pPr>
      <w:r w:rsidRPr="00BF7ACA">
        <w:rPr>
          <w:rStyle w:val="HideTWBExt"/>
          <w:b w:val="0"/>
        </w:rPr>
        <w:t>&lt;DocAmend&gt;</w:t>
      </w:r>
      <w:r w:rsidRPr="00BF7ACA">
        <w:t>Proposition de règlement</w:t>
      </w:r>
      <w:r w:rsidRPr="00BF7ACA">
        <w:rPr>
          <w:rStyle w:val="HideTWBExt"/>
          <w:b w:val="0"/>
        </w:rPr>
        <w:t>&lt;/DocAmend&gt;</w:t>
      </w:r>
    </w:p>
    <w:p w14:paraId="74FBB8D3" w14:textId="77777777" w:rsidR="00BF7ACA" w:rsidRPr="00E502E5" w:rsidRDefault="00BF7ACA" w:rsidP="00BF7ACA">
      <w:pPr>
        <w:pStyle w:val="NormalBold"/>
      </w:pPr>
      <w:r>
        <w:rPr>
          <w:rStyle w:val="HideTWBExt"/>
          <w:b w:val="0"/>
        </w:rPr>
        <w:t>&lt;Article&gt;</w:t>
      </w:r>
      <w:r w:rsidRPr="002E43F3">
        <w:t>Article 8 – paragraphe 1 – point b</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10A074C3" w14:textId="77777777" w:rsidTr="007924BE">
        <w:trPr>
          <w:jc w:val="center"/>
        </w:trPr>
        <w:tc>
          <w:tcPr>
            <w:tcW w:w="9752" w:type="dxa"/>
            <w:gridSpan w:val="2"/>
          </w:tcPr>
          <w:p w14:paraId="77EE6B8A" w14:textId="77777777" w:rsidR="00BF7ACA" w:rsidRPr="00E502E5" w:rsidRDefault="00BF7ACA" w:rsidP="007924BE">
            <w:pPr>
              <w:keepNext/>
            </w:pPr>
          </w:p>
        </w:tc>
      </w:tr>
      <w:tr w:rsidR="00BF7ACA" w:rsidRPr="00E502E5" w14:paraId="521CD5D0" w14:textId="77777777" w:rsidTr="007924BE">
        <w:trPr>
          <w:jc w:val="center"/>
        </w:trPr>
        <w:tc>
          <w:tcPr>
            <w:tcW w:w="4876" w:type="dxa"/>
            <w:hideMark/>
          </w:tcPr>
          <w:p w14:paraId="76AC1868" w14:textId="77777777" w:rsidR="00BF7ACA" w:rsidRPr="002E43F3" w:rsidRDefault="00BF7ACA" w:rsidP="007924BE">
            <w:pPr>
              <w:pStyle w:val="ColumnHeading"/>
              <w:keepNext/>
            </w:pPr>
            <w:r w:rsidRPr="002E43F3">
              <w:t>Texte proposé par la Commission</w:t>
            </w:r>
          </w:p>
        </w:tc>
        <w:tc>
          <w:tcPr>
            <w:tcW w:w="4876" w:type="dxa"/>
            <w:hideMark/>
          </w:tcPr>
          <w:p w14:paraId="43313721" w14:textId="77777777" w:rsidR="00BF7ACA" w:rsidRPr="002E43F3" w:rsidRDefault="00BF7ACA" w:rsidP="007924BE">
            <w:pPr>
              <w:pStyle w:val="ColumnHeading"/>
              <w:keepNext/>
            </w:pPr>
            <w:r w:rsidRPr="002E43F3">
              <w:t>Amendement</w:t>
            </w:r>
          </w:p>
        </w:tc>
      </w:tr>
      <w:tr w:rsidR="00BF7ACA" w:rsidRPr="00E502E5" w14:paraId="506D664B" w14:textId="77777777" w:rsidTr="007924BE">
        <w:trPr>
          <w:jc w:val="center"/>
        </w:trPr>
        <w:tc>
          <w:tcPr>
            <w:tcW w:w="4876" w:type="dxa"/>
            <w:hideMark/>
          </w:tcPr>
          <w:p w14:paraId="37436AD3" w14:textId="77777777" w:rsidR="00BF7ACA" w:rsidRPr="002E43F3" w:rsidRDefault="00BF7ACA" w:rsidP="007924BE">
            <w:pPr>
              <w:pStyle w:val="Normal6"/>
            </w:pPr>
            <w:r w:rsidRPr="002E43F3">
              <w:t>(b)</w:t>
            </w:r>
            <w:r>
              <w:tab/>
            </w:r>
            <w:r w:rsidRPr="002E43F3">
              <w:t>cibler des secteurs socio-économiques, notamment des infrastructures, dont l</w:t>
            </w:r>
            <w:r>
              <w:t>’</w:t>
            </w:r>
            <w:r w:rsidRPr="002E43F3">
              <w:t>énergie durable, l</w:t>
            </w:r>
            <w:r>
              <w:t>’</w:t>
            </w:r>
            <w:r w:rsidRPr="002E43F3">
              <w:t>eau, les transports, les technologies de l</w:t>
            </w:r>
            <w:r>
              <w:t>’</w:t>
            </w:r>
            <w:r w:rsidRPr="002E43F3">
              <w:t>information et de la communication, l</w:t>
            </w:r>
            <w:r>
              <w:t>’</w:t>
            </w:r>
            <w:r w:rsidRPr="002E43F3">
              <w:t>environnement, l</w:t>
            </w:r>
            <w:r>
              <w:t>’</w:t>
            </w:r>
            <w:r w:rsidRPr="002E43F3">
              <w:t>utilisation durable des ressources naturelles et la croissance bleue, les infrastructures sociales</w:t>
            </w:r>
            <w:r w:rsidRPr="002E43F3">
              <w:rPr>
                <w:b/>
                <w:i/>
              </w:rPr>
              <w:t xml:space="preserve"> et</w:t>
            </w:r>
            <w:r w:rsidRPr="002E43F3">
              <w:t xml:space="preserve"> le capital humain, afin d</w:t>
            </w:r>
            <w:r>
              <w:t>’</w:t>
            </w:r>
            <w:r w:rsidRPr="002E43F3">
              <w:t>améliorer l</w:t>
            </w:r>
            <w:r>
              <w:t>’</w:t>
            </w:r>
            <w:r w:rsidRPr="002E43F3">
              <w:t>environnement socio-économique;</w:t>
            </w:r>
          </w:p>
        </w:tc>
        <w:tc>
          <w:tcPr>
            <w:tcW w:w="4876" w:type="dxa"/>
            <w:hideMark/>
          </w:tcPr>
          <w:p w14:paraId="3065E776" w14:textId="77777777" w:rsidR="00BF7ACA" w:rsidRPr="002E43F3" w:rsidRDefault="00BF7ACA" w:rsidP="007924BE">
            <w:pPr>
              <w:pStyle w:val="Normal6"/>
              <w:rPr>
                <w:szCs w:val="24"/>
              </w:rPr>
            </w:pPr>
            <w:r w:rsidRPr="002E43F3">
              <w:t>(b)</w:t>
            </w:r>
            <w:r>
              <w:tab/>
            </w:r>
            <w:r w:rsidRPr="002E43F3">
              <w:t>cibler des secteurs socio-économiques, notamment des infrastructures, dont l</w:t>
            </w:r>
            <w:r>
              <w:t>’</w:t>
            </w:r>
            <w:r w:rsidRPr="002E43F3">
              <w:t>énergie durable, l</w:t>
            </w:r>
            <w:r>
              <w:t>’</w:t>
            </w:r>
            <w:r w:rsidRPr="002E43F3">
              <w:t>eau, les transports, les technologies de l</w:t>
            </w:r>
            <w:r>
              <w:t>’</w:t>
            </w:r>
            <w:r w:rsidRPr="002E43F3">
              <w:t>information et de la communication, l</w:t>
            </w:r>
            <w:r>
              <w:t>’</w:t>
            </w:r>
            <w:r w:rsidRPr="002E43F3">
              <w:t>environnement, l</w:t>
            </w:r>
            <w:r>
              <w:t>’</w:t>
            </w:r>
            <w:r w:rsidRPr="002E43F3">
              <w:t>utilisation durable des ressources naturelles et la croissance bleue, les infrastructures sociales</w:t>
            </w:r>
            <w:r w:rsidRPr="002E43F3">
              <w:rPr>
                <w:b/>
                <w:i/>
              </w:rPr>
              <w:t>,</w:t>
            </w:r>
            <w:r w:rsidRPr="002E43F3">
              <w:t xml:space="preserve"> le capital humain</w:t>
            </w:r>
            <w:r w:rsidRPr="002E43F3">
              <w:rPr>
                <w:b/>
                <w:i/>
              </w:rPr>
              <w:t xml:space="preserve"> et l</w:t>
            </w:r>
            <w:r>
              <w:rPr>
                <w:b/>
                <w:i/>
              </w:rPr>
              <w:t>’</w:t>
            </w:r>
            <w:r w:rsidRPr="002E43F3">
              <w:rPr>
                <w:b/>
                <w:i/>
              </w:rPr>
              <w:t>économie circulaire</w:t>
            </w:r>
            <w:r w:rsidRPr="002E43F3">
              <w:t>, afin d</w:t>
            </w:r>
            <w:r>
              <w:t>’</w:t>
            </w:r>
            <w:r w:rsidRPr="002E43F3">
              <w:t>améliorer l</w:t>
            </w:r>
            <w:r>
              <w:t>’</w:t>
            </w:r>
            <w:r w:rsidRPr="002E43F3">
              <w:t>environnement socio-économique;</w:t>
            </w:r>
          </w:p>
        </w:tc>
      </w:tr>
    </w:tbl>
    <w:p w14:paraId="0FFA2F94" w14:textId="77777777"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&lt;Original&gt;</w:t>
      </w:r>
      <w:r w:rsidRPr="000C3237">
        <w:rPr>
          <w:rStyle w:val="HideTWBInt"/>
          <w:noProof w:val="0"/>
          <w:lang w:val="en-GB"/>
        </w:rPr>
        <w:t>{IT}</w:t>
      </w:r>
      <w:r w:rsidRPr="000C3237">
        <w:rPr>
          <w:noProof w:val="0"/>
          <w:lang w:val="en-GB"/>
        </w:rPr>
        <w:t>it</w:t>
      </w:r>
      <w:r w:rsidRPr="000C3237">
        <w:rPr>
          <w:rStyle w:val="HideTWBExt"/>
          <w:noProof w:val="0"/>
          <w:lang w:val="en-GB"/>
        </w:rPr>
        <w:t>&lt;/Original&gt;</w:t>
      </w:r>
    </w:p>
    <w:p w14:paraId="0BFFFC90" w14:textId="77777777" w:rsidR="00BF7ACA" w:rsidRPr="000C3237" w:rsidRDefault="00BF7ACA" w:rsidP="00BF7ACA">
      <w:pPr>
        <w:rPr>
          <w:lang w:val="en-GB"/>
        </w:rPr>
      </w:pPr>
      <w:r w:rsidRPr="000C3237">
        <w:rPr>
          <w:rStyle w:val="HideTWBExt"/>
          <w:lang w:val="en-GB"/>
        </w:rPr>
        <w:t>&lt;/Amend&gt;</w:t>
      </w:r>
    </w:p>
    <w:p w14:paraId="73B5C25D" w14:textId="77777777" w:rsidR="00BF7ACA" w:rsidRPr="00E82ECE" w:rsidRDefault="00BF7ACA" w:rsidP="00BF7ACA">
      <w:pPr>
        <w:pStyle w:val="AMNumberTabs"/>
        <w:keepNext/>
        <w:rPr>
          <w:lang w:val="en-GB"/>
        </w:rPr>
      </w:pPr>
      <w:r w:rsidRPr="00E82ECE">
        <w:rPr>
          <w:rStyle w:val="HideTWBExt"/>
          <w:b w:val="0"/>
          <w:lang w:val="en-GB"/>
        </w:rPr>
        <w:t>&lt;Amend&gt;</w:t>
      </w:r>
      <w:r w:rsidRPr="00E82ECE">
        <w:rPr>
          <w:lang w:val="en-GB"/>
        </w:rPr>
        <w:t>Amendement</w:t>
      </w:r>
      <w:r w:rsidRPr="00E82ECE">
        <w:rPr>
          <w:lang w:val="en-GB"/>
        </w:rPr>
        <w:tab/>
      </w:r>
      <w:r w:rsidRPr="00E82ECE">
        <w:rPr>
          <w:lang w:val="en-GB"/>
        </w:rPr>
        <w:tab/>
      </w:r>
      <w:r w:rsidRPr="00E82ECE">
        <w:rPr>
          <w:rStyle w:val="HideTWBExt"/>
          <w:b w:val="0"/>
          <w:lang w:val="en-GB"/>
        </w:rPr>
        <w:t>&lt;NumAm&gt;</w:t>
      </w:r>
      <w:r w:rsidRPr="00E82ECE">
        <w:rPr>
          <w:lang w:val="en-GB"/>
        </w:rPr>
        <w:t>250</w:t>
      </w:r>
      <w:r w:rsidRPr="00E82ECE">
        <w:rPr>
          <w:rStyle w:val="HideTWBExt"/>
          <w:b w:val="0"/>
          <w:lang w:val="en-GB"/>
        </w:rPr>
        <w:t>&lt;/NumAm&gt;</w:t>
      </w:r>
    </w:p>
    <w:p w14:paraId="1EEE58D5" w14:textId="77777777" w:rsidR="00BF7ACA" w:rsidRPr="00E82ECE" w:rsidRDefault="00BF7ACA" w:rsidP="00BF7ACA">
      <w:pPr>
        <w:pStyle w:val="NormalBold"/>
        <w:rPr>
          <w:lang w:val="en-GB"/>
        </w:rPr>
      </w:pPr>
      <w:r w:rsidRPr="00E82ECE">
        <w:rPr>
          <w:rStyle w:val="HideTWBExt"/>
          <w:b w:val="0"/>
          <w:lang w:val="en-GB"/>
        </w:rPr>
        <w:t>&lt;RepeatBlock-By&gt;&lt;Members&gt;</w:t>
      </w:r>
      <w:r w:rsidRPr="00E82ECE">
        <w:rPr>
          <w:lang w:val="en-GB"/>
        </w:rPr>
        <w:t>Nirj Deva</w:t>
      </w:r>
      <w:r w:rsidRPr="00E82ECE">
        <w:rPr>
          <w:rStyle w:val="HideTWBExt"/>
          <w:b w:val="0"/>
          <w:lang w:val="en-GB"/>
        </w:rPr>
        <w:t>&lt;/Members&gt;</w:t>
      </w:r>
    </w:p>
    <w:p w14:paraId="38D29E59" w14:textId="77777777" w:rsidR="00BF7ACA" w:rsidRPr="00BF7ACA" w:rsidRDefault="00BF7ACA" w:rsidP="00BF7ACA">
      <w:pPr>
        <w:rPr>
          <w:lang w:val="en-GB"/>
        </w:rPr>
      </w:pPr>
      <w:r w:rsidRPr="00BF7ACA">
        <w:rPr>
          <w:rStyle w:val="HideTWBExt"/>
          <w:lang w:val="en-GB"/>
        </w:rPr>
        <w:t>&lt;/RepeatBlock-By&gt;</w:t>
      </w:r>
    </w:p>
    <w:p w14:paraId="0311944D"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4730AE3" w14:textId="77777777" w:rsidR="00BF7ACA" w:rsidRPr="00355860" w:rsidRDefault="00BF7ACA" w:rsidP="00BF7ACA">
      <w:pPr>
        <w:pStyle w:val="NormalBold"/>
      </w:pPr>
      <w:r>
        <w:rPr>
          <w:rStyle w:val="HideTWBExt"/>
          <w:b w:val="0"/>
        </w:rPr>
        <w:t>&lt;Article&gt;</w:t>
      </w:r>
      <w:r w:rsidRPr="00B915F8">
        <w:t>Article 8 – paragraphe 1 – point b</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26A7CC65" w14:textId="77777777" w:rsidTr="007924BE">
        <w:trPr>
          <w:jc w:val="center"/>
        </w:trPr>
        <w:tc>
          <w:tcPr>
            <w:tcW w:w="9752" w:type="dxa"/>
            <w:gridSpan w:val="2"/>
          </w:tcPr>
          <w:p w14:paraId="5C759A28" w14:textId="77777777" w:rsidR="00BF7ACA" w:rsidRPr="00355860" w:rsidRDefault="00BF7ACA" w:rsidP="007924BE">
            <w:pPr>
              <w:keepNext/>
            </w:pPr>
          </w:p>
        </w:tc>
      </w:tr>
      <w:tr w:rsidR="00BF7ACA" w:rsidRPr="00355860" w14:paraId="46E7DCEE" w14:textId="77777777" w:rsidTr="007924BE">
        <w:trPr>
          <w:jc w:val="center"/>
        </w:trPr>
        <w:tc>
          <w:tcPr>
            <w:tcW w:w="4876" w:type="dxa"/>
            <w:hideMark/>
          </w:tcPr>
          <w:p w14:paraId="0E590CB2" w14:textId="77777777" w:rsidR="00BF7ACA" w:rsidRPr="00B915F8" w:rsidRDefault="00BF7ACA" w:rsidP="007924BE">
            <w:pPr>
              <w:pStyle w:val="ColumnHeading"/>
              <w:keepNext/>
            </w:pPr>
            <w:r w:rsidRPr="00B915F8">
              <w:t>Texte proposé par la Commission</w:t>
            </w:r>
          </w:p>
        </w:tc>
        <w:tc>
          <w:tcPr>
            <w:tcW w:w="4876" w:type="dxa"/>
            <w:hideMark/>
          </w:tcPr>
          <w:p w14:paraId="0948BF84" w14:textId="77777777" w:rsidR="00BF7ACA" w:rsidRPr="00B915F8" w:rsidRDefault="00BF7ACA" w:rsidP="007924BE">
            <w:pPr>
              <w:pStyle w:val="ColumnHeading"/>
              <w:keepNext/>
            </w:pPr>
            <w:r w:rsidRPr="00B915F8">
              <w:t>Amendement</w:t>
            </w:r>
          </w:p>
        </w:tc>
      </w:tr>
      <w:tr w:rsidR="00BF7ACA" w:rsidRPr="00355860" w14:paraId="192E3FB2" w14:textId="77777777" w:rsidTr="007924BE">
        <w:trPr>
          <w:jc w:val="center"/>
        </w:trPr>
        <w:tc>
          <w:tcPr>
            <w:tcW w:w="4876" w:type="dxa"/>
            <w:hideMark/>
          </w:tcPr>
          <w:p w14:paraId="48137638" w14:textId="77777777" w:rsidR="00BF7ACA" w:rsidRPr="00DC274A" w:rsidRDefault="00BF7ACA" w:rsidP="007924BE">
            <w:pPr>
              <w:pStyle w:val="Normal6"/>
              <w:rPr>
                <w:b/>
                <w:i/>
              </w:rPr>
            </w:pPr>
            <w:r w:rsidRPr="00DC274A">
              <w:t>(b)</w:t>
            </w:r>
            <w:r w:rsidRPr="00DC274A">
              <w:rPr>
                <w:b/>
                <w:i/>
              </w:rPr>
              <w:tab/>
            </w:r>
            <w:r w:rsidRPr="00DC274A">
              <w:t>cibler</w:t>
            </w:r>
            <w:r w:rsidRPr="00DC274A">
              <w:rPr>
                <w:b/>
                <w:i/>
              </w:rPr>
              <w:t xml:space="preserve"> des</w:t>
            </w:r>
            <w:r w:rsidRPr="00DC274A">
              <w:t xml:space="preserve"> secteurs socio</w:t>
            </w:r>
            <w:r w:rsidRPr="00DC274A">
              <w:rPr>
                <w:b/>
                <w:i/>
              </w:rPr>
              <w:noBreakHyphen/>
            </w:r>
            <w:r w:rsidRPr="00DC274A">
              <w:t>économiques, notamment</w:t>
            </w:r>
            <w:r w:rsidRPr="00DC274A">
              <w:rPr>
                <w:b/>
                <w:i/>
              </w:rPr>
              <w:t xml:space="preserve"> des</w:t>
            </w:r>
            <w:r w:rsidRPr="00DC274A">
              <w:t xml:space="preserve"> infrastructures, dont l’énergie durable, l’eau, les transports, les technologies de l’information et de la communication, l’environnement, l’utilisation durable des ressources naturelles et la croissance bleue, les infrastructures sociales et le capital humain, afin d’améliorer l’environnement socio-économique;</w:t>
            </w:r>
          </w:p>
        </w:tc>
        <w:tc>
          <w:tcPr>
            <w:tcW w:w="4876" w:type="dxa"/>
            <w:hideMark/>
          </w:tcPr>
          <w:p w14:paraId="2DAB216E" w14:textId="77777777" w:rsidR="00BF7ACA" w:rsidRPr="00DC274A" w:rsidRDefault="00BF7ACA" w:rsidP="007924BE">
            <w:pPr>
              <w:pStyle w:val="Normal6"/>
              <w:rPr>
                <w:b/>
                <w:i/>
                <w:szCs w:val="24"/>
              </w:rPr>
            </w:pPr>
            <w:r w:rsidRPr="00DC274A">
              <w:t>(b)</w:t>
            </w:r>
            <w:r w:rsidRPr="00DC274A">
              <w:rPr>
                <w:b/>
                <w:i/>
              </w:rPr>
              <w:tab/>
            </w:r>
            <w:r w:rsidRPr="00DC274A">
              <w:t>cibler</w:t>
            </w:r>
            <w:r w:rsidRPr="00DC274A">
              <w:rPr>
                <w:b/>
                <w:i/>
              </w:rPr>
              <w:t xml:space="preserve"> les</w:t>
            </w:r>
            <w:r w:rsidRPr="00DC274A">
              <w:t xml:space="preserve"> secteurs socio</w:t>
            </w:r>
            <w:r w:rsidRPr="00DC274A">
              <w:rPr>
                <w:b/>
                <w:i/>
              </w:rPr>
              <w:noBreakHyphen/>
            </w:r>
            <w:r w:rsidRPr="00DC274A">
              <w:t>économiques, notamment</w:t>
            </w:r>
            <w:r w:rsidRPr="00DC274A">
              <w:rPr>
                <w:b/>
                <w:i/>
              </w:rPr>
              <w:t xml:space="preserve"> les</w:t>
            </w:r>
            <w:r w:rsidRPr="00DC274A">
              <w:t xml:space="preserve"> infrastructures, dont l’énergie durable, l’eau, les transports, les technologies de l’information et de la communication, l’</w:t>
            </w:r>
            <w:r w:rsidRPr="00DC274A">
              <w:rPr>
                <w:b/>
                <w:i/>
              </w:rPr>
              <w:t>innovation numérique, l’</w:t>
            </w:r>
            <w:r w:rsidRPr="00DC274A">
              <w:t>environnement, l’utilisation durable des ressources naturelles et la croissance bleue, les infrastructures sociales et le capital humain, afin d’améliorer l’environnement socio-économique;</w:t>
            </w:r>
          </w:p>
        </w:tc>
      </w:tr>
    </w:tbl>
    <w:p w14:paraId="1E4E552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E246EB6" w14:textId="77777777" w:rsidR="00BF7ACA" w:rsidRPr="00BF7ACA" w:rsidRDefault="00BF7ACA" w:rsidP="00BF7ACA">
      <w:r w:rsidRPr="00BF7ACA">
        <w:rPr>
          <w:rStyle w:val="HideTWBExt"/>
        </w:rPr>
        <w:t>&lt;/Amend&gt;</w:t>
      </w:r>
    </w:p>
    <w:p w14:paraId="179C1DE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251</w:t>
      </w:r>
      <w:r w:rsidRPr="00BF7ACA">
        <w:rPr>
          <w:rStyle w:val="HideTWBExt"/>
          <w:b w:val="0"/>
        </w:rPr>
        <w:t>&lt;/NumAm&gt;</w:t>
      </w:r>
    </w:p>
    <w:p w14:paraId="5B3310AF" w14:textId="77777777"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14:paraId="51140282" w14:textId="77777777" w:rsidR="00BF7ACA" w:rsidRPr="00355860" w:rsidRDefault="00BF7ACA" w:rsidP="00BF7ACA">
      <w:r>
        <w:rPr>
          <w:rStyle w:val="HideTWBExt"/>
        </w:rPr>
        <w:t>&lt;/RepeatBlock-By&gt;</w:t>
      </w:r>
    </w:p>
    <w:p w14:paraId="07B11583"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2F9305BA" w14:textId="77777777" w:rsidR="00BF7ACA" w:rsidRPr="00355860" w:rsidRDefault="00BF7ACA" w:rsidP="00BF7ACA">
      <w:pPr>
        <w:pStyle w:val="NormalBold"/>
      </w:pPr>
      <w:r>
        <w:rPr>
          <w:rStyle w:val="HideTWBExt"/>
          <w:b w:val="0"/>
        </w:rPr>
        <w:t>&lt;Article&gt;</w:t>
      </w:r>
      <w:r w:rsidRPr="00B915F8">
        <w:t>Article 8 – paragraphe 1 – point b</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230DC05F" w14:textId="77777777" w:rsidTr="007924BE">
        <w:trPr>
          <w:jc w:val="center"/>
        </w:trPr>
        <w:tc>
          <w:tcPr>
            <w:tcW w:w="9752" w:type="dxa"/>
            <w:gridSpan w:val="2"/>
          </w:tcPr>
          <w:p w14:paraId="364F80D2" w14:textId="77777777" w:rsidR="00BF7ACA" w:rsidRPr="00355860" w:rsidRDefault="00BF7ACA" w:rsidP="007924BE">
            <w:pPr>
              <w:keepNext/>
            </w:pPr>
          </w:p>
        </w:tc>
      </w:tr>
      <w:tr w:rsidR="00BF7ACA" w:rsidRPr="00355860" w14:paraId="0128DE31" w14:textId="77777777" w:rsidTr="007924BE">
        <w:trPr>
          <w:jc w:val="center"/>
        </w:trPr>
        <w:tc>
          <w:tcPr>
            <w:tcW w:w="4876" w:type="dxa"/>
            <w:hideMark/>
          </w:tcPr>
          <w:p w14:paraId="6199CC4F" w14:textId="77777777" w:rsidR="00BF7ACA" w:rsidRPr="00B915F8" w:rsidRDefault="00BF7ACA" w:rsidP="007924BE">
            <w:pPr>
              <w:pStyle w:val="ColumnHeading"/>
              <w:keepNext/>
            </w:pPr>
            <w:r w:rsidRPr="00B915F8">
              <w:t>Texte proposé par la Commission</w:t>
            </w:r>
          </w:p>
        </w:tc>
        <w:tc>
          <w:tcPr>
            <w:tcW w:w="4876" w:type="dxa"/>
            <w:hideMark/>
          </w:tcPr>
          <w:p w14:paraId="643FDDB2" w14:textId="77777777" w:rsidR="00BF7ACA" w:rsidRPr="00B915F8" w:rsidRDefault="00BF7ACA" w:rsidP="007924BE">
            <w:pPr>
              <w:pStyle w:val="ColumnHeading"/>
              <w:keepNext/>
            </w:pPr>
            <w:r w:rsidRPr="00B915F8">
              <w:t>Amendement</w:t>
            </w:r>
          </w:p>
        </w:tc>
      </w:tr>
      <w:tr w:rsidR="00BF7ACA" w:rsidRPr="00355860" w14:paraId="57D6845D" w14:textId="77777777" w:rsidTr="007924BE">
        <w:trPr>
          <w:jc w:val="center"/>
        </w:trPr>
        <w:tc>
          <w:tcPr>
            <w:tcW w:w="4876" w:type="dxa"/>
            <w:hideMark/>
          </w:tcPr>
          <w:p w14:paraId="17E0C031" w14:textId="77777777" w:rsidR="00BF7ACA" w:rsidRPr="00DC274A" w:rsidRDefault="00BF7ACA" w:rsidP="007924BE">
            <w:pPr>
              <w:pStyle w:val="Normal6"/>
              <w:rPr>
                <w:b/>
                <w:i/>
              </w:rPr>
            </w:pPr>
            <w:r w:rsidRPr="00DC274A">
              <w:t>(b)</w:t>
            </w:r>
            <w:r w:rsidRPr="00DC274A">
              <w:rPr>
                <w:b/>
                <w:i/>
              </w:rPr>
              <w:tab/>
              <w:t>cibler des</w:t>
            </w:r>
            <w:r w:rsidRPr="00DC274A">
              <w:t xml:space="preserve"> secteurs socio</w:t>
            </w:r>
            <w:r w:rsidRPr="00DC274A">
              <w:rPr>
                <w:b/>
                <w:i/>
              </w:rPr>
              <w:noBreakHyphen/>
            </w:r>
            <w:r w:rsidRPr="00DC274A">
              <w:t>économiques, notamment</w:t>
            </w:r>
            <w:r w:rsidRPr="00DC274A">
              <w:rPr>
                <w:b/>
                <w:i/>
              </w:rPr>
              <w:t xml:space="preserve"> des</w:t>
            </w:r>
            <w:r w:rsidRPr="00DC274A">
              <w:t xml:space="preserve"> infrastructures, dont l’énergie durable, l’eau, les transports, les technologies de l’information et de la communication, l’environnement, l’utilisation durable des ressources naturelles et la croissance bleue, les infrastructures sociales et le capital humain, afin d’améliorer l’environnement socio-économique;</w:t>
            </w:r>
          </w:p>
        </w:tc>
        <w:tc>
          <w:tcPr>
            <w:tcW w:w="4876" w:type="dxa"/>
            <w:hideMark/>
          </w:tcPr>
          <w:p w14:paraId="2439C8BB" w14:textId="77777777" w:rsidR="00BF7ACA" w:rsidRPr="00DC274A" w:rsidRDefault="00BF7ACA" w:rsidP="007924BE">
            <w:pPr>
              <w:pStyle w:val="Normal6"/>
              <w:rPr>
                <w:b/>
                <w:i/>
                <w:szCs w:val="24"/>
              </w:rPr>
            </w:pPr>
            <w:r w:rsidRPr="00DC274A">
              <w:t>(b)</w:t>
            </w:r>
            <w:r w:rsidRPr="00DC274A">
              <w:rPr>
                <w:b/>
                <w:i/>
              </w:rPr>
              <w:tab/>
              <w:t>renforcer les</w:t>
            </w:r>
            <w:r w:rsidRPr="00DC274A">
              <w:t xml:space="preserve"> secteurs socio</w:t>
            </w:r>
            <w:r w:rsidRPr="00DC274A">
              <w:rPr>
                <w:b/>
                <w:i/>
              </w:rPr>
              <w:noBreakHyphen/>
            </w:r>
            <w:r w:rsidRPr="00DC274A">
              <w:t>économiques, notamment</w:t>
            </w:r>
            <w:r w:rsidRPr="00DC274A">
              <w:rPr>
                <w:b/>
                <w:i/>
              </w:rPr>
              <w:t xml:space="preserve"> les</w:t>
            </w:r>
            <w:r w:rsidRPr="00DC274A">
              <w:t xml:space="preserve"> infrastructures, dont l’énergie durable</w:t>
            </w:r>
            <w:r w:rsidRPr="00DC274A">
              <w:rPr>
                <w:b/>
                <w:i/>
              </w:rPr>
              <w:t xml:space="preserve"> et renouvelable</w:t>
            </w:r>
            <w:r w:rsidRPr="00DC274A">
              <w:t>, l’eau</w:t>
            </w:r>
            <w:r w:rsidRPr="00DC274A">
              <w:rPr>
                <w:b/>
                <w:i/>
              </w:rPr>
              <w:t xml:space="preserve"> et les déchets</w:t>
            </w:r>
            <w:r w:rsidRPr="00DC274A">
              <w:t>, les transports, les technologies de l’information et de la communication, l’environnement, l’utilisation durable des ressources naturelles et la croissance bleue, les infrastructures sociales et le capital humain, afin d’améliorer l’environnement socio-économique;</w:t>
            </w:r>
          </w:p>
        </w:tc>
      </w:tr>
    </w:tbl>
    <w:p w14:paraId="5BA0BE7C" w14:textId="77777777"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14:paraId="40B88359" w14:textId="77777777" w:rsidR="00BF7ACA" w:rsidRPr="00BF7ACA" w:rsidRDefault="00BF7ACA" w:rsidP="00BF7ACA">
      <w:pPr>
        <w:rPr>
          <w:lang w:val="nl-NL"/>
        </w:rPr>
      </w:pPr>
      <w:r w:rsidRPr="00BF7ACA">
        <w:rPr>
          <w:rStyle w:val="HideTWBExt"/>
          <w:lang w:val="nl-NL"/>
        </w:rPr>
        <w:t>&lt;/Amend&gt;</w:t>
      </w:r>
    </w:p>
    <w:p w14:paraId="764B2BC4" w14:textId="77777777"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252</w:t>
      </w:r>
      <w:r w:rsidRPr="00BF7ACA">
        <w:rPr>
          <w:rStyle w:val="HideTWBExt"/>
          <w:b w:val="0"/>
          <w:lang w:val="nl-NL"/>
        </w:rPr>
        <w:t>&lt;/NumAm&gt;</w:t>
      </w:r>
    </w:p>
    <w:p w14:paraId="3CDAE72E" w14:textId="77777777"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14:paraId="34E3959F" w14:textId="77777777" w:rsidR="00BF7ACA" w:rsidRPr="00BF7ACA" w:rsidRDefault="00BF7ACA" w:rsidP="00BF7ACA">
      <w:pPr>
        <w:rPr>
          <w:lang w:val="nl-NL"/>
        </w:rPr>
      </w:pPr>
      <w:r w:rsidRPr="00BF7ACA">
        <w:rPr>
          <w:rStyle w:val="HideTWBExt"/>
          <w:lang w:val="nl-NL"/>
        </w:rPr>
        <w:t>&lt;/RepeatBlock-By&gt;</w:t>
      </w:r>
    </w:p>
    <w:p w14:paraId="19EFBA4C"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1CCABEAB" w14:textId="77777777" w:rsidR="00BF7ACA" w:rsidRPr="00355860" w:rsidRDefault="00BF7ACA" w:rsidP="00BF7ACA">
      <w:pPr>
        <w:pStyle w:val="NormalBold"/>
      </w:pPr>
      <w:r>
        <w:rPr>
          <w:rStyle w:val="HideTWBExt"/>
          <w:b w:val="0"/>
        </w:rPr>
        <w:t>&lt;Article&gt;</w:t>
      </w:r>
      <w:r w:rsidRPr="00B915F8">
        <w:t>Article 8 – paragraphe 1 – point b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3469ADA9" w14:textId="77777777" w:rsidTr="007924BE">
        <w:trPr>
          <w:jc w:val="center"/>
        </w:trPr>
        <w:tc>
          <w:tcPr>
            <w:tcW w:w="9752" w:type="dxa"/>
            <w:gridSpan w:val="2"/>
          </w:tcPr>
          <w:p w14:paraId="29015D6B" w14:textId="77777777" w:rsidR="00BF7ACA" w:rsidRPr="00355860" w:rsidRDefault="00BF7ACA" w:rsidP="007924BE">
            <w:pPr>
              <w:keepNext/>
            </w:pPr>
          </w:p>
        </w:tc>
      </w:tr>
      <w:tr w:rsidR="00BF7ACA" w:rsidRPr="00355860" w14:paraId="4F25EB6D" w14:textId="77777777" w:rsidTr="007924BE">
        <w:trPr>
          <w:jc w:val="center"/>
        </w:trPr>
        <w:tc>
          <w:tcPr>
            <w:tcW w:w="4876" w:type="dxa"/>
            <w:hideMark/>
          </w:tcPr>
          <w:p w14:paraId="5537F36D" w14:textId="77777777" w:rsidR="00BF7ACA" w:rsidRPr="00B915F8" w:rsidRDefault="00BF7ACA" w:rsidP="007924BE">
            <w:pPr>
              <w:pStyle w:val="ColumnHeading"/>
              <w:keepNext/>
            </w:pPr>
            <w:r w:rsidRPr="00B915F8">
              <w:t>Texte proposé par la Commission</w:t>
            </w:r>
          </w:p>
        </w:tc>
        <w:tc>
          <w:tcPr>
            <w:tcW w:w="4876" w:type="dxa"/>
            <w:hideMark/>
          </w:tcPr>
          <w:p w14:paraId="5E827DEE" w14:textId="77777777" w:rsidR="00BF7ACA" w:rsidRPr="00B915F8" w:rsidRDefault="00BF7ACA" w:rsidP="007924BE">
            <w:pPr>
              <w:pStyle w:val="ColumnHeading"/>
              <w:keepNext/>
            </w:pPr>
            <w:r w:rsidRPr="00B915F8">
              <w:t>Amendement</w:t>
            </w:r>
          </w:p>
        </w:tc>
      </w:tr>
      <w:tr w:rsidR="00BF7ACA" w:rsidRPr="00355860" w14:paraId="63523108" w14:textId="77777777" w:rsidTr="007924BE">
        <w:trPr>
          <w:jc w:val="center"/>
        </w:trPr>
        <w:tc>
          <w:tcPr>
            <w:tcW w:w="4876" w:type="dxa"/>
          </w:tcPr>
          <w:p w14:paraId="7CC597E0" w14:textId="77777777" w:rsidR="00BF7ACA" w:rsidRPr="00B915F8" w:rsidRDefault="00BF7ACA" w:rsidP="007924BE">
            <w:pPr>
              <w:pStyle w:val="Normal6"/>
            </w:pPr>
          </w:p>
        </w:tc>
        <w:tc>
          <w:tcPr>
            <w:tcW w:w="4876" w:type="dxa"/>
            <w:hideMark/>
          </w:tcPr>
          <w:p w14:paraId="43606010" w14:textId="77777777" w:rsidR="00BF7ACA" w:rsidRPr="00DC274A" w:rsidRDefault="00BF7ACA" w:rsidP="007924BE">
            <w:pPr>
              <w:pStyle w:val="Normal6"/>
              <w:rPr>
                <w:b/>
                <w:i/>
                <w:szCs w:val="24"/>
              </w:rPr>
            </w:pPr>
            <w:r w:rsidRPr="00DC274A">
              <w:rPr>
                <w:b/>
                <w:i/>
              </w:rPr>
              <w:t>(b bis)</w:t>
            </w:r>
            <w:r w:rsidRPr="00DC274A">
              <w:rPr>
                <w:b/>
                <w:i/>
              </w:rPr>
              <w:tab/>
              <w:t>axer les efforts sur l’expansion du secteur technologique en Afrique, afin de doter les start-up et les PME des capitaux et du savoir-faire dont elles ont besoin pour rattraper leur retard technologique et être concurrentielles sur la scène internationale, de même qu’en raison des effets positifs que les technologies peuvent avoir sur le développement;</w:t>
            </w:r>
          </w:p>
        </w:tc>
      </w:tr>
    </w:tbl>
    <w:p w14:paraId="632FFD5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316A8A1" w14:textId="77777777" w:rsidR="00BF7ACA" w:rsidRPr="00BF7ACA" w:rsidRDefault="00BF7ACA" w:rsidP="00BF7ACA">
      <w:r w:rsidRPr="00BF7ACA">
        <w:rPr>
          <w:rStyle w:val="HideTWBExt"/>
        </w:rPr>
        <w:t>&lt;/Amend&gt;</w:t>
      </w:r>
    </w:p>
    <w:p w14:paraId="38292B7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253</w:t>
      </w:r>
      <w:r w:rsidRPr="00BF7ACA">
        <w:rPr>
          <w:rStyle w:val="HideTWBExt"/>
          <w:b w:val="0"/>
        </w:rPr>
        <w:t>&lt;/NumAm&gt;</w:t>
      </w:r>
    </w:p>
    <w:p w14:paraId="1E755BEF" w14:textId="77777777" w:rsidR="00BF7ACA" w:rsidRPr="00BF7ACA" w:rsidRDefault="00BF7ACA" w:rsidP="00BF7ACA">
      <w:pPr>
        <w:pStyle w:val="NormalBold"/>
      </w:pPr>
      <w:r w:rsidRPr="00BF7ACA">
        <w:rPr>
          <w:rStyle w:val="HideTWBExt"/>
          <w:b w:val="0"/>
        </w:rPr>
        <w:t>&lt;RepeatBlock-By&gt;&lt;Members&gt;</w:t>
      </w:r>
      <w:r w:rsidRPr="00BF7ACA">
        <w:t>Fabio Massimo Castaldo, Ignazio Corrao, Marco Valli</w:t>
      </w:r>
      <w:r w:rsidRPr="00BF7ACA">
        <w:rPr>
          <w:rStyle w:val="HideTWBExt"/>
          <w:b w:val="0"/>
        </w:rPr>
        <w:t>&lt;/Members&gt;</w:t>
      </w:r>
    </w:p>
    <w:p w14:paraId="1754A24A" w14:textId="77777777" w:rsidR="00BF7ACA" w:rsidRPr="00BF7ACA" w:rsidRDefault="00BF7ACA" w:rsidP="00BF7ACA">
      <w:r w:rsidRPr="00BF7ACA">
        <w:rPr>
          <w:rStyle w:val="HideTWBExt"/>
        </w:rPr>
        <w:t>&lt;/RepeatBlock-By&gt;</w:t>
      </w:r>
    </w:p>
    <w:p w14:paraId="24E2A8C8" w14:textId="77777777" w:rsidR="00BF7ACA" w:rsidRPr="00BF7ACA" w:rsidRDefault="00BF7ACA" w:rsidP="00BF7ACA">
      <w:pPr>
        <w:pStyle w:val="NormalBold"/>
        <w:keepNext/>
      </w:pPr>
      <w:r w:rsidRPr="00BF7ACA">
        <w:rPr>
          <w:rStyle w:val="HideTWBExt"/>
          <w:b w:val="0"/>
        </w:rPr>
        <w:t>&lt;DocAmend&gt;</w:t>
      </w:r>
      <w:r w:rsidRPr="00BF7ACA">
        <w:t>Proposition de règlement</w:t>
      </w:r>
      <w:r w:rsidRPr="00BF7ACA">
        <w:rPr>
          <w:rStyle w:val="HideTWBExt"/>
          <w:b w:val="0"/>
        </w:rPr>
        <w:t>&lt;/DocAmend&gt;</w:t>
      </w:r>
    </w:p>
    <w:p w14:paraId="2671C777" w14:textId="77777777" w:rsidR="00BF7ACA" w:rsidRPr="00E502E5" w:rsidRDefault="00BF7ACA" w:rsidP="00BF7ACA">
      <w:pPr>
        <w:pStyle w:val="NormalBold"/>
      </w:pPr>
      <w:r>
        <w:rPr>
          <w:rStyle w:val="HideTWBExt"/>
          <w:b w:val="0"/>
        </w:rPr>
        <w:t>&lt;Article&gt;</w:t>
      </w:r>
      <w:r w:rsidRPr="002E43F3">
        <w:t>Article 8 – paragraphe 1 – point b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296CCD5D" w14:textId="77777777" w:rsidTr="007924BE">
        <w:trPr>
          <w:jc w:val="center"/>
        </w:trPr>
        <w:tc>
          <w:tcPr>
            <w:tcW w:w="9752" w:type="dxa"/>
            <w:gridSpan w:val="2"/>
          </w:tcPr>
          <w:p w14:paraId="75FDECA8" w14:textId="77777777" w:rsidR="00BF7ACA" w:rsidRPr="00E502E5" w:rsidRDefault="00BF7ACA" w:rsidP="007924BE">
            <w:pPr>
              <w:keepNext/>
            </w:pPr>
          </w:p>
        </w:tc>
      </w:tr>
      <w:tr w:rsidR="00BF7ACA" w:rsidRPr="00E502E5" w14:paraId="6B5A883B" w14:textId="77777777" w:rsidTr="007924BE">
        <w:trPr>
          <w:jc w:val="center"/>
        </w:trPr>
        <w:tc>
          <w:tcPr>
            <w:tcW w:w="4876" w:type="dxa"/>
            <w:hideMark/>
          </w:tcPr>
          <w:p w14:paraId="4E0F24A7" w14:textId="77777777" w:rsidR="00BF7ACA" w:rsidRPr="002E43F3" w:rsidRDefault="00BF7ACA" w:rsidP="007924BE">
            <w:pPr>
              <w:pStyle w:val="ColumnHeading"/>
              <w:keepNext/>
            </w:pPr>
            <w:r w:rsidRPr="002E43F3">
              <w:t>Texte proposé par la Commission</w:t>
            </w:r>
          </w:p>
        </w:tc>
        <w:tc>
          <w:tcPr>
            <w:tcW w:w="4876" w:type="dxa"/>
            <w:hideMark/>
          </w:tcPr>
          <w:p w14:paraId="35FDF987" w14:textId="77777777" w:rsidR="00BF7ACA" w:rsidRPr="002E43F3" w:rsidRDefault="00BF7ACA" w:rsidP="007924BE">
            <w:pPr>
              <w:pStyle w:val="ColumnHeading"/>
              <w:keepNext/>
            </w:pPr>
            <w:r w:rsidRPr="002E43F3">
              <w:t>Amendement</w:t>
            </w:r>
          </w:p>
        </w:tc>
      </w:tr>
      <w:tr w:rsidR="00BF7ACA" w:rsidRPr="00E502E5" w14:paraId="1F61988E" w14:textId="77777777" w:rsidTr="007924BE">
        <w:trPr>
          <w:jc w:val="center"/>
        </w:trPr>
        <w:tc>
          <w:tcPr>
            <w:tcW w:w="4876" w:type="dxa"/>
          </w:tcPr>
          <w:p w14:paraId="0B29379F" w14:textId="77777777" w:rsidR="00BF7ACA" w:rsidRPr="002E43F3" w:rsidRDefault="00BF7ACA" w:rsidP="007924BE">
            <w:pPr>
              <w:pStyle w:val="Normal6"/>
            </w:pPr>
          </w:p>
        </w:tc>
        <w:tc>
          <w:tcPr>
            <w:tcW w:w="4876" w:type="dxa"/>
            <w:hideMark/>
          </w:tcPr>
          <w:p w14:paraId="47478FB9" w14:textId="77777777" w:rsidR="00BF7ACA" w:rsidRPr="002E43F3" w:rsidRDefault="00BF7ACA" w:rsidP="007924BE">
            <w:pPr>
              <w:pStyle w:val="Normal6"/>
              <w:rPr>
                <w:szCs w:val="24"/>
              </w:rPr>
            </w:pPr>
            <w:r w:rsidRPr="002E43F3">
              <w:rPr>
                <w:b/>
                <w:i/>
              </w:rPr>
              <w:t>(b bis)</w:t>
            </w:r>
            <w:r>
              <w:tab/>
            </w:r>
            <w:r w:rsidRPr="002E43F3">
              <w:rPr>
                <w:b/>
                <w:i/>
              </w:rPr>
              <w:t>faire participer la population qui réside dans les zones concernées à la définition des projets financés;</w:t>
            </w:r>
          </w:p>
        </w:tc>
      </w:tr>
    </w:tbl>
    <w:p w14:paraId="7E264C1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{IT}</w:t>
      </w:r>
      <w:r w:rsidRPr="00BF7ACA">
        <w:rPr>
          <w:noProof w:val="0"/>
        </w:rPr>
        <w:t>it</w:t>
      </w:r>
      <w:r w:rsidRPr="00BF7ACA">
        <w:rPr>
          <w:rStyle w:val="HideTWBExt"/>
          <w:noProof w:val="0"/>
        </w:rPr>
        <w:t>&lt;/Original&gt;</w:t>
      </w:r>
    </w:p>
    <w:p w14:paraId="1E41D34B" w14:textId="77777777" w:rsidR="00BF7ACA" w:rsidRPr="00BF7ACA" w:rsidRDefault="00BF7ACA" w:rsidP="00BF7ACA">
      <w:r w:rsidRPr="00BF7ACA">
        <w:rPr>
          <w:rStyle w:val="HideTWBExt"/>
        </w:rPr>
        <w:t>&lt;/Amend&gt;</w:t>
      </w:r>
    </w:p>
    <w:p w14:paraId="5DC16C89"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254</w:t>
      </w:r>
      <w:r w:rsidRPr="00BF7ACA">
        <w:rPr>
          <w:rStyle w:val="HideTWBExt"/>
          <w:b w:val="0"/>
        </w:rPr>
        <w:t>&lt;/NumAm&gt;</w:t>
      </w:r>
    </w:p>
    <w:p w14:paraId="606DABB2" w14:textId="77777777"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14:paraId="6A60A307" w14:textId="77777777" w:rsidR="00BF7ACA" w:rsidRPr="00355860" w:rsidRDefault="00BF7ACA" w:rsidP="00BF7ACA">
      <w:r>
        <w:rPr>
          <w:rStyle w:val="HideTWBExt"/>
        </w:rPr>
        <w:t>&lt;/RepeatBlock-By&gt;</w:t>
      </w:r>
    </w:p>
    <w:p w14:paraId="185B3BCE"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7F1215C3" w14:textId="77777777" w:rsidR="00BF7ACA" w:rsidRPr="00355860" w:rsidRDefault="00BF7ACA" w:rsidP="00BF7ACA">
      <w:pPr>
        <w:pStyle w:val="NormalBold"/>
      </w:pPr>
      <w:r>
        <w:rPr>
          <w:rStyle w:val="HideTWBExt"/>
          <w:b w:val="0"/>
        </w:rPr>
        <w:t>&lt;Article&gt;</w:t>
      </w:r>
      <w:r w:rsidRPr="00B915F8">
        <w:t>Article 8 – paragraphe 1 – point c</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09B690EA" w14:textId="77777777" w:rsidTr="007924BE">
        <w:trPr>
          <w:jc w:val="center"/>
        </w:trPr>
        <w:tc>
          <w:tcPr>
            <w:tcW w:w="9752" w:type="dxa"/>
            <w:gridSpan w:val="2"/>
          </w:tcPr>
          <w:p w14:paraId="73D9E86D" w14:textId="77777777" w:rsidR="00BF7ACA" w:rsidRPr="00355860" w:rsidRDefault="00BF7ACA" w:rsidP="007924BE">
            <w:pPr>
              <w:keepNext/>
            </w:pPr>
          </w:p>
        </w:tc>
      </w:tr>
      <w:tr w:rsidR="00BF7ACA" w:rsidRPr="00355860" w14:paraId="14FDFF9F" w14:textId="77777777" w:rsidTr="007924BE">
        <w:trPr>
          <w:jc w:val="center"/>
        </w:trPr>
        <w:tc>
          <w:tcPr>
            <w:tcW w:w="4876" w:type="dxa"/>
            <w:hideMark/>
          </w:tcPr>
          <w:p w14:paraId="3BE22977" w14:textId="77777777" w:rsidR="00BF7ACA" w:rsidRPr="00B915F8" w:rsidRDefault="00BF7ACA" w:rsidP="007924BE">
            <w:pPr>
              <w:pStyle w:val="ColumnHeading"/>
              <w:keepNext/>
            </w:pPr>
            <w:r w:rsidRPr="00B915F8">
              <w:t>Texte proposé par la Commission</w:t>
            </w:r>
          </w:p>
        </w:tc>
        <w:tc>
          <w:tcPr>
            <w:tcW w:w="4876" w:type="dxa"/>
            <w:hideMark/>
          </w:tcPr>
          <w:p w14:paraId="6E5D8681" w14:textId="77777777" w:rsidR="00BF7ACA" w:rsidRPr="00B915F8" w:rsidRDefault="00BF7ACA" w:rsidP="007924BE">
            <w:pPr>
              <w:pStyle w:val="ColumnHeading"/>
              <w:keepNext/>
            </w:pPr>
            <w:r w:rsidRPr="00B915F8">
              <w:t>Amendement</w:t>
            </w:r>
          </w:p>
        </w:tc>
      </w:tr>
      <w:tr w:rsidR="00BF7ACA" w:rsidRPr="00355860" w14:paraId="5B1B937F" w14:textId="77777777" w:rsidTr="007924BE">
        <w:trPr>
          <w:jc w:val="center"/>
        </w:trPr>
        <w:tc>
          <w:tcPr>
            <w:tcW w:w="4876" w:type="dxa"/>
            <w:hideMark/>
          </w:tcPr>
          <w:p w14:paraId="6F443ADE" w14:textId="77777777" w:rsidR="00BF7ACA" w:rsidRPr="00DC274A" w:rsidRDefault="00BF7ACA" w:rsidP="007924BE">
            <w:pPr>
              <w:pStyle w:val="Normal6"/>
              <w:rPr>
                <w:b/>
                <w:i/>
              </w:rPr>
            </w:pPr>
            <w:r w:rsidRPr="00DC274A">
              <w:t>(c)</w:t>
            </w:r>
            <w:r w:rsidRPr="00DC274A">
              <w:rPr>
                <w:b/>
                <w:i/>
              </w:rPr>
              <w:tab/>
              <w:t>fournir des financements en faveur des</w:t>
            </w:r>
            <w:r w:rsidRPr="00DC274A">
              <w:t xml:space="preserve"> microentreprises et</w:t>
            </w:r>
            <w:r w:rsidRPr="00DC274A">
              <w:rPr>
                <w:b/>
                <w:i/>
              </w:rPr>
              <w:t xml:space="preserve"> des</w:t>
            </w:r>
            <w:r w:rsidRPr="00DC274A">
              <w:t xml:space="preserve"> petites et moyennes entreprises,</w:t>
            </w:r>
            <w:r w:rsidRPr="00DC274A">
              <w:rPr>
                <w:b/>
                <w:i/>
              </w:rPr>
              <w:t xml:space="preserve"> en mettant particulièrement l’accent sur le développement du secteur privé</w:t>
            </w:r>
            <w:r w:rsidRPr="00DC274A">
              <w:t>;</w:t>
            </w:r>
          </w:p>
        </w:tc>
        <w:tc>
          <w:tcPr>
            <w:tcW w:w="4876" w:type="dxa"/>
            <w:hideMark/>
          </w:tcPr>
          <w:p w14:paraId="27935B20" w14:textId="77777777" w:rsidR="00BF7ACA" w:rsidRPr="00DC274A" w:rsidRDefault="00BF7ACA" w:rsidP="007924BE">
            <w:pPr>
              <w:pStyle w:val="Normal6"/>
              <w:rPr>
                <w:b/>
                <w:i/>
                <w:szCs w:val="24"/>
              </w:rPr>
            </w:pPr>
            <w:r w:rsidRPr="00DC274A">
              <w:t>(c)</w:t>
            </w:r>
            <w:r w:rsidRPr="00DC274A">
              <w:rPr>
                <w:b/>
                <w:i/>
              </w:rPr>
              <w:tab/>
              <w:t>soutenir le développement du secteur privé, en mettant plus particulièrement l’accent sur les sociétés locales ainsi que les</w:t>
            </w:r>
            <w:r w:rsidRPr="00DC274A">
              <w:t xml:space="preserve"> microentreprises et</w:t>
            </w:r>
            <w:r w:rsidRPr="00DC274A">
              <w:rPr>
                <w:b/>
                <w:i/>
              </w:rPr>
              <w:t xml:space="preserve"> les</w:t>
            </w:r>
            <w:r w:rsidRPr="00DC274A">
              <w:t xml:space="preserve"> petites et moyennes entreprises,</w:t>
            </w:r>
            <w:r w:rsidRPr="00DC274A">
              <w:rPr>
                <w:b/>
                <w:i/>
              </w:rPr>
              <w:t xml:space="preserve"> notamment celles qui sont actives dans les États fragiles et dans les pays moins avancés</w:t>
            </w:r>
            <w:r w:rsidRPr="00DC274A">
              <w:t>;</w:t>
            </w:r>
          </w:p>
        </w:tc>
      </w:tr>
    </w:tbl>
    <w:p w14:paraId="4BF643CE"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194196A" w14:textId="77777777" w:rsidR="00BF7ACA" w:rsidRPr="00BF7ACA" w:rsidRDefault="00BF7ACA" w:rsidP="00BF7ACA">
      <w:r w:rsidRPr="00BF7ACA">
        <w:rPr>
          <w:rStyle w:val="HideTWBExt"/>
        </w:rPr>
        <w:t>&lt;/Amend&gt;</w:t>
      </w:r>
    </w:p>
    <w:p w14:paraId="76A80062" w14:textId="77777777" w:rsidR="00BF7ACA" w:rsidRPr="00E502E5" w:rsidRDefault="00BF7ACA" w:rsidP="00BF7ACA">
      <w:pPr>
        <w:pStyle w:val="AMNumberTabs"/>
        <w:keepNext/>
      </w:pPr>
      <w:r>
        <w:rPr>
          <w:rStyle w:val="HideTWBExt"/>
          <w:b w:val="0"/>
        </w:rPr>
        <w:t>&lt;Amend&gt;</w:t>
      </w:r>
      <w:r w:rsidRPr="00936017">
        <w:t>Amendement</w:t>
      </w:r>
      <w:r>
        <w:tab/>
      </w:r>
      <w:r>
        <w:tab/>
      </w:r>
      <w:r>
        <w:rPr>
          <w:rStyle w:val="HideTWBExt"/>
          <w:b w:val="0"/>
        </w:rPr>
        <w:t>&lt;NumAm&gt;</w:t>
      </w:r>
      <w:r w:rsidRPr="00936017">
        <w:t>255</w:t>
      </w:r>
      <w:r>
        <w:rPr>
          <w:rStyle w:val="HideTWBExt"/>
          <w:b w:val="0"/>
        </w:rPr>
        <w:t>&lt;/NumAm&gt;</w:t>
      </w:r>
    </w:p>
    <w:p w14:paraId="2623B0EE" w14:textId="77777777" w:rsidR="00BF7ACA" w:rsidRPr="00E502E5" w:rsidRDefault="00BF7ACA" w:rsidP="00BF7ACA">
      <w:pPr>
        <w:pStyle w:val="NormalBold"/>
      </w:pPr>
      <w:r>
        <w:rPr>
          <w:rStyle w:val="HideTWBExt"/>
          <w:b w:val="0"/>
        </w:rPr>
        <w:t>&lt;RepeatBlock-By&gt;&lt;Members&gt;</w:t>
      </w:r>
      <w:r w:rsidRPr="00936017">
        <w:t>Bernd Kölmel</w:t>
      </w:r>
      <w:r>
        <w:rPr>
          <w:rStyle w:val="HideTWBExt"/>
          <w:b w:val="0"/>
        </w:rPr>
        <w:t>&lt;/Members&gt;</w:t>
      </w:r>
    </w:p>
    <w:p w14:paraId="424761B8" w14:textId="77777777" w:rsidR="00BF7ACA" w:rsidRPr="00E502E5" w:rsidRDefault="00BF7ACA" w:rsidP="00BF7ACA">
      <w:r>
        <w:rPr>
          <w:rStyle w:val="HideTWBExt"/>
        </w:rPr>
        <w:t>&lt;/RepeatBlock-By&gt;</w:t>
      </w:r>
    </w:p>
    <w:p w14:paraId="477C9FB8" w14:textId="77777777" w:rsidR="00BF7ACA" w:rsidRPr="00E502E5" w:rsidRDefault="00BF7ACA" w:rsidP="00BF7ACA">
      <w:pPr>
        <w:pStyle w:val="NormalBold"/>
        <w:keepNext/>
      </w:pPr>
      <w:r>
        <w:rPr>
          <w:rStyle w:val="HideTWBExt"/>
          <w:b w:val="0"/>
        </w:rPr>
        <w:t>&lt;DocAmend&gt;</w:t>
      </w:r>
      <w:r w:rsidRPr="00936017">
        <w:t>Proposition de règlement</w:t>
      </w:r>
      <w:r>
        <w:rPr>
          <w:rStyle w:val="HideTWBExt"/>
          <w:b w:val="0"/>
        </w:rPr>
        <w:t>&lt;/DocAmend&gt;</w:t>
      </w:r>
    </w:p>
    <w:p w14:paraId="13082173" w14:textId="77777777" w:rsidR="00BF7ACA" w:rsidRPr="00E502E5" w:rsidRDefault="00BF7ACA" w:rsidP="00BF7ACA">
      <w:pPr>
        <w:pStyle w:val="NormalBold"/>
      </w:pPr>
      <w:r>
        <w:rPr>
          <w:rStyle w:val="HideTWBExt"/>
          <w:b w:val="0"/>
        </w:rPr>
        <w:t>&lt;Article&gt;</w:t>
      </w:r>
      <w:r w:rsidRPr="00936017">
        <w:t>Article 8 – paragraphe 1 – point c</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78C4990C" w14:textId="77777777" w:rsidTr="007924BE">
        <w:trPr>
          <w:jc w:val="center"/>
        </w:trPr>
        <w:tc>
          <w:tcPr>
            <w:tcW w:w="9752" w:type="dxa"/>
            <w:gridSpan w:val="2"/>
          </w:tcPr>
          <w:p w14:paraId="39F7F6D2" w14:textId="77777777" w:rsidR="00BF7ACA" w:rsidRPr="00E502E5" w:rsidRDefault="00BF7ACA" w:rsidP="007924BE">
            <w:pPr>
              <w:keepNext/>
            </w:pPr>
          </w:p>
        </w:tc>
      </w:tr>
      <w:tr w:rsidR="00BF7ACA" w:rsidRPr="00E502E5" w14:paraId="1B06B589" w14:textId="77777777" w:rsidTr="007924BE">
        <w:trPr>
          <w:jc w:val="center"/>
        </w:trPr>
        <w:tc>
          <w:tcPr>
            <w:tcW w:w="4876" w:type="dxa"/>
            <w:hideMark/>
          </w:tcPr>
          <w:p w14:paraId="29305B7F" w14:textId="77777777" w:rsidR="00BF7ACA" w:rsidRPr="00936017" w:rsidRDefault="00BF7ACA" w:rsidP="007924BE">
            <w:pPr>
              <w:pStyle w:val="ColumnHeading"/>
              <w:keepNext/>
            </w:pPr>
            <w:r w:rsidRPr="00936017">
              <w:t>Texte proposé par la Commission</w:t>
            </w:r>
          </w:p>
        </w:tc>
        <w:tc>
          <w:tcPr>
            <w:tcW w:w="4876" w:type="dxa"/>
            <w:hideMark/>
          </w:tcPr>
          <w:p w14:paraId="3F32CD9C" w14:textId="77777777" w:rsidR="00BF7ACA" w:rsidRPr="00936017" w:rsidRDefault="00BF7ACA" w:rsidP="007924BE">
            <w:pPr>
              <w:pStyle w:val="ColumnHeading"/>
              <w:keepNext/>
            </w:pPr>
            <w:r w:rsidRPr="00936017">
              <w:t>Amendement</w:t>
            </w:r>
          </w:p>
        </w:tc>
      </w:tr>
      <w:tr w:rsidR="00BF7ACA" w:rsidRPr="00E502E5" w14:paraId="0B928AA3" w14:textId="77777777" w:rsidTr="007924BE">
        <w:trPr>
          <w:jc w:val="center"/>
        </w:trPr>
        <w:tc>
          <w:tcPr>
            <w:tcW w:w="4876" w:type="dxa"/>
            <w:hideMark/>
          </w:tcPr>
          <w:p w14:paraId="6B6F16C4" w14:textId="77777777" w:rsidR="00BF7ACA" w:rsidRPr="00936017" w:rsidRDefault="00BF7ACA" w:rsidP="007924BE">
            <w:pPr>
              <w:pStyle w:val="Normal6"/>
            </w:pPr>
            <w:r w:rsidRPr="00936017">
              <w:t>(c)</w:t>
            </w:r>
            <w:r>
              <w:tab/>
            </w:r>
            <w:r w:rsidRPr="00936017">
              <w:t>fournir des financements en faveur des microentreprises et des petites et moyennes entreprises, en mettant particulièrement l</w:t>
            </w:r>
            <w:r>
              <w:t>’</w:t>
            </w:r>
            <w:r w:rsidRPr="00936017">
              <w:t>accent sur le développement du secteur privé;</w:t>
            </w:r>
          </w:p>
        </w:tc>
        <w:tc>
          <w:tcPr>
            <w:tcW w:w="4876" w:type="dxa"/>
            <w:hideMark/>
          </w:tcPr>
          <w:p w14:paraId="1FC960C8" w14:textId="77777777" w:rsidR="00BF7ACA" w:rsidRPr="00936017" w:rsidRDefault="00BF7ACA" w:rsidP="007924BE">
            <w:pPr>
              <w:pStyle w:val="Normal6"/>
              <w:rPr>
                <w:szCs w:val="24"/>
              </w:rPr>
            </w:pPr>
            <w:r w:rsidRPr="00936017">
              <w:t>(c)</w:t>
            </w:r>
            <w:r>
              <w:tab/>
            </w:r>
            <w:r w:rsidRPr="00936017">
              <w:t>fournir des financements en faveur des microentreprises et des petites et moyennes entreprises, en mettant particulièrement l</w:t>
            </w:r>
            <w:r>
              <w:t>’</w:t>
            </w:r>
            <w:r w:rsidRPr="00936017">
              <w:t>accent sur le développement du secteur privé</w:t>
            </w:r>
            <w:r w:rsidRPr="00936017">
              <w:rPr>
                <w:b/>
                <w:i/>
              </w:rPr>
              <w:t>, tout en gardant comme priorité le renforcement des structures économiques existantes et la création des structures manquantes</w:t>
            </w:r>
            <w:r w:rsidRPr="00936017">
              <w:t>;</w:t>
            </w:r>
          </w:p>
        </w:tc>
      </w:tr>
    </w:tbl>
    <w:p w14:paraId="0FDD489D" w14:textId="77777777" w:rsidR="00BF7ACA" w:rsidRPr="00E502E5" w:rsidRDefault="00BF7ACA" w:rsidP="00BF7ACA">
      <w:pPr>
        <w:pStyle w:val="Olang"/>
        <w:rPr>
          <w:noProof w:val="0"/>
          <w:szCs w:val="24"/>
        </w:rPr>
      </w:pPr>
      <w:r w:rsidRPr="00936017">
        <w:rPr>
          <w:noProof w:val="0"/>
        </w:rPr>
        <w:t xml:space="preserve">Or. </w:t>
      </w:r>
      <w:r w:rsidRPr="009857D1">
        <w:rPr>
          <w:rStyle w:val="HideTWBExt"/>
          <w:noProof w:val="0"/>
        </w:rPr>
        <w:t>&lt;Original&gt;</w:t>
      </w:r>
      <w:r w:rsidRPr="009857D1">
        <w:rPr>
          <w:rStyle w:val="HideTWBInt"/>
          <w:noProof w:val="0"/>
        </w:rPr>
        <w:t>{DE}</w:t>
      </w:r>
      <w:r w:rsidRPr="00936017">
        <w:rPr>
          <w:noProof w:val="0"/>
        </w:rPr>
        <w:t>de</w:t>
      </w:r>
      <w:r w:rsidRPr="009857D1">
        <w:rPr>
          <w:rStyle w:val="HideTWBExt"/>
          <w:noProof w:val="0"/>
        </w:rPr>
        <w:t>&lt;/Original&gt;</w:t>
      </w:r>
    </w:p>
    <w:p w14:paraId="373767C2" w14:textId="77777777" w:rsidR="00BF7ACA" w:rsidRPr="00E502E5" w:rsidRDefault="00BF7ACA" w:rsidP="00BF7ACA">
      <w:r>
        <w:rPr>
          <w:rStyle w:val="HideTWBExt"/>
        </w:rPr>
        <w:t>&lt;/Amend&gt;</w:t>
      </w:r>
    </w:p>
    <w:p w14:paraId="6ADCC952"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256</w:t>
      </w:r>
      <w:r w:rsidRPr="00BF7ACA">
        <w:rPr>
          <w:rStyle w:val="HideTWBExt"/>
          <w:b w:val="0"/>
        </w:rPr>
        <w:t>&lt;/NumAm&gt;</w:t>
      </w:r>
    </w:p>
    <w:p w14:paraId="33243E5C"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Paavo Väyrynen, Nedzhmi Ali</w:t>
      </w:r>
      <w:r w:rsidRPr="00BF7ACA">
        <w:rPr>
          <w:rStyle w:val="HideTWBExt"/>
          <w:b w:val="0"/>
        </w:rPr>
        <w:t>&lt;/Members&gt;</w:t>
      </w:r>
    </w:p>
    <w:p w14:paraId="107914BC" w14:textId="77777777" w:rsidR="00BF7ACA" w:rsidRPr="00355860" w:rsidRDefault="00BF7ACA" w:rsidP="00BF7ACA">
      <w:r>
        <w:rPr>
          <w:rStyle w:val="HideTWBExt"/>
        </w:rPr>
        <w:t>&lt;/RepeatBlock-By&gt;</w:t>
      </w:r>
    </w:p>
    <w:p w14:paraId="101D2473"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490C1370" w14:textId="77777777" w:rsidR="00BF7ACA" w:rsidRPr="00355860" w:rsidRDefault="00BF7ACA" w:rsidP="00BF7ACA">
      <w:pPr>
        <w:pStyle w:val="NormalBold"/>
      </w:pPr>
      <w:r>
        <w:rPr>
          <w:rStyle w:val="HideTWBExt"/>
          <w:b w:val="0"/>
        </w:rPr>
        <w:t>&lt;Article&gt;</w:t>
      </w:r>
      <w:r w:rsidRPr="00B915F8">
        <w:t>Article 8 – paragraphe 1 – point c</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4C92704B" w14:textId="77777777" w:rsidTr="007924BE">
        <w:trPr>
          <w:jc w:val="center"/>
        </w:trPr>
        <w:tc>
          <w:tcPr>
            <w:tcW w:w="9752" w:type="dxa"/>
            <w:gridSpan w:val="2"/>
          </w:tcPr>
          <w:p w14:paraId="6F528A59" w14:textId="77777777" w:rsidR="00BF7ACA" w:rsidRPr="00355860" w:rsidRDefault="00BF7ACA" w:rsidP="007924BE">
            <w:pPr>
              <w:keepNext/>
            </w:pPr>
          </w:p>
        </w:tc>
      </w:tr>
      <w:tr w:rsidR="00BF7ACA" w:rsidRPr="00355860" w14:paraId="0B9B91DE" w14:textId="77777777" w:rsidTr="007924BE">
        <w:trPr>
          <w:jc w:val="center"/>
        </w:trPr>
        <w:tc>
          <w:tcPr>
            <w:tcW w:w="4876" w:type="dxa"/>
            <w:hideMark/>
          </w:tcPr>
          <w:p w14:paraId="28EABFBE" w14:textId="77777777" w:rsidR="00BF7ACA" w:rsidRPr="00B915F8" w:rsidRDefault="00BF7ACA" w:rsidP="007924BE">
            <w:pPr>
              <w:pStyle w:val="ColumnHeading"/>
              <w:keepNext/>
            </w:pPr>
            <w:r w:rsidRPr="00B915F8">
              <w:t>Texte proposé par la Commission</w:t>
            </w:r>
          </w:p>
        </w:tc>
        <w:tc>
          <w:tcPr>
            <w:tcW w:w="4876" w:type="dxa"/>
            <w:hideMark/>
          </w:tcPr>
          <w:p w14:paraId="50CAB556" w14:textId="77777777" w:rsidR="00BF7ACA" w:rsidRPr="00B915F8" w:rsidRDefault="00BF7ACA" w:rsidP="007924BE">
            <w:pPr>
              <w:pStyle w:val="ColumnHeading"/>
              <w:keepNext/>
            </w:pPr>
            <w:r w:rsidRPr="00B915F8">
              <w:t>Amendement</w:t>
            </w:r>
          </w:p>
        </w:tc>
      </w:tr>
      <w:tr w:rsidR="00BF7ACA" w:rsidRPr="00355860" w14:paraId="58B8CF8A" w14:textId="77777777" w:rsidTr="007924BE">
        <w:trPr>
          <w:jc w:val="center"/>
        </w:trPr>
        <w:tc>
          <w:tcPr>
            <w:tcW w:w="4876" w:type="dxa"/>
            <w:hideMark/>
          </w:tcPr>
          <w:p w14:paraId="6A379B28" w14:textId="77777777" w:rsidR="00BF7ACA" w:rsidRPr="00DC274A" w:rsidRDefault="00BF7ACA" w:rsidP="007924BE">
            <w:pPr>
              <w:pStyle w:val="Normal6"/>
              <w:rPr>
                <w:b/>
                <w:i/>
              </w:rPr>
            </w:pPr>
            <w:r w:rsidRPr="00DC274A">
              <w:t>(c)</w:t>
            </w:r>
            <w:r w:rsidRPr="00DC274A">
              <w:rPr>
                <w:b/>
                <w:i/>
              </w:rPr>
              <w:tab/>
            </w:r>
            <w:r w:rsidRPr="00DC274A">
              <w:t>fournir des financements en faveur des microentreprises et des petites et moyennes entreprises, en mettant particulièrement l’accent sur le développement du secteur privé;</w:t>
            </w:r>
          </w:p>
        </w:tc>
        <w:tc>
          <w:tcPr>
            <w:tcW w:w="4876" w:type="dxa"/>
            <w:hideMark/>
          </w:tcPr>
          <w:p w14:paraId="72483F7F" w14:textId="77777777" w:rsidR="00BF7ACA" w:rsidRPr="00DC274A" w:rsidRDefault="00BF7ACA" w:rsidP="007924BE">
            <w:pPr>
              <w:pStyle w:val="Normal6"/>
              <w:rPr>
                <w:b/>
                <w:i/>
                <w:szCs w:val="24"/>
              </w:rPr>
            </w:pPr>
            <w:r w:rsidRPr="00DC274A">
              <w:t>(c)</w:t>
            </w:r>
            <w:r w:rsidRPr="00DC274A">
              <w:rPr>
                <w:b/>
                <w:i/>
              </w:rPr>
              <w:tab/>
            </w:r>
            <w:r w:rsidRPr="00DC274A">
              <w:t>fournir des financements</w:t>
            </w:r>
            <w:r w:rsidRPr="00DC274A">
              <w:rPr>
                <w:b/>
                <w:i/>
              </w:rPr>
              <w:t>, notamment</w:t>
            </w:r>
            <w:r w:rsidRPr="00DC274A">
              <w:t xml:space="preserve"> en</w:t>
            </w:r>
            <w:r w:rsidRPr="00DC274A">
              <w:rPr>
                <w:b/>
                <w:i/>
              </w:rPr>
              <w:t xml:space="preserve"> devises locales, et des programmes de développement des capacités en</w:t>
            </w:r>
            <w:r w:rsidRPr="00DC274A">
              <w:t xml:space="preserve"> faveur des microentreprises et des petites et moyennes entreprises, en mettant particulièrement l’accent sur le développement du secteur privé</w:t>
            </w:r>
            <w:r w:rsidRPr="00DC274A">
              <w:rPr>
                <w:b/>
                <w:i/>
              </w:rPr>
              <w:t xml:space="preserve"> et des coopératives dans les pays partenaires</w:t>
            </w:r>
            <w:r w:rsidRPr="00DC274A">
              <w:t>;</w:t>
            </w:r>
          </w:p>
        </w:tc>
      </w:tr>
    </w:tbl>
    <w:p w14:paraId="44FECA42"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DA219BE" w14:textId="77777777" w:rsidR="00BF7ACA" w:rsidRPr="00BF7ACA" w:rsidRDefault="00BF7ACA" w:rsidP="00BF7ACA">
      <w:r w:rsidRPr="00BF7ACA">
        <w:rPr>
          <w:rStyle w:val="HideTWBExt"/>
        </w:rPr>
        <w:t>&lt;/Amend&gt;</w:t>
      </w:r>
    </w:p>
    <w:p w14:paraId="5F1BFA7F"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257</w:t>
      </w:r>
      <w:r w:rsidRPr="00BF7ACA">
        <w:rPr>
          <w:rStyle w:val="HideTWBExt"/>
          <w:b w:val="0"/>
        </w:rPr>
        <w:t>&lt;/NumAm&gt;</w:t>
      </w:r>
    </w:p>
    <w:p w14:paraId="4F65CA61" w14:textId="77777777" w:rsidR="00BF7ACA" w:rsidRPr="00BF7ACA" w:rsidRDefault="00BF7ACA" w:rsidP="00BF7ACA">
      <w:pPr>
        <w:pStyle w:val="NormalBold"/>
      </w:pPr>
      <w:r w:rsidRPr="00BF7ACA">
        <w:rPr>
          <w:rStyle w:val="HideTWBExt"/>
          <w:b w:val="0"/>
        </w:rPr>
        <w:t>&lt;RepeatBlock-By&gt;&lt;Members&gt;</w:t>
      </w:r>
      <w:r w:rsidRPr="00BF7ACA">
        <w:t>Eduard Kukan</w:t>
      </w:r>
      <w:r w:rsidRPr="00BF7ACA">
        <w:rPr>
          <w:rStyle w:val="HideTWBExt"/>
          <w:b w:val="0"/>
        </w:rPr>
        <w:t>&lt;/Members&gt;</w:t>
      </w:r>
    </w:p>
    <w:p w14:paraId="0F11C8D4" w14:textId="77777777" w:rsidR="00BF7ACA" w:rsidRPr="00355860" w:rsidRDefault="00BF7ACA" w:rsidP="00BF7ACA">
      <w:r>
        <w:rPr>
          <w:rStyle w:val="HideTWBExt"/>
        </w:rPr>
        <w:t>&lt;/RepeatBlock-By&gt;</w:t>
      </w:r>
    </w:p>
    <w:p w14:paraId="38521B79"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40F4BC1C" w14:textId="77777777" w:rsidR="00BF7ACA" w:rsidRPr="00355860" w:rsidRDefault="00BF7ACA" w:rsidP="00BF7ACA">
      <w:pPr>
        <w:pStyle w:val="NormalBold"/>
      </w:pPr>
      <w:r>
        <w:rPr>
          <w:rStyle w:val="HideTWBExt"/>
          <w:b w:val="0"/>
        </w:rPr>
        <w:t>&lt;Article&gt;</w:t>
      </w:r>
      <w:r w:rsidRPr="00B915F8">
        <w:t>Article 8 – paragraphe 1 – point c</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6C0B5079" w14:textId="77777777" w:rsidTr="007924BE">
        <w:trPr>
          <w:jc w:val="center"/>
        </w:trPr>
        <w:tc>
          <w:tcPr>
            <w:tcW w:w="9752" w:type="dxa"/>
            <w:gridSpan w:val="2"/>
          </w:tcPr>
          <w:p w14:paraId="07E15F22" w14:textId="77777777" w:rsidR="00BF7ACA" w:rsidRPr="00355860" w:rsidRDefault="00BF7ACA" w:rsidP="007924BE">
            <w:pPr>
              <w:keepNext/>
            </w:pPr>
          </w:p>
        </w:tc>
      </w:tr>
      <w:tr w:rsidR="00BF7ACA" w:rsidRPr="00355860" w14:paraId="79464A33" w14:textId="77777777" w:rsidTr="007924BE">
        <w:trPr>
          <w:jc w:val="center"/>
        </w:trPr>
        <w:tc>
          <w:tcPr>
            <w:tcW w:w="4876" w:type="dxa"/>
            <w:hideMark/>
          </w:tcPr>
          <w:p w14:paraId="091B29D9" w14:textId="77777777" w:rsidR="00BF7ACA" w:rsidRPr="00B915F8" w:rsidRDefault="00BF7ACA" w:rsidP="007924BE">
            <w:pPr>
              <w:pStyle w:val="ColumnHeading"/>
              <w:keepNext/>
            </w:pPr>
            <w:r w:rsidRPr="00B915F8">
              <w:t>Texte proposé par la Commission</w:t>
            </w:r>
          </w:p>
        </w:tc>
        <w:tc>
          <w:tcPr>
            <w:tcW w:w="4876" w:type="dxa"/>
            <w:hideMark/>
          </w:tcPr>
          <w:p w14:paraId="72210EEB" w14:textId="77777777" w:rsidR="00BF7ACA" w:rsidRPr="00B915F8" w:rsidRDefault="00BF7ACA" w:rsidP="007924BE">
            <w:pPr>
              <w:pStyle w:val="ColumnHeading"/>
              <w:keepNext/>
            </w:pPr>
            <w:r w:rsidRPr="00B915F8">
              <w:t>Amendement</w:t>
            </w:r>
          </w:p>
        </w:tc>
      </w:tr>
      <w:tr w:rsidR="00BF7ACA" w:rsidRPr="00355860" w14:paraId="3D763200" w14:textId="77777777" w:rsidTr="007924BE">
        <w:trPr>
          <w:jc w:val="center"/>
        </w:trPr>
        <w:tc>
          <w:tcPr>
            <w:tcW w:w="4876" w:type="dxa"/>
            <w:hideMark/>
          </w:tcPr>
          <w:p w14:paraId="1899780C" w14:textId="77777777" w:rsidR="00BF7ACA" w:rsidRPr="00DC274A" w:rsidRDefault="00BF7ACA" w:rsidP="007924BE">
            <w:pPr>
              <w:pStyle w:val="Normal6"/>
              <w:rPr>
                <w:b/>
                <w:i/>
              </w:rPr>
            </w:pPr>
            <w:r w:rsidRPr="00DC274A">
              <w:t>(c)</w:t>
            </w:r>
            <w:r w:rsidRPr="00DC274A">
              <w:rPr>
                <w:b/>
                <w:i/>
              </w:rPr>
              <w:tab/>
            </w:r>
            <w:r w:rsidRPr="00DC274A">
              <w:t>fournir</w:t>
            </w:r>
            <w:r w:rsidRPr="00DC274A">
              <w:rPr>
                <w:b/>
                <w:i/>
              </w:rPr>
              <w:t xml:space="preserve"> des financements en faveur des microentreprises et des petites et moyennes entreprises</w:t>
            </w:r>
            <w:r w:rsidRPr="00DC274A">
              <w:t>, en mettant particulièrement l’accent sur</w:t>
            </w:r>
            <w:r w:rsidRPr="00DC274A">
              <w:rPr>
                <w:b/>
                <w:i/>
              </w:rPr>
              <w:t xml:space="preserve"> le développement du secteur privé</w:t>
            </w:r>
            <w:r w:rsidRPr="00DC274A">
              <w:t>;</w:t>
            </w:r>
          </w:p>
        </w:tc>
        <w:tc>
          <w:tcPr>
            <w:tcW w:w="4876" w:type="dxa"/>
            <w:hideMark/>
          </w:tcPr>
          <w:p w14:paraId="529F1F07" w14:textId="77777777" w:rsidR="00BF7ACA" w:rsidRPr="00DC274A" w:rsidRDefault="00BF7ACA" w:rsidP="007924BE">
            <w:pPr>
              <w:pStyle w:val="Normal6"/>
              <w:rPr>
                <w:b/>
                <w:i/>
                <w:szCs w:val="24"/>
              </w:rPr>
            </w:pPr>
            <w:r w:rsidRPr="00DC274A">
              <w:t>(c)</w:t>
            </w:r>
            <w:r w:rsidRPr="00DC274A">
              <w:rPr>
                <w:b/>
                <w:i/>
              </w:rPr>
              <w:tab/>
            </w:r>
            <w:r w:rsidRPr="00DC274A">
              <w:t>fournir</w:t>
            </w:r>
            <w:r w:rsidRPr="00DC274A">
              <w:rPr>
                <w:b/>
                <w:i/>
              </w:rPr>
              <w:t xml:space="preserve"> un soutien financier au développement du secteur privé</w:t>
            </w:r>
            <w:r w:rsidRPr="00DC274A">
              <w:t>, en mettant particulièrement l’accent sur</w:t>
            </w:r>
            <w:r w:rsidRPr="00DC274A">
              <w:rPr>
                <w:b/>
                <w:i/>
              </w:rPr>
              <w:t xml:space="preserve"> les microentreprises et les petites et moyennes entreprises, tout en remédiant aux défaillances du marché et en limitant les distorsions du marché</w:t>
            </w:r>
            <w:r w:rsidRPr="00DC274A">
              <w:t>;</w:t>
            </w:r>
          </w:p>
        </w:tc>
      </w:tr>
    </w:tbl>
    <w:p w14:paraId="7A68F76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7E7F63F" w14:textId="77777777" w:rsidR="00BF7ACA" w:rsidRPr="00BF7ACA" w:rsidRDefault="00BF7ACA" w:rsidP="00BF7ACA">
      <w:r w:rsidRPr="00BF7ACA">
        <w:rPr>
          <w:rStyle w:val="HideTWBExt"/>
        </w:rPr>
        <w:t>&lt;/Amend&gt;</w:t>
      </w:r>
    </w:p>
    <w:p w14:paraId="0F8AF43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258</w:t>
      </w:r>
      <w:r w:rsidRPr="00BF7ACA">
        <w:rPr>
          <w:rStyle w:val="HideTWBExt"/>
          <w:b w:val="0"/>
        </w:rPr>
        <w:t>&lt;/NumAm&gt;</w:t>
      </w:r>
    </w:p>
    <w:p w14:paraId="60C692CD" w14:textId="77777777"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14:paraId="3CFAB99C" w14:textId="77777777" w:rsidR="00BF7ACA" w:rsidRPr="00355860" w:rsidRDefault="00BF7ACA" w:rsidP="00BF7ACA">
      <w:r>
        <w:rPr>
          <w:rStyle w:val="HideTWBExt"/>
        </w:rPr>
        <w:t>&lt;/RepeatBlock-By&gt;</w:t>
      </w:r>
    </w:p>
    <w:p w14:paraId="79AF682A"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93C12EF" w14:textId="77777777" w:rsidR="00BF7ACA" w:rsidRPr="00355860" w:rsidRDefault="00BF7ACA" w:rsidP="00BF7ACA">
      <w:pPr>
        <w:pStyle w:val="NormalBold"/>
      </w:pPr>
      <w:r>
        <w:rPr>
          <w:rStyle w:val="HideTWBExt"/>
          <w:b w:val="0"/>
        </w:rPr>
        <w:t>&lt;Article&gt;</w:t>
      </w:r>
      <w:r w:rsidRPr="00B915F8">
        <w:t>Article 8 – paragraphe 1 – point c</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0F7B0D4A" w14:textId="77777777" w:rsidTr="007924BE">
        <w:trPr>
          <w:jc w:val="center"/>
        </w:trPr>
        <w:tc>
          <w:tcPr>
            <w:tcW w:w="9752" w:type="dxa"/>
            <w:gridSpan w:val="2"/>
          </w:tcPr>
          <w:p w14:paraId="70AF4871" w14:textId="77777777" w:rsidR="00BF7ACA" w:rsidRPr="00355860" w:rsidRDefault="00BF7ACA" w:rsidP="007924BE">
            <w:pPr>
              <w:keepNext/>
            </w:pPr>
          </w:p>
        </w:tc>
      </w:tr>
      <w:tr w:rsidR="00BF7ACA" w:rsidRPr="00355860" w14:paraId="2A39A0D6" w14:textId="77777777" w:rsidTr="007924BE">
        <w:trPr>
          <w:jc w:val="center"/>
        </w:trPr>
        <w:tc>
          <w:tcPr>
            <w:tcW w:w="4876" w:type="dxa"/>
            <w:hideMark/>
          </w:tcPr>
          <w:p w14:paraId="7EB99BA2" w14:textId="77777777" w:rsidR="00BF7ACA" w:rsidRPr="00B915F8" w:rsidRDefault="00BF7ACA" w:rsidP="007924BE">
            <w:pPr>
              <w:pStyle w:val="ColumnHeading"/>
              <w:keepNext/>
            </w:pPr>
            <w:r w:rsidRPr="00B915F8">
              <w:t>Texte proposé par la Commission</w:t>
            </w:r>
          </w:p>
        </w:tc>
        <w:tc>
          <w:tcPr>
            <w:tcW w:w="4876" w:type="dxa"/>
            <w:hideMark/>
          </w:tcPr>
          <w:p w14:paraId="31948831" w14:textId="77777777" w:rsidR="00BF7ACA" w:rsidRPr="00B915F8" w:rsidRDefault="00BF7ACA" w:rsidP="007924BE">
            <w:pPr>
              <w:pStyle w:val="ColumnHeading"/>
              <w:keepNext/>
            </w:pPr>
            <w:r w:rsidRPr="00B915F8">
              <w:t>Amendement</w:t>
            </w:r>
          </w:p>
        </w:tc>
      </w:tr>
      <w:tr w:rsidR="00BF7ACA" w:rsidRPr="00355860" w14:paraId="381F6F58" w14:textId="77777777" w:rsidTr="007924BE">
        <w:trPr>
          <w:jc w:val="center"/>
        </w:trPr>
        <w:tc>
          <w:tcPr>
            <w:tcW w:w="4876" w:type="dxa"/>
            <w:hideMark/>
          </w:tcPr>
          <w:p w14:paraId="7FDBEDD5" w14:textId="77777777" w:rsidR="00BF7ACA" w:rsidRPr="00DC274A" w:rsidRDefault="00BF7ACA" w:rsidP="007924BE">
            <w:pPr>
              <w:pStyle w:val="Normal6"/>
              <w:rPr>
                <w:b/>
                <w:i/>
              </w:rPr>
            </w:pPr>
            <w:r w:rsidRPr="00DC274A">
              <w:t>(c)</w:t>
            </w:r>
            <w:r w:rsidRPr="00DC274A">
              <w:rPr>
                <w:b/>
                <w:i/>
              </w:rPr>
              <w:tab/>
              <w:t>fournir</w:t>
            </w:r>
            <w:r w:rsidRPr="00DC274A">
              <w:t xml:space="preserve"> des financements en faveur des microentreprises et des petites et moyennes entreprises, en mettant particulièrement l’accent sur le développement du secteur privé;</w:t>
            </w:r>
          </w:p>
        </w:tc>
        <w:tc>
          <w:tcPr>
            <w:tcW w:w="4876" w:type="dxa"/>
            <w:hideMark/>
          </w:tcPr>
          <w:p w14:paraId="333FF825" w14:textId="77777777" w:rsidR="00BF7ACA" w:rsidRPr="00DC274A" w:rsidRDefault="00BF7ACA" w:rsidP="007924BE">
            <w:pPr>
              <w:pStyle w:val="Normal6"/>
              <w:rPr>
                <w:b/>
                <w:i/>
                <w:szCs w:val="24"/>
              </w:rPr>
            </w:pPr>
            <w:r w:rsidRPr="00DC274A">
              <w:t>(c)</w:t>
            </w:r>
            <w:r w:rsidRPr="00DC274A">
              <w:rPr>
                <w:b/>
                <w:i/>
              </w:rPr>
              <w:tab/>
              <w:t>dégager</w:t>
            </w:r>
            <w:r w:rsidRPr="00DC274A">
              <w:t xml:space="preserve"> des</w:t>
            </w:r>
            <w:r w:rsidRPr="00DC274A">
              <w:rPr>
                <w:b/>
                <w:i/>
              </w:rPr>
              <w:t xml:space="preserve"> mécanismes de soutien et des</w:t>
            </w:r>
            <w:r w:rsidRPr="00DC274A">
              <w:t xml:space="preserve"> financements en faveur des microentreprises et des petites et moyennes entreprises, en mettant particulièrement l’accent sur le développement du secteur privé</w:t>
            </w:r>
            <w:r w:rsidRPr="00DC274A">
              <w:rPr>
                <w:b/>
                <w:i/>
              </w:rPr>
              <w:t xml:space="preserve"> et sur l’entrepreneuriat local</w:t>
            </w:r>
            <w:r w:rsidRPr="00DC274A">
              <w:t>;</w:t>
            </w:r>
          </w:p>
        </w:tc>
      </w:tr>
    </w:tbl>
    <w:p w14:paraId="28FF5CE2"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79B22BD" w14:textId="77777777" w:rsidR="00BF7ACA" w:rsidRPr="00BF7ACA" w:rsidRDefault="00BF7ACA" w:rsidP="00BF7ACA">
      <w:r w:rsidRPr="00BF7ACA">
        <w:rPr>
          <w:rStyle w:val="HideTWBExt"/>
        </w:rPr>
        <w:t>&lt;/Amend&gt;</w:t>
      </w:r>
    </w:p>
    <w:p w14:paraId="6A270FC7"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259</w:t>
      </w:r>
      <w:r w:rsidRPr="00BF7ACA">
        <w:rPr>
          <w:rStyle w:val="HideTWBExt"/>
          <w:b w:val="0"/>
        </w:rPr>
        <w:t>&lt;/NumAm&gt;</w:t>
      </w:r>
    </w:p>
    <w:p w14:paraId="77953250" w14:textId="77777777"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14:paraId="31B80BEB" w14:textId="77777777" w:rsidR="00BF7ACA" w:rsidRPr="00E502E5" w:rsidRDefault="00BF7ACA" w:rsidP="00BF7ACA">
      <w:r>
        <w:rPr>
          <w:rStyle w:val="HideTWBExt"/>
        </w:rPr>
        <w:t>&lt;/RepeatBlock-By&gt;</w:t>
      </w:r>
    </w:p>
    <w:p w14:paraId="7CADFCBA" w14:textId="77777777"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14:paraId="39C55AEA" w14:textId="77777777" w:rsidR="00BF7ACA" w:rsidRPr="00E502E5" w:rsidRDefault="00BF7ACA" w:rsidP="00BF7ACA">
      <w:pPr>
        <w:pStyle w:val="NormalBold"/>
      </w:pPr>
      <w:r>
        <w:rPr>
          <w:rStyle w:val="HideTWBExt"/>
          <w:b w:val="0"/>
        </w:rPr>
        <w:t>&lt;Article&gt;</w:t>
      </w:r>
      <w:r w:rsidRPr="002E43F3">
        <w:t>Article 8 – paragraphe 1 – point c</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4D4407AD" w14:textId="77777777" w:rsidTr="007924BE">
        <w:trPr>
          <w:jc w:val="center"/>
        </w:trPr>
        <w:tc>
          <w:tcPr>
            <w:tcW w:w="9752" w:type="dxa"/>
            <w:gridSpan w:val="2"/>
          </w:tcPr>
          <w:p w14:paraId="633D99D9" w14:textId="77777777" w:rsidR="00BF7ACA" w:rsidRPr="00E502E5" w:rsidRDefault="00BF7ACA" w:rsidP="007924BE">
            <w:pPr>
              <w:keepNext/>
            </w:pPr>
          </w:p>
        </w:tc>
      </w:tr>
      <w:tr w:rsidR="00BF7ACA" w:rsidRPr="00E502E5" w14:paraId="463B0419" w14:textId="77777777" w:rsidTr="007924BE">
        <w:trPr>
          <w:jc w:val="center"/>
        </w:trPr>
        <w:tc>
          <w:tcPr>
            <w:tcW w:w="4876" w:type="dxa"/>
            <w:hideMark/>
          </w:tcPr>
          <w:p w14:paraId="45E75CA0" w14:textId="77777777" w:rsidR="00BF7ACA" w:rsidRPr="002E43F3" w:rsidRDefault="00BF7ACA" w:rsidP="007924BE">
            <w:pPr>
              <w:pStyle w:val="ColumnHeading"/>
              <w:keepNext/>
            </w:pPr>
            <w:r w:rsidRPr="002E43F3">
              <w:t>Texte proposé par la Commission</w:t>
            </w:r>
          </w:p>
        </w:tc>
        <w:tc>
          <w:tcPr>
            <w:tcW w:w="4876" w:type="dxa"/>
            <w:hideMark/>
          </w:tcPr>
          <w:p w14:paraId="57D94BBA" w14:textId="77777777" w:rsidR="00BF7ACA" w:rsidRPr="002E43F3" w:rsidRDefault="00BF7ACA" w:rsidP="007924BE">
            <w:pPr>
              <w:pStyle w:val="ColumnHeading"/>
              <w:keepNext/>
            </w:pPr>
            <w:r w:rsidRPr="002E43F3">
              <w:t>Amendement</w:t>
            </w:r>
          </w:p>
        </w:tc>
      </w:tr>
      <w:tr w:rsidR="00BF7ACA" w:rsidRPr="00E502E5" w14:paraId="7471FD48" w14:textId="77777777" w:rsidTr="007924BE">
        <w:trPr>
          <w:jc w:val="center"/>
        </w:trPr>
        <w:tc>
          <w:tcPr>
            <w:tcW w:w="4876" w:type="dxa"/>
            <w:hideMark/>
          </w:tcPr>
          <w:p w14:paraId="611911A4" w14:textId="77777777" w:rsidR="00BF7ACA" w:rsidRPr="002E43F3" w:rsidRDefault="00BF7ACA" w:rsidP="007924BE">
            <w:pPr>
              <w:pStyle w:val="Normal6"/>
            </w:pPr>
            <w:r w:rsidRPr="002E43F3">
              <w:t>(c)</w:t>
            </w:r>
            <w:r>
              <w:tab/>
            </w:r>
            <w:r w:rsidRPr="002E43F3">
              <w:t>fournir des financements en faveur des microentreprises et des petites et moyennes entreprises</w:t>
            </w:r>
            <w:r w:rsidRPr="002E43F3">
              <w:rPr>
                <w:b/>
                <w:i/>
              </w:rPr>
              <w:t>, en mettant particulièrement l</w:t>
            </w:r>
            <w:r>
              <w:rPr>
                <w:b/>
                <w:i/>
              </w:rPr>
              <w:t>’</w:t>
            </w:r>
            <w:r w:rsidRPr="002E43F3">
              <w:rPr>
                <w:b/>
                <w:i/>
              </w:rPr>
              <w:t>accent sur le développement du secteur privé</w:t>
            </w:r>
            <w:r w:rsidRPr="002E43F3">
              <w:t>;</w:t>
            </w:r>
          </w:p>
        </w:tc>
        <w:tc>
          <w:tcPr>
            <w:tcW w:w="4876" w:type="dxa"/>
            <w:hideMark/>
          </w:tcPr>
          <w:p w14:paraId="19C6A343" w14:textId="77777777" w:rsidR="00BF7ACA" w:rsidRPr="002E43F3" w:rsidRDefault="00BF7ACA" w:rsidP="007924BE">
            <w:pPr>
              <w:pStyle w:val="Normal6"/>
              <w:rPr>
                <w:szCs w:val="24"/>
              </w:rPr>
            </w:pPr>
            <w:r w:rsidRPr="002E43F3">
              <w:t>(c)</w:t>
            </w:r>
            <w:r>
              <w:tab/>
            </w:r>
            <w:r w:rsidRPr="002E43F3">
              <w:t>fournir des financements en faveur des microentreprises et des petites et moyennes entreprises;</w:t>
            </w:r>
          </w:p>
        </w:tc>
      </w:tr>
    </w:tbl>
    <w:p w14:paraId="540E98FC"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{IT}</w:t>
      </w:r>
      <w:r w:rsidRPr="00BF7ACA">
        <w:rPr>
          <w:noProof w:val="0"/>
        </w:rPr>
        <w:t>it</w:t>
      </w:r>
      <w:r w:rsidRPr="00BF7ACA">
        <w:rPr>
          <w:rStyle w:val="HideTWBExt"/>
          <w:noProof w:val="0"/>
        </w:rPr>
        <w:t>&lt;/Original&gt;</w:t>
      </w:r>
    </w:p>
    <w:p w14:paraId="4F0FCFB1" w14:textId="77777777" w:rsidR="00BF7ACA" w:rsidRPr="00BF7ACA" w:rsidRDefault="00BF7ACA" w:rsidP="00BF7ACA">
      <w:r w:rsidRPr="00BF7ACA">
        <w:rPr>
          <w:rStyle w:val="HideTWBExt"/>
        </w:rPr>
        <w:t>&lt;/Amend&gt;</w:t>
      </w:r>
    </w:p>
    <w:p w14:paraId="7154B639"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260</w:t>
      </w:r>
      <w:r w:rsidRPr="00BF7ACA">
        <w:rPr>
          <w:rStyle w:val="HideTWBExt"/>
          <w:b w:val="0"/>
        </w:rPr>
        <w:t>&lt;/NumAm&gt;</w:t>
      </w:r>
    </w:p>
    <w:p w14:paraId="59DFAFBA"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756558B2" w14:textId="77777777" w:rsidR="00BF7ACA" w:rsidRPr="00355860" w:rsidRDefault="00BF7ACA" w:rsidP="00BF7ACA">
      <w:r>
        <w:rPr>
          <w:rStyle w:val="HideTWBExt"/>
        </w:rPr>
        <w:t>&lt;/RepeatBlock-By&gt;</w:t>
      </w:r>
    </w:p>
    <w:p w14:paraId="4C08949B"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0039E68A" w14:textId="77777777" w:rsidR="00BF7ACA" w:rsidRPr="00355860" w:rsidRDefault="00BF7ACA" w:rsidP="00BF7ACA">
      <w:pPr>
        <w:pStyle w:val="NormalBold"/>
      </w:pPr>
      <w:r>
        <w:rPr>
          <w:rStyle w:val="HideTWBExt"/>
          <w:b w:val="0"/>
        </w:rPr>
        <w:t>&lt;Article&gt;</w:t>
      </w:r>
      <w:r w:rsidRPr="00B915F8">
        <w:t>Article 8 – paragraphe 1 – point c</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6EFCBBB7" w14:textId="77777777" w:rsidTr="007924BE">
        <w:trPr>
          <w:jc w:val="center"/>
        </w:trPr>
        <w:tc>
          <w:tcPr>
            <w:tcW w:w="9752" w:type="dxa"/>
            <w:gridSpan w:val="2"/>
          </w:tcPr>
          <w:p w14:paraId="484DE2A5" w14:textId="77777777" w:rsidR="00BF7ACA" w:rsidRPr="00355860" w:rsidRDefault="00BF7ACA" w:rsidP="007924BE">
            <w:pPr>
              <w:keepNext/>
            </w:pPr>
          </w:p>
        </w:tc>
      </w:tr>
      <w:tr w:rsidR="00BF7ACA" w:rsidRPr="00355860" w14:paraId="1EFA914E" w14:textId="77777777" w:rsidTr="007924BE">
        <w:trPr>
          <w:jc w:val="center"/>
        </w:trPr>
        <w:tc>
          <w:tcPr>
            <w:tcW w:w="4876" w:type="dxa"/>
            <w:hideMark/>
          </w:tcPr>
          <w:p w14:paraId="70BA59A8" w14:textId="77777777" w:rsidR="00BF7ACA" w:rsidRPr="00B915F8" w:rsidRDefault="00BF7ACA" w:rsidP="007924BE">
            <w:pPr>
              <w:pStyle w:val="ColumnHeading"/>
              <w:keepNext/>
            </w:pPr>
            <w:r w:rsidRPr="00B915F8">
              <w:t>Texte proposé par la Commission</w:t>
            </w:r>
          </w:p>
        </w:tc>
        <w:tc>
          <w:tcPr>
            <w:tcW w:w="4876" w:type="dxa"/>
            <w:hideMark/>
          </w:tcPr>
          <w:p w14:paraId="380E7DBD" w14:textId="77777777" w:rsidR="00BF7ACA" w:rsidRPr="00B915F8" w:rsidRDefault="00BF7ACA" w:rsidP="007924BE">
            <w:pPr>
              <w:pStyle w:val="ColumnHeading"/>
              <w:keepNext/>
            </w:pPr>
            <w:r w:rsidRPr="00B915F8">
              <w:t>Amendement</w:t>
            </w:r>
          </w:p>
        </w:tc>
      </w:tr>
      <w:tr w:rsidR="00BF7ACA" w:rsidRPr="00355860" w14:paraId="35AC9BBF" w14:textId="77777777" w:rsidTr="007924BE">
        <w:trPr>
          <w:jc w:val="center"/>
        </w:trPr>
        <w:tc>
          <w:tcPr>
            <w:tcW w:w="4876" w:type="dxa"/>
            <w:hideMark/>
          </w:tcPr>
          <w:p w14:paraId="0DA5286B" w14:textId="77777777" w:rsidR="00BF7ACA" w:rsidRPr="00DC274A" w:rsidRDefault="00BF7ACA" w:rsidP="007924BE">
            <w:pPr>
              <w:pStyle w:val="Normal6"/>
              <w:rPr>
                <w:b/>
                <w:i/>
              </w:rPr>
            </w:pPr>
            <w:r w:rsidRPr="00DC274A">
              <w:t>(c)</w:t>
            </w:r>
            <w:r w:rsidRPr="00DC274A">
              <w:rPr>
                <w:b/>
                <w:i/>
              </w:rPr>
              <w:tab/>
            </w:r>
            <w:r w:rsidRPr="00DC274A">
              <w:t>fournir des financements en faveur des microentreprises et des petites et moyennes entreprises, en mettant particulièrement l’accent sur le développement</w:t>
            </w:r>
            <w:r w:rsidRPr="00DC274A">
              <w:rPr>
                <w:b/>
                <w:i/>
              </w:rPr>
              <w:t xml:space="preserve"> du secteur privé</w:t>
            </w:r>
            <w:r w:rsidRPr="00DC274A">
              <w:t>;</w:t>
            </w:r>
          </w:p>
        </w:tc>
        <w:tc>
          <w:tcPr>
            <w:tcW w:w="4876" w:type="dxa"/>
            <w:hideMark/>
          </w:tcPr>
          <w:p w14:paraId="140C4480" w14:textId="77777777" w:rsidR="00BF7ACA" w:rsidRPr="00DC274A" w:rsidRDefault="00BF7ACA" w:rsidP="007924BE">
            <w:pPr>
              <w:pStyle w:val="Normal6"/>
              <w:rPr>
                <w:b/>
                <w:i/>
                <w:szCs w:val="24"/>
              </w:rPr>
            </w:pPr>
            <w:r w:rsidRPr="00DC274A">
              <w:t>(c)</w:t>
            </w:r>
            <w:r w:rsidRPr="00DC274A">
              <w:rPr>
                <w:b/>
                <w:i/>
              </w:rPr>
              <w:tab/>
            </w:r>
            <w:r w:rsidRPr="00DC274A">
              <w:t>fournir des financements en faveur des microentreprises et des petites et moyennes entreprises</w:t>
            </w:r>
            <w:r w:rsidRPr="00DC274A">
              <w:rPr>
                <w:b/>
                <w:i/>
              </w:rPr>
              <w:t xml:space="preserve"> locales</w:t>
            </w:r>
            <w:r w:rsidRPr="00DC274A">
              <w:t>, en mettant particulièrement l’accent sur le développement</w:t>
            </w:r>
            <w:r w:rsidRPr="00DC274A">
              <w:rPr>
                <w:b/>
                <w:i/>
              </w:rPr>
              <w:t xml:space="preserve"> durable en faveur de l’économie locale</w:t>
            </w:r>
            <w:r w:rsidRPr="00DC274A">
              <w:t>;</w:t>
            </w:r>
          </w:p>
        </w:tc>
      </w:tr>
    </w:tbl>
    <w:p w14:paraId="39DFBF8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7C3B9BE" w14:textId="77777777" w:rsidR="00BF7ACA" w:rsidRPr="00BF7ACA" w:rsidRDefault="00BF7ACA" w:rsidP="00BF7ACA">
      <w:r w:rsidRPr="00BF7ACA">
        <w:rPr>
          <w:rStyle w:val="HideTWBExt"/>
        </w:rPr>
        <w:t>&lt;/Amend&gt;</w:t>
      </w:r>
    </w:p>
    <w:p w14:paraId="62A6F6B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261</w:t>
      </w:r>
      <w:r w:rsidRPr="00BF7ACA">
        <w:rPr>
          <w:rStyle w:val="HideTWBExt"/>
          <w:b w:val="0"/>
        </w:rPr>
        <w:t>&lt;/NumAm&gt;</w:t>
      </w:r>
    </w:p>
    <w:p w14:paraId="3A52BB25" w14:textId="77777777"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14:paraId="12E241ED" w14:textId="77777777" w:rsidR="00BF7ACA" w:rsidRPr="00355860" w:rsidRDefault="00BF7ACA" w:rsidP="00BF7ACA">
      <w:r>
        <w:rPr>
          <w:rStyle w:val="HideTWBExt"/>
        </w:rPr>
        <w:t>&lt;/RepeatBlock-By&gt;</w:t>
      </w:r>
    </w:p>
    <w:p w14:paraId="0D07DF84"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02168A32" w14:textId="77777777" w:rsidR="00BF7ACA" w:rsidRPr="00355860" w:rsidRDefault="00BF7ACA" w:rsidP="00BF7ACA">
      <w:pPr>
        <w:pStyle w:val="NormalBold"/>
      </w:pPr>
      <w:r>
        <w:rPr>
          <w:rStyle w:val="HideTWBExt"/>
          <w:b w:val="0"/>
        </w:rPr>
        <w:t>&lt;Article&gt;</w:t>
      </w:r>
      <w:r w:rsidRPr="00B915F8">
        <w:t>Article 8 – paragraphe 1 – point c</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3015F814" w14:textId="77777777" w:rsidTr="007924BE">
        <w:trPr>
          <w:jc w:val="center"/>
        </w:trPr>
        <w:tc>
          <w:tcPr>
            <w:tcW w:w="9752" w:type="dxa"/>
            <w:gridSpan w:val="2"/>
          </w:tcPr>
          <w:p w14:paraId="35C05F54" w14:textId="77777777" w:rsidR="00BF7ACA" w:rsidRPr="00355860" w:rsidRDefault="00BF7ACA" w:rsidP="007924BE">
            <w:pPr>
              <w:keepNext/>
            </w:pPr>
          </w:p>
        </w:tc>
      </w:tr>
      <w:tr w:rsidR="00BF7ACA" w:rsidRPr="00355860" w14:paraId="52F3CD96" w14:textId="77777777" w:rsidTr="007924BE">
        <w:trPr>
          <w:jc w:val="center"/>
        </w:trPr>
        <w:tc>
          <w:tcPr>
            <w:tcW w:w="4876" w:type="dxa"/>
            <w:hideMark/>
          </w:tcPr>
          <w:p w14:paraId="55DAEA96" w14:textId="77777777" w:rsidR="00BF7ACA" w:rsidRPr="00B915F8" w:rsidRDefault="00BF7ACA" w:rsidP="007924BE">
            <w:pPr>
              <w:pStyle w:val="ColumnHeading"/>
              <w:keepNext/>
            </w:pPr>
            <w:r w:rsidRPr="00B915F8">
              <w:t>Texte proposé par la Commission</w:t>
            </w:r>
          </w:p>
        </w:tc>
        <w:tc>
          <w:tcPr>
            <w:tcW w:w="4876" w:type="dxa"/>
            <w:hideMark/>
          </w:tcPr>
          <w:p w14:paraId="4A6655BB" w14:textId="77777777" w:rsidR="00BF7ACA" w:rsidRPr="00B915F8" w:rsidRDefault="00BF7ACA" w:rsidP="007924BE">
            <w:pPr>
              <w:pStyle w:val="ColumnHeading"/>
              <w:keepNext/>
            </w:pPr>
            <w:r w:rsidRPr="00B915F8">
              <w:t>Amendement</w:t>
            </w:r>
          </w:p>
        </w:tc>
      </w:tr>
      <w:tr w:rsidR="00BF7ACA" w:rsidRPr="00355860" w14:paraId="42B64224" w14:textId="77777777" w:rsidTr="007924BE">
        <w:trPr>
          <w:jc w:val="center"/>
        </w:trPr>
        <w:tc>
          <w:tcPr>
            <w:tcW w:w="4876" w:type="dxa"/>
            <w:hideMark/>
          </w:tcPr>
          <w:p w14:paraId="6E22C77C" w14:textId="77777777" w:rsidR="00BF7ACA" w:rsidRPr="00DC274A" w:rsidRDefault="00BF7ACA" w:rsidP="007924BE">
            <w:pPr>
              <w:pStyle w:val="Normal6"/>
              <w:rPr>
                <w:b/>
                <w:i/>
              </w:rPr>
            </w:pPr>
            <w:r w:rsidRPr="00DC274A">
              <w:t>(c)</w:t>
            </w:r>
            <w:r w:rsidRPr="00DC274A">
              <w:rPr>
                <w:b/>
                <w:i/>
              </w:rPr>
              <w:tab/>
              <w:t>fournir des financements en faveur des microentreprises et des petites et moyennes entreprises</w:t>
            </w:r>
            <w:r w:rsidRPr="00DC274A">
              <w:t>, en mettant particulièrement l’accent sur</w:t>
            </w:r>
            <w:r w:rsidRPr="00DC274A">
              <w:rPr>
                <w:b/>
                <w:i/>
              </w:rPr>
              <w:t xml:space="preserve"> le développement du secteur privé</w:t>
            </w:r>
            <w:r w:rsidRPr="00DC274A">
              <w:t>;</w:t>
            </w:r>
          </w:p>
        </w:tc>
        <w:tc>
          <w:tcPr>
            <w:tcW w:w="4876" w:type="dxa"/>
            <w:hideMark/>
          </w:tcPr>
          <w:p w14:paraId="474BD1A3" w14:textId="77777777" w:rsidR="00BF7ACA" w:rsidRPr="00DC274A" w:rsidRDefault="00BF7ACA" w:rsidP="007924BE">
            <w:pPr>
              <w:pStyle w:val="Normal6"/>
              <w:rPr>
                <w:b/>
                <w:i/>
                <w:szCs w:val="24"/>
              </w:rPr>
            </w:pPr>
            <w:r w:rsidRPr="00DC274A">
              <w:t>(c)</w:t>
            </w:r>
            <w:r w:rsidRPr="00DC274A">
              <w:rPr>
                <w:b/>
                <w:i/>
              </w:rPr>
              <w:tab/>
              <w:t>soutenir le développement du secteur privé</w:t>
            </w:r>
            <w:r w:rsidRPr="00DC274A">
              <w:t>, en mettant</w:t>
            </w:r>
            <w:r w:rsidRPr="00DC274A">
              <w:rPr>
                <w:b/>
                <w:i/>
              </w:rPr>
              <w:t xml:space="preserve"> plus</w:t>
            </w:r>
            <w:r w:rsidRPr="00DC274A">
              <w:t xml:space="preserve"> particulièrement l’accent sur</w:t>
            </w:r>
            <w:r w:rsidRPr="00DC274A">
              <w:rPr>
                <w:b/>
                <w:i/>
              </w:rPr>
              <w:t xml:space="preserve"> les sociétés locales et européennes ainsi que les microentreprises et les petites et moyennes entreprises</w:t>
            </w:r>
            <w:r w:rsidRPr="00DC274A">
              <w:t>;</w:t>
            </w:r>
          </w:p>
        </w:tc>
      </w:tr>
    </w:tbl>
    <w:p w14:paraId="65143671"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379854F" w14:textId="77777777" w:rsidR="00BF7ACA" w:rsidRPr="00BF7ACA" w:rsidRDefault="00BF7ACA" w:rsidP="00BF7ACA">
      <w:r w:rsidRPr="00BF7ACA">
        <w:rPr>
          <w:rStyle w:val="HideTWBExt"/>
        </w:rPr>
        <w:t>&lt;/Amend&gt;</w:t>
      </w:r>
    </w:p>
    <w:p w14:paraId="7FC62CA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262</w:t>
      </w:r>
      <w:r w:rsidRPr="00BF7ACA">
        <w:rPr>
          <w:rStyle w:val="HideTWBExt"/>
          <w:b w:val="0"/>
        </w:rPr>
        <w:t>&lt;/NumAm&gt;</w:t>
      </w:r>
    </w:p>
    <w:p w14:paraId="70AB74F4"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7CB2ABB3" w14:textId="77777777" w:rsidR="00BF7ACA" w:rsidRPr="00355860" w:rsidRDefault="00BF7ACA" w:rsidP="00BF7ACA">
      <w:r>
        <w:rPr>
          <w:rStyle w:val="HideTWBExt"/>
        </w:rPr>
        <w:t>&lt;/RepeatBlock-By&gt;</w:t>
      </w:r>
    </w:p>
    <w:p w14:paraId="6D71E3FE"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45446BC1" w14:textId="77777777" w:rsidR="00BF7ACA" w:rsidRPr="00355860" w:rsidRDefault="00BF7ACA" w:rsidP="00BF7ACA">
      <w:pPr>
        <w:pStyle w:val="NormalBold"/>
      </w:pPr>
      <w:r>
        <w:rPr>
          <w:rStyle w:val="HideTWBExt"/>
          <w:b w:val="0"/>
        </w:rPr>
        <w:t>&lt;Article&gt;</w:t>
      </w:r>
      <w:r w:rsidRPr="00B915F8">
        <w:t>Article 8 – paragraphe 1 – point c</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64EBD1FC" w14:textId="77777777" w:rsidTr="007924BE">
        <w:trPr>
          <w:jc w:val="center"/>
        </w:trPr>
        <w:tc>
          <w:tcPr>
            <w:tcW w:w="9752" w:type="dxa"/>
            <w:gridSpan w:val="2"/>
          </w:tcPr>
          <w:p w14:paraId="6CE694EA" w14:textId="77777777" w:rsidR="00BF7ACA" w:rsidRPr="00355860" w:rsidRDefault="00BF7ACA" w:rsidP="007924BE">
            <w:pPr>
              <w:keepNext/>
            </w:pPr>
          </w:p>
        </w:tc>
      </w:tr>
      <w:tr w:rsidR="00BF7ACA" w:rsidRPr="00355860" w14:paraId="430B1CF0" w14:textId="77777777" w:rsidTr="007924BE">
        <w:trPr>
          <w:jc w:val="center"/>
        </w:trPr>
        <w:tc>
          <w:tcPr>
            <w:tcW w:w="4876" w:type="dxa"/>
            <w:hideMark/>
          </w:tcPr>
          <w:p w14:paraId="45E3AFDA" w14:textId="77777777" w:rsidR="00BF7ACA" w:rsidRPr="00B915F8" w:rsidRDefault="00BF7ACA" w:rsidP="007924BE">
            <w:pPr>
              <w:pStyle w:val="ColumnHeading"/>
              <w:keepNext/>
            </w:pPr>
            <w:r w:rsidRPr="00B915F8">
              <w:t>Texte proposé par la Commission</w:t>
            </w:r>
          </w:p>
        </w:tc>
        <w:tc>
          <w:tcPr>
            <w:tcW w:w="4876" w:type="dxa"/>
            <w:hideMark/>
          </w:tcPr>
          <w:p w14:paraId="4ADE08F9" w14:textId="77777777" w:rsidR="00BF7ACA" w:rsidRPr="00B915F8" w:rsidRDefault="00BF7ACA" w:rsidP="007924BE">
            <w:pPr>
              <w:pStyle w:val="ColumnHeading"/>
              <w:keepNext/>
            </w:pPr>
            <w:r w:rsidRPr="00B915F8">
              <w:t>Amendement</w:t>
            </w:r>
          </w:p>
        </w:tc>
      </w:tr>
      <w:tr w:rsidR="00BF7ACA" w:rsidRPr="00355860" w14:paraId="44A873E1" w14:textId="77777777" w:rsidTr="007924BE">
        <w:trPr>
          <w:jc w:val="center"/>
        </w:trPr>
        <w:tc>
          <w:tcPr>
            <w:tcW w:w="4876" w:type="dxa"/>
            <w:hideMark/>
          </w:tcPr>
          <w:p w14:paraId="1C61ECEB" w14:textId="77777777" w:rsidR="00BF7ACA" w:rsidRPr="00DC274A" w:rsidRDefault="00BF7ACA" w:rsidP="007924BE">
            <w:pPr>
              <w:pStyle w:val="Normal6"/>
              <w:rPr>
                <w:b/>
                <w:i/>
              </w:rPr>
            </w:pPr>
            <w:r w:rsidRPr="00DC274A">
              <w:t>(c)</w:t>
            </w:r>
            <w:r w:rsidRPr="00DC274A">
              <w:rPr>
                <w:b/>
                <w:i/>
              </w:rPr>
              <w:tab/>
            </w:r>
            <w:r w:rsidRPr="00DC274A">
              <w:t>fournir des financements en faveur des microentreprises et des petites et moyennes entreprises, en mettant particulièrement l’accent sur le développement du secteur privé;</w:t>
            </w:r>
          </w:p>
        </w:tc>
        <w:tc>
          <w:tcPr>
            <w:tcW w:w="4876" w:type="dxa"/>
            <w:hideMark/>
          </w:tcPr>
          <w:p w14:paraId="73CAC304" w14:textId="77777777" w:rsidR="00BF7ACA" w:rsidRPr="00DC274A" w:rsidRDefault="00BF7ACA" w:rsidP="007924BE">
            <w:pPr>
              <w:pStyle w:val="Normal6"/>
              <w:rPr>
                <w:b/>
                <w:i/>
                <w:szCs w:val="24"/>
              </w:rPr>
            </w:pPr>
            <w:r w:rsidRPr="00DC274A">
              <w:t>(c)</w:t>
            </w:r>
            <w:r w:rsidRPr="00DC274A">
              <w:rPr>
                <w:b/>
                <w:i/>
              </w:rPr>
              <w:tab/>
            </w:r>
            <w:r w:rsidRPr="00DC274A">
              <w:t>fournir des financements en faveur des microentreprises et des petites et moyennes entreprises, en mettant particulièrement l’accent sur le développement du secteur privé</w:t>
            </w:r>
            <w:r w:rsidRPr="00DC274A">
              <w:rPr>
                <w:b/>
                <w:i/>
              </w:rPr>
              <w:t xml:space="preserve"> et des coopératives</w:t>
            </w:r>
            <w:r w:rsidRPr="00DC274A">
              <w:t>;</w:t>
            </w:r>
          </w:p>
        </w:tc>
      </w:tr>
    </w:tbl>
    <w:p w14:paraId="0D72494C"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47291D1" w14:textId="77777777" w:rsidR="00BF7ACA" w:rsidRPr="00BF7ACA" w:rsidRDefault="00BF7ACA" w:rsidP="00BF7ACA">
      <w:r w:rsidRPr="00BF7ACA">
        <w:rPr>
          <w:rStyle w:val="HideTWBExt"/>
        </w:rPr>
        <w:t>&lt;/Amend&gt;</w:t>
      </w:r>
    </w:p>
    <w:p w14:paraId="2A790C6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263</w:t>
      </w:r>
      <w:r w:rsidRPr="00BF7ACA">
        <w:rPr>
          <w:rStyle w:val="HideTWBExt"/>
          <w:b w:val="0"/>
        </w:rPr>
        <w:t>&lt;/NumAm&gt;</w:t>
      </w:r>
    </w:p>
    <w:p w14:paraId="00DCAE26" w14:textId="77777777" w:rsidR="00BF7ACA" w:rsidRPr="00BF7ACA" w:rsidRDefault="00BF7ACA" w:rsidP="00BF7ACA">
      <w:pPr>
        <w:pStyle w:val="NormalBold"/>
      </w:pPr>
      <w:r w:rsidRPr="00BF7ACA">
        <w:rPr>
          <w:rStyle w:val="HideTWBExt"/>
          <w:b w:val="0"/>
        </w:rPr>
        <w:t>&lt;RepeatBlock-By&gt;&lt;Members&gt;</w:t>
      </w:r>
      <w:r w:rsidRPr="00BF7ACA">
        <w:t>Fabio Massimo Castaldo, Ignazio Corrao, Marco Valli</w:t>
      </w:r>
      <w:r w:rsidRPr="00BF7ACA">
        <w:rPr>
          <w:rStyle w:val="HideTWBExt"/>
          <w:b w:val="0"/>
        </w:rPr>
        <w:t>&lt;/Members&gt;</w:t>
      </w:r>
    </w:p>
    <w:p w14:paraId="2D11912B" w14:textId="77777777" w:rsidR="00BF7ACA" w:rsidRPr="00BF7ACA" w:rsidRDefault="00BF7ACA" w:rsidP="00BF7ACA">
      <w:r w:rsidRPr="00BF7ACA">
        <w:rPr>
          <w:rStyle w:val="HideTWBExt"/>
        </w:rPr>
        <w:t>&lt;/RepeatBlock-By&gt;</w:t>
      </w:r>
    </w:p>
    <w:p w14:paraId="15FADC4B" w14:textId="77777777" w:rsidR="00BF7ACA" w:rsidRPr="00BF7ACA" w:rsidRDefault="00BF7ACA" w:rsidP="00BF7ACA">
      <w:pPr>
        <w:pStyle w:val="NormalBold"/>
        <w:keepNext/>
      </w:pPr>
      <w:r w:rsidRPr="00BF7ACA">
        <w:rPr>
          <w:rStyle w:val="HideTWBExt"/>
          <w:b w:val="0"/>
        </w:rPr>
        <w:t>&lt;DocAmend&gt;</w:t>
      </w:r>
      <w:r w:rsidRPr="00BF7ACA">
        <w:t>Proposition de règlement</w:t>
      </w:r>
      <w:r w:rsidRPr="00BF7ACA">
        <w:rPr>
          <w:rStyle w:val="HideTWBExt"/>
          <w:b w:val="0"/>
        </w:rPr>
        <w:t>&lt;/DocAmend&gt;</w:t>
      </w:r>
    </w:p>
    <w:p w14:paraId="53E1D4AB" w14:textId="77777777" w:rsidR="00BF7ACA" w:rsidRPr="00E502E5" w:rsidRDefault="00BF7ACA" w:rsidP="00BF7ACA">
      <w:pPr>
        <w:pStyle w:val="NormalBold"/>
      </w:pPr>
      <w:r>
        <w:rPr>
          <w:rStyle w:val="HideTWBExt"/>
          <w:b w:val="0"/>
        </w:rPr>
        <w:t>&lt;Article&gt;</w:t>
      </w:r>
      <w:r w:rsidRPr="002E43F3">
        <w:t>Article 8 – paragraphe 1 – point c</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6E94F7EB" w14:textId="77777777" w:rsidTr="007924BE">
        <w:trPr>
          <w:jc w:val="center"/>
        </w:trPr>
        <w:tc>
          <w:tcPr>
            <w:tcW w:w="9752" w:type="dxa"/>
            <w:gridSpan w:val="2"/>
          </w:tcPr>
          <w:p w14:paraId="19A874C9" w14:textId="77777777" w:rsidR="00BF7ACA" w:rsidRPr="00E502E5" w:rsidRDefault="00BF7ACA" w:rsidP="007924BE">
            <w:pPr>
              <w:keepNext/>
            </w:pPr>
          </w:p>
        </w:tc>
      </w:tr>
      <w:tr w:rsidR="00BF7ACA" w:rsidRPr="00E502E5" w14:paraId="3D0317CE" w14:textId="77777777" w:rsidTr="007924BE">
        <w:trPr>
          <w:jc w:val="center"/>
        </w:trPr>
        <w:tc>
          <w:tcPr>
            <w:tcW w:w="4876" w:type="dxa"/>
            <w:hideMark/>
          </w:tcPr>
          <w:p w14:paraId="63F7D559" w14:textId="77777777" w:rsidR="00BF7ACA" w:rsidRPr="002E43F3" w:rsidRDefault="00BF7ACA" w:rsidP="007924BE">
            <w:pPr>
              <w:pStyle w:val="ColumnHeading"/>
              <w:keepNext/>
            </w:pPr>
            <w:r w:rsidRPr="002E43F3">
              <w:t>Texte proposé par la Commission</w:t>
            </w:r>
          </w:p>
        </w:tc>
        <w:tc>
          <w:tcPr>
            <w:tcW w:w="4876" w:type="dxa"/>
            <w:hideMark/>
          </w:tcPr>
          <w:p w14:paraId="35C0B596" w14:textId="77777777" w:rsidR="00BF7ACA" w:rsidRPr="002E43F3" w:rsidRDefault="00BF7ACA" w:rsidP="007924BE">
            <w:pPr>
              <w:pStyle w:val="ColumnHeading"/>
              <w:keepNext/>
            </w:pPr>
            <w:r w:rsidRPr="002E43F3">
              <w:t>Amendement</w:t>
            </w:r>
          </w:p>
        </w:tc>
      </w:tr>
      <w:tr w:rsidR="00BF7ACA" w:rsidRPr="00E502E5" w14:paraId="6DCC64F3" w14:textId="77777777" w:rsidTr="007924BE">
        <w:trPr>
          <w:jc w:val="center"/>
        </w:trPr>
        <w:tc>
          <w:tcPr>
            <w:tcW w:w="4876" w:type="dxa"/>
            <w:hideMark/>
          </w:tcPr>
          <w:p w14:paraId="3AB50B49" w14:textId="77777777" w:rsidR="00BF7ACA" w:rsidRPr="002E43F3" w:rsidRDefault="00BF7ACA" w:rsidP="007924BE">
            <w:pPr>
              <w:pStyle w:val="Normal6"/>
            </w:pPr>
            <w:r w:rsidRPr="002E43F3">
              <w:t>(c)</w:t>
            </w:r>
            <w:r>
              <w:tab/>
            </w:r>
            <w:r w:rsidRPr="002E43F3">
              <w:t>fournir des financements en faveur des microentreprises et des petites et moyennes entreprises, en mettant particulièrement l</w:t>
            </w:r>
            <w:r>
              <w:t>’</w:t>
            </w:r>
            <w:r w:rsidRPr="002E43F3">
              <w:t>accent sur le développement du secteur privé;</w:t>
            </w:r>
          </w:p>
        </w:tc>
        <w:tc>
          <w:tcPr>
            <w:tcW w:w="4876" w:type="dxa"/>
            <w:hideMark/>
          </w:tcPr>
          <w:p w14:paraId="4E7EB401" w14:textId="77777777" w:rsidR="00BF7ACA" w:rsidRPr="002E43F3" w:rsidRDefault="00BF7ACA" w:rsidP="007924BE">
            <w:pPr>
              <w:pStyle w:val="Normal6"/>
              <w:rPr>
                <w:szCs w:val="24"/>
              </w:rPr>
            </w:pPr>
            <w:r w:rsidRPr="002E43F3">
              <w:t>(c)</w:t>
            </w:r>
            <w:r>
              <w:tab/>
            </w:r>
            <w:r w:rsidRPr="002E43F3">
              <w:t>fournir des financements en faveur des microentreprises et des petites et moyennes entreprises, en mettant particulièrement l</w:t>
            </w:r>
            <w:r>
              <w:t>’</w:t>
            </w:r>
            <w:r w:rsidRPr="002E43F3">
              <w:t>accent sur le développement du secteur privé</w:t>
            </w:r>
            <w:r w:rsidRPr="002E43F3">
              <w:rPr>
                <w:b/>
                <w:i/>
              </w:rPr>
              <w:t xml:space="preserve"> local</w:t>
            </w:r>
            <w:r w:rsidRPr="002E43F3">
              <w:t>;</w:t>
            </w:r>
          </w:p>
        </w:tc>
      </w:tr>
    </w:tbl>
    <w:p w14:paraId="5549AF45" w14:textId="77777777"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&lt;Original&gt;</w:t>
      </w:r>
      <w:r w:rsidRPr="000C3237">
        <w:rPr>
          <w:rStyle w:val="HideTWBInt"/>
          <w:noProof w:val="0"/>
          <w:lang w:val="en-GB"/>
        </w:rPr>
        <w:t>{IT}</w:t>
      </w:r>
      <w:r w:rsidRPr="000C3237">
        <w:rPr>
          <w:noProof w:val="0"/>
          <w:lang w:val="en-GB"/>
        </w:rPr>
        <w:t>it</w:t>
      </w:r>
      <w:r w:rsidRPr="000C3237">
        <w:rPr>
          <w:rStyle w:val="HideTWBExt"/>
          <w:noProof w:val="0"/>
          <w:lang w:val="en-GB"/>
        </w:rPr>
        <w:t>&lt;/Original&gt;</w:t>
      </w:r>
    </w:p>
    <w:p w14:paraId="06D5C09D" w14:textId="77777777" w:rsidR="00BF7ACA" w:rsidRPr="000C3237" w:rsidRDefault="00BF7ACA" w:rsidP="00BF7ACA">
      <w:pPr>
        <w:rPr>
          <w:lang w:val="en-GB"/>
        </w:rPr>
      </w:pPr>
      <w:r w:rsidRPr="000C3237">
        <w:rPr>
          <w:rStyle w:val="HideTWBExt"/>
          <w:lang w:val="en-GB"/>
        </w:rPr>
        <w:t>&lt;/Amend&gt;</w:t>
      </w:r>
    </w:p>
    <w:p w14:paraId="713F3272" w14:textId="77777777"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264</w:t>
      </w:r>
      <w:r w:rsidRPr="000C3237">
        <w:rPr>
          <w:rStyle w:val="HideTWBExt"/>
          <w:b w:val="0"/>
          <w:lang w:val="en-GB"/>
        </w:rPr>
        <w:t>&lt;/NumAm&gt;</w:t>
      </w:r>
    </w:p>
    <w:p w14:paraId="207F38F3" w14:textId="77777777"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Marco Zanni</w:t>
      </w:r>
      <w:r w:rsidRPr="000C3237">
        <w:rPr>
          <w:rStyle w:val="HideTWBExt"/>
          <w:b w:val="0"/>
          <w:lang w:val="en-GB"/>
        </w:rPr>
        <w:t>&lt;/Members&gt;</w:t>
      </w:r>
    </w:p>
    <w:p w14:paraId="4BB88DBB" w14:textId="77777777" w:rsidR="00BF7ACA" w:rsidRPr="00BF7ACA" w:rsidRDefault="00BF7ACA" w:rsidP="00BF7ACA">
      <w:pPr>
        <w:rPr>
          <w:lang w:val="en-GB"/>
        </w:rPr>
      </w:pPr>
      <w:r w:rsidRPr="00BF7ACA">
        <w:rPr>
          <w:rStyle w:val="HideTWBExt"/>
          <w:lang w:val="en-GB"/>
        </w:rPr>
        <w:t>&lt;/RepeatBlock-By&gt;</w:t>
      </w:r>
    </w:p>
    <w:p w14:paraId="02221568" w14:textId="77777777"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14:paraId="709BDB6B" w14:textId="77777777" w:rsidR="00BF7ACA" w:rsidRPr="00E502E5" w:rsidRDefault="00BF7ACA" w:rsidP="00BF7ACA">
      <w:pPr>
        <w:pStyle w:val="NormalBold"/>
      </w:pPr>
      <w:r>
        <w:rPr>
          <w:rStyle w:val="HideTWBExt"/>
          <w:b w:val="0"/>
        </w:rPr>
        <w:t>&lt;Article&gt;</w:t>
      </w:r>
      <w:r w:rsidRPr="002E43F3">
        <w:t>Article 8 – paragraphe 1 – point d</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22FA656C" w14:textId="77777777" w:rsidTr="007924BE">
        <w:trPr>
          <w:jc w:val="center"/>
        </w:trPr>
        <w:tc>
          <w:tcPr>
            <w:tcW w:w="9752" w:type="dxa"/>
            <w:gridSpan w:val="2"/>
          </w:tcPr>
          <w:p w14:paraId="263D9142" w14:textId="77777777" w:rsidR="00BF7ACA" w:rsidRPr="00E502E5" w:rsidRDefault="00BF7ACA" w:rsidP="007924BE">
            <w:pPr>
              <w:keepNext/>
            </w:pPr>
          </w:p>
        </w:tc>
      </w:tr>
      <w:tr w:rsidR="00BF7ACA" w:rsidRPr="00E502E5" w14:paraId="11510B29" w14:textId="77777777" w:rsidTr="007924BE">
        <w:trPr>
          <w:jc w:val="center"/>
        </w:trPr>
        <w:tc>
          <w:tcPr>
            <w:tcW w:w="4876" w:type="dxa"/>
            <w:hideMark/>
          </w:tcPr>
          <w:p w14:paraId="7B11AEE8" w14:textId="77777777" w:rsidR="00BF7ACA" w:rsidRPr="002E43F3" w:rsidRDefault="00BF7ACA" w:rsidP="007924BE">
            <w:pPr>
              <w:pStyle w:val="ColumnHeading"/>
              <w:keepNext/>
            </w:pPr>
            <w:r w:rsidRPr="002E43F3">
              <w:t>Texte proposé par la Commission</w:t>
            </w:r>
          </w:p>
        </w:tc>
        <w:tc>
          <w:tcPr>
            <w:tcW w:w="4876" w:type="dxa"/>
            <w:hideMark/>
          </w:tcPr>
          <w:p w14:paraId="706FEFD7" w14:textId="77777777" w:rsidR="00BF7ACA" w:rsidRPr="002E43F3" w:rsidRDefault="00BF7ACA" w:rsidP="007924BE">
            <w:pPr>
              <w:pStyle w:val="ColumnHeading"/>
              <w:keepNext/>
            </w:pPr>
            <w:r w:rsidRPr="002E43F3">
              <w:t>Amendement</w:t>
            </w:r>
          </w:p>
        </w:tc>
      </w:tr>
      <w:tr w:rsidR="00BF7ACA" w:rsidRPr="00E502E5" w14:paraId="6B62F5A0" w14:textId="77777777" w:rsidTr="007924BE">
        <w:trPr>
          <w:jc w:val="center"/>
        </w:trPr>
        <w:tc>
          <w:tcPr>
            <w:tcW w:w="4876" w:type="dxa"/>
            <w:hideMark/>
          </w:tcPr>
          <w:p w14:paraId="6D25E7B4" w14:textId="77777777" w:rsidR="00BF7ACA" w:rsidRPr="002E43F3" w:rsidRDefault="00BF7ACA" w:rsidP="007924BE">
            <w:pPr>
              <w:pStyle w:val="Normal6"/>
            </w:pPr>
            <w:r w:rsidRPr="002E43F3">
              <w:rPr>
                <w:b/>
                <w:i/>
              </w:rPr>
              <w:t>(d)</w:t>
            </w:r>
            <w:r>
              <w:tab/>
            </w:r>
            <w:r w:rsidRPr="002E43F3">
              <w:rPr>
                <w:b/>
                <w:i/>
              </w:rPr>
              <w:t>fournir des instruments financiers visant à éliminer les obstacles à l</w:t>
            </w:r>
            <w:r>
              <w:rPr>
                <w:b/>
                <w:i/>
              </w:rPr>
              <w:t>’</w:t>
            </w:r>
            <w:r w:rsidRPr="002E43F3">
              <w:rPr>
                <w:b/>
                <w:i/>
              </w:rPr>
              <w:t>investissement privé, y compris des garanties de première perte pour des garanties de portefeuille en faveur de projets du secteur privé telles que des garanties de prêts aux petites et moyennes entreprises, des garanties sur des risques spécifiques liés à des projets d</w:t>
            </w:r>
            <w:r>
              <w:rPr>
                <w:b/>
                <w:i/>
              </w:rPr>
              <w:t>’</w:t>
            </w:r>
            <w:r w:rsidRPr="002E43F3">
              <w:rPr>
                <w:b/>
                <w:i/>
              </w:rPr>
              <w:t>infrastructures et d</w:t>
            </w:r>
            <w:r>
              <w:rPr>
                <w:b/>
                <w:i/>
              </w:rPr>
              <w:t>’autres capitaux à </w:t>
            </w:r>
            <w:r w:rsidRPr="002E43F3">
              <w:rPr>
                <w:b/>
                <w:i/>
              </w:rPr>
              <w:t>risque;</w:t>
            </w:r>
          </w:p>
        </w:tc>
        <w:tc>
          <w:tcPr>
            <w:tcW w:w="4876" w:type="dxa"/>
            <w:hideMark/>
          </w:tcPr>
          <w:p w14:paraId="6236CCFD" w14:textId="77777777" w:rsidR="00BF7ACA" w:rsidRPr="002E43F3" w:rsidRDefault="00BF7ACA" w:rsidP="007924BE">
            <w:pPr>
              <w:pStyle w:val="Normal6"/>
              <w:rPr>
                <w:szCs w:val="24"/>
              </w:rPr>
            </w:pPr>
            <w:r w:rsidRPr="002E43F3">
              <w:rPr>
                <w:b/>
                <w:i/>
              </w:rPr>
              <w:t>supprimé</w:t>
            </w:r>
          </w:p>
        </w:tc>
      </w:tr>
    </w:tbl>
    <w:p w14:paraId="4E75F4A8" w14:textId="77777777"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&lt;Original&gt;</w:t>
      </w:r>
      <w:r w:rsidRPr="000C3237">
        <w:rPr>
          <w:rStyle w:val="HideTWBInt"/>
          <w:noProof w:val="0"/>
          <w:lang w:val="en-GB"/>
        </w:rPr>
        <w:t>{IT}</w:t>
      </w:r>
      <w:r w:rsidRPr="000C3237">
        <w:rPr>
          <w:noProof w:val="0"/>
          <w:lang w:val="en-GB"/>
        </w:rPr>
        <w:t>it</w:t>
      </w:r>
      <w:r w:rsidRPr="000C3237">
        <w:rPr>
          <w:rStyle w:val="HideTWBExt"/>
          <w:noProof w:val="0"/>
          <w:lang w:val="en-GB"/>
        </w:rPr>
        <w:t>&lt;/Original&gt;</w:t>
      </w:r>
    </w:p>
    <w:p w14:paraId="1E37C2DA" w14:textId="77777777" w:rsidR="00BF7ACA" w:rsidRPr="000C3237" w:rsidRDefault="00BF7ACA" w:rsidP="00BF7ACA">
      <w:pPr>
        <w:rPr>
          <w:lang w:val="en-GB"/>
        </w:rPr>
      </w:pPr>
      <w:r w:rsidRPr="000C3237">
        <w:rPr>
          <w:rStyle w:val="HideTWBExt"/>
          <w:lang w:val="en-GB"/>
        </w:rPr>
        <w:t>&lt;/Amend&gt;</w:t>
      </w:r>
    </w:p>
    <w:p w14:paraId="69F871E6" w14:textId="77777777" w:rsidR="00BF7ACA" w:rsidRPr="00E82ECE" w:rsidRDefault="00BF7ACA" w:rsidP="00BF7ACA">
      <w:pPr>
        <w:pStyle w:val="AMNumberTabs"/>
        <w:keepNext/>
        <w:rPr>
          <w:lang w:val="en-GB"/>
        </w:rPr>
      </w:pPr>
      <w:r w:rsidRPr="00E82ECE">
        <w:rPr>
          <w:rStyle w:val="HideTWBExt"/>
          <w:b w:val="0"/>
          <w:lang w:val="en-GB"/>
        </w:rPr>
        <w:t>&lt;Amend&gt;</w:t>
      </w:r>
      <w:r w:rsidRPr="00E82ECE">
        <w:rPr>
          <w:lang w:val="en-GB"/>
        </w:rPr>
        <w:t>Amendement</w:t>
      </w:r>
      <w:r w:rsidRPr="00E82ECE">
        <w:rPr>
          <w:lang w:val="en-GB"/>
        </w:rPr>
        <w:tab/>
      </w:r>
      <w:r w:rsidRPr="00E82ECE">
        <w:rPr>
          <w:lang w:val="en-GB"/>
        </w:rPr>
        <w:tab/>
      </w:r>
      <w:r w:rsidRPr="00E82ECE">
        <w:rPr>
          <w:rStyle w:val="HideTWBExt"/>
          <w:b w:val="0"/>
          <w:lang w:val="en-GB"/>
        </w:rPr>
        <w:t>&lt;NumAm&gt;</w:t>
      </w:r>
      <w:r w:rsidRPr="00E82ECE">
        <w:rPr>
          <w:lang w:val="en-GB"/>
        </w:rPr>
        <w:t>265</w:t>
      </w:r>
      <w:r w:rsidRPr="00E82ECE">
        <w:rPr>
          <w:rStyle w:val="HideTWBExt"/>
          <w:b w:val="0"/>
          <w:lang w:val="en-GB"/>
        </w:rPr>
        <w:t>&lt;/NumAm&gt;</w:t>
      </w:r>
    </w:p>
    <w:p w14:paraId="7B367984" w14:textId="77777777" w:rsidR="00BF7ACA" w:rsidRPr="00E82ECE" w:rsidRDefault="00BF7ACA" w:rsidP="00BF7ACA">
      <w:pPr>
        <w:pStyle w:val="NormalBold"/>
        <w:rPr>
          <w:lang w:val="en-GB"/>
        </w:rPr>
      </w:pPr>
      <w:r w:rsidRPr="00E82ECE">
        <w:rPr>
          <w:rStyle w:val="HideTWBExt"/>
          <w:b w:val="0"/>
          <w:lang w:val="en-GB"/>
        </w:rPr>
        <w:t>&lt;RepeatBlock-By&gt;&lt;Members&gt;</w:t>
      </w:r>
      <w:r w:rsidRPr="00E82ECE">
        <w:rPr>
          <w:lang w:val="en-GB"/>
        </w:rPr>
        <w:t>Doru-Claudian Frunzulică, Eider Gardiazabal Rubial, Soraya Post</w:t>
      </w:r>
      <w:r w:rsidRPr="00E82ECE">
        <w:rPr>
          <w:rStyle w:val="HideTWBExt"/>
          <w:b w:val="0"/>
          <w:lang w:val="en-GB"/>
        </w:rPr>
        <w:t>&lt;/Members&gt;</w:t>
      </w:r>
    </w:p>
    <w:p w14:paraId="73E0AB8B" w14:textId="77777777" w:rsidR="00BF7ACA" w:rsidRPr="00BF7ACA" w:rsidRDefault="00BF7ACA" w:rsidP="00BF7ACA">
      <w:pPr>
        <w:rPr>
          <w:lang w:val="en-GB"/>
        </w:rPr>
      </w:pPr>
      <w:r w:rsidRPr="00BF7ACA">
        <w:rPr>
          <w:rStyle w:val="HideTWBExt"/>
          <w:lang w:val="en-GB"/>
        </w:rPr>
        <w:t>&lt;/RepeatBlock-By&gt;</w:t>
      </w:r>
    </w:p>
    <w:p w14:paraId="0D21F799"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6B24650C" w14:textId="77777777" w:rsidR="00BF7ACA" w:rsidRPr="00355860" w:rsidRDefault="00BF7ACA" w:rsidP="00BF7ACA">
      <w:pPr>
        <w:pStyle w:val="NormalBold"/>
      </w:pPr>
      <w:r>
        <w:rPr>
          <w:rStyle w:val="HideTWBExt"/>
          <w:b w:val="0"/>
        </w:rPr>
        <w:t>&lt;Article&gt;</w:t>
      </w:r>
      <w:r w:rsidRPr="00B915F8">
        <w:t>Article 8 – paragraphe 1 – point d</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788A8AAD" w14:textId="77777777" w:rsidTr="007924BE">
        <w:trPr>
          <w:jc w:val="center"/>
        </w:trPr>
        <w:tc>
          <w:tcPr>
            <w:tcW w:w="9752" w:type="dxa"/>
            <w:gridSpan w:val="2"/>
          </w:tcPr>
          <w:p w14:paraId="6E456D99" w14:textId="77777777" w:rsidR="00BF7ACA" w:rsidRPr="00355860" w:rsidRDefault="00BF7ACA" w:rsidP="007924BE">
            <w:pPr>
              <w:keepNext/>
            </w:pPr>
          </w:p>
        </w:tc>
      </w:tr>
      <w:tr w:rsidR="00BF7ACA" w:rsidRPr="00355860" w14:paraId="07A379E9" w14:textId="77777777" w:rsidTr="007924BE">
        <w:trPr>
          <w:jc w:val="center"/>
        </w:trPr>
        <w:tc>
          <w:tcPr>
            <w:tcW w:w="4876" w:type="dxa"/>
            <w:hideMark/>
          </w:tcPr>
          <w:p w14:paraId="75F7180A" w14:textId="77777777" w:rsidR="00BF7ACA" w:rsidRPr="00B915F8" w:rsidRDefault="00BF7ACA" w:rsidP="007924BE">
            <w:pPr>
              <w:pStyle w:val="ColumnHeading"/>
              <w:keepNext/>
            </w:pPr>
            <w:r w:rsidRPr="00B915F8">
              <w:t>Texte proposé par la Commission</w:t>
            </w:r>
          </w:p>
        </w:tc>
        <w:tc>
          <w:tcPr>
            <w:tcW w:w="4876" w:type="dxa"/>
            <w:hideMark/>
          </w:tcPr>
          <w:p w14:paraId="236227F4" w14:textId="77777777" w:rsidR="00BF7ACA" w:rsidRPr="00B915F8" w:rsidRDefault="00BF7ACA" w:rsidP="007924BE">
            <w:pPr>
              <w:pStyle w:val="ColumnHeading"/>
              <w:keepNext/>
            </w:pPr>
            <w:r w:rsidRPr="00B915F8">
              <w:t>Amendement</w:t>
            </w:r>
          </w:p>
        </w:tc>
      </w:tr>
      <w:tr w:rsidR="00BF7ACA" w:rsidRPr="00355860" w14:paraId="03D4F463" w14:textId="77777777" w:rsidTr="007924BE">
        <w:trPr>
          <w:jc w:val="center"/>
        </w:trPr>
        <w:tc>
          <w:tcPr>
            <w:tcW w:w="4876" w:type="dxa"/>
            <w:hideMark/>
          </w:tcPr>
          <w:p w14:paraId="258890F3" w14:textId="77777777" w:rsidR="00BF7ACA" w:rsidRPr="00DC274A" w:rsidRDefault="00BF7ACA" w:rsidP="007924BE">
            <w:pPr>
              <w:pStyle w:val="Normal6"/>
              <w:rPr>
                <w:b/>
                <w:i/>
              </w:rPr>
            </w:pPr>
            <w:r w:rsidRPr="00DC274A">
              <w:t>(d)</w:t>
            </w:r>
            <w:r w:rsidRPr="00DC274A">
              <w:rPr>
                <w:b/>
                <w:i/>
              </w:rPr>
              <w:tab/>
              <w:t>fournir des instruments financiers visant à</w:t>
            </w:r>
            <w:r w:rsidRPr="00DC274A">
              <w:t xml:space="preserve"> éliminer les obstacles à l’investissement privé, y compris des garanties de première perte pour des garanties de portefeuille en faveur de projets du secteur privé telles que des garanties de prêts aux petites et moyennes entreprises, des garanties sur des risques spécifiques liés à des projets d’infrastructures et d’autres capitaux</w:t>
            </w:r>
            <w:r w:rsidRPr="00DC274A">
              <w:rPr>
                <w:b/>
                <w:i/>
              </w:rPr>
              <w:t xml:space="preserve"> à risque</w:t>
            </w:r>
            <w:r w:rsidRPr="00DC274A">
              <w:t>;</w:t>
            </w:r>
          </w:p>
        </w:tc>
        <w:tc>
          <w:tcPr>
            <w:tcW w:w="4876" w:type="dxa"/>
            <w:hideMark/>
          </w:tcPr>
          <w:p w14:paraId="032D81B0" w14:textId="77777777" w:rsidR="00BF7ACA" w:rsidRPr="00DC274A" w:rsidRDefault="00BF7ACA" w:rsidP="007924BE">
            <w:pPr>
              <w:pStyle w:val="Normal6"/>
              <w:rPr>
                <w:b/>
                <w:i/>
                <w:szCs w:val="24"/>
              </w:rPr>
            </w:pPr>
            <w:r w:rsidRPr="00DC274A">
              <w:t>(d)</w:t>
            </w:r>
            <w:r w:rsidRPr="00DC274A">
              <w:rPr>
                <w:b/>
                <w:i/>
              </w:rPr>
              <w:tab/>
            </w:r>
            <w:r w:rsidRPr="00DC274A">
              <w:t>éliminer les obstacles à l’investissement privé</w:t>
            </w:r>
            <w:r w:rsidRPr="00DC274A">
              <w:rPr>
                <w:b/>
                <w:i/>
              </w:rPr>
              <w:t xml:space="preserve"> en fournissant des instruments financiers</w:t>
            </w:r>
            <w:r w:rsidRPr="00DC274A">
              <w:t>, y compris des garanties de première perte pour des garanties de portefeuille en faveur de projets du secteur privé</w:t>
            </w:r>
            <w:r w:rsidRPr="00DC274A">
              <w:rPr>
                <w:b/>
                <w:i/>
              </w:rPr>
              <w:t>,</w:t>
            </w:r>
            <w:r w:rsidRPr="00DC274A">
              <w:t xml:space="preserve"> telles que des garanties de prêts aux petites et moyennes entreprises, des garanties sur des risques spécifiques liés à des projets d’infrastructures et d’autres capitaux</w:t>
            </w:r>
            <w:r w:rsidRPr="00DC274A">
              <w:rPr>
                <w:b/>
                <w:i/>
              </w:rPr>
              <w:t xml:space="preserve"> à risque</w:t>
            </w:r>
            <w:r w:rsidRPr="00DC274A">
              <w:t>;</w:t>
            </w:r>
            <w:r w:rsidRPr="00DC274A">
              <w:rPr>
                <w:b/>
                <w:i/>
              </w:rPr>
              <w:t xml:space="preserve"> les instruments financiers en question peuvent être libellés dans les devises locales des pays partenaires;</w:t>
            </w:r>
          </w:p>
        </w:tc>
      </w:tr>
    </w:tbl>
    <w:p w14:paraId="1BB03D5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32D954C" w14:textId="77777777" w:rsidR="00BF7ACA" w:rsidRPr="00BF7ACA" w:rsidRDefault="00BF7ACA" w:rsidP="00BF7ACA">
      <w:r w:rsidRPr="00BF7ACA">
        <w:rPr>
          <w:rStyle w:val="HideTWBExt"/>
        </w:rPr>
        <w:t>&lt;/Amend&gt;</w:t>
      </w:r>
    </w:p>
    <w:p w14:paraId="6FC2D60C"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266</w:t>
      </w:r>
      <w:r w:rsidRPr="00BF7ACA">
        <w:rPr>
          <w:rStyle w:val="HideTWBExt"/>
          <w:b w:val="0"/>
        </w:rPr>
        <w:t>&lt;/NumAm&gt;</w:t>
      </w:r>
    </w:p>
    <w:p w14:paraId="209A8CE3"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641BA420" w14:textId="77777777" w:rsidR="00BF7ACA" w:rsidRPr="00355860" w:rsidRDefault="00BF7ACA" w:rsidP="00BF7ACA">
      <w:r>
        <w:rPr>
          <w:rStyle w:val="HideTWBExt"/>
        </w:rPr>
        <w:t>&lt;/RepeatBlock-By&gt;</w:t>
      </w:r>
    </w:p>
    <w:p w14:paraId="13743A4B"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6CECFA7A" w14:textId="77777777" w:rsidR="00BF7ACA" w:rsidRPr="00355860" w:rsidRDefault="00BF7ACA" w:rsidP="00BF7ACA">
      <w:pPr>
        <w:pStyle w:val="NormalBold"/>
      </w:pPr>
      <w:r>
        <w:rPr>
          <w:rStyle w:val="HideTWBExt"/>
          <w:b w:val="0"/>
        </w:rPr>
        <w:t>&lt;Article&gt;</w:t>
      </w:r>
      <w:r w:rsidRPr="00B915F8">
        <w:t>Article 8 – paragraphe 1 – point d</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19B3C528" w14:textId="77777777" w:rsidTr="007924BE">
        <w:trPr>
          <w:jc w:val="center"/>
        </w:trPr>
        <w:tc>
          <w:tcPr>
            <w:tcW w:w="9752" w:type="dxa"/>
            <w:gridSpan w:val="2"/>
          </w:tcPr>
          <w:p w14:paraId="5A52131A" w14:textId="77777777" w:rsidR="00BF7ACA" w:rsidRPr="00355860" w:rsidRDefault="00BF7ACA" w:rsidP="007924BE">
            <w:pPr>
              <w:keepNext/>
            </w:pPr>
          </w:p>
        </w:tc>
      </w:tr>
      <w:tr w:rsidR="00BF7ACA" w:rsidRPr="00355860" w14:paraId="79949690" w14:textId="77777777" w:rsidTr="007924BE">
        <w:trPr>
          <w:jc w:val="center"/>
        </w:trPr>
        <w:tc>
          <w:tcPr>
            <w:tcW w:w="4876" w:type="dxa"/>
            <w:hideMark/>
          </w:tcPr>
          <w:p w14:paraId="209F5AE9" w14:textId="77777777" w:rsidR="00BF7ACA" w:rsidRPr="00B915F8" w:rsidRDefault="00BF7ACA" w:rsidP="007924BE">
            <w:pPr>
              <w:pStyle w:val="ColumnHeading"/>
              <w:keepNext/>
            </w:pPr>
            <w:r w:rsidRPr="00B915F8">
              <w:t>Texte proposé par la Commission</w:t>
            </w:r>
          </w:p>
        </w:tc>
        <w:tc>
          <w:tcPr>
            <w:tcW w:w="4876" w:type="dxa"/>
            <w:hideMark/>
          </w:tcPr>
          <w:p w14:paraId="1C6F6C25" w14:textId="77777777" w:rsidR="00BF7ACA" w:rsidRPr="00B915F8" w:rsidRDefault="00BF7ACA" w:rsidP="007924BE">
            <w:pPr>
              <w:pStyle w:val="ColumnHeading"/>
              <w:keepNext/>
            </w:pPr>
            <w:r w:rsidRPr="00B915F8">
              <w:t>Amendement</w:t>
            </w:r>
          </w:p>
        </w:tc>
      </w:tr>
      <w:tr w:rsidR="00BF7ACA" w:rsidRPr="00355860" w14:paraId="4ACEB4E2" w14:textId="77777777" w:rsidTr="007924BE">
        <w:trPr>
          <w:jc w:val="center"/>
        </w:trPr>
        <w:tc>
          <w:tcPr>
            <w:tcW w:w="4876" w:type="dxa"/>
            <w:hideMark/>
          </w:tcPr>
          <w:p w14:paraId="54610B52" w14:textId="77777777" w:rsidR="00BF7ACA" w:rsidRPr="00DC274A" w:rsidRDefault="00BF7ACA" w:rsidP="007924BE">
            <w:pPr>
              <w:pStyle w:val="Normal6"/>
              <w:rPr>
                <w:b/>
                <w:i/>
              </w:rPr>
            </w:pPr>
            <w:r w:rsidRPr="00DC274A">
              <w:t>(d)</w:t>
            </w:r>
            <w:r w:rsidRPr="00DC274A">
              <w:rPr>
                <w:b/>
                <w:i/>
              </w:rPr>
              <w:tab/>
            </w:r>
            <w:r w:rsidRPr="00DC274A">
              <w:t>fournir des instruments financiers visant à éliminer les obstacles à l’investissement</w:t>
            </w:r>
            <w:r w:rsidRPr="00DC274A">
              <w:rPr>
                <w:b/>
                <w:i/>
              </w:rPr>
              <w:t xml:space="preserve"> privé</w:t>
            </w:r>
            <w:r w:rsidRPr="00DC274A">
              <w:t>, y compris des garanties de première perte pour des garanties de portefeuille en faveur de projets</w:t>
            </w:r>
            <w:r w:rsidRPr="00DC274A">
              <w:rPr>
                <w:b/>
                <w:i/>
              </w:rPr>
              <w:t xml:space="preserve"> du secteur privé</w:t>
            </w:r>
            <w:r w:rsidRPr="00DC274A">
              <w:t xml:space="preserve"> telles que des garanties de prêts aux petites et moyennes entreprises</w:t>
            </w:r>
            <w:r w:rsidRPr="00DC274A">
              <w:rPr>
                <w:b/>
                <w:i/>
              </w:rPr>
              <w:t>, des garanties sur des risques spécifiques liés à des projets d’infrastructures et d’autres capitaux à risque</w:t>
            </w:r>
            <w:r w:rsidRPr="00DC274A">
              <w:t>;</w:t>
            </w:r>
          </w:p>
        </w:tc>
        <w:tc>
          <w:tcPr>
            <w:tcW w:w="4876" w:type="dxa"/>
            <w:hideMark/>
          </w:tcPr>
          <w:p w14:paraId="29FC301E" w14:textId="77777777" w:rsidR="00BF7ACA" w:rsidRPr="00DC274A" w:rsidRDefault="00BF7ACA" w:rsidP="007924BE">
            <w:pPr>
              <w:pStyle w:val="Normal6"/>
              <w:rPr>
                <w:b/>
                <w:i/>
                <w:szCs w:val="24"/>
              </w:rPr>
            </w:pPr>
            <w:r w:rsidRPr="00DC274A">
              <w:t>(d)</w:t>
            </w:r>
            <w:r w:rsidRPr="00DC274A">
              <w:rPr>
                <w:b/>
                <w:i/>
              </w:rPr>
              <w:tab/>
            </w:r>
            <w:r w:rsidRPr="00DC274A">
              <w:t>fournir des instruments financiers</w:t>
            </w:r>
            <w:r w:rsidRPr="00DC274A">
              <w:rPr>
                <w:b/>
                <w:i/>
              </w:rPr>
              <w:t xml:space="preserve"> viables</w:t>
            </w:r>
            <w:r w:rsidRPr="00DC274A">
              <w:t xml:space="preserve"> visant à éliminer les obstacles à l’investissement</w:t>
            </w:r>
            <w:r w:rsidRPr="00DC274A">
              <w:rPr>
                <w:b/>
                <w:i/>
              </w:rPr>
              <w:t xml:space="preserve"> local</w:t>
            </w:r>
            <w:r w:rsidRPr="00DC274A">
              <w:t>, y compris des garanties de première perte pour des garanties de portefeuille en faveur de projets</w:t>
            </w:r>
            <w:r w:rsidRPr="00DC274A">
              <w:rPr>
                <w:b/>
                <w:i/>
              </w:rPr>
              <w:t xml:space="preserve"> locaux,</w:t>
            </w:r>
            <w:r w:rsidRPr="00DC274A">
              <w:t xml:space="preserve"> telles que des garanties de prêts aux petites et moyennes entreprises;</w:t>
            </w:r>
          </w:p>
        </w:tc>
      </w:tr>
    </w:tbl>
    <w:p w14:paraId="76FE0E9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B83153F" w14:textId="77777777" w:rsidR="00BF7ACA" w:rsidRPr="00BF7ACA" w:rsidRDefault="00BF7ACA" w:rsidP="00BF7ACA">
      <w:r w:rsidRPr="00BF7ACA">
        <w:rPr>
          <w:rStyle w:val="HideTWBExt"/>
        </w:rPr>
        <w:t>&lt;/Amend&gt;</w:t>
      </w:r>
    </w:p>
    <w:p w14:paraId="4BA3B63F"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267</w:t>
      </w:r>
      <w:r w:rsidRPr="00BF7ACA">
        <w:rPr>
          <w:rStyle w:val="HideTWBExt"/>
          <w:b w:val="0"/>
        </w:rPr>
        <w:t>&lt;/NumAm&gt;</w:t>
      </w:r>
    </w:p>
    <w:p w14:paraId="62936953"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4C3C7835" w14:textId="77777777" w:rsidR="00BF7ACA" w:rsidRPr="00355860" w:rsidRDefault="00BF7ACA" w:rsidP="00BF7ACA">
      <w:r>
        <w:rPr>
          <w:rStyle w:val="HideTWBExt"/>
        </w:rPr>
        <w:t>&lt;/RepeatBlock-By&gt;</w:t>
      </w:r>
    </w:p>
    <w:p w14:paraId="46DC680A"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109018DC" w14:textId="77777777" w:rsidR="00BF7ACA" w:rsidRPr="00355860" w:rsidRDefault="00BF7ACA" w:rsidP="00BF7ACA">
      <w:pPr>
        <w:pStyle w:val="NormalBold"/>
      </w:pPr>
      <w:r>
        <w:rPr>
          <w:rStyle w:val="HideTWBExt"/>
          <w:b w:val="0"/>
        </w:rPr>
        <w:t>&lt;Article&gt;</w:t>
      </w:r>
      <w:r w:rsidRPr="00B915F8">
        <w:t>Article 8 – paragraphe 1 – point d</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0C5A9874" w14:textId="77777777" w:rsidTr="007924BE">
        <w:trPr>
          <w:jc w:val="center"/>
        </w:trPr>
        <w:tc>
          <w:tcPr>
            <w:tcW w:w="9752" w:type="dxa"/>
            <w:gridSpan w:val="2"/>
          </w:tcPr>
          <w:p w14:paraId="03165F81" w14:textId="77777777" w:rsidR="00BF7ACA" w:rsidRPr="00355860" w:rsidRDefault="00BF7ACA" w:rsidP="007924BE">
            <w:pPr>
              <w:keepNext/>
            </w:pPr>
          </w:p>
        </w:tc>
      </w:tr>
      <w:tr w:rsidR="00BF7ACA" w:rsidRPr="00355860" w14:paraId="021FDC1A" w14:textId="77777777" w:rsidTr="007924BE">
        <w:trPr>
          <w:jc w:val="center"/>
        </w:trPr>
        <w:tc>
          <w:tcPr>
            <w:tcW w:w="4876" w:type="dxa"/>
            <w:hideMark/>
          </w:tcPr>
          <w:p w14:paraId="0A9763A7" w14:textId="77777777" w:rsidR="00BF7ACA" w:rsidRPr="00B915F8" w:rsidRDefault="00BF7ACA" w:rsidP="007924BE">
            <w:pPr>
              <w:pStyle w:val="ColumnHeading"/>
              <w:keepNext/>
            </w:pPr>
            <w:r w:rsidRPr="00B915F8">
              <w:t>Texte proposé par la Commission</w:t>
            </w:r>
          </w:p>
        </w:tc>
        <w:tc>
          <w:tcPr>
            <w:tcW w:w="4876" w:type="dxa"/>
            <w:hideMark/>
          </w:tcPr>
          <w:p w14:paraId="6CD6A90A" w14:textId="77777777" w:rsidR="00BF7ACA" w:rsidRPr="00B915F8" w:rsidRDefault="00BF7ACA" w:rsidP="007924BE">
            <w:pPr>
              <w:pStyle w:val="ColumnHeading"/>
              <w:keepNext/>
            </w:pPr>
            <w:r w:rsidRPr="00B915F8">
              <w:t>Amendement</w:t>
            </w:r>
          </w:p>
        </w:tc>
      </w:tr>
      <w:tr w:rsidR="00BF7ACA" w:rsidRPr="00355860" w14:paraId="5B612843" w14:textId="77777777" w:rsidTr="007924BE">
        <w:trPr>
          <w:jc w:val="center"/>
        </w:trPr>
        <w:tc>
          <w:tcPr>
            <w:tcW w:w="4876" w:type="dxa"/>
            <w:hideMark/>
          </w:tcPr>
          <w:p w14:paraId="1B4B7A95" w14:textId="77777777" w:rsidR="00BF7ACA" w:rsidRPr="00DC274A" w:rsidRDefault="00BF7ACA" w:rsidP="007924BE">
            <w:pPr>
              <w:pStyle w:val="Normal6"/>
              <w:rPr>
                <w:b/>
                <w:i/>
              </w:rPr>
            </w:pPr>
            <w:r w:rsidRPr="00DC274A">
              <w:t>(d)</w:t>
            </w:r>
            <w:r w:rsidRPr="00DC274A">
              <w:rPr>
                <w:b/>
                <w:i/>
              </w:rPr>
              <w:tab/>
            </w:r>
            <w:r w:rsidRPr="00DC274A">
              <w:t>fournir des instruments financiers visant à éliminer les obstacles à l’investissement privé, y compris des garanties de première perte pour des garanties de portefeuille en faveur de projets du secteur privé telles que des garanties de prêts aux petites et moyennes entreprises, des garanties sur des risques spécifiques liés à des projets d’infrastructures et d’autres capitaux à risque;</w:t>
            </w:r>
          </w:p>
        </w:tc>
        <w:tc>
          <w:tcPr>
            <w:tcW w:w="4876" w:type="dxa"/>
            <w:hideMark/>
          </w:tcPr>
          <w:p w14:paraId="39AA7542" w14:textId="77777777" w:rsidR="00BF7ACA" w:rsidRPr="00DC274A" w:rsidRDefault="00BF7ACA" w:rsidP="007924BE">
            <w:pPr>
              <w:pStyle w:val="Normal6"/>
              <w:rPr>
                <w:b/>
                <w:i/>
                <w:szCs w:val="24"/>
              </w:rPr>
            </w:pPr>
            <w:r w:rsidRPr="00DC274A">
              <w:t>(d)</w:t>
            </w:r>
            <w:r w:rsidRPr="00DC274A">
              <w:rPr>
                <w:b/>
                <w:i/>
              </w:rPr>
              <w:tab/>
            </w:r>
            <w:r w:rsidRPr="00DC274A">
              <w:t>fournir des instruments financiers visant à éliminer les obstacles à l’investissement privé</w:t>
            </w:r>
            <w:r w:rsidRPr="00DC274A">
              <w:rPr>
                <w:b/>
                <w:i/>
              </w:rPr>
              <w:t xml:space="preserve"> qui a un impact positif sur le développement</w:t>
            </w:r>
            <w:r w:rsidRPr="00DC274A">
              <w:t>, y compris des garanties de première perte pour des garanties de portefeuille en faveur de projets du secteur privé telles que des garanties de prêts aux petites et moyennes entreprises, des garanties sur des risques spécifiques liés à des projets d’infrastructures et d’autres capitaux à risque;</w:t>
            </w:r>
          </w:p>
        </w:tc>
      </w:tr>
    </w:tbl>
    <w:p w14:paraId="39527087"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AB3AAE2" w14:textId="77777777" w:rsidR="00BF7ACA" w:rsidRPr="00BF7ACA" w:rsidRDefault="00BF7ACA" w:rsidP="00BF7ACA">
      <w:r w:rsidRPr="00BF7ACA">
        <w:rPr>
          <w:rStyle w:val="HideTWBExt"/>
        </w:rPr>
        <w:t>&lt;/Amend&gt;</w:t>
      </w:r>
    </w:p>
    <w:p w14:paraId="3870132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268</w:t>
      </w:r>
      <w:r w:rsidRPr="00BF7ACA">
        <w:rPr>
          <w:rStyle w:val="HideTWBExt"/>
          <w:b w:val="0"/>
        </w:rPr>
        <w:t>&lt;/NumAm&gt;</w:t>
      </w:r>
    </w:p>
    <w:p w14:paraId="3E9BC8A9" w14:textId="77777777" w:rsidR="00BF7ACA" w:rsidRPr="00BF7ACA" w:rsidRDefault="00BF7ACA" w:rsidP="00BF7ACA">
      <w:pPr>
        <w:pStyle w:val="NormalBold"/>
      </w:pPr>
      <w:r w:rsidRPr="00BF7ACA">
        <w:rPr>
          <w:rStyle w:val="HideTWBExt"/>
          <w:b w:val="0"/>
        </w:rPr>
        <w:t>&lt;RepeatBlock-By&gt;&lt;Members&gt;</w:t>
      </w:r>
      <w:r w:rsidRPr="00BF7ACA">
        <w:t>Eduard Kukan</w:t>
      </w:r>
      <w:r w:rsidRPr="00BF7ACA">
        <w:rPr>
          <w:rStyle w:val="HideTWBExt"/>
          <w:b w:val="0"/>
        </w:rPr>
        <w:t>&lt;/Members&gt;</w:t>
      </w:r>
    </w:p>
    <w:p w14:paraId="796DE125" w14:textId="77777777" w:rsidR="00BF7ACA" w:rsidRPr="00355860" w:rsidRDefault="00BF7ACA" w:rsidP="00BF7ACA">
      <w:r>
        <w:rPr>
          <w:rStyle w:val="HideTWBExt"/>
        </w:rPr>
        <w:t>&lt;/RepeatBlock-By&gt;</w:t>
      </w:r>
    </w:p>
    <w:p w14:paraId="07633BE9"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04FE09AD" w14:textId="77777777" w:rsidR="00BF7ACA" w:rsidRPr="00355860" w:rsidRDefault="00BF7ACA" w:rsidP="00BF7ACA">
      <w:pPr>
        <w:pStyle w:val="NormalBold"/>
      </w:pPr>
      <w:r>
        <w:rPr>
          <w:rStyle w:val="HideTWBExt"/>
          <w:b w:val="0"/>
        </w:rPr>
        <w:t>&lt;Article&gt;</w:t>
      </w:r>
      <w:r w:rsidRPr="00B915F8">
        <w:t>Article 8 – paragraphe 1 – point d</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6576B63E" w14:textId="77777777" w:rsidTr="007924BE">
        <w:trPr>
          <w:jc w:val="center"/>
        </w:trPr>
        <w:tc>
          <w:tcPr>
            <w:tcW w:w="9752" w:type="dxa"/>
            <w:gridSpan w:val="2"/>
          </w:tcPr>
          <w:p w14:paraId="20C5F5E3" w14:textId="77777777" w:rsidR="00BF7ACA" w:rsidRPr="00355860" w:rsidRDefault="00BF7ACA" w:rsidP="007924BE">
            <w:pPr>
              <w:keepNext/>
            </w:pPr>
          </w:p>
        </w:tc>
      </w:tr>
      <w:tr w:rsidR="00BF7ACA" w:rsidRPr="00355860" w14:paraId="55E2D902" w14:textId="77777777" w:rsidTr="007924BE">
        <w:trPr>
          <w:jc w:val="center"/>
        </w:trPr>
        <w:tc>
          <w:tcPr>
            <w:tcW w:w="4876" w:type="dxa"/>
            <w:hideMark/>
          </w:tcPr>
          <w:p w14:paraId="163A4BE2" w14:textId="77777777" w:rsidR="00BF7ACA" w:rsidRPr="00B915F8" w:rsidRDefault="00BF7ACA" w:rsidP="007924BE">
            <w:pPr>
              <w:pStyle w:val="ColumnHeading"/>
              <w:keepNext/>
            </w:pPr>
            <w:r w:rsidRPr="00B915F8">
              <w:t>Texte proposé par la Commission</w:t>
            </w:r>
          </w:p>
        </w:tc>
        <w:tc>
          <w:tcPr>
            <w:tcW w:w="4876" w:type="dxa"/>
            <w:hideMark/>
          </w:tcPr>
          <w:p w14:paraId="557DCB08" w14:textId="77777777" w:rsidR="00BF7ACA" w:rsidRPr="00B915F8" w:rsidRDefault="00BF7ACA" w:rsidP="007924BE">
            <w:pPr>
              <w:pStyle w:val="ColumnHeading"/>
              <w:keepNext/>
            </w:pPr>
            <w:r w:rsidRPr="00B915F8">
              <w:t>Amendement</w:t>
            </w:r>
          </w:p>
        </w:tc>
      </w:tr>
      <w:tr w:rsidR="00BF7ACA" w:rsidRPr="00355860" w14:paraId="5CF8E25E" w14:textId="77777777" w:rsidTr="007924BE">
        <w:trPr>
          <w:jc w:val="center"/>
        </w:trPr>
        <w:tc>
          <w:tcPr>
            <w:tcW w:w="4876" w:type="dxa"/>
            <w:hideMark/>
          </w:tcPr>
          <w:p w14:paraId="7AABF92A" w14:textId="77777777" w:rsidR="00BF7ACA" w:rsidRPr="00DC274A" w:rsidRDefault="00BF7ACA" w:rsidP="007924BE">
            <w:pPr>
              <w:pStyle w:val="Normal6"/>
              <w:rPr>
                <w:b/>
                <w:i/>
              </w:rPr>
            </w:pPr>
            <w:r w:rsidRPr="00DC274A">
              <w:t>(d)</w:t>
            </w:r>
            <w:r w:rsidRPr="00DC274A">
              <w:rPr>
                <w:b/>
                <w:i/>
              </w:rPr>
              <w:tab/>
            </w:r>
            <w:r w:rsidRPr="00DC274A">
              <w:t>fournir des instruments financiers visant à éliminer les obstacles à l’investissement privé, y compris des garanties de première perte pour des garanties de portefeuille en faveur de projets du secteur privé telles que des garanties de prêts aux petites et moyennes entreprises, des garanties sur des risques spécifiques liés à des projets d’infrastructures et d’autres capitaux à risque;</w:t>
            </w:r>
          </w:p>
        </w:tc>
        <w:tc>
          <w:tcPr>
            <w:tcW w:w="4876" w:type="dxa"/>
            <w:hideMark/>
          </w:tcPr>
          <w:p w14:paraId="3282BF7D" w14:textId="77777777" w:rsidR="00BF7ACA" w:rsidRPr="00DC274A" w:rsidRDefault="00BF7ACA" w:rsidP="007924BE">
            <w:pPr>
              <w:pStyle w:val="Normal6"/>
              <w:rPr>
                <w:b/>
                <w:i/>
                <w:szCs w:val="24"/>
              </w:rPr>
            </w:pPr>
            <w:r w:rsidRPr="00DC274A">
              <w:t>(d)</w:t>
            </w:r>
            <w:r w:rsidRPr="00DC274A">
              <w:rPr>
                <w:b/>
                <w:i/>
              </w:rPr>
              <w:tab/>
            </w:r>
            <w:r w:rsidRPr="00DC274A">
              <w:t>fournir des instruments financiers</w:t>
            </w:r>
            <w:r w:rsidRPr="00DC274A">
              <w:rPr>
                <w:b/>
                <w:i/>
              </w:rPr>
              <w:t>, y compris en devises locales,</w:t>
            </w:r>
            <w:r w:rsidRPr="00DC274A">
              <w:t xml:space="preserve"> visant à éliminer les obstacles à l’investissement privé, y compris des garanties de première perte pour des garanties de portefeuille en faveur de projets du secteur privé telles que des garanties de prêts aux petites et moyennes entreprises, des garanties sur des risques spécifiques liés à des projets d’infrastructures et d’autres capitaux à risque;</w:t>
            </w:r>
          </w:p>
        </w:tc>
      </w:tr>
    </w:tbl>
    <w:p w14:paraId="531126AF"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405EF0D" w14:textId="77777777" w:rsidR="00BF7ACA" w:rsidRPr="00BF7ACA" w:rsidRDefault="00BF7ACA" w:rsidP="00BF7ACA">
      <w:r w:rsidRPr="00BF7ACA">
        <w:rPr>
          <w:rStyle w:val="HideTWBExt"/>
        </w:rPr>
        <w:t>&lt;/Amend&gt;</w:t>
      </w:r>
    </w:p>
    <w:p w14:paraId="4F2424E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269</w:t>
      </w:r>
      <w:r w:rsidRPr="00BF7ACA">
        <w:rPr>
          <w:rStyle w:val="HideTWBExt"/>
          <w:b w:val="0"/>
        </w:rPr>
        <w:t>&lt;/NumAm&gt;</w:t>
      </w:r>
    </w:p>
    <w:p w14:paraId="38A78788"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0E07444D" w14:textId="77777777" w:rsidR="00BF7ACA" w:rsidRPr="00355860" w:rsidRDefault="00BF7ACA" w:rsidP="00BF7ACA">
      <w:r>
        <w:rPr>
          <w:rStyle w:val="HideTWBExt"/>
        </w:rPr>
        <w:t>&lt;/RepeatBlock-By&gt;</w:t>
      </w:r>
    </w:p>
    <w:p w14:paraId="47D3F3EC"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2941762F" w14:textId="77777777" w:rsidR="00BF7ACA" w:rsidRPr="00355860" w:rsidRDefault="00BF7ACA" w:rsidP="00BF7ACA">
      <w:pPr>
        <w:pStyle w:val="NormalBold"/>
      </w:pPr>
      <w:r>
        <w:rPr>
          <w:rStyle w:val="HideTWBExt"/>
          <w:b w:val="0"/>
        </w:rPr>
        <w:t>&lt;Article&gt;</w:t>
      </w:r>
      <w:r w:rsidRPr="00B915F8">
        <w:t>Article 8 – paragraphe 1 – point 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2492218A" w14:textId="77777777" w:rsidTr="007924BE">
        <w:trPr>
          <w:jc w:val="center"/>
        </w:trPr>
        <w:tc>
          <w:tcPr>
            <w:tcW w:w="9752" w:type="dxa"/>
            <w:gridSpan w:val="2"/>
          </w:tcPr>
          <w:p w14:paraId="4F5FAD8F" w14:textId="77777777" w:rsidR="00BF7ACA" w:rsidRPr="00355860" w:rsidRDefault="00BF7ACA" w:rsidP="007924BE">
            <w:pPr>
              <w:keepNext/>
            </w:pPr>
          </w:p>
        </w:tc>
      </w:tr>
      <w:tr w:rsidR="00BF7ACA" w:rsidRPr="00355860" w14:paraId="561ED192" w14:textId="77777777" w:rsidTr="007924BE">
        <w:trPr>
          <w:jc w:val="center"/>
        </w:trPr>
        <w:tc>
          <w:tcPr>
            <w:tcW w:w="4876" w:type="dxa"/>
            <w:hideMark/>
          </w:tcPr>
          <w:p w14:paraId="151D75C4" w14:textId="77777777" w:rsidR="00BF7ACA" w:rsidRPr="00B915F8" w:rsidRDefault="00BF7ACA" w:rsidP="007924BE">
            <w:pPr>
              <w:pStyle w:val="ColumnHeading"/>
              <w:keepNext/>
            </w:pPr>
            <w:r w:rsidRPr="00B915F8">
              <w:t>Texte proposé par la Commission</w:t>
            </w:r>
          </w:p>
        </w:tc>
        <w:tc>
          <w:tcPr>
            <w:tcW w:w="4876" w:type="dxa"/>
            <w:hideMark/>
          </w:tcPr>
          <w:p w14:paraId="263B9062" w14:textId="77777777" w:rsidR="00BF7ACA" w:rsidRPr="00B915F8" w:rsidRDefault="00BF7ACA" w:rsidP="007924BE">
            <w:pPr>
              <w:pStyle w:val="ColumnHeading"/>
              <w:keepNext/>
            </w:pPr>
            <w:r w:rsidRPr="00B915F8">
              <w:t>Amendement</w:t>
            </w:r>
          </w:p>
        </w:tc>
      </w:tr>
      <w:tr w:rsidR="00BF7ACA" w:rsidRPr="00355860" w14:paraId="487DDD84" w14:textId="77777777" w:rsidTr="007924BE">
        <w:trPr>
          <w:jc w:val="center"/>
        </w:trPr>
        <w:tc>
          <w:tcPr>
            <w:tcW w:w="4876" w:type="dxa"/>
            <w:hideMark/>
          </w:tcPr>
          <w:p w14:paraId="775AC34C" w14:textId="77777777" w:rsidR="00BF7ACA" w:rsidRPr="00DC274A" w:rsidRDefault="00BF7ACA" w:rsidP="007924BE">
            <w:pPr>
              <w:pStyle w:val="Normal6"/>
              <w:rPr>
                <w:b/>
                <w:i/>
              </w:rPr>
            </w:pPr>
            <w:r w:rsidRPr="00DC274A">
              <w:rPr>
                <w:b/>
                <w:i/>
              </w:rPr>
              <w:t>(e)</w:t>
            </w:r>
            <w:r w:rsidRPr="00DC274A">
              <w:rPr>
                <w:b/>
                <w:i/>
              </w:rPr>
              <w:tab/>
              <w:t>maximiser l’effet de levier pour le secteur privé en s’attaquant aux obstacles à l’investissement.</w:t>
            </w:r>
          </w:p>
        </w:tc>
        <w:tc>
          <w:tcPr>
            <w:tcW w:w="4876" w:type="dxa"/>
            <w:hideMark/>
          </w:tcPr>
          <w:p w14:paraId="70034513" w14:textId="77777777" w:rsidR="00BF7ACA" w:rsidRPr="00DC274A" w:rsidRDefault="00BF7ACA" w:rsidP="007924BE">
            <w:pPr>
              <w:pStyle w:val="Normal6"/>
              <w:rPr>
                <w:b/>
                <w:i/>
                <w:szCs w:val="24"/>
              </w:rPr>
            </w:pPr>
            <w:r w:rsidRPr="00DC274A">
              <w:rPr>
                <w:b/>
                <w:i/>
              </w:rPr>
              <w:t>supprimé</w:t>
            </w:r>
          </w:p>
        </w:tc>
      </w:tr>
    </w:tbl>
    <w:p w14:paraId="1FA7F549" w14:textId="77777777" w:rsidR="00BF7ACA" w:rsidRPr="00355860" w:rsidRDefault="00BF7ACA" w:rsidP="00BF7ACA">
      <w:pPr>
        <w:pStyle w:val="Olang"/>
        <w:rPr>
          <w:noProof w:val="0"/>
          <w:szCs w:val="24"/>
        </w:rPr>
      </w:pPr>
      <w:r w:rsidRPr="00B915F8">
        <w:rPr>
          <w:noProof w:val="0"/>
        </w:rPr>
        <w:t xml:space="preserve">Or. </w:t>
      </w:r>
      <w:r w:rsidRPr="00944EA9">
        <w:rPr>
          <w:rStyle w:val="HideTWBExt"/>
          <w:noProof w:val="0"/>
        </w:rPr>
        <w:t>&lt;Original&gt;</w:t>
      </w:r>
      <w:r w:rsidRPr="00944EA9">
        <w:rPr>
          <w:rStyle w:val="HideTWBInt"/>
          <w:noProof w:val="0"/>
        </w:rPr>
        <w:t>{EN}</w:t>
      </w:r>
      <w:r w:rsidRPr="00B915F8">
        <w:rPr>
          <w:noProof w:val="0"/>
        </w:rPr>
        <w:t>en</w:t>
      </w:r>
      <w:r w:rsidRPr="00944EA9">
        <w:rPr>
          <w:rStyle w:val="HideTWBExt"/>
          <w:noProof w:val="0"/>
        </w:rPr>
        <w:t>&lt;/Original&gt;</w:t>
      </w:r>
    </w:p>
    <w:p w14:paraId="0979AD51" w14:textId="77777777" w:rsidR="00BF7ACA" w:rsidRPr="00355860" w:rsidRDefault="00BF7ACA" w:rsidP="00BF7ACA">
      <w:r>
        <w:rPr>
          <w:rStyle w:val="HideTWBExt"/>
        </w:rPr>
        <w:t>&lt;/Amend&gt;</w:t>
      </w:r>
    </w:p>
    <w:p w14:paraId="432ABD2B" w14:textId="77777777" w:rsidR="00BF7ACA" w:rsidRPr="00355860" w:rsidRDefault="00BF7ACA" w:rsidP="00BF7ACA">
      <w:pPr>
        <w:pStyle w:val="AMNumberTabs"/>
        <w:keepNext/>
      </w:pPr>
      <w:r>
        <w:rPr>
          <w:rStyle w:val="HideTWBExt"/>
          <w:b w:val="0"/>
        </w:rPr>
        <w:t>&lt;Amend&gt;</w:t>
      </w:r>
      <w:r w:rsidRPr="00B915F8">
        <w:t>Amendement</w:t>
      </w:r>
      <w:r>
        <w:tab/>
      </w:r>
      <w:r>
        <w:tab/>
      </w:r>
      <w:r>
        <w:rPr>
          <w:rStyle w:val="HideTWBExt"/>
          <w:b w:val="0"/>
        </w:rPr>
        <w:t>&lt;NumAm&gt;</w:t>
      </w:r>
      <w:r w:rsidRPr="00B915F8">
        <w:t>270</w:t>
      </w:r>
      <w:r>
        <w:rPr>
          <w:rStyle w:val="HideTWBExt"/>
          <w:b w:val="0"/>
        </w:rPr>
        <w:t>&lt;/NumAm&gt;</w:t>
      </w:r>
    </w:p>
    <w:p w14:paraId="59A7E33A" w14:textId="77777777" w:rsidR="00BF7ACA" w:rsidRPr="00355860" w:rsidRDefault="00BF7ACA" w:rsidP="00BF7ACA">
      <w:pPr>
        <w:pStyle w:val="NormalBold"/>
      </w:pPr>
      <w:r>
        <w:rPr>
          <w:rStyle w:val="HideTWBExt"/>
          <w:b w:val="0"/>
        </w:rPr>
        <w:t>&lt;RepeatBlock-By&gt;&lt;Members&gt;</w:t>
      </w:r>
      <w:r w:rsidRPr="00B915F8">
        <w:t>Paul Rübig, Maurice Ponga, Eduard Kukan, Bogdan Brunon Wenta</w:t>
      </w:r>
      <w:r>
        <w:rPr>
          <w:rStyle w:val="HideTWBExt"/>
          <w:b w:val="0"/>
        </w:rPr>
        <w:t>&lt;/Members&gt;</w:t>
      </w:r>
    </w:p>
    <w:p w14:paraId="18C50249" w14:textId="77777777" w:rsidR="00BF7ACA" w:rsidRPr="00355860" w:rsidRDefault="00BF7ACA" w:rsidP="00BF7ACA">
      <w:r>
        <w:rPr>
          <w:rStyle w:val="HideTWBExt"/>
        </w:rPr>
        <w:t>&lt;/RepeatBlock-By&gt;</w:t>
      </w:r>
    </w:p>
    <w:p w14:paraId="58F578AB"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C232344" w14:textId="77777777" w:rsidR="00BF7ACA" w:rsidRPr="00355860" w:rsidRDefault="00BF7ACA" w:rsidP="00BF7ACA">
      <w:pPr>
        <w:pStyle w:val="NormalBold"/>
      </w:pPr>
      <w:r>
        <w:rPr>
          <w:rStyle w:val="HideTWBExt"/>
          <w:b w:val="0"/>
        </w:rPr>
        <w:t>&lt;Article&gt;</w:t>
      </w:r>
      <w:r w:rsidRPr="00B915F8">
        <w:t>Article 8 – paragraphe 1 – point 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47B3D1C4" w14:textId="77777777" w:rsidTr="007924BE">
        <w:trPr>
          <w:jc w:val="center"/>
        </w:trPr>
        <w:tc>
          <w:tcPr>
            <w:tcW w:w="9752" w:type="dxa"/>
            <w:gridSpan w:val="2"/>
          </w:tcPr>
          <w:p w14:paraId="4B0CDE2A" w14:textId="77777777" w:rsidR="00BF7ACA" w:rsidRPr="00355860" w:rsidRDefault="00BF7ACA" w:rsidP="007924BE">
            <w:pPr>
              <w:keepNext/>
            </w:pPr>
          </w:p>
        </w:tc>
      </w:tr>
      <w:tr w:rsidR="00BF7ACA" w:rsidRPr="00355860" w14:paraId="6A7E9D22" w14:textId="77777777" w:rsidTr="007924BE">
        <w:trPr>
          <w:jc w:val="center"/>
        </w:trPr>
        <w:tc>
          <w:tcPr>
            <w:tcW w:w="4876" w:type="dxa"/>
            <w:hideMark/>
          </w:tcPr>
          <w:p w14:paraId="5883243E" w14:textId="77777777" w:rsidR="00BF7ACA" w:rsidRPr="00B915F8" w:rsidRDefault="00BF7ACA" w:rsidP="007924BE">
            <w:pPr>
              <w:pStyle w:val="ColumnHeading"/>
              <w:keepNext/>
            </w:pPr>
            <w:r w:rsidRPr="00B915F8">
              <w:t>Texte proposé par la Commission</w:t>
            </w:r>
          </w:p>
        </w:tc>
        <w:tc>
          <w:tcPr>
            <w:tcW w:w="4876" w:type="dxa"/>
            <w:hideMark/>
          </w:tcPr>
          <w:p w14:paraId="3A1248C6" w14:textId="77777777" w:rsidR="00BF7ACA" w:rsidRPr="00B915F8" w:rsidRDefault="00BF7ACA" w:rsidP="007924BE">
            <w:pPr>
              <w:pStyle w:val="ColumnHeading"/>
              <w:keepNext/>
            </w:pPr>
            <w:r w:rsidRPr="00B915F8">
              <w:t>Amendement</w:t>
            </w:r>
          </w:p>
        </w:tc>
      </w:tr>
      <w:tr w:rsidR="00BF7ACA" w:rsidRPr="00355860" w14:paraId="7B99FB6E" w14:textId="77777777" w:rsidTr="007924BE">
        <w:trPr>
          <w:jc w:val="center"/>
        </w:trPr>
        <w:tc>
          <w:tcPr>
            <w:tcW w:w="4876" w:type="dxa"/>
            <w:hideMark/>
          </w:tcPr>
          <w:p w14:paraId="165F0CF4" w14:textId="77777777" w:rsidR="00BF7ACA" w:rsidRPr="00DC274A" w:rsidRDefault="00BF7ACA" w:rsidP="007924BE">
            <w:pPr>
              <w:pStyle w:val="Normal6"/>
              <w:rPr>
                <w:b/>
                <w:i/>
              </w:rPr>
            </w:pPr>
            <w:r w:rsidRPr="00DC274A">
              <w:t>(e)</w:t>
            </w:r>
            <w:r w:rsidRPr="00DC274A">
              <w:rPr>
                <w:b/>
                <w:i/>
              </w:rPr>
              <w:tab/>
            </w:r>
            <w:r w:rsidRPr="00DC274A">
              <w:t>maximiser l’effet de levier pour le secteur privé en s’attaquant aux obstacles à l’investissement.</w:t>
            </w:r>
          </w:p>
        </w:tc>
        <w:tc>
          <w:tcPr>
            <w:tcW w:w="4876" w:type="dxa"/>
            <w:hideMark/>
          </w:tcPr>
          <w:p w14:paraId="578099D2" w14:textId="77777777" w:rsidR="00BF7ACA" w:rsidRPr="00DC274A" w:rsidRDefault="00BF7ACA" w:rsidP="007924BE">
            <w:pPr>
              <w:pStyle w:val="Normal6"/>
              <w:rPr>
                <w:b/>
                <w:i/>
                <w:szCs w:val="24"/>
              </w:rPr>
            </w:pPr>
            <w:r w:rsidRPr="00DC274A">
              <w:t>(e)</w:t>
            </w:r>
            <w:r w:rsidRPr="00DC274A">
              <w:rPr>
                <w:b/>
                <w:i/>
              </w:rPr>
              <w:tab/>
            </w:r>
            <w:r w:rsidRPr="00DC274A">
              <w:t>maximiser l’effet de levier pour le secteur privé</w:t>
            </w:r>
            <w:r w:rsidRPr="00DC274A">
              <w:rPr>
                <w:b/>
                <w:i/>
              </w:rPr>
              <w:t>,</w:t>
            </w:r>
            <w:r w:rsidRPr="00DC274A">
              <w:t xml:space="preserve"> en</w:t>
            </w:r>
            <w:r w:rsidRPr="00DC274A">
              <w:rPr>
                <w:b/>
                <w:i/>
              </w:rPr>
              <w:t xml:space="preserve"> mettant particulièrement l’accent sur les microentreprises et les petites et moyennes entreprises, en</w:t>
            </w:r>
            <w:r w:rsidRPr="00DC274A">
              <w:t xml:space="preserve"> s’attaquant aux obstacles à l’investissement.</w:t>
            </w:r>
          </w:p>
        </w:tc>
      </w:tr>
    </w:tbl>
    <w:p w14:paraId="5D4FAB9D"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4777B3A" w14:textId="77777777" w:rsidR="00BF7ACA" w:rsidRPr="00BF7ACA" w:rsidRDefault="00BF7ACA" w:rsidP="00BF7ACA">
      <w:r w:rsidRPr="00BF7ACA">
        <w:rPr>
          <w:rStyle w:val="HideTWBExt"/>
        </w:rPr>
        <w:t>&lt;/Amend&gt;</w:t>
      </w:r>
    </w:p>
    <w:p w14:paraId="3C57F68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271</w:t>
      </w:r>
      <w:r w:rsidRPr="00BF7ACA">
        <w:rPr>
          <w:rStyle w:val="HideTWBExt"/>
          <w:b w:val="0"/>
        </w:rPr>
        <w:t>&lt;/NumAm&gt;</w:t>
      </w:r>
    </w:p>
    <w:p w14:paraId="1598927A" w14:textId="77777777"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14:paraId="1937FD1B" w14:textId="77777777" w:rsidR="00BF7ACA" w:rsidRPr="00355860" w:rsidRDefault="00BF7ACA" w:rsidP="00BF7ACA">
      <w:r>
        <w:rPr>
          <w:rStyle w:val="HideTWBExt"/>
        </w:rPr>
        <w:t>&lt;/RepeatBlock-By&gt;</w:t>
      </w:r>
    </w:p>
    <w:p w14:paraId="13F5C3C9"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664BABA" w14:textId="77777777" w:rsidR="00BF7ACA" w:rsidRPr="00355860" w:rsidRDefault="00BF7ACA" w:rsidP="00BF7ACA">
      <w:pPr>
        <w:pStyle w:val="NormalBold"/>
      </w:pPr>
      <w:r>
        <w:rPr>
          <w:rStyle w:val="HideTWBExt"/>
          <w:b w:val="0"/>
        </w:rPr>
        <w:t>&lt;Article&gt;</w:t>
      </w:r>
      <w:r w:rsidRPr="00B915F8">
        <w:t>Article 8 – paragraphe 1 – point e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00048772" w14:textId="77777777" w:rsidTr="007924BE">
        <w:trPr>
          <w:jc w:val="center"/>
        </w:trPr>
        <w:tc>
          <w:tcPr>
            <w:tcW w:w="9752" w:type="dxa"/>
            <w:gridSpan w:val="2"/>
          </w:tcPr>
          <w:p w14:paraId="715C6110" w14:textId="77777777" w:rsidR="00BF7ACA" w:rsidRPr="00355860" w:rsidRDefault="00BF7ACA" w:rsidP="007924BE">
            <w:pPr>
              <w:keepNext/>
            </w:pPr>
          </w:p>
        </w:tc>
      </w:tr>
      <w:tr w:rsidR="00BF7ACA" w:rsidRPr="00355860" w14:paraId="327EB7D0" w14:textId="77777777" w:rsidTr="007924BE">
        <w:trPr>
          <w:jc w:val="center"/>
        </w:trPr>
        <w:tc>
          <w:tcPr>
            <w:tcW w:w="4876" w:type="dxa"/>
            <w:hideMark/>
          </w:tcPr>
          <w:p w14:paraId="48CCD1CB" w14:textId="77777777" w:rsidR="00BF7ACA" w:rsidRPr="00B915F8" w:rsidRDefault="00BF7ACA" w:rsidP="007924BE">
            <w:pPr>
              <w:pStyle w:val="ColumnHeading"/>
              <w:keepNext/>
            </w:pPr>
            <w:r w:rsidRPr="00B915F8">
              <w:t>Texte proposé par la Commission</w:t>
            </w:r>
          </w:p>
        </w:tc>
        <w:tc>
          <w:tcPr>
            <w:tcW w:w="4876" w:type="dxa"/>
            <w:hideMark/>
          </w:tcPr>
          <w:p w14:paraId="7499271F" w14:textId="77777777" w:rsidR="00BF7ACA" w:rsidRPr="00B915F8" w:rsidRDefault="00BF7ACA" w:rsidP="007924BE">
            <w:pPr>
              <w:pStyle w:val="ColumnHeading"/>
              <w:keepNext/>
            </w:pPr>
            <w:r w:rsidRPr="00B915F8">
              <w:t>Amendement</w:t>
            </w:r>
          </w:p>
        </w:tc>
      </w:tr>
      <w:tr w:rsidR="00BF7ACA" w:rsidRPr="00355860" w14:paraId="6B1306FE" w14:textId="77777777" w:rsidTr="007924BE">
        <w:trPr>
          <w:jc w:val="center"/>
        </w:trPr>
        <w:tc>
          <w:tcPr>
            <w:tcW w:w="4876" w:type="dxa"/>
          </w:tcPr>
          <w:p w14:paraId="425E819A" w14:textId="77777777" w:rsidR="00BF7ACA" w:rsidRPr="00B915F8" w:rsidRDefault="00BF7ACA" w:rsidP="007924BE">
            <w:pPr>
              <w:pStyle w:val="Normal6"/>
            </w:pPr>
          </w:p>
        </w:tc>
        <w:tc>
          <w:tcPr>
            <w:tcW w:w="4876" w:type="dxa"/>
            <w:hideMark/>
          </w:tcPr>
          <w:p w14:paraId="3E9EBF05" w14:textId="77777777" w:rsidR="00BF7ACA" w:rsidRPr="00DC274A" w:rsidRDefault="00BF7ACA" w:rsidP="007924BE">
            <w:pPr>
              <w:pStyle w:val="Normal6"/>
              <w:rPr>
                <w:b/>
                <w:i/>
                <w:szCs w:val="24"/>
              </w:rPr>
            </w:pPr>
            <w:r w:rsidRPr="00DC274A">
              <w:rPr>
                <w:b/>
                <w:i/>
              </w:rPr>
              <w:t>(e bis)</w:t>
            </w:r>
            <w:r w:rsidRPr="00DC274A">
              <w:rPr>
                <w:b/>
                <w:i/>
              </w:rPr>
              <w:tab/>
              <w:t>contribuer à l’action pour le climat ainsi qu’à la protection et à la gestion de l’environnement, procurant ainsi des avantages connexes sur le plan climatique en allouant 35 % au moins du financement à des investissements présentant des éléments qui contribuent à l’action pour le climat, les énergies renouvelables et l’efficacité des ressources.</w:t>
            </w:r>
          </w:p>
        </w:tc>
      </w:tr>
    </w:tbl>
    <w:p w14:paraId="540038DB"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79209B2" w14:textId="77777777" w:rsidR="00BF7ACA" w:rsidRPr="00BF7ACA" w:rsidRDefault="00BF7ACA" w:rsidP="00BF7ACA">
      <w:r w:rsidRPr="00BF7ACA">
        <w:rPr>
          <w:rStyle w:val="HideTWBExt"/>
        </w:rPr>
        <w:t>&lt;/Amend&gt;</w:t>
      </w:r>
    </w:p>
    <w:p w14:paraId="3C17ABF2"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272</w:t>
      </w:r>
      <w:r w:rsidRPr="00BF7ACA">
        <w:rPr>
          <w:rStyle w:val="HideTWBExt"/>
          <w:b w:val="0"/>
        </w:rPr>
        <w:t>&lt;/NumAm&gt;</w:t>
      </w:r>
    </w:p>
    <w:p w14:paraId="732C3D80" w14:textId="77777777"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Jozo Radoš, Hilde Vautmans, Ilhan Kyuchyuk, Paavo Väyrynen, Nedzhmi Ali</w:t>
      </w:r>
      <w:r w:rsidRPr="00BF7ACA">
        <w:rPr>
          <w:rStyle w:val="HideTWBExt"/>
          <w:b w:val="0"/>
        </w:rPr>
        <w:t>&lt;/Members&gt;</w:t>
      </w:r>
    </w:p>
    <w:p w14:paraId="0340487F" w14:textId="77777777" w:rsidR="00BF7ACA" w:rsidRPr="00355860" w:rsidRDefault="00BF7ACA" w:rsidP="00BF7ACA">
      <w:r>
        <w:rPr>
          <w:rStyle w:val="HideTWBExt"/>
        </w:rPr>
        <w:t>&lt;/RepeatBlock-By&gt;</w:t>
      </w:r>
    </w:p>
    <w:p w14:paraId="5429E051"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658F5566" w14:textId="77777777" w:rsidR="00BF7ACA" w:rsidRPr="00355860" w:rsidRDefault="00BF7ACA" w:rsidP="00BF7ACA">
      <w:pPr>
        <w:pStyle w:val="NormalBold"/>
      </w:pPr>
      <w:r>
        <w:rPr>
          <w:rStyle w:val="HideTWBExt"/>
          <w:b w:val="0"/>
        </w:rPr>
        <w:t>&lt;Article&gt;</w:t>
      </w:r>
      <w:r w:rsidRPr="00B915F8">
        <w:t>Article 8 – paragraphe 2 – point a</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1D8D050B" w14:textId="77777777" w:rsidTr="007924BE">
        <w:trPr>
          <w:jc w:val="center"/>
        </w:trPr>
        <w:tc>
          <w:tcPr>
            <w:tcW w:w="9752" w:type="dxa"/>
            <w:gridSpan w:val="2"/>
          </w:tcPr>
          <w:p w14:paraId="46CC0FF5" w14:textId="77777777" w:rsidR="00BF7ACA" w:rsidRPr="00355860" w:rsidRDefault="00BF7ACA" w:rsidP="007924BE">
            <w:pPr>
              <w:keepNext/>
            </w:pPr>
          </w:p>
        </w:tc>
      </w:tr>
      <w:tr w:rsidR="00BF7ACA" w:rsidRPr="00355860" w14:paraId="14BC1211" w14:textId="77777777" w:rsidTr="007924BE">
        <w:trPr>
          <w:jc w:val="center"/>
        </w:trPr>
        <w:tc>
          <w:tcPr>
            <w:tcW w:w="4876" w:type="dxa"/>
            <w:hideMark/>
          </w:tcPr>
          <w:p w14:paraId="46074512" w14:textId="77777777" w:rsidR="00BF7ACA" w:rsidRPr="00B915F8" w:rsidRDefault="00BF7ACA" w:rsidP="007924BE">
            <w:pPr>
              <w:pStyle w:val="ColumnHeading"/>
              <w:keepNext/>
            </w:pPr>
            <w:r w:rsidRPr="00B915F8">
              <w:t>Texte proposé par la Commission</w:t>
            </w:r>
          </w:p>
        </w:tc>
        <w:tc>
          <w:tcPr>
            <w:tcW w:w="4876" w:type="dxa"/>
            <w:hideMark/>
          </w:tcPr>
          <w:p w14:paraId="1FF1A7B8" w14:textId="77777777" w:rsidR="00BF7ACA" w:rsidRPr="00B915F8" w:rsidRDefault="00BF7ACA" w:rsidP="007924BE">
            <w:pPr>
              <w:pStyle w:val="ColumnHeading"/>
              <w:keepNext/>
            </w:pPr>
            <w:r w:rsidRPr="00B915F8">
              <w:t>Amendement</w:t>
            </w:r>
          </w:p>
        </w:tc>
      </w:tr>
      <w:tr w:rsidR="00BF7ACA" w:rsidRPr="00355860" w14:paraId="723BEACF" w14:textId="77777777" w:rsidTr="007924BE">
        <w:trPr>
          <w:jc w:val="center"/>
        </w:trPr>
        <w:tc>
          <w:tcPr>
            <w:tcW w:w="4876" w:type="dxa"/>
            <w:hideMark/>
          </w:tcPr>
          <w:p w14:paraId="0E0DCFF3" w14:textId="77777777" w:rsidR="00BF7ACA" w:rsidRPr="00DC274A" w:rsidRDefault="00BF7ACA" w:rsidP="007924BE">
            <w:pPr>
              <w:pStyle w:val="Normal6"/>
              <w:rPr>
                <w:b/>
                <w:i/>
              </w:rPr>
            </w:pPr>
            <w:r w:rsidRPr="00DC274A">
              <w:t>(a)</w:t>
            </w:r>
            <w:r w:rsidRPr="00DC274A">
              <w:rPr>
                <w:b/>
                <w:i/>
              </w:rPr>
              <w:tab/>
            </w:r>
            <w:r w:rsidRPr="00DC274A">
              <w:t>respectent le principe d’additionnalité;</w:t>
            </w:r>
          </w:p>
        </w:tc>
        <w:tc>
          <w:tcPr>
            <w:tcW w:w="4876" w:type="dxa"/>
            <w:hideMark/>
          </w:tcPr>
          <w:p w14:paraId="42EF527A" w14:textId="77777777" w:rsidR="00BF7ACA" w:rsidRPr="00DC274A" w:rsidRDefault="00BF7ACA" w:rsidP="007924BE">
            <w:pPr>
              <w:pStyle w:val="Normal6"/>
              <w:rPr>
                <w:b/>
                <w:i/>
                <w:szCs w:val="24"/>
              </w:rPr>
            </w:pPr>
            <w:r w:rsidRPr="00DC274A">
              <w:t>(a)</w:t>
            </w:r>
            <w:r w:rsidRPr="00DC274A">
              <w:rPr>
                <w:b/>
                <w:i/>
              </w:rPr>
              <w:tab/>
            </w:r>
            <w:r w:rsidRPr="00DC274A">
              <w:t>respectent le principe d’additionnalité</w:t>
            </w:r>
            <w:r w:rsidRPr="00DC274A">
              <w:rPr>
                <w:b/>
                <w:i/>
              </w:rPr>
              <w:t>, en particulier tel qu’il est défini à l’article 2</w:t>
            </w:r>
            <w:r w:rsidRPr="00DC274A">
              <w:t>;</w:t>
            </w:r>
          </w:p>
        </w:tc>
      </w:tr>
    </w:tbl>
    <w:p w14:paraId="7FABF4E4"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2DECC0A" w14:textId="77777777" w:rsidR="00BF7ACA" w:rsidRPr="00BF7ACA" w:rsidRDefault="00BF7ACA" w:rsidP="00BF7ACA">
      <w:r w:rsidRPr="00BF7ACA">
        <w:rPr>
          <w:rStyle w:val="HideTWBExt"/>
        </w:rPr>
        <w:t>&lt;/Amend&gt;</w:t>
      </w:r>
    </w:p>
    <w:p w14:paraId="71CE0F9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273</w:t>
      </w:r>
      <w:r w:rsidRPr="00BF7ACA">
        <w:rPr>
          <w:rStyle w:val="HideTWBExt"/>
          <w:b w:val="0"/>
        </w:rPr>
        <w:t>&lt;/NumAm&gt;</w:t>
      </w:r>
    </w:p>
    <w:p w14:paraId="093802A6"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44CA4D2E" w14:textId="77777777" w:rsidR="00BF7ACA" w:rsidRPr="00355860" w:rsidRDefault="00BF7ACA" w:rsidP="00BF7ACA">
      <w:r>
        <w:rPr>
          <w:rStyle w:val="HideTWBExt"/>
        </w:rPr>
        <w:t>&lt;/RepeatBlock-By&gt;</w:t>
      </w:r>
    </w:p>
    <w:p w14:paraId="1FFFC45D"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321CF7C8" w14:textId="77777777" w:rsidR="00BF7ACA" w:rsidRPr="00355860" w:rsidRDefault="00BF7ACA" w:rsidP="00BF7ACA">
      <w:pPr>
        <w:pStyle w:val="NormalBold"/>
      </w:pPr>
      <w:r>
        <w:rPr>
          <w:rStyle w:val="HideTWBExt"/>
          <w:b w:val="0"/>
        </w:rPr>
        <w:t>&lt;Article&gt;</w:t>
      </w:r>
      <w:r w:rsidRPr="00B915F8">
        <w:t>Article 8 – paragraphe 2 – point a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56C28C07" w14:textId="77777777" w:rsidTr="007924BE">
        <w:trPr>
          <w:jc w:val="center"/>
        </w:trPr>
        <w:tc>
          <w:tcPr>
            <w:tcW w:w="9752" w:type="dxa"/>
            <w:gridSpan w:val="2"/>
          </w:tcPr>
          <w:p w14:paraId="1C5A7EE3" w14:textId="77777777" w:rsidR="00BF7ACA" w:rsidRPr="00355860" w:rsidRDefault="00BF7ACA" w:rsidP="007924BE">
            <w:pPr>
              <w:keepNext/>
            </w:pPr>
          </w:p>
        </w:tc>
      </w:tr>
      <w:tr w:rsidR="00BF7ACA" w:rsidRPr="00355860" w14:paraId="000BDF6F" w14:textId="77777777" w:rsidTr="007924BE">
        <w:trPr>
          <w:jc w:val="center"/>
        </w:trPr>
        <w:tc>
          <w:tcPr>
            <w:tcW w:w="4876" w:type="dxa"/>
            <w:hideMark/>
          </w:tcPr>
          <w:p w14:paraId="0082BFEA" w14:textId="77777777" w:rsidR="00BF7ACA" w:rsidRPr="00B915F8" w:rsidRDefault="00BF7ACA" w:rsidP="007924BE">
            <w:pPr>
              <w:pStyle w:val="ColumnHeading"/>
              <w:keepNext/>
            </w:pPr>
            <w:r w:rsidRPr="00B915F8">
              <w:t>Texte proposé par la Commission</w:t>
            </w:r>
          </w:p>
        </w:tc>
        <w:tc>
          <w:tcPr>
            <w:tcW w:w="4876" w:type="dxa"/>
            <w:hideMark/>
          </w:tcPr>
          <w:p w14:paraId="33091F8B" w14:textId="77777777" w:rsidR="00BF7ACA" w:rsidRPr="00B915F8" w:rsidRDefault="00BF7ACA" w:rsidP="007924BE">
            <w:pPr>
              <w:pStyle w:val="ColumnHeading"/>
              <w:keepNext/>
            </w:pPr>
            <w:r w:rsidRPr="00B915F8">
              <w:t>Amendement</w:t>
            </w:r>
          </w:p>
        </w:tc>
      </w:tr>
      <w:tr w:rsidR="00BF7ACA" w:rsidRPr="00355860" w14:paraId="27CFCDB6" w14:textId="77777777" w:rsidTr="007924BE">
        <w:trPr>
          <w:jc w:val="center"/>
        </w:trPr>
        <w:tc>
          <w:tcPr>
            <w:tcW w:w="4876" w:type="dxa"/>
          </w:tcPr>
          <w:p w14:paraId="62874C53" w14:textId="77777777" w:rsidR="00BF7ACA" w:rsidRPr="00B915F8" w:rsidRDefault="00BF7ACA" w:rsidP="007924BE">
            <w:pPr>
              <w:pStyle w:val="Normal6"/>
            </w:pPr>
          </w:p>
        </w:tc>
        <w:tc>
          <w:tcPr>
            <w:tcW w:w="4876" w:type="dxa"/>
            <w:hideMark/>
          </w:tcPr>
          <w:p w14:paraId="7B87E7AD" w14:textId="77777777" w:rsidR="00BF7ACA" w:rsidRPr="00DC274A" w:rsidRDefault="00BF7ACA" w:rsidP="007924BE">
            <w:pPr>
              <w:pStyle w:val="Normal6"/>
              <w:rPr>
                <w:b/>
                <w:i/>
                <w:szCs w:val="24"/>
              </w:rPr>
            </w:pPr>
            <w:r w:rsidRPr="00DC274A">
              <w:rPr>
                <w:b/>
                <w:i/>
              </w:rPr>
              <w:t>(a bis)</w:t>
            </w:r>
            <w:r w:rsidRPr="00DC274A">
              <w:rPr>
                <w:b/>
                <w:i/>
              </w:rPr>
              <w:tab/>
              <w:t>allouer au moins 40 % du financement à des investissements destinés essentiellement à l’action pour le climat;</w:t>
            </w:r>
          </w:p>
        </w:tc>
      </w:tr>
    </w:tbl>
    <w:p w14:paraId="6A138E5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B47930B" w14:textId="77777777" w:rsidR="00BF7ACA" w:rsidRPr="00BF7ACA" w:rsidRDefault="00BF7ACA" w:rsidP="00BF7ACA">
      <w:r w:rsidRPr="00BF7ACA">
        <w:rPr>
          <w:rStyle w:val="HideTWBExt"/>
        </w:rPr>
        <w:t>&lt;/Amend&gt;</w:t>
      </w:r>
    </w:p>
    <w:p w14:paraId="488C842D"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274</w:t>
      </w:r>
      <w:r w:rsidRPr="00BF7ACA">
        <w:rPr>
          <w:rStyle w:val="HideTWBExt"/>
          <w:b w:val="0"/>
        </w:rPr>
        <w:t>&lt;/NumAm&gt;</w:t>
      </w:r>
    </w:p>
    <w:p w14:paraId="51B78E5C"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Hilde Vautmans, Ilhan Kyuchyuk, Nedzhmi Ali</w:t>
      </w:r>
      <w:r w:rsidRPr="00BF7ACA">
        <w:rPr>
          <w:rStyle w:val="HideTWBExt"/>
          <w:b w:val="0"/>
        </w:rPr>
        <w:t>&lt;/Members&gt;</w:t>
      </w:r>
    </w:p>
    <w:p w14:paraId="09DD3B5D" w14:textId="77777777" w:rsidR="00BF7ACA" w:rsidRPr="00355860" w:rsidRDefault="00BF7ACA" w:rsidP="00BF7ACA">
      <w:r>
        <w:rPr>
          <w:rStyle w:val="HideTWBExt"/>
        </w:rPr>
        <w:t>&lt;/RepeatBlock-By&gt;</w:t>
      </w:r>
    </w:p>
    <w:p w14:paraId="073B0D65"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7F7D8E6A" w14:textId="77777777" w:rsidR="00BF7ACA" w:rsidRPr="00355860" w:rsidRDefault="00BF7ACA" w:rsidP="00BF7ACA">
      <w:pPr>
        <w:pStyle w:val="NormalBold"/>
      </w:pPr>
      <w:r>
        <w:rPr>
          <w:rStyle w:val="HideTWBExt"/>
          <w:b w:val="0"/>
        </w:rPr>
        <w:t>&lt;Article&gt;</w:t>
      </w:r>
      <w:r w:rsidRPr="00B915F8">
        <w:t>Article 8 – paragraphe 2 – point a ter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7B7191BA" w14:textId="77777777" w:rsidTr="007924BE">
        <w:trPr>
          <w:jc w:val="center"/>
        </w:trPr>
        <w:tc>
          <w:tcPr>
            <w:tcW w:w="9752" w:type="dxa"/>
            <w:gridSpan w:val="2"/>
          </w:tcPr>
          <w:p w14:paraId="0ECD7797" w14:textId="77777777" w:rsidR="00BF7ACA" w:rsidRPr="00355860" w:rsidRDefault="00BF7ACA" w:rsidP="007924BE">
            <w:pPr>
              <w:keepNext/>
            </w:pPr>
          </w:p>
        </w:tc>
      </w:tr>
      <w:tr w:rsidR="00BF7ACA" w:rsidRPr="00355860" w14:paraId="7FFE367D" w14:textId="77777777" w:rsidTr="007924BE">
        <w:trPr>
          <w:jc w:val="center"/>
        </w:trPr>
        <w:tc>
          <w:tcPr>
            <w:tcW w:w="4876" w:type="dxa"/>
            <w:hideMark/>
          </w:tcPr>
          <w:p w14:paraId="4EF07D69" w14:textId="77777777" w:rsidR="00BF7ACA" w:rsidRPr="00B915F8" w:rsidRDefault="00BF7ACA" w:rsidP="007924BE">
            <w:pPr>
              <w:pStyle w:val="ColumnHeading"/>
              <w:keepNext/>
            </w:pPr>
            <w:r w:rsidRPr="00B915F8">
              <w:t>Texte proposé par la Commission</w:t>
            </w:r>
          </w:p>
        </w:tc>
        <w:tc>
          <w:tcPr>
            <w:tcW w:w="4876" w:type="dxa"/>
            <w:hideMark/>
          </w:tcPr>
          <w:p w14:paraId="7B081443" w14:textId="77777777" w:rsidR="00BF7ACA" w:rsidRPr="00B915F8" w:rsidRDefault="00BF7ACA" w:rsidP="007924BE">
            <w:pPr>
              <w:pStyle w:val="ColumnHeading"/>
              <w:keepNext/>
            </w:pPr>
            <w:r w:rsidRPr="00B915F8">
              <w:t>Amendement</w:t>
            </w:r>
          </w:p>
        </w:tc>
      </w:tr>
      <w:tr w:rsidR="00BF7ACA" w:rsidRPr="00355860" w14:paraId="7DF17EE0" w14:textId="77777777" w:rsidTr="007924BE">
        <w:trPr>
          <w:jc w:val="center"/>
        </w:trPr>
        <w:tc>
          <w:tcPr>
            <w:tcW w:w="4876" w:type="dxa"/>
          </w:tcPr>
          <w:p w14:paraId="567D45D5" w14:textId="77777777" w:rsidR="00BF7ACA" w:rsidRPr="00B915F8" w:rsidRDefault="00BF7ACA" w:rsidP="007924BE">
            <w:pPr>
              <w:pStyle w:val="Normal6"/>
            </w:pPr>
          </w:p>
        </w:tc>
        <w:tc>
          <w:tcPr>
            <w:tcW w:w="4876" w:type="dxa"/>
            <w:hideMark/>
          </w:tcPr>
          <w:p w14:paraId="1EECCFED" w14:textId="77777777" w:rsidR="00BF7ACA" w:rsidRPr="00DC274A" w:rsidRDefault="00BF7ACA" w:rsidP="007924BE">
            <w:pPr>
              <w:pStyle w:val="Normal6"/>
              <w:rPr>
                <w:b/>
                <w:i/>
                <w:szCs w:val="24"/>
              </w:rPr>
            </w:pPr>
            <w:r w:rsidRPr="00DC274A">
              <w:rPr>
                <w:b/>
                <w:i/>
              </w:rPr>
              <w:t>(a ter)</w:t>
            </w:r>
            <w:r w:rsidRPr="00DC274A">
              <w:rPr>
                <w:b/>
                <w:i/>
              </w:rPr>
              <w:tab/>
              <w:t>allouer au moins 35 % du financement à des investissements destinés essentiellement à l’action pour le climat;</w:t>
            </w:r>
          </w:p>
        </w:tc>
      </w:tr>
    </w:tbl>
    <w:p w14:paraId="349D5807" w14:textId="77777777" w:rsidR="00BF7ACA" w:rsidRPr="00355860" w:rsidRDefault="00BF7ACA" w:rsidP="00BF7ACA">
      <w:pPr>
        <w:pStyle w:val="Olang"/>
        <w:rPr>
          <w:noProof w:val="0"/>
          <w:szCs w:val="24"/>
        </w:rPr>
      </w:pPr>
      <w:r w:rsidRPr="00B915F8">
        <w:rPr>
          <w:noProof w:val="0"/>
        </w:rPr>
        <w:t xml:space="preserve">Or. </w:t>
      </w:r>
      <w:r w:rsidRPr="00944EA9">
        <w:rPr>
          <w:rStyle w:val="HideTWBExt"/>
          <w:noProof w:val="0"/>
        </w:rPr>
        <w:t>&lt;Original&gt;</w:t>
      </w:r>
      <w:r w:rsidRPr="00944EA9">
        <w:rPr>
          <w:rStyle w:val="HideTWBInt"/>
          <w:noProof w:val="0"/>
        </w:rPr>
        <w:t>{EN}</w:t>
      </w:r>
      <w:r w:rsidRPr="00B915F8">
        <w:rPr>
          <w:noProof w:val="0"/>
        </w:rPr>
        <w:t>en</w:t>
      </w:r>
      <w:r w:rsidRPr="00944EA9">
        <w:rPr>
          <w:rStyle w:val="HideTWBExt"/>
          <w:noProof w:val="0"/>
        </w:rPr>
        <w:t>&lt;/Original&gt;</w:t>
      </w:r>
    </w:p>
    <w:p w14:paraId="1346D9BD" w14:textId="77777777" w:rsidR="00BF7ACA" w:rsidRPr="00355860" w:rsidRDefault="00BF7ACA" w:rsidP="00BF7ACA">
      <w:pPr>
        <w:pStyle w:val="JustificationTitle"/>
        <w:rPr>
          <w:noProof w:val="0"/>
        </w:rPr>
      </w:pPr>
      <w:r>
        <w:rPr>
          <w:rStyle w:val="HideTWBExt"/>
          <w:i w:val="0"/>
          <w:noProof w:val="0"/>
        </w:rPr>
        <w:t>&lt;TitreJust&gt;</w:t>
      </w:r>
      <w:r w:rsidRPr="00B915F8">
        <w:rPr>
          <w:noProof w:val="0"/>
        </w:rPr>
        <w:t>Justification</w:t>
      </w:r>
      <w:r>
        <w:rPr>
          <w:rStyle w:val="HideTWBExt"/>
          <w:i w:val="0"/>
          <w:noProof w:val="0"/>
        </w:rPr>
        <w:t>&lt;/TitreJust&gt;</w:t>
      </w:r>
    </w:p>
    <w:p w14:paraId="201BEF4B" w14:textId="77777777" w:rsidR="00BF7ACA" w:rsidRPr="00355860" w:rsidRDefault="00BF7ACA" w:rsidP="00BF7ACA">
      <w:pPr>
        <w:pStyle w:val="Normal12Italic"/>
        <w:rPr>
          <w:noProof w:val="0"/>
        </w:rPr>
      </w:pPr>
      <w:r>
        <w:rPr>
          <w:noProof w:val="0"/>
        </w:rPr>
        <w:t>En 2015, la BEI a fixé l’objectif visant à consacrer 35 % de ses prêts à l’action en faveur du climat dans les pays en développement. Nous devrions nous aligner sur cette position, de manière à ce qu’au moins 35 % du financement du FEDD contribue à la lutte contre le changement climatique.</w:t>
      </w:r>
    </w:p>
    <w:p w14:paraId="6AB7DC99" w14:textId="77777777" w:rsidR="00BF7ACA" w:rsidRPr="00BF7ACA" w:rsidRDefault="00BF7ACA" w:rsidP="00BF7ACA">
      <w:r w:rsidRPr="00BF7ACA">
        <w:rPr>
          <w:rStyle w:val="HideTWBExt"/>
        </w:rPr>
        <w:t>&lt;/Amend&gt;</w:t>
      </w:r>
    </w:p>
    <w:p w14:paraId="74C35CF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275</w:t>
      </w:r>
      <w:r w:rsidRPr="00BF7ACA">
        <w:rPr>
          <w:rStyle w:val="HideTWBExt"/>
          <w:b w:val="0"/>
        </w:rPr>
        <w:t>&lt;/NumAm&gt;</w:t>
      </w:r>
    </w:p>
    <w:p w14:paraId="05D2FF0D"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Nedzhmi Ali</w:t>
      </w:r>
      <w:r w:rsidRPr="00BF7ACA">
        <w:rPr>
          <w:rStyle w:val="HideTWBExt"/>
          <w:b w:val="0"/>
        </w:rPr>
        <w:t>&lt;/Members&gt;</w:t>
      </w:r>
    </w:p>
    <w:p w14:paraId="0A8F3E90" w14:textId="77777777" w:rsidR="00BF7ACA" w:rsidRPr="00355860" w:rsidRDefault="00BF7ACA" w:rsidP="00BF7ACA">
      <w:r>
        <w:rPr>
          <w:rStyle w:val="HideTWBExt"/>
        </w:rPr>
        <w:t>&lt;/RepeatBlock-By&gt;</w:t>
      </w:r>
    </w:p>
    <w:p w14:paraId="345FCD91"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A5DF071" w14:textId="77777777" w:rsidR="00BF7ACA" w:rsidRPr="00355860" w:rsidRDefault="00BF7ACA" w:rsidP="00BF7ACA">
      <w:pPr>
        <w:pStyle w:val="NormalBold"/>
      </w:pPr>
      <w:r>
        <w:rPr>
          <w:rStyle w:val="HideTWBExt"/>
          <w:b w:val="0"/>
        </w:rPr>
        <w:t>&lt;Article&gt;</w:t>
      </w:r>
      <w:r w:rsidRPr="00B915F8">
        <w:t>Article 8 – paragraphe 2 – point b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406B1FF0" w14:textId="77777777" w:rsidTr="007924BE">
        <w:trPr>
          <w:jc w:val="center"/>
        </w:trPr>
        <w:tc>
          <w:tcPr>
            <w:tcW w:w="9752" w:type="dxa"/>
            <w:gridSpan w:val="2"/>
          </w:tcPr>
          <w:p w14:paraId="60DE04CD" w14:textId="77777777" w:rsidR="00BF7ACA" w:rsidRPr="00355860" w:rsidRDefault="00BF7ACA" w:rsidP="007924BE">
            <w:pPr>
              <w:keepNext/>
            </w:pPr>
          </w:p>
        </w:tc>
      </w:tr>
      <w:tr w:rsidR="00BF7ACA" w:rsidRPr="00355860" w14:paraId="11160083" w14:textId="77777777" w:rsidTr="007924BE">
        <w:trPr>
          <w:jc w:val="center"/>
        </w:trPr>
        <w:tc>
          <w:tcPr>
            <w:tcW w:w="4876" w:type="dxa"/>
            <w:hideMark/>
          </w:tcPr>
          <w:p w14:paraId="68B51081" w14:textId="77777777" w:rsidR="00BF7ACA" w:rsidRPr="00B915F8" w:rsidRDefault="00BF7ACA" w:rsidP="007924BE">
            <w:pPr>
              <w:pStyle w:val="ColumnHeading"/>
              <w:keepNext/>
            </w:pPr>
            <w:r w:rsidRPr="00B915F8">
              <w:t>Texte proposé par la Commission</w:t>
            </w:r>
          </w:p>
        </w:tc>
        <w:tc>
          <w:tcPr>
            <w:tcW w:w="4876" w:type="dxa"/>
            <w:hideMark/>
          </w:tcPr>
          <w:p w14:paraId="0547084C" w14:textId="77777777" w:rsidR="00BF7ACA" w:rsidRPr="00B915F8" w:rsidRDefault="00BF7ACA" w:rsidP="007924BE">
            <w:pPr>
              <w:pStyle w:val="ColumnHeading"/>
              <w:keepNext/>
            </w:pPr>
            <w:r w:rsidRPr="00B915F8">
              <w:t>Amendement</w:t>
            </w:r>
          </w:p>
        </w:tc>
      </w:tr>
      <w:tr w:rsidR="00BF7ACA" w:rsidRPr="00355860" w14:paraId="60B05AE1" w14:textId="77777777" w:rsidTr="007924BE">
        <w:trPr>
          <w:jc w:val="center"/>
        </w:trPr>
        <w:tc>
          <w:tcPr>
            <w:tcW w:w="4876" w:type="dxa"/>
          </w:tcPr>
          <w:p w14:paraId="141E5E36" w14:textId="77777777" w:rsidR="00BF7ACA" w:rsidRPr="00B915F8" w:rsidRDefault="00BF7ACA" w:rsidP="007924BE">
            <w:pPr>
              <w:pStyle w:val="Normal6"/>
            </w:pPr>
          </w:p>
        </w:tc>
        <w:tc>
          <w:tcPr>
            <w:tcW w:w="4876" w:type="dxa"/>
            <w:hideMark/>
          </w:tcPr>
          <w:p w14:paraId="6C10EF11" w14:textId="77777777" w:rsidR="00BF7ACA" w:rsidRPr="00DC274A" w:rsidRDefault="00BF7ACA" w:rsidP="007924BE">
            <w:pPr>
              <w:pStyle w:val="Normal6"/>
              <w:rPr>
                <w:b/>
                <w:i/>
                <w:szCs w:val="24"/>
              </w:rPr>
            </w:pPr>
            <w:r w:rsidRPr="00DC274A">
              <w:rPr>
                <w:b/>
                <w:i/>
              </w:rPr>
              <w:t>(b bis)</w:t>
            </w:r>
            <w:r w:rsidRPr="00DC274A">
              <w:rPr>
                <w:b/>
                <w:i/>
              </w:rPr>
              <w:tab/>
              <w:t>sont mises en œuvre dans le plein respect des conventions des droits de l’homme, des principes directeurs de l’OCDE à l’intention des entreprises multinationales, des principes directeurs des Nations unies relatifs aux entreprises et aux droits de l’homme, des conventions et des normes de l’OIT, des principes de Maastricht relatifs aux obligations extraterritoriales des États dans le domaine des droits économiques, sociaux et culturels, et des directives volontaires de la FAO pour une gouvernance responsable des régimes fonciers applicables aux terres, aux zones de pêches et aux forêts dans le contexte de la sécurité alimentaire nationale;</w:t>
            </w:r>
          </w:p>
        </w:tc>
      </w:tr>
    </w:tbl>
    <w:p w14:paraId="689B65BE"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C9B1B77" w14:textId="77777777" w:rsidR="00BF7ACA" w:rsidRPr="00BF7ACA" w:rsidRDefault="00BF7ACA" w:rsidP="00BF7ACA">
      <w:r w:rsidRPr="00BF7ACA">
        <w:rPr>
          <w:rStyle w:val="HideTWBExt"/>
        </w:rPr>
        <w:t>&lt;/Amend&gt;</w:t>
      </w:r>
    </w:p>
    <w:p w14:paraId="05490058" w14:textId="77777777" w:rsidR="00BF7ACA" w:rsidRPr="00E502E5" w:rsidRDefault="00BF7ACA" w:rsidP="00BF7ACA">
      <w:pPr>
        <w:pStyle w:val="AMNumberTabs"/>
        <w:keepNext/>
      </w:pPr>
      <w:r>
        <w:rPr>
          <w:rStyle w:val="HideTWBExt"/>
          <w:b w:val="0"/>
        </w:rPr>
        <w:t>&lt;Amend&gt;</w:t>
      </w:r>
      <w:r w:rsidRPr="002E43F3">
        <w:t>Amendement</w:t>
      </w:r>
      <w:r>
        <w:tab/>
      </w:r>
      <w:r>
        <w:tab/>
      </w:r>
      <w:r>
        <w:rPr>
          <w:rStyle w:val="HideTWBExt"/>
          <w:b w:val="0"/>
        </w:rPr>
        <w:t>&lt;NumAm&gt;</w:t>
      </w:r>
      <w:r w:rsidRPr="002E43F3">
        <w:t>276</w:t>
      </w:r>
      <w:r>
        <w:rPr>
          <w:rStyle w:val="HideTWBExt"/>
          <w:b w:val="0"/>
        </w:rPr>
        <w:t>&lt;/NumAm&gt;</w:t>
      </w:r>
    </w:p>
    <w:p w14:paraId="5C9EEC82" w14:textId="77777777"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14:paraId="57E42E70" w14:textId="77777777" w:rsidR="00BF7ACA" w:rsidRPr="00E502E5" w:rsidRDefault="00BF7ACA" w:rsidP="00BF7ACA">
      <w:r>
        <w:rPr>
          <w:rStyle w:val="HideTWBExt"/>
        </w:rPr>
        <w:t>&lt;/RepeatBlock-By&gt;</w:t>
      </w:r>
    </w:p>
    <w:p w14:paraId="67D65826" w14:textId="77777777"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14:paraId="2500A55D" w14:textId="77777777" w:rsidR="00BF7ACA" w:rsidRPr="00E502E5" w:rsidRDefault="00BF7ACA" w:rsidP="00BF7ACA">
      <w:pPr>
        <w:pStyle w:val="NormalBold"/>
      </w:pPr>
      <w:r>
        <w:rPr>
          <w:rStyle w:val="HideTWBExt"/>
          <w:b w:val="0"/>
        </w:rPr>
        <w:t>&lt;Article&gt;</w:t>
      </w:r>
      <w:r w:rsidRPr="002E43F3">
        <w:t>Article 8 – paragraphe 2 – point c</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0D4DDD3A" w14:textId="77777777" w:rsidTr="007924BE">
        <w:trPr>
          <w:jc w:val="center"/>
        </w:trPr>
        <w:tc>
          <w:tcPr>
            <w:tcW w:w="9752" w:type="dxa"/>
            <w:gridSpan w:val="2"/>
          </w:tcPr>
          <w:p w14:paraId="24D4A86B" w14:textId="77777777" w:rsidR="00BF7ACA" w:rsidRPr="00E502E5" w:rsidRDefault="00BF7ACA" w:rsidP="007924BE">
            <w:pPr>
              <w:keepNext/>
            </w:pPr>
          </w:p>
        </w:tc>
      </w:tr>
      <w:tr w:rsidR="00BF7ACA" w:rsidRPr="00E502E5" w14:paraId="226A9CBC" w14:textId="77777777" w:rsidTr="007924BE">
        <w:trPr>
          <w:jc w:val="center"/>
        </w:trPr>
        <w:tc>
          <w:tcPr>
            <w:tcW w:w="4876" w:type="dxa"/>
            <w:hideMark/>
          </w:tcPr>
          <w:p w14:paraId="7F2CB110" w14:textId="77777777" w:rsidR="00BF7ACA" w:rsidRPr="002E43F3" w:rsidRDefault="00BF7ACA" w:rsidP="007924BE">
            <w:pPr>
              <w:pStyle w:val="ColumnHeading"/>
              <w:keepNext/>
            </w:pPr>
            <w:r w:rsidRPr="002E43F3">
              <w:t>Texte proposé par la Commission</w:t>
            </w:r>
          </w:p>
        </w:tc>
        <w:tc>
          <w:tcPr>
            <w:tcW w:w="4876" w:type="dxa"/>
            <w:hideMark/>
          </w:tcPr>
          <w:p w14:paraId="7091BF73" w14:textId="77777777" w:rsidR="00BF7ACA" w:rsidRPr="002E43F3" w:rsidRDefault="00BF7ACA" w:rsidP="007924BE">
            <w:pPr>
              <w:pStyle w:val="ColumnHeading"/>
              <w:keepNext/>
            </w:pPr>
            <w:r w:rsidRPr="002E43F3">
              <w:t>Amendement</w:t>
            </w:r>
          </w:p>
        </w:tc>
      </w:tr>
      <w:tr w:rsidR="00BF7ACA" w:rsidRPr="00E502E5" w14:paraId="26AC7250" w14:textId="77777777" w:rsidTr="007924BE">
        <w:trPr>
          <w:jc w:val="center"/>
        </w:trPr>
        <w:tc>
          <w:tcPr>
            <w:tcW w:w="4876" w:type="dxa"/>
            <w:hideMark/>
          </w:tcPr>
          <w:p w14:paraId="6F0B98CF" w14:textId="77777777" w:rsidR="00BF7ACA" w:rsidRPr="002E43F3" w:rsidRDefault="00BF7ACA" w:rsidP="007924BE">
            <w:pPr>
              <w:pStyle w:val="Normal6"/>
            </w:pPr>
            <w:r w:rsidRPr="002E43F3">
              <w:t>(c)</w:t>
            </w:r>
            <w:r>
              <w:tab/>
            </w:r>
            <w:r w:rsidRPr="002E43F3">
              <w:t>sont viables sur les plans économique et financier, compte tenu également du soutien et du cofinancement éventuellement apportés au projet</w:t>
            </w:r>
            <w:r w:rsidRPr="002E43F3">
              <w:rPr>
                <w:b/>
                <w:i/>
              </w:rPr>
              <w:t xml:space="preserve"> par des partenaires privés et publics</w:t>
            </w:r>
            <w:r w:rsidRPr="002E43F3">
              <w:t>;</w:t>
            </w:r>
          </w:p>
        </w:tc>
        <w:tc>
          <w:tcPr>
            <w:tcW w:w="4876" w:type="dxa"/>
            <w:hideMark/>
          </w:tcPr>
          <w:p w14:paraId="2AF2261A" w14:textId="77777777" w:rsidR="00BF7ACA" w:rsidRPr="002E43F3" w:rsidRDefault="00BF7ACA" w:rsidP="007924BE">
            <w:pPr>
              <w:pStyle w:val="Normal6"/>
              <w:rPr>
                <w:szCs w:val="24"/>
              </w:rPr>
            </w:pPr>
            <w:r w:rsidRPr="002E43F3">
              <w:t>(c)</w:t>
            </w:r>
            <w:r>
              <w:tab/>
            </w:r>
            <w:r w:rsidRPr="002E43F3">
              <w:t>sont viables sur les plans économique et financier, compte tenu également du soutien et du cofinancement éventuellement apportés au projet;</w:t>
            </w:r>
          </w:p>
        </w:tc>
      </w:tr>
    </w:tbl>
    <w:p w14:paraId="40AA29C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{IT}</w:t>
      </w:r>
      <w:r w:rsidRPr="00BF7ACA">
        <w:rPr>
          <w:noProof w:val="0"/>
        </w:rPr>
        <w:t>it</w:t>
      </w:r>
      <w:r w:rsidRPr="00BF7ACA">
        <w:rPr>
          <w:rStyle w:val="HideTWBExt"/>
          <w:noProof w:val="0"/>
        </w:rPr>
        <w:t>&lt;/Original&gt;</w:t>
      </w:r>
    </w:p>
    <w:p w14:paraId="5B10778D" w14:textId="77777777" w:rsidR="00BF7ACA" w:rsidRPr="00BF7ACA" w:rsidRDefault="00BF7ACA" w:rsidP="00BF7ACA">
      <w:r w:rsidRPr="00BF7ACA">
        <w:rPr>
          <w:rStyle w:val="HideTWBExt"/>
        </w:rPr>
        <w:t>&lt;/Amend&gt;</w:t>
      </w:r>
    </w:p>
    <w:p w14:paraId="315A639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277</w:t>
      </w:r>
      <w:r w:rsidRPr="00BF7ACA">
        <w:rPr>
          <w:rStyle w:val="HideTWBExt"/>
          <w:b w:val="0"/>
        </w:rPr>
        <w:t>&lt;/NumAm&gt;</w:t>
      </w:r>
    </w:p>
    <w:p w14:paraId="73AA79AE"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Paavo Väyrynen, Nedzhmi Ali</w:t>
      </w:r>
      <w:r w:rsidRPr="00BF7ACA">
        <w:rPr>
          <w:rStyle w:val="HideTWBExt"/>
          <w:b w:val="0"/>
        </w:rPr>
        <w:t>&lt;/Members&gt;</w:t>
      </w:r>
    </w:p>
    <w:p w14:paraId="6E0AF767" w14:textId="77777777" w:rsidR="00BF7ACA" w:rsidRPr="00355860" w:rsidRDefault="00BF7ACA" w:rsidP="00BF7ACA">
      <w:r>
        <w:rPr>
          <w:rStyle w:val="HideTWBExt"/>
        </w:rPr>
        <w:t>&lt;/RepeatBlock-By&gt;</w:t>
      </w:r>
    </w:p>
    <w:p w14:paraId="35C2198A"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725A84FE" w14:textId="77777777" w:rsidR="00BF7ACA" w:rsidRPr="00355860" w:rsidRDefault="00BF7ACA" w:rsidP="00BF7ACA">
      <w:pPr>
        <w:pStyle w:val="NormalBold"/>
      </w:pPr>
      <w:r>
        <w:rPr>
          <w:rStyle w:val="HideTWBExt"/>
          <w:b w:val="0"/>
        </w:rPr>
        <w:t>&lt;Article&gt;</w:t>
      </w:r>
      <w:r w:rsidRPr="00B915F8">
        <w:t>Article 8 – paragraphe 2 – point c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27A04484" w14:textId="77777777" w:rsidTr="007924BE">
        <w:trPr>
          <w:jc w:val="center"/>
        </w:trPr>
        <w:tc>
          <w:tcPr>
            <w:tcW w:w="9752" w:type="dxa"/>
            <w:gridSpan w:val="2"/>
          </w:tcPr>
          <w:p w14:paraId="15ACF784" w14:textId="77777777" w:rsidR="00BF7ACA" w:rsidRPr="00355860" w:rsidRDefault="00BF7ACA" w:rsidP="007924BE">
            <w:pPr>
              <w:keepNext/>
            </w:pPr>
          </w:p>
        </w:tc>
      </w:tr>
      <w:tr w:rsidR="00BF7ACA" w:rsidRPr="00355860" w14:paraId="378921DF" w14:textId="77777777" w:rsidTr="007924BE">
        <w:trPr>
          <w:jc w:val="center"/>
        </w:trPr>
        <w:tc>
          <w:tcPr>
            <w:tcW w:w="4876" w:type="dxa"/>
            <w:hideMark/>
          </w:tcPr>
          <w:p w14:paraId="4A715352" w14:textId="77777777" w:rsidR="00BF7ACA" w:rsidRPr="00B915F8" w:rsidRDefault="00BF7ACA" w:rsidP="007924BE">
            <w:pPr>
              <w:pStyle w:val="ColumnHeading"/>
              <w:keepNext/>
            </w:pPr>
            <w:r w:rsidRPr="00B915F8">
              <w:t>Texte proposé par la Commission</w:t>
            </w:r>
          </w:p>
        </w:tc>
        <w:tc>
          <w:tcPr>
            <w:tcW w:w="4876" w:type="dxa"/>
            <w:hideMark/>
          </w:tcPr>
          <w:p w14:paraId="789642AF" w14:textId="77777777" w:rsidR="00BF7ACA" w:rsidRPr="00B915F8" w:rsidRDefault="00BF7ACA" w:rsidP="007924BE">
            <w:pPr>
              <w:pStyle w:val="ColumnHeading"/>
              <w:keepNext/>
            </w:pPr>
            <w:r w:rsidRPr="00B915F8">
              <w:t>Amendement</w:t>
            </w:r>
          </w:p>
        </w:tc>
      </w:tr>
      <w:tr w:rsidR="00BF7ACA" w:rsidRPr="00355860" w14:paraId="0914D608" w14:textId="77777777" w:rsidTr="007924BE">
        <w:trPr>
          <w:jc w:val="center"/>
        </w:trPr>
        <w:tc>
          <w:tcPr>
            <w:tcW w:w="4876" w:type="dxa"/>
          </w:tcPr>
          <w:p w14:paraId="22E529E0" w14:textId="77777777" w:rsidR="00BF7ACA" w:rsidRPr="00B915F8" w:rsidRDefault="00BF7ACA" w:rsidP="007924BE">
            <w:pPr>
              <w:pStyle w:val="Normal6"/>
            </w:pPr>
          </w:p>
        </w:tc>
        <w:tc>
          <w:tcPr>
            <w:tcW w:w="4876" w:type="dxa"/>
            <w:hideMark/>
          </w:tcPr>
          <w:p w14:paraId="4C844340" w14:textId="77777777" w:rsidR="00BF7ACA" w:rsidRPr="00DC274A" w:rsidRDefault="00BF7ACA" w:rsidP="007924BE">
            <w:pPr>
              <w:pStyle w:val="Normal6"/>
              <w:rPr>
                <w:b/>
                <w:i/>
                <w:szCs w:val="24"/>
              </w:rPr>
            </w:pPr>
            <w:r w:rsidRPr="00DC274A">
              <w:rPr>
                <w:b/>
                <w:i/>
              </w:rPr>
              <w:t>(c bis)</w:t>
            </w:r>
            <w:r w:rsidRPr="00DC274A">
              <w:rPr>
                <w:b/>
                <w:i/>
              </w:rPr>
              <w:tab/>
              <w:t>respectent les principes de l’efficacité du développement, notamment le déliement de l’aide, l’appropriation démocratique, l’alignement sur les stratégies nationales et la responsabilité mutuelle;</w:t>
            </w:r>
          </w:p>
        </w:tc>
      </w:tr>
    </w:tbl>
    <w:p w14:paraId="7F6393F8"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A309199" w14:textId="77777777" w:rsidR="00BF7ACA" w:rsidRPr="00BF7ACA" w:rsidRDefault="00BF7ACA" w:rsidP="00BF7ACA">
      <w:r w:rsidRPr="00BF7ACA">
        <w:rPr>
          <w:rStyle w:val="HideTWBExt"/>
        </w:rPr>
        <w:t>&lt;/Amend&gt;</w:t>
      </w:r>
    </w:p>
    <w:p w14:paraId="3DEA8C4F"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278</w:t>
      </w:r>
      <w:r w:rsidRPr="00BF7ACA">
        <w:rPr>
          <w:rStyle w:val="HideTWBExt"/>
          <w:b w:val="0"/>
        </w:rPr>
        <w:t>&lt;/NumAm&gt;</w:t>
      </w:r>
    </w:p>
    <w:p w14:paraId="6A158545"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56A68859" w14:textId="77777777" w:rsidR="00BF7ACA" w:rsidRPr="00355860" w:rsidRDefault="00BF7ACA" w:rsidP="00BF7ACA">
      <w:r>
        <w:rPr>
          <w:rStyle w:val="HideTWBExt"/>
        </w:rPr>
        <w:t>&lt;/RepeatBlock-By&gt;</w:t>
      </w:r>
    </w:p>
    <w:p w14:paraId="4DC9A7D5"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4C3866A0" w14:textId="77777777" w:rsidR="00BF7ACA" w:rsidRPr="00355860" w:rsidRDefault="00BF7ACA" w:rsidP="00BF7ACA">
      <w:pPr>
        <w:pStyle w:val="NormalBold"/>
      </w:pPr>
      <w:r>
        <w:rPr>
          <w:rStyle w:val="HideTWBExt"/>
          <w:b w:val="0"/>
        </w:rPr>
        <w:t>&lt;Article&gt;</w:t>
      </w:r>
      <w:r w:rsidRPr="00B915F8">
        <w:t>Article 8 – paragraphe 2 – point d</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07910ED7" w14:textId="77777777" w:rsidTr="007924BE">
        <w:trPr>
          <w:jc w:val="center"/>
        </w:trPr>
        <w:tc>
          <w:tcPr>
            <w:tcW w:w="9752" w:type="dxa"/>
            <w:gridSpan w:val="2"/>
          </w:tcPr>
          <w:p w14:paraId="2AC5F692" w14:textId="77777777" w:rsidR="00BF7ACA" w:rsidRPr="00355860" w:rsidRDefault="00BF7ACA" w:rsidP="007924BE">
            <w:pPr>
              <w:keepNext/>
            </w:pPr>
          </w:p>
        </w:tc>
      </w:tr>
      <w:tr w:rsidR="00BF7ACA" w:rsidRPr="00355860" w14:paraId="2AF384D3" w14:textId="77777777" w:rsidTr="007924BE">
        <w:trPr>
          <w:jc w:val="center"/>
        </w:trPr>
        <w:tc>
          <w:tcPr>
            <w:tcW w:w="4876" w:type="dxa"/>
            <w:hideMark/>
          </w:tcPr>
          <w:p w14:paraId="62F312BD" w14:textId="77777777" w:rsidR="00BF7ACA" w:rsidRPr="00B915F8" w:rsidRDefault="00BF7ACA" w:rsidP="007924BE">
            <w:pPr>
              <w:pStyle w:val="ColumnHeading"/>
              <w:keepNext/>
            </w:pPr>
            <w:r w:rsidRPr="00B915F8">
              <w:t>Texte proposé par la Commission</w:t>
            </w:r>
          </w:p>
        </w:tc>
        <w:tc>
          <w:tcPr>
            <w:tcW w:w="4876" w:type="dxa"/>
            <w:hideMark/>
          </w:tcPr>
          <w:p w14:paraId="2222C530" w14:textId="77777777" w:rsidR="00BF7ACA" w:rsidRPr="00B915F8" w:rsidRDefault="00BF7ACA" w:rsidP="007924BE">
            <w:pPr>
              <w:pStyle w:val="ColumnHeading"/>
              <w:keepNext/>
            </w:pPr>
            <w:r w:rsidRPr="00B915F8">
              <w:t>Amendement</w:t>
            </w:r>
          </w:p>
        </w:tc>
      </w:tr>
      <w:tr w:rsidR="00BF7ACA" w:rsidRPr="00355860" w14:paraId="193DB186" w14:textId="77777777" w:rsidTr="007924BE">
        <w:trPr>
          <w:jc w:val="center"/>
        </w:trPr>
        <w:tc>
          <w:tcPr>
            <w:tcW w:w="4876" w:type="dxa"/>
            <w:hideMark/>
          </w:tcPr>
          <w:p w14:paraId="5B3B69F1" w14:textId="77777777" w:rsidR="00BF7ACA" w:rsidRPr="00DC274A" w:rsidRDefault="00BF7ACA" w:rsidP="007924BE">
            <w:pPr>
              <w:pStyle w:val="Normal6"/>
              <w:rPr>
                <w:b/>
                <w:i/>
              </w:rPr>
            </w:pPr>
            <w:r w:rsidRPr="00DC274A">
              <w:t>(d)</w:t>
            </w:r>
            <w:r w:rsidRPr="00DC274A">
              <w:rPr>
                <w:b/>
                <w:i/>
              </w:rPr>
              <w:tab/>
            </w:r>
            <w:r w:rsidRPr="00DC274A">
              <w:t>sont viables sur le plan technique et durables d’un point de vue environnemental et social; et</w:t>
            </w:r>
          </w:p>
        </w:tc>
        <w:tc>
          <w:tcPr>
            <w:tcW w:w="4876" w:type="dxa"/>
            <w:hideMark/>
          </w:tcPr>
          <w:p w14:paraId="115C33D8" w14:textId="77777777" w:rsidR="00BF7ACA" w:rsidRPr="00DC274A" w:rsidRDefault="00BF7ACA" w:rsidP="007924BE">
            <w:pPr>
              <w:pStyle w:val="Normal6"/>
              <w:rPr>
                <w:b/>
                <w:i/>
                <w:szCs w:val="24"/>
              </w:rPr>
            </w:pPr>
            <w:r w:rsidRPr="00DC274A">
              <w:t>(d)</w:t>
            </w:r>
            <w:r w:rsidRPr="00DC274A">
              <w:rPr>
                <w:b/>
                <w:i/>
              </w:rPr>
              <w:tab/>
            </w:r>
            <w:r w:rsidRPr="00DC274A">
              <w:t>sont viables sur le plan technique et durables d’un point de vue environnemental et social</w:t>
            </w:r>
            <w:r w:rsidRPr="00DC274A">
              <w:rPr>
                <w:b/>
                <w:i/>
              </w:rPr>
              <w:t>, tout en respectant les droits de l’homme</w:t>
            </w:r>
            <w:r w:rsidRPr="00DC274A">
              <w:t>; et</w:t>
            </w:r>
          </w:p>
        </w:tc>
      </w:tr>
    </w:tbl>
    <w:p w14:paraId="6ED0232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1E1F905" w14:textId="77777777" w:rsidR="00BF7ACA" w:rsidRPr="00BF7ACA" w:rsidRDefault="00BF7ACA" w:rsidP="00BF7ACA">
      <w:r w:rsidRPr="00BF7ACA">
        <w:rPr>
          <w:rStyle w:val="HideTWBExt"/>
        </w:rPr>
        <w:t>&lt;/Amend&gt;</w:t>
      </w:r>
    </w:p>
    <w:p w14:paraId="0B969126"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279</w:t>
      </w:r>
      <w:r w:rsidRPr="00BF7ACA">
        <w:rPr>
          <w:rStyle w:val="HideTWBExt"/>
          <w:b w:val="0"/>
        </w:rPr>
        <w:t>&lt;/NumAm&gt;</w:t>
      </w:r>
    </w:p>
    <w:p w14:paraId="2A4B21CB"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1F5C2B0F" w14:textId="77777777" w:rsidR="00BF7ACA" w:rsidRPr="00355860" w:rsidRDefault="00BF7ACA" w:rsidP="00BF7ACA">
      <w:r>
        <w:rPr>
          <w:rStyle w:val="HideTWBExt"/>
        </w:rPr>
        <w:t>&lt;/RepeatBlock-By&gt;</w:t>
      </w:r>
    </w:p>
    <w:p w14:paraId="2DECAEC6"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6BF9B0FA" w14:textId="77777777" w:rsidR="00BF7ACA" w:rsidRPr="00355860" w:rsidRDefault="00BF7ACA" w:rsidP="00BF7ACA">
      <w:pPr>
        <w:pStyle w:val="NormalBold"/>
      </w:pPr>
      <w:r>
        <w:rPr>
          <w:rStyle w:val="HideTWBExt"/>
          <w:b w:val="0"/>
        </w:rPr>
        <w:t>&lt;Article&gt;</w:t>
      </w:r>
      <w:r w:rsidRPr="00B915F8">
        <w:t>Article 8 – paragraphe 2 – point 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65E8DB71" w14:textId="77777777" w:rsidTr="007924BE">
        <w:trPr>
          <w:jc w:val="center"/>
        </w:trPr>
        <w:tc>
          <w:tcPr>
            <w:tcW w:w="9752" w:type="dxa"/>
            <w:gridSpan w:val="2"/>
          </w:tcPr>
          <w:p w14:paraId="650758DC" w14:textId="77777777" w:rsidR="00BF7ACA" w:rsidRPr="00355860" w:rsidRDefault="00BF7ACA" w:rsidP="007924BE">
            <w:pPr>
              <w:keepNext/>
            </w:pPr>
          </w:p>
        </w:tc>
      </w:tr>
      <w:tr w:rsidR="00BF7ACA" w:rsidRPr="00355860" w14:paraId="2B6C7443" w14:textId="77777777" w:rsidTr="007924BE">
        <w:trPr>
          <w:jc w:val="center"/>
        </w:trPr>
        <w:tc>
          <w:tcPr>
            <w:tcW w:w="4876" w:type="dxa"/>
            <w:hideMark/>
          </w:tcPr>
          <w:p w14:paraId="313770FE" w14:textId="77777777" w:rsidR="00BF7ACA" w:rsidRPr="00B915F8" w:rsidRDefault="00BF7ACA" w:rsidP="007924BE">
            <w:pPr>
              <w:pStyle w:val="ColumnHeading"/>
              <w:keepNext/>
            </w:pPr>
            <w:r w:rsidRPr="00B915F8">
              <w:t>Texte proposé par la Commission</w:t>
            </w:r>
          </w:p>
        </w:tc>
        <w:tc>
          <w:tcPr>
            <w:tcW w:w="4876" w:type="dxa"/>
            <w:hideMark/>
          </w:tcPr>
          <w:p w14:paraId="36F68C2D" w14:textId="77777777" w:rsidR="00BF7ACA" w:rsidRPr="00B915F8" w:rsidRDefault="00BF7ACA" w:rsidP="007924BE">
            <w:pPr>
              <w:pStyle w:val="ColumnHeading"/>
              <w:keepNext/>
            </w:pPr>
            <w:r w:rsidRPr="00B915F8">
              <w:t>Amendement</w:t>
            </w:r>
          </w:p>
        </w:tc>
      </w:tr>
      <w:tr w:rsidR="00BF7ACA" w:rsidRPr="00355860" w14:paraId="70ED50E3" w14:textId="77777777" w:rsidTr="007924BE">
        <w:trPr>
          <w:jc w:val="center"/>
        </w:trPr>
        <w:tc>
          <w:tcPr>
            <w:tcW w:w="4876" w:type="dxa"/>
            <w:hideMark/>
          </w:tcPr>
          <w:p w14:paraId="7AB506FA" w14:textId="77777777" w:rsidR="00BF7ACA" w:rsidRPr="00DC274A" w:rsidRDefault="00BF7ACA" w:rsidP="007924BE">
            <w:pPr>
              <w:pStyle w:val="Normal6"/>
              <w:rPr>
                <w:b/>
                <w:i/>
              </w:rPr>
            </w:pPr>
            <w:r w:rsidRPr="00DC274A">
              <w:t>(e)</w:t>
            </w:r>
            <w:r w:rsidRPr="00DC274A">
              <w:rPr>
                <w:b/>
                <w:i/>
              </w:rPr>
              <w:tab/>
            </w:r>
            <w:r w:rsidRPr="00DC274A">
              <w:t>maximisent la</w:t>
            </w:r>
            <w:r w:rsidRPr="00DC274A">
              <w:rPr>
                <w:b/>
                <w:i/>
              </w:rPr>
              <w:t xml:space="preserve"> mobilisation de capitaux du secteur privé</w:t>
            </w:r>
            <w:r w:rsidRPr="00DC274A">
              <w:t>.</w:t>
            </w:r>
          </w:p>
        </w:tc>
        <w:tc>
          <w:tcPr>
            <w:tcW w:w="4876" w:type="dxa"/>
            <w:hideMark/>
          </w:tcPr>
          <w:p w14:paraId="0DD9A075" w14:textId="77777777" w:rsidR="00BF7ACA" w:rsidRPr="00DC274A" w:rsidRDefault="00BF7ACA" w:rsidP="007924BE">
            <w:pPr>
              <w:pStyle w:val="Normal6"/>
              <w:rPr>
                <w:b/>
                <w:i/>
                <w:szCs w:val="24"/>
              </w:rPr>
            </w:pPr>
            <w:r w:rsidRPr="00DC274A">
              <w:t>(e)</w:t>
            </w:r>
            <w:r w:rsidRPr="00DC274A">
              <w:rPr>
                <w:b/>
                <w:i/>
              </w:rPr>
              <w:tab/>
            </w:r>
            <w:r w:rsidRPr="00DC274A">
              <w:t>maximisent</w:t>
            </w:r>
            <w:r w:rsidRPr="00DC274A">
              <w:rPr>
                <w:b/>
                <w:i/>
              </w:rPr>
              <w:t xml:space="preserve"> les capacités locales d’investissement, en veillant à ce que les investissements privés soient destinés à des projets publics utiles à</w:t>
            </w:r>
            <w:r w:rsidRPr="00DC274A">
              <w:t xml:space="preserve"> la</w:t>
            </w:r>
            <w:r w:rsidRPr="00DC274A">
              <w:rPr>
                <w:b/>
                <w:i/>
              </w:rPr>
              <w:t xml:space="preserve"> société et acceptés démocratiquement, et en veillant à la responsabilité des investissements, afin d’éviter la privatisation des bénéfices et la socialisation des pertes susceptibles de découler de ces investissements</w:t>
            </w:r>
            <w:r w:rsidRPr="00DC274A">
              <w:t>.</w:t>
            </w:r>
          </w:p>
        </w:tc>
      </w:tr>
    </w:tbl>
    <w:p w14:paraId="5B4510FF"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3A9DC49" w14:textId="77777777" w:rsidR="00BF7ACA" w:rsidRPr="00BF7ACA" w:rsidRDefault="00BF7ACA" w:rsidP="00BF7ACA">
      <w:r w:rsidRPr="00BF7ACA">
        <w:rPr>
          <w:rStyle w:val="HideTWBExt"/>
        </w:rPr>
        <w:t>&lt;/Amend&gt;</w:t>
      </w:r>
    </w:p>
    <w:p w14:paraId="5038FB4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280</w:t>
      </w:r>
      <w:r w:rsidRPr="00BF7ACA">
        <w:rPr>
          <w:rStyle w:val="HideTWBExt"/>
          <w:b w:val="0"/>
        </w:rPr>
        <w:t>&lt;/NumAm&gt;</w:t>
      </w:r>
    </w:p>
    <w:p w14:paraId="350D4963"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59C51CFA" w14:textId="77777777" w:rsidR="00BF7ACA" w:rsidRPr="00355860" w:rsidRDefault="00BF7ACA" w:rsidP="00BF7ACA">
      <w:r>
        <w:rPr>
          <w:rStyle w:val="HideTWBExt"/>
        </w:rPr>
        <w:t>&lt;/RepeatBlock-By&gt;</w:t>
      </w:r>
    </w:p>
    <w:p w14:paraId="79F57DA1"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9E18F62" w14:textId="77777777" w:rsidR="00BF7ACA" w:rsidRPr="00355860" w:rsidRDefault="00BF7ACA" w:rsidP="00BF7ACA">
      <w:pPr>
        <w:pStyle w:val="NormalBold"/>
      </w:pPr>
      <w:r>
        <w:rPr>
          <w:rStyle w:val="HideTWBExt"/>
          <w:b w:val="0"/>
        </w:rPr>
        <w:t>&lt;Article&gt;</w:t>
      </w:r>
      <w:r w:rsidRPr="00B915F8">
        <w:t>Article 8 – paragraphe 2 – point 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578AA568" w14:textId="77777777" w:rsidTr="007924BE">
        <w:trPr>
          <w:jc w:val="center"/>
        </w:trPr>
        <w:tc>
          <w:tcPr>
            <w:tcW w:w="9752" w:type="dxa"/>
            <w:gridSpan w:val="2"/>
          </w:tcPr>
          <w:p w14:paraId="3D469338" w14:textId="77777777" w:rsidR="00BF7ACA" w:rsidRPr="00355860" w:rsidRDefault="00BF7ACA" w:rsidP="007924BE">
            <w:pPr>
              <w:keepNext/>
            </w:pPr>
          </w:p>
        </w:tc>
      </w:tr>
      <w:tr w:rsidR="00BF7ACA" w:rsidRPr="00355860" w14:paraId="40911E20" w14:textId="77777777" w:rsidTr="007924BE">
        <w:trPr>
          <w:jc w:val="center"/>
        </w:trPr>
        <w:tc>
          <w:tcPr>
            <w:tcW w:w="4876" w:type="dxa"/>
            <w:hideMark/>
          </w:tcPr>
          <w:p w14:paraId="7CF86D5B" w14:textId="77777777" w:rsidR="00BF7ACA" w:rsidRPr="00B915F8" w:rsidRDefault="00BF7ACA" w:rsidP="007924BE">
            <w:pPr>
              <w:pStyle w:val="ColumnHeading"/>
              <w:keepNext/>
            </w:pPr>
            <w:r w:rsidRPr="00B915F8">
              <w:t>Texte proposé par la Commission</w:t>
            </w:r>
          </w:p>
        </w:tc>
        <w:tc>
          <w:tcPr>
            <w:tcW w:w="4876" w:type="dxa"/>
            <w:hideMark/>
          </w:tcPr>
          <w:p w14:paraId="61882F72" w14:textId="77777777" w:rsidR="00BF7ACA" w:rsidRPr="00B915F8" w:rsidRDefault="00BF7ACA" w:rsidP="007924BE">
            <w:pPr>
              <w:pStyle w:val="ColumnHeading"/>
              <w:keepNext/>
            </w:pPr>
            <w:r w:rsidRPr="00B915F8">
              <w:t>Amendement</w:t>
            </w:r>
          </w:p>
        </w:tc>
      </w:tr>
      <w:tr w:rsidR="00BF7ACA" w:rsidRPr="00355860" w14:paraId="153C9A4D" w14:textId="77777777" w:rsidTr="007924BE">
        <w:trPr>
          <w:jc w:val="center"/>
        </w:trPr>
        <w:tc>
          <w:tcPr>
            <w:tcW w:w="4876" w:type="dxa"/>
            <w:hideMark/>
          </w:tcPr>
          <w:p w14:paraId="1A3D992E" w14:textId="77777777" w:rsidR="00BF7ACA" w:rsidRPr="00DC274A" w:rsidRDefault="00BF7ACA" w:rsidP="007924BE">
            <w:pPr>
              <w:pStyle w:val="Normal6"/>
              <w:rPr>
                <w:b/>
                <w:i/>
              </w:rPr>
            </w:pPr>
            <w:r w:rsidRPr="00DC274A">
              <w:t>(e)</w:t>
            </w:r>
            <w:r w:rsidRPr="00DC274A">
              <w:rPr>
                <w:b/>
                <w:i/>
              </w:rPr>
              <w:tab/>
              <w:t>maximisent la mobilisation de</w:t>
            </w:r>
            <w:r w:rsidRPr="00DC274A">
              <w:t xml:space="preserve"> capitaux du secteur privé.</w:t>
            </w:r>
          </w:p>
        </w:tc>
        <w:tc>
          <w:tcPr>
            <w:tcW w:w="4876" w:type="dxa"/>
            <w:hideMark/>
          </w:tcPr>
          <w:p w14:paraId="482A2E3C" w14:textId="77777777" w:rsidR="00BF7ACA" w:rsidRPr="00DC274A" w:rsidRDefault="00BF7ACA" w:rsidP="007924BE">
            <w:pPr>
              <w:pStyle w:val="Normal6"/>
              <w:rPr>
                <w:b/>
                <w:i/>
                <w:szCs w:val="24"/>
              </w:rPr>
            </w:pPr>
            <w:r w:rsidRPr="00DC274A">
              <w:t>(e)</w:t>
            </w:r>
            <w:r w:rsidRPr="00DC274A">
              <w:rPr>
                <w:b/>
                <w:i/>
              </w:rPr>
              <w:tab/>
              <w:t>mobilisent significativement les</w:t>
            </w:r>
            <w:r w:rsidRPr="00DC274A">
              <w:t xml:space="preserve"> capitaux du secteur privé.</w:t>
            </w:r>
          </w:p>
        </w:tc>
      </w:tr>
    </w:tbl>
    <w:p w14:paraId="50F84208"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F0A0060" w14:textId="77777777" w:rsidR="00BF7ACA" w:rsidRPr="00BF7ACA" w:rsidRDefault="00BF7ACA" w:rsidP="00BF7ACA">
      <w:r w:rsidRPr="00BF7ACA">
        <w:rPr>
          <w:rStyle w:val="HideTWBExt"/>
        </w:rPr>
        <w:t>&lt;/Amend&gt;</w:t>
      </w:r>
    </w:p>
    <w:p w14:paraId="14171CA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281</w:t>
      </w:r>
      <w:r w:rsidRPr="00BF7ACA">
        <w:rPr>
          <w:rStyle w:val="HideTWBExt"/>
          <w:b w:val="0"/>
        </w:rPr>
        <w:t>&lt;/NumAm&gt;</w:t>
      </w:r>
    </w:p>
    <w:p w14:paraId="55B30B88" w14:textId="77777777" w:rsidR="00BF7ACA" w:rsidRPr="00BF7ACA" w:rsidRDefault="00BF7ACA" w:rsidP="00BF7ACA">
      <w:pPr>
        <w:pStyle w:val="NormalBold"/>
      </w:pPr>
      <w:r w:rsidRPr="00BF7ACA">
        <w:rPr>
          <w:rStyle w:val="HideTWBExt"/>
          <w:b w:val="0"/>
        </w:rPr>
        <w:t>&lt;RepeatBlock-By&gt;&lt;Members&gt;</w:t>
      </w:r>
      <w:r w:rsidRPr="00BF7ACA">
        <w:t>Maurice Ponga, Paul Rübig, Bogdan Brunon Wenta</w:t>
      </w:r>
      <w:r w:rsidRPr="00BF7ACA">
        <w:rPr>
          <w:rStyle w:val="HideTWBExt"/>
          <w:b w:val="0"/>
        </w:rPr>
        <w:t>&lt;/Members&gt;</w:t>
      </w:r>
    </w:p>
    <w:p w14:paraId="50CE4A94" w14:textId="77777777" w:rsidR="00BF7ACA" w:rsidRPr="00355860" w:rsidRDefault="00BF7ACA" w:rsidP="00BF7ACA">
      <w:r>
        <w:rPr>
          <w:rStyle w:val="HideTWBExt"/>
        </w:rPr>
        <w:t>&lt;/RepeatBlock-By&gt;</w:t>
      </w:r>
    </w:p>
    <w:p w14:paraId="150FF85E"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20B7F781" w14:textId="77777777" w:rsidR="00BF7ACA" w:rsidRPr="00355860" w:rsidRDefault="00BF7ACA" w:rsidP="00BF7ACA">
      <w:pPr>
        <w:pStyle w:val="NormalBold"/>
      </w:pPr>
      <w:r>
        <w:rPr>
          <w:rStyle w:val="HideTWBExt"/>
          <w:b w:val="0"/>
        </w:rPr>
        <w:t>&lt;Article&gt;</w:t>
      </w:r>
      <w:r w:rsidRPr="00B915F8">
        <w:t>Article 8 – paragraphe 2 – point e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06789B94" w14:textId="77777777" w:rsidTr="007924BE">
        <w:trPr>
          <w:jc w:val="center"/>
        </w:trPr>
        <w:tc>
          <w:tcPr>
            <w:tcW w:w="9752" w:type="dxa"/>
            <w:gridSpan w:val="2"/>
          </w:tcPr>
          <w:p w14:paraId="4C9EE309" w14:textId="77777777" w:rsidR="00BF7ACA" w:rsidRPr="00355860" w:rsidRDefault="00BF7ACA" w:rsidP="007924BE">
            <w:pPr>
              <w:keepNext/>
            </w:pPr>
          </w:p>
        </w:tc>
      </w:tr>
      <w:tr w:rsidR="00BF7ACA" w:rsidRPr="00355860" w14:paraId="40ADA6D0" w14:textId="77777777" w:rsidTr="007924BE">
        <w:trPr>
          <w:jc w:val="center"/>
        </w:trPr>
        <w:tc>
          <w:tcPr>
            <w:tcW w:w="4876" w:type="dxa"/>
            <w:hideMark/>
          </w:tcPr>
          <w:p w14:paraId="5BF51EEE" w14:textId="77777777" w:rsidR="00BF7ACA" w:rsidRPr="00B915F8" w:rsidRDefault="00BF7ACA" w:rsidP="007924BE">
            <w:pPr>
              <w:pStyle w:val="ColumnHeading"/>
              <w:keepNext/>
            </w:pPr>
            <w:r w:rsidRPr="00B915F8">
              <w:t>Texte proposé par la Commission</w:t>
            </w:r>
          </w:p>
        </w:tc>
        <w:tc>
          <w:tcPr>
            <w:tcW w:w="4876" w:type="dxa"/>
            <w:hideMark/>
          </w:tcPr>
          <w:p w14:paraId="65B08A11" w14:textId="77777777" w:rsidR="00BF7ACA" w:rsidRPr="00B915F8" w:rsidRDefault="00BF7ACA" w:rsidP="007924BE">
            <w:pPr>
              <w:pStyle w:val="ColumnHeading"/>
              <w:keepNext/>
            </w:pPr>
            <w:r w:rsidRPr="00B915F8">
              <w:t>Amendement</w:t>
            </w:r>
          </w:p>
        </w:tc>
      </w:tr>
      <w:tr w:rsidR="00BF7ACA" w:rsidRPr="00355860" w14:paraId="42A4C704" w14:textId="77777777" w:rsidTr="007924BE">
        <w:trPr>
          <w:jc w:val="center"/>
        </w:trPr>
        <w:tc>
          <w:tcPr>
            <w:tcW w:w="4876" w:type="dxa"/>
          </w:tcPr>
          <w:p w14:paraId="60E53DF8" w14:textId="77777777" w:rsidR="00BF7ACA" w:rsidRPr="00B915F8" w:rsidRDefault="00BF7ACA" w:rsidP="007924BE">
            <w:pPr>
              <w:pStyle w:val="Normal6"/>
            </w:pPr>
          </w:p>
        </w:tc>
        <w:tc>
          <w:tcPr>
            <w:tcW w:w="4876" w:type="dxa"/>
            <w:hideMark/>
          </w:tcPr>
          <w:p w14:paraId="55874D13" w14:textId="77777777" w:rsidR="00BF7ACA" w:rsidRPr="00DC274A" w:rsidRDefault="00BF7ACA" w:rsidP="007924BE">
            <w:pPr>
              <w:pStyle w:val="Normal6"/>
              <w:rPr>
                <w:b/>
                <w:i/>
                <w:szCs w:val="24"/>
              </w:rPr>
            </w:pPr>
            <w:r w:rsidRPr="00DC274A">
              <w:rPr>
                <w:b/>
                <w:i/>
              </w:rPr>
              <w:t>(e bis)</w:t>
            </w:r>
            <w:r w:rsidRPr="00DC274A">
              <w:rPr>
                <w:b/>
                <w:i/>
              </w:rPr>
              <w:tab/>
              <w:t>respectent le principe de l’efficacité du développement avalisé dans le cadre du partenariat de Busan pour une coopération efficace au service du développement et réaffirmé à Nairobi en décembre 2016;</w:t>
            </w:r>
          </w:p>
        </w:tc>
      </w:tr>
    </w:tbl>
    <w:p w14:paraId="4673BA9F"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0CB3B41" w14:textId="77777777" w:rsidR="00BF7ACA" w:rsidRPr="00BF7ACA" w:rsidRDefault="00BF7ACA" w:rsidP="00BF7ACA">
      <w:r w:rsidRPr="00BF7ACA">
        <w:rPr>
          <w:rStyle w:val="HideTWBExt"/>
        </w:rPr>
        <w:t>&lt;/Amend&gt;</w:t>
      </w:r>
    </w:p>
    <w:p w14:paraId="3DFAFD0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282</w:t>
      </w:r>
      <w:r w:rsidRPr="00BF7ACA">
        <w:rPr>
          <w:rStyle w:val="HideTWBExt"/>
          <w:b w:val="0"/>
        </w:rPr>
        <w:t>&lt;/NumAm&gt;</w:t>
      </w:r>
    </w:p>
    <w:p w14:paraId="60C9EF3A" w14:textId="77777777" w:rsidR="00BF7ACA" w:rsidRPr="00BF7ACA" w:rsidRDefault="00BF7ACA" w:rsidP="00BF7ACA">
      <w:pPr>
        <w:pStyle w:val="NormalBold"/>
      </w:pPr>
      <w:r w:rsidRPr="00BF7ACA">
        <w:rPr>
          <w:rStyle w:val="HideTWBExt"/>
          <w:b w:val="0"/>
        </w:rPr>
        <w:t>&lt;RepeatBlock-By&gt;&lt;Members&gt;</w:t>
      </w:r>
      <w:r w:rsidRPr="00BF7ACA">
        <w:t>Eleni Theocharous</w:t>
      </w:r>
      <w:r w:rsidRPr="00BF7ACA">
        <w:rPr>
          <w:rStyle w:val="HideTWBExt"/>
          <w:b w:val="0"/>
        </w:rPr>
        <w:t>&lt;/Members&gt;</w:t>
      </w:r>
    </w:p>
    <w:p w14:paraId="3DEB5D4F" w14:textId="77777777" w:rsidR="00BF7ACA" w:rsidRPr="00355860" w:rsidRDefault="00BF7ACA" w:rsidP="00BF7ACA">
      <w:r>
        <w:rPr>
          <w:rStyle w:val="HideTWBExt"/>
        </w:rPr>
        <w:t>&lt;/RepeatBlock-By&gt;</w:t>
      </w:r>
    </w:p>
    <w:p w14:paraId="0967865B"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6399FEB0" w14:textId="77777777" w:rsidR="00BF7ACA" w:rsidRPr="00355860" w:rsidRDefault="00BF7ACA" w:rsidP="00BF7ACA">
      <w:pPr>
        <w:pStyle w:val="NormalBold"/>
      </w:pPr>
      <w:r>
        <w:rPr>
          <w:rStyle w:val="HideTWBExt"/>
          <w:b w:val="0"/>
        </w:rPr>
        <w:t>&lt;Article&gt;</w:t>
      </w:r>
      <w:r w:rsidRPr="00B915F8">
        <w:t>Article 8 – paragraphe 2 – point e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34DDFDF8" w14:textId="77777777" w:rsidTr="007924BE">
        <w:trPr>
          <w:jc w:val="center"/>
        </w:trPr>
        <w:tc>
          <w:tcPr>
            <w:tcW w:w="9752" w:type="dxa"/>
            <w:gridSpan w:val="2"/>
          </w:tcPr>
          <w:p w14:paraId="25CC9788" w14:textId="77777777" w:rsidR="00BF7ACA" w:rsidRPr="00355860" w:rsidRDefault="00BF7ACA" w:rsidP="007924BE">
            <w:pPr>
              <w:keepNext/>
            </w:pPr>
          </w:p>
        </w:tc>
      </w:tr>
      <w:tr w:rsidR="00BF7ACA" w:rsidRPr="00355860" w14:paraId="7D3C6122" w14:textId="77777777" w:rsidTr="007924BE">
        <w:trPr>
          <w:jc w:val="center"/>
        </w:trPr>
        <w:tc>
          <w:tcPr>
            <w:tcW w:w="4876" w:type="dxa"/>
            <w:hideMark/>
          </w:tcPr>
          <w:p w14:paraId="4364EA76" w14:textId="77777777" w:rsidR="00BF7ACA" w:rsidRPr="00B915F8" w:rsidRDefault="00BF7ACA" w:rsidP="007924BE">
            <w:pPr>
              <w:pStyle w:val="ColumnHeading"/>
              <w:keepNext/>
            </w:pPr>
            <w:r w:rsidRPr="00B915F8">
              <w:t>Texte proposé par la Commission</w:t>
            </w:r>
          </w:p>
        </w:tc>
        <w:tc>
          <w:tcPr>
            <w:tcW w:w="4876" w:type="dxa"/>
            <w:hideMark/>
          </w:tcPr>
          <w:p w14:paraId="118382C4" w14:textId="77777777" w:rsidR="00BF7ACA" w:rsidRPr="00B915F8" w:rsidRDefault="00BF7ACA" w:rsidP="007924BE">
            <w:pPr>
              <w:pStyle w:val="ColumnHeading"/>
              <w:keepNext/>
            </w:pPr>
            <w:r w:rsidRPr="00B915F8">
              <w:t>Amendement</w:t>
            </w:r>
          </w:p>
        </w:tc>
      </w:tr>
      <w:tr w:rsidR="00BF7ACA" w:rsidRPr="00355860" w14:paraId="44111239" w14:textId="77777777" w:rsidTr="007924BE">
        <w:trPr>
          <w:jc w:val="center"/>
        </w:trPr>
        <w:tc>
          <w:tcPr>
            <w:tcW w:w="4876" w:type="dxa"/>
          </w:tcPr>
          <w:p w14:paraId="10673D94" w14:textId="77777777" w:rsidR="00BF7ACA" w:rsidRPr="00B915F8" w:rsidRDefault="00BF7ACA" w:rsidP="007924BE">
            <w:pPr>
              <w:pStyle w:val="Normal6"/>
            </w:pPr>
          </w:p>
        </w:tc>
        <w:tc>
          <w:tcPr>
            <w:tcW w:w="4876" w:type="dxa"/>
            <w:hideMark/>
          </w:tcPr>
          <w:p w14:paraId="63B223B7" w14:textId="77777777" w:rsidR="00BF7ACA" w:rsidRPr="00DC274A" w:rsidRDefault="00BF7ACA" w:rsidP="007924BE">
            <w:pPr>
              <w:pStyle w:val="Normal6"/>
              <w:rPr>
                <w:b/>
                <w:i/>
                <w:szCs w:val="24"/>
              </w:rPr>
            </w:pPr>
            <w:r w:rsidRPr="00DC274A">
              <w:rPr>
                <w:b/>
                <w:i/>
              </w:rPr>
              <w:t>(e bis)</w:t>
            </w:r>
            <w:r w:rsidRPr="00DC274A">
              <w:rPr>
                <w:b/>
                <w:i/>
              </w:rPr>
              <w:tab/>
              <w:t>respectent les principes de l’efficacité du développement énoncés dans le partenariat de Busan, notamment le déliement de l’aide.</w:t>
            </w:r>
          </w:p>
        </w:tc>
      </w:tr>
    </w:tbl>
    <w:p w14:paraId="5DF50061"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B1C63C1" w14:textId="77777777" w:rsidR="00BF7ACA" w:rsidRPr="00BF7ACA" w:rsidRDefault="00BF7ACA" w:rsidP="00BF7ACA">
      <w:r w:rsidRPr="00BF7ACA">
        <w:rPr>
          <w:rStyle w:val="HideTWBExt"/>
        </w:rPr>
        <w:t>&lt;/Amend&gt;</w:t>
      </w:r>
    </w:p>
    <w:p w14:paraId="5E31315A"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283</w:t>
      </w:r>
      <w:r w:rsidRPr="00BF7ACA">
        <w:rPr>
          <w:rStyle w:val="HideTWBExt"/>
          <w:b w:val="0"/>
        </w:rPr>
        <w:t>&lt;/NumAm&gt;</w:t>
      </w:r>
    </w:p>
    <w:p w14:paraId="203F29E8"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32376573" w14:textId="77777777" w:rsidR="00BF7ACA" w:rsidRPr="00355860" w:rsidRDefault="00BF7ACA" w:rsidP="00BF7ACA">
      <w:r>
        <w:rPr>
          <w:rStyle w:val="HideTWBExt"/>
        </w:rPr>
        <w:t>&lt;/RepeatBlock-By&gt;</w:t>
      </w:r>
    </w:p>
    <w:p w14:paraId="123BC126"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196D9684" w14:textId="77777777" w:rsidR="00BF7ACA" w:rsidRPr="00355860" w:rsidRDefault="00BF7ACA" w:rsidP="00BF7ACA">
      <w:pPr>
        <w:pStyle w:val="NormalBold"/>
      </w:pPr>
      <w:r>
        <w:rPr>
          <w:rStyle w:val="HideTWBExt"/>
          <w:b w:val="0"/>
        </w:rPr>
        <w:t>&lt;Article&gt;</w:t>
      </w:r>
      <w:r w:rsidRPr="00B915F8">
        <w:t>Article 8 – paragraphe 2 – point e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0FFAADE3" w14:textId="77777777" w:rsidTr="007924BE">
        <w:trPr>
          <w:jc w:val="center"/>
        </w:trPr>
        <w:tc>
          <w:tcPr>
            <w:tcW w:w="9752" w:type="dxa"/>
            <w:gridSpan w:val="2"/>
          </w:tcPr>
          <w:p w14:paraId="1C33F2EA" w14:textId="77777777" w:rsidR="00BF7ACA" w:rsidRPr="00355860" w:rsidRDefault="00BF7ACA" w:rsidP="007924BE">
            <w:pPr>
              <w:keepNext/>
            </w:pPr>
          </w:p>
        </w:tc>
      </w:tr>
      <w:tr w:rsidR="00BF7ACA" w:rsidRPr="00355860" w14:paraId="04350267" w14:textId="77777777" w:rsidTr="007924BE">
        <w:trPr>
          <w:jc w:val="center"/>
        </w:trPr>
        <w:tc>
          <w:tcPr>
            <w:tcW w:w="4876" w:type="dxa"/>
            <w:hideMark/>
          </w:tcPr>
          <w:p w14:paraId="1EED9DC1" w14:textId="77777777" w:rsidR="00BF7ACA" w:rsidRPr="00B915F8" w:rsidRDefault="00BF7ACA" w:rsidP="007924BE">
            <w:pPr>
              <w:pStyle w:val="ColumnHeading"/>
              <w:keepNext/>
            </w:pPr>
            <w:r w:rsidRPr="00B915F8">
              <w:t>Texte proposé par la Commission</w:t>
            </w:r>
          </w:p>
        </w:tc>
        <w:tc>
          <w:tcPr>
            <w:tcW w:w="4876" w:type="dxa"/>
            <w:hideMark/>
          </w:tcPr>
          <w:p w14:paraId="1CC9C91C" w14:textId="77777777" w:rsidR="00BF7ACA" w:rsidRPr="00B915F8" w:rsidRDefault="00BF7ACA" w:rsidP="007924BE">
            <w:pPr>
              <w:pStyle w:val="ColumnHeading"/>
              <w:keepNext/>
            </w:pPr>
            <w:r w:rsidRPr="00B915F8">
              <w:t>Amendement</w:t>
            </w:r>
          </w:p>
        </w:tc>
      </w:tr>
      <w:tr w:rsidR="00BF7ACA" w:rsidRPr="00355860" w14:paraId="06D8D120" w14:textId="77777777" w:rsidTr="007924BE">
        <w:trPr>
          <w:jc w:val="center"/>
        </w:trPr>
        <w:tc>
          <w:tcPr>
            <w:tcW w:w="4876" w:type="dxa"/>
          </w:tcPr>
          <w:p w14:paraId="00A9EAFC" w14:textId="77777777" w:rsidR="00BF7ACA" w:rsidRPr="00B915F8" w:rsidRDefault="00BF7ACA" w:rsidP="007924BE">
            <w:pPr>
              <w:pStyle w:val="Normal6"/>
            </w:pPr>
          </w:p>
        </w:tc>
        <w:tc>
          <w:tcPr>
            <w:tcW w:w="4876" w:type="dxa"/>
            <w:hideMark/>
          </w:tcPr>
          <w:p w14:paraId="11A8768E" w14:textId="77777777" w:rsidR="00BF7ACA" w:rsidRPr="00DC274A" w:rsidRDefault="00BF7ACA" w:rsidP="007924BE">
            <w:pPr>
              <w:pStyle w:val="Normal6"/>
              <w:rPr>
                <w:b/>
                <w:i/>
                <w:szCs w:val="24"/>
              </w:rPr>
            </w:pPr>
            <w:r w:rsidRPr="00DC274A">
              <w:rPr>
                <w:b/>
                <w:i/>
              </w:rPr>
              <w:t>(e bis)</w:t>
            </w:r>
            <w:r w:rsidRPr="00DC274A">
              <w:rPr>
                <w:b/>
                <w:i/>
              </w:rPr>
              <w:tab/>
              <w:t>garantissent la stimulation à long terme des capacités locales en faveur de l’entretien des projets et d’autres tâches à longue échéance nécessaires à la viabilité des opérations;</w:t>
            </w:r>
          </w:p>
        </w:tc>
      </w:tr>
    </w:tbl>
    <w:p w14:paraId="46DB65B2"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9D92E2C" w14:textId="77777777" w:rsidR="00BF7ACA" w:rsidRPr="00BF7ACA" w:rsidRDefault="00BF7ACA" w:rsidP="00BF7ACA">
      <w:r w:rsidRPr="00BF7ACA">
        <w:rPr>
          <w:rStyle w:val="HideTWBExt"/>
        </w:rPr>
        <w:t>&lt;/Amend&gt;</w:t>
      </w:r>
    </w:p>
    <w:p w14:paraId="2FC9BFFE"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284</w:t>
      </w:r>
      <w:r w:rsidRPr="00BF7ACA">
        <w:rPr>
          <w:rStyle w:val="HideTWBExt"/>
          <w:b w:val="0"/>
        </w:rPr>
        <w:t>&lt;/NumAm&gt;</w:t>
      </w:r>
    </w:p>
    <w:p w14:paraId="69D73EE0" w14:textId="77777777" w:rsidR="00BF7ACA" w:rsidRPr="00BF7ACA" w:rsidRDefault="00BF7ACA" w:rsidP="00BF7ACA">
      <w:pPr>
        <w:pStyle w:val="NormalBold"/>
      </w:pPr>
      <w:r w:rsidRPr="00BF7ACA">
        <w:rPr>
          <w:rStyle w:val="HideTWBExt"/>
          <w:b w:val="0"/>
        </w:rPr>
        <w:t>&lt;RepeatBlock-By&gt;&lt;Members&gt;</w:t>
      </w:r>
      <w:r w:rsidRPr="00BF7ACA">
        <w:t>Fabio Massimo Castaldo, Ignazio Corrao, Marco Valli</w:t>
      </w:r>
      <w:r w:rsidRPr="00BF7ACA">
        <w:rPr>
          <w:rStyle w:val="HideTWBExt"/>
          <w:b w:val="0"/>
        </w:rPr>
        <w:t>&lt;/Members&gt;</w:t>
      </w:r>
    </w:p>
    <w:p w14:paraId="0193FBC8" w14:textId="77777777" w:rsidR="00BF7ACA" w:rsidRPr="00BF7ACA" w:rsidRDefault="00BF7ACA" w:rsidP="00BF7ACA">
      <w:r w:rsidRPr="00BF7ACA">
        <w:rPr>
          <w:rStyle w:val="HideTWBExt"/>
        </w:rPr>
        <w:t>&lt;/RepeatBlock-By&gt;</w:t>
      </w:r>
    </w:p>
    <w:p w14:paraId="252EEA6B" w14:textId="77777777" w:rsidR="00BF7ACA" w:rsidRPr="00BF7ACA" w:rsidRDefault="00BF7ACA" w:rsidP="00BF7ACA">
      <w:pPr>
        <w:pStyle w:val="NormalBold"/>
        <w:keepNext/>
      </w:pPr>
      <w:r w:rsidRPr="00BF7ACA">
        <w:rPr>
          <w:rStyle w:val="HideTWBExt"/>
          <w:b w:val="0"/>
        </w:rPr>
        <w:t>&lt;DocAmend&gt;</w:t>
      </w:r>
      <w:r w:rsidRPr="00BF7ACA">
        <w:t>Proposition de règlement</w:t>
      </w:r>
      <w:r w:rsidRPr="00BF7ACA">
        <w:rPr>
          <w:rStyle w:val="HideTWBExt"/>
          <w:b w:val="0"/>
        </w:rPr>
        <w:t>&lt;/DocAmend&gt;</w:t>
      </w:r>
    </w:p>
    <w:p w14:paraId="13E3DEA5" w14:textId="77777777" w:rsidR="00BF7ACA" w:rsidRPr="00E502E5" w:rsidRDefault="00BF7ACA" w:rsidP="00BF7ACA">
      <w:pPr>
        <w:pStyle w:val="NormalBold"/>
      </w:pPr>
      <w:r>
        <w:rPr>
          <w:rStyle w:val="HideTWBExt"/>
          <w:b w:val="0"/>
        </w:rPr>
        <w:t>&lt;Article&gt;</w:t>
      </w:r>
      <w:r w:rsidRPr="002E43F3">
        <w:t>Article 8 – paragraphe 2 – point e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02D938C8" w14:textId="77777777" w:rsidTr="007924BE">
        <w:trPr>
          <w:jc w:val="center"/>
        </w:trPr>
        <w:tc>
          <w:tcPr>
            <w:tcW w:w="9752" w:type="dxa"/>
            <w:gridSpan w:val="2"/>
          </w:tcPr>
          <w:p w14:paraId="27E121C5" w14:textId="77777777" w:rsidR="00BF7ACA" w:rsidRPr="00E502E5" w:rsidRDefault="00BF7ACA" w:rsidP="007924BE">
            <w:pPr>
              <w:keepNext/>
            </w:pPr>
          </w:p>
        </w:tc>
      </w:tr>
      <w:tr w:rsidR="00BF7ACA" w:rsidRPr="00E502E5" w14:paraId="5E16682E" w14:textId="77777777" w:rsidTr="007924BE">
        <w:trPr>
          <w:jc w:val="center"/>
        </w:trPr>
        <w:tc>
          <w:tcPr>
            <w:tcW w:w="4876" w:type="dxa"/>
            <w:hideMark/>
          </w:tcPr>
          <w:p w14:paraId="626400F2" w14:textId="77777777" w:rsidR="00BF7ACA" w:rsidRPr="002E43F3" w:rsidRDefault="00BF7ACA" w:rsidP="007924BE">
            <w:pPr>
              <w:pStyle w:val="ColumnHeading"/>
              <w:keepNext/>
            </w:pPr>
            <w:r w:rsidRPr="002E43F3">
              <w:t>Texte proposé par la Commission</w:t>
            </w:r>
          </w:p>
        </w:tc>
        <w:tc>
          <w:tcPr>
            <w:tcW w:w="4876" w:type="dxa"/>
            <w:hideMark/>
          </w:tcPr>
          <w:p w14:paraId="31853386" w14:textId="77777777" w:rsidR="00BF7ACA" w:rsidRPr="002E43F3" w:rsidRDefault="00BF7ACA" w:rsidP="007924BE">
            <w:pPr>
              <w:pStyle w:val="ColumnHeading"/>
              <w:keepNext/>
            </w:pPr>
            <w:r w:rsidRPr="002E43F3">
              <w:t>Amendement</w:t>
            </w:r>
          </w:p>
        </w:tc>
      </w:tr>
      <w:tr w:rsidR="00BF7ACA" w:rsidRPr="00E502E5" w14:paraId="05FCAB1C" w14:textId="77777777" w:rsidTr="007924BE">
        <w:trPr>
          <w:jc w:val="center"/>
        </w:trPr>
        <w:tc>
          <w:tcPr>
            <w:tcW w:w="4876" w:type="dxa"/>
          </w:tcPr>
          <w:p w14:paraId="1CA79803" w14:textId="77777777" w:rsidR="00BF7ACA" w:rsidRPr="002E43F3" w:rsidRDefault="00BF7ACA" w:rsidP="007924BE">
            <w:pPr>
              <w:pStyle w:val="Normal6"/>
            </w:pPr>
          </w:p>
        </w:tc>
        <w:tc>
          <w:tcPr>
            <w:tcW w:w="4876" w:type="dxa"/>
            <w:hideMark/>
          </w:tcPr>
          <w:p w14:paraId="647F62C2" w14:textId="77777777" w:rsidR="00BF7ACA" w:rsidRPr="002E43F3" w:rsidRDefault="00BF7ACA" w:rsidP="007924BE">
            <w:pPr>
              <w:pStyle w:val="Normal6"/>
              <w:rPr>
                <w:szCs w:val="24"/>
              </w:rPr>
            </w:pPr>
            <w:r w:rsidRPr="002E43F3">
              <w:rPr>
                <w:b/>
                <w:i/>
              </w:rPr>
              <w:t>(e bis)</w:t>
            </w:r>
            <w:r>
              <w:tab/>
            </w:r>
            <w:r w:rsidRPr="002E43F3">
              <w:rPr>
                <w:b/>
                <w:i/>
              </w:rPr>
              <w:t>ne sont liées d</w:t>
            </w:r>
            <w:r>
              <w:rPr>
                <w:b/>
                <w:i/>
              </w:rPr>
              <w:t>’</w:t>
            </w:r>
            <w:r w:rsidRPr="002E43F3">
              <w:rPr>
                <w:b/>
                <w:i/>
              </w:rPr>
              <w:t>aucune manière à des pays ou territoires non coopératifs;</w:t>
            </w:r>
          </w:p>
        </w:tc>
      </w:tr>
    </w:tbl>
    <w:p w14:paraId="493D0399" w14:textId="77777777"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&lt;Original&gt;</w:t>
      </w:r>
      <w:r w:rsidRPr="000C3237">
        <w:rPr>
          <w:rStyle w:val="HideTWBInt"/>
          <w:noProof w:val="0"/>
          <w:lang w:val="en-GB"/>
        </w:rPr>
        <w:t>{IT}</w:t>
      </w:r>
      <w:r w:rsidRPr="000C3237">
        <w:rPr>
          <w:noProof w:val="0"/>
          <w:lang w:val="en-GB"/>
        </w:rPr>
        <w:t>it</w:t>
      </w:r>
      <w:r w:rsidRPr="000C3237">
        <w:rPr>
          <w:rStyle w:val="HideTWBExt"/>
          <w:noProof w:val="0"/>
          <w:lang w:val="en-GB"/>
        </w:rPr>
        <w:t>&lt;/Original&gt;</w:t>
      </w:r>
    </w:p>
    <w:p w14:paraId="44BFE7CA" w14:textId="77777777" w:rsidR="00BF7ACA" w:rsidRPr="000C3237" w:rsidRDefault="00BF7ACA" w:rsidP="00BF7ACA">
      <w:pPr>
        <w:rPr>
          <w:lang w:val="en-GB"/>
        </w:rPr>
      </w:pPr>
      <w:r w:rsidRPr="000C3237">
        <w:rPr>
          <w:rStyle w:val="HideTWBExt"/>
          <w:lang w:val="en-GB"/>
        </w:rPr>
        <w:t>&lt;/Amend&gt;</w:t>
      </w:r>
    </w:p>
    <w:p w14:paraId="5A960F16" w14:textId="77777777" w:rsidR="00BF7ACA" w:rsidRPr="00E82ECE" w:rsidRDefault="00BF7ACA" w:rsidP="00BF7ACA">
      <w:pPr>
        <w:pStyle w:val="AMNumberTabs"/>
        <w:keepNext/>
        <w:rPr>
          <w:lang w:val="en-GB"/>
        </w:rPr>
      </w:pPr>
      <w:r w:rsidRPr="00E82ECE">
        <w:rPr>
          <w:rStyle w:val="HideTWBExt"/>
          <w:b w:val="0"/>
          <w:lang w:val="en-GB"/>
        </w:rPr>
        <w:t>&lt;Amend&gt;</w:t>
      </w:r>
      <w:r w:rsidRPr="00E82ECE">
        <w:rPr>
          <w:lang w:val="en-GB"/>
        </w:rPr>
        <w:t>Amendement</w:t>
      </w:r>
      <w:r w:rsidRPr="00E82ECE">
        <w:rPr>
          <w:lang w:val="en-GB"/>
        </w:rPr>
        <w:tab/>
      </w:r>
      <w:r w:rsidRPr="00E82ECE">
        <w:rPr>
          <w:lang w:val="en-GB"/>
        </w:rPr>
        <w:tab/>
      </w:r>
      <w:r w:rsidRPr="00E82ECE">
        <w:rPr>
          <w:rStyle w:val="HideTWBExt"/>
          <w:b w:val="0"/>
          <w:lang w:val="en-GB"/>
        </w:rPr>
        <w:t>&lt;NumAm&gt;</w:t>
      </w:r>
      <w:r w:rsidRPr="00E82ECE">
        <w:rPr>
          <w:lang w:val="en-GB"/>
        </w:rPr>
        <w:t>285</w:t>
      </w:r>
      <w:r w:rsidRPr="00E82ECE">
        <w:rPr>
          <w:rStyle w:val="HideTWBExt"/>
          <w:b w:val="0"/>
          <w:lang w:val="en-GB"/>
        </w:rPr>
        <w:t>&lt;/NumAm&gt;</w:t>
      </w:r>
    </w:p>
    <w:p w14:paraId="49CDB41B" w14:textId="77777777" w:rsidR="00BF7ACA" w:rsidRPr="00E82ECE" w:rsidRDefault="00BF7ACA" w:rsidP="00BF7ACA">
      <w:pPr>
        <w:pStyle w:val="NormalBold"/>
        <w:rPr>
          <w:lang w:val="en-GB"/>
        </w:rPr>
      </w:pPr>
      <w:r w:rsidRPr="00E82ECE">
        <w:rPr>
          <w:rStyle w:val="HideTWBExt"/>
          <w:b w:val="0"/>
          <w:lang w:val="en-GB"/>
        </w:rPr>
        <w:t>&lt;RepeatBlock-By&gt;&lt;Members&gt;</w:t>
      </w:r>
      <w:r w:rsidRPr="00E82ECE">
        <w:rPr>
          <w:lang w:val="en-GB"/>
        </w:rPr>
        <w:t>Maurice Ponga, Paul Rübig, Bogdan Brunon Wenta</w:t>
      </w:r>
      <w:r w:rsidRPr="00E82ECE">
        <w:rPr>
          <w:rStyle w:val="HideTWBExt"/>
          <w:b w:val="0"/>
          <w:lang w:val="en-GB"/>
        </w:rPr>
        <w:t>&lt;/Members&gt;</w:t>
      </w:r>
    </w:p>
    <w:p w14:paraId="738345F9" w14:textId="77777777" w:rsidR="00BF7ACA" w:rsidRPr="00BF7ACA" w:rsidRDefault="00BF7ACA" w:rsidP="00BF7ACA">
      <w:pPr>
        <w:rPr>
          <w:lang w:val="en-GB"/>
        </w:rPr>
      </w:pPr>
      <w:r w:rsidRPr="00BF7ACA">
        <w:rPr>
          <w:rStyle w:val="HideTWBExt"/>
          <w:lang w:val="en-GB"/>
        </w:rPr>
        <w:t>&lt;/RepeatBlock-By&gt;</w:t>
      </w:r>
    </w:p>
    <w:p w14:paraId="0E205D51"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0AA8A9A5" w14:textId="77777777" w:rsidR="00BF7ACA" w:rsidRPr="00355860" w:rsidRDefault="00BF7ACA" w:rsidP="00BF7ACA">
      <w:pPr>
        <w:pStyle w:val="NormalBold"/>
      </w:pPr>
      <w:r>
        <w:rPr>
          <w:rStyle w:val="HideTWBExt"/>
          <w:b w:val="0"/>
        </w:rPr>
        <w:t>&lt;Article&gt;</w:t>
      </w:r>
      <w:r w:rsidRPr="00B915F8">
        <w:t>Article 8 – paragraphe 2 – point e ter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02626A09" w14:textId="77777777" w:rsidTr="007924BE">
        <w:trPr>
          <w:jc w:val="center"/>
        </w:trPr>
        <w:tc>
          <w:tcPr>
            <w:tcW w:w="9752" w:type="dxa"/>
            <w:gridSpan w:val="2"/>
          </w:tcPr>
          <w:p w14:paraId="0380E1C8" w14:textId="77777777" w:rsidR="00BF7ACA" w:rsidRPr="00355860" w:rsidRDefault="00BF7ACA" w:rsidP="007924BE">
            <w:pPr>
              <w:keepNext/>
            </w:pPr>
          </w:p>
        </w:tc>
      </w:tr>
      <w:tr w:rsidR="00BF7ACA" w:rsidRPr="00355860" w14:paraId="2AD5B2B4" w14:textId="77777777" w:rsidTr="007924BE">
        <w:trPr>
          <w:jc w:val="center"/>
        </w:trPr>
        <w:tc>
          <w:tcPr>
            <w:tcW w:w="4876" w:type="dxa"/>
            <w:hideMark/>
          </w:tcPr>
          <w:p w14:paraId="148A8D79" w14:textId="77777777" w:rsidR="00BF7ACA" w:rsidRPr="00B915F8" w:rsidRDefault="00BF7ACA" w:rsidP="007924BE">
            <w:pPr>
              <w:pStyle w:val="ColumnHeading"/>
              <w:keepNext/>
            </w:pPr>
            <w:r w:rsidRPr="00B915F8">
              <w:t>Texte proposé par la Commission</w:t>
            </w:r>
          </w:p>
        </w:tc>
        <w:tc>
          <w:tcPr>
            <w:tcW w:w="4876" w:type="dxa"/>
            <w:hideMark/>
          </w:tcPr>
          <w:p w14:paraId="22622943" w14:textId="77777777" w:rsidR="00BF7ACA" w:rsidRPr="00B915F8" w:rsidRDefault="00BF7ACA" w:rsidP="007924BE">
            <w:pPr>
              <w:pStyle w:val="ColumnHeading"/>
              <w:keepNext/>
            </w:pPr>
            <w:r w:rsidRPr="00B915F8">
              <w:t>Amendement</w:t>
            </w:r>
          </w:p>
        </w:tc>
      </w:tr>
      <w:tr w:rsidR="00BF7ACA" w:rsidRPr="00355860" w14:paraId="4D021CAB" w14:textId="77777777" w:rsidTr="007924BE">
        <w:trPr>
          <w:jc w:val="center"/>
        </w:trPr>
        <w:tc>
          <w:tcPr>
            <w:tcW w:w="4876" w:type="dxa"/>
          </w:tcPr>
          <w:p w14:paraId="6335622E" w14:textId="77777777" w:rsidR="00BF7ACA" w:rsidRPr="00B915F8" w:rsidRDefault="00BF7ACA" w:rsidP="007924BE">
            <w:pPr>
              <w:pStyle w:val="Normal6"/>
            </w:pPr>
          </w:p>
        </w:tc>
        <w:tc>
          <w:tcPr>
            <w:tcW w:w="4876" w:type="dxa"/>
            <w:hideMark/>
          </w:tcPr>
          <w:p w14:paraId="120460CC" w14:textId="77777777" w:rsidR="00BF7ACA" w:rsidRPr="00DC274A" w:rsidRDefault="00BF7ACA" w:rsidP="007924BE">
            <w:pPr>
              <w:pStyle w:val="Normal6"/>
              <w:rPr>
                <w:b/>
                <w:i/>
                <w:szCs w:val="24"/>
              </w:rPr>
            </w:pPr>
            <w:r w:rsidRPr="00DC274A">
              <w:rPr>
                <w:b/>
                <w:i/>
              </w:rPr>
              <w:t>(e ter)</w:t>
            </w:r>
            <w:r w:rsidRPr="00DC274A">
              <w:rPr>
                <w:b/>
                <w:i/>
              </w:rPr>
              <w:tab/>
              <w:t>soient conformes aux critères du financement du développement définis par le Comité d’aide au développement (CAD) de l’OCDE et soutiennent efficacement le développement du secteur privé dans les pays bénéficiaires;</w:t>
            </w:r>
          </w:p>
        </w:tc>
      </w:tr>
    </w:tbl>
    <w:p w14:paraId="6512AC8D"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87294A9" w14:textId="77777777" w:rsidR="00BF7ACA" w:rsidRPr="00BF7ACA" w:rsidRDefault="00BF7ACA" w:rsidP="00BF7ACA">
      <w:r w:rsidRPr="00BF7ACA">
        <w:rPr>
          <w:rStyle w:val="HideTWBExt"/>
        </w:rPr>
        <w:t>&lt;/Amend&gt;</w:t>
      </w:r>
    </w:p>
    <w:p w14:paraId="48EE494C"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286</w:t>
      </w:r>
      <w:r w:rsidRPr="00BF7ACA">
        <w:rPr>
          <w:rStyle w:val="HideTWBExt"/>
          <w:b w:val="0"/>
        </w:rPr>
        <w:t>&lt;/NumAm&gt;</w:t>
      </w:r>
    </w:p>
    <w:p w14:paraId="787EC4FE"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3258430E" w14:textId="77777777" w:rsidR="00BF7ACA" w:rsidRPr="00355860" w:rsidRDefault="00BF7ACA" w:rsidP="00BF7ACA">
      <w:r>
        <w:rPr>
          <w:rStyle w:val="HideTWBExt"/>
        </w:rPr>
        <w:t>&lt;/RepeatBlock-By&gt;</w:t>
      </w:r>
    </w:p>
    <w:p w14:paraId="7F113072"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17C86BD" w14:textId="77777777" w:rsidR="00BF7ACA" w:rsidRPr="00355860" w:rsidRDefault="00BF7ACA" w:rsidP="00BF7ACA">
      <w:pPr>
        <w:pStyle w:val="NormalBold"/>
      </w:pPr>
      <w:r>
        <w:rPr>
          <w:rStyle w:val="HideTWBExt"/>
          <w:b w:val="0"/>
        </w:rPr>
        <w:t>&lt;Article&gt;</w:t>
      </w:r>
      <w:r w:rsidRPr="00B915F8">
        <w:t>Article 8 – paragraphe 2 – point e ter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7C471007" w14:textId="77777777" w:rsidTr="007924BE">
        <w:trPr>
          <w:jc w:val="center"/>
        </w:trPr>
        <w:tc>
          <w:tcPr>
            <w:tcW w:w="9752" w:type="dxa"/>
            <w:gridSpan w:val="2"/>
          </w:tcPr>
          <w:p w14:paraId="3149EE48" w14:textId="77777777" w:rsidR="00BF7ACA" w:rsidRPr="00355860" w:rsidRDefault="00BF7ACA" w:rsidP="007924BE">
            <w:pPr>
              <w:keepNext/>
            </w:pPr>
          </w:p>
        </w:tc>
      </w:tr>
      <w:tr w:rsidR="00BF7ACA" w:rsidRPr="00355860" w14:paraId="7A6A2A7B" w14:textId="77777777" w:rsidTr="007924BE">
        <w:trPr>
          <w:jc w:val="center"/>
        </w:trPr>
        <w:tc>
          <w:tcPr>
            <w:tcW w:w="4876" w:type="dxa"/>
            <w:hideMark/>
          </w:tcPr>
          <w:p w14:paraId="4D3ECE82" w14:textId="77777777" w:rsidR="00BF7ACA" w:rsidRPr="00B915F8" w:rsidRDefault="00BF7ACA" w:rsidP="007924BE">
            <w:pPr>
              <w:pStyle w:val="ColumnHeading"/>
              <w:keepNext/>
            </w:pPr>
            <w:r w:rsidRPr="00B915F8">
              <w:t>Texte proposé par la Commission</w:t>
            </w:r>
          </w:p>
        </w:tc>
        <w:tc>
          <w:tcPr>
            <w:tcW w:w="4876" w:type="dxa"/>
            <w:hideMark/>
          </w:tcPr>
          <w:p w14:paraId="7D8535B4" w14:textId="77777777" w:rsidR="00BF7ACA" w:rsidRPr="00B915F8" w:rsidRDefault="00BF7ACA" w:rsidP="007924BE">
            <w:pPr>
              <w:pStyle w:val="ColumnHeading"/>
              <w:keepNext/>
            </w:pPr>
            <w:r w:rsidRPr="00B915F8">
              <w:t>Amendement</w:t>
            </w:r>
          </w:p>
        </w:tc>
      </w:tr>
      <w:tr w:rsidR="00BF7ACA" w:rsidRPr="00355860" w14:paraId="5E3AA4D8" w14:textId="77777777" w:rsidTr="007924BE">
        <w:trPr>
          <w:jc w:val="center"/>
        </w:trPr>
        <w:tc>
          <w:tcPr>
            <w:tcW w:w="4876" w:type="dxa"/>
          </w:tcPr>
          <w:p w14:paraId="55ECA6B2" w14:textId="77777777" w:rsidR="00BF7ACA" w:rsidRPr="00B915F8" w:rsidRDefault="00BF7ACA" w:rsidP="007924BE">
            <w:pPr>
              <w:pStyle w:val="Normal6"/>
            </w:pPr>
          </w:p>
        </w:tc>
        <w:tc>
          <w:tcPr>
            <w:tcW w:w="4876" w:type="dxa"/>
            <w:hideMark/>
          </w:tcPr>
          <w:p w14:paraId="72C3D7CC" w14:textId="77777777" w:rsidR="00BF7ACA" w:rsidRPr="00DC274A" w:rsidRDefault="00BF7ACA" w:rsidP="007924BE">
            <w:pPr>
              <w:pStyle w:val="Normal6"/>
              <w:rPr>
                <w:b/>
                <w:i/>
                <w:szCs w:val="24"/>
              </w:rPr>
            </w:pPr>
            <w:r w:rsidRPr="00DC274A">
              <w:rPr>
                <w:b/>
                <w:i/>
              </w:rPr>
              <w:t>(e ter)</w:t>
            </w:r>
            <w:r w:rsidRPr="00DC274A">
              <w:rPr>
                <w:b/>
                <w:i/>
              </w:rPr>
              <w:tab/>
              <w:t>soient conformes aux critères de l’aide publique au développement définis par le Comité d’aide au développement de l’OCDE;</w:t>
            </w:r>
          </w:p>
        </w:tc>
      </w:tr>
    </w:tbl>
    <w:p w14:paraId="0AD2D68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57BB2C8" w14:textId="77777777" w:rsidR="00BF7ACA" w:rsidRPr="00BF7ACA" w:rsidRDefault="00BF7ACA" w:rsidP="00BF7ACA">
      <w:r w:rsidRPr="00BF7ACA">
        <w:rPr>
          <w:rStyle w:val="HideTWBExt"/>
        </w:rPr>
        <w:t>&lt;/Amend&gt;</w:t>
      </w:r>
    </w:p>
    <w:p w14:paraId="14307C8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287</w:t>
      </w:r>
      <w:r w:rsidRPr="00BF7ACA">
        <w:rPr>
          <w:rStyle w:val="HideTWBExt"/>
          <w:b w:val="0"/>
        </w:rPr>
        <w:t>&lt;/NumAm&gt;</w:t>
      </w:r>
    </w:p>
    <w:p w14:paraId="232622C2" w14:textId="77777777" w:rsidR="00BF7ACA" w:rsidRPr="00BF7ACA" w:rsidRDefault="00BF7ACA" w:rsidP="00BF7ACA">
      <w:pPr>
        <w:pStyle w:val="NormalBold"/>
      </w:pPr>
      <w:r w:rsidRPr="00BF7ACA">
        <w:rPr>
          <w:rStyle w:val="HideTWBExt"/>
          <w:b w:val="0"/>
        </w:rPr>
        <w:t>&lt;RepeatBlock-By&gt;&lt;Members&gt;</w:t>
      </w:r>
      <w:r w:rsidRPr="00BF7ACA">
        <w:t>Maurice Ponga, Bogdan Brunon Wenta</w:t>
      </w:r>
      <w:r w:rsidRPr="00BF7ACA">
        <w:rPr>
          <w:rStyle w:val="HideTWBExt"/>
          <w:b w:val="0"/>
        </w:rPr>
        <w:t>&lt;/Members&gt;</w:t>
      </w:r>
    </w:p>
    <w:p w14:paraId="09102C8B" w14:textId="77777777" w:rsidR="00BF7ACA" w:rsidRPr="00355860" w:rsidRDefault="00BF7ACA" w:rsidP="00BF7ACA">
      <w:r>
        <w:rPr>
          <w:rStyle w:val="HideTWBExt"/>
        </w:rPr>
        <w:t>&lt;/RepeatBlock-By&gt;</w:t>
      </w:r>
    </w:p>
    <w:p w14:paraId="4C898F96" w14:textId="77777777"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14:paraId="54564515" w14:textId="77777777" w:rsidR="00BF7ACA" w:rsidRPr="00355860" w:rsidRDefault="00BF7ACA" w:rsidP="00BF7ACA">
      <w:pPr>
        <w:pStyle w:val="NormalBold"/>
      </w:pPr>
      <w:r>
        <w:rPr>
          <w:rStyle w:val="HideTWBExt"/>
          <w:b w:val="0"/>
        </w:rPr>
        <w:t>&lt;Article&gt;</w:t>
      </w:r>
      <w:r w:rsidRPr="00B915F8">
        <w:t>Article 8 – paragraphe 2 – point e ter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355860" w14:paraId="3566E6E5" w14:textId="77777777" w:rsidTr="007924BE">
        <w:trPr>
          <w:jc w:val="center"/>
        </w:trPr>
        <w:tc>
          <w:tcPr>
            <w:tcW w:w="9752" w:type="dxa"/>
            <w:gridSpan w:val="2"/>
          </w:tcPr>
          <w:p w14:paraId="0CA51D6F" w14:textId="77777777" w:rsidR="00BF7ACA" w:rsidRPr="00355860" w:rsidRDefault="00BF7ACA" w:rsidP="007924BE">
            <w:pPr>
              <w:keepNext/>
            </w:pPr>
          </w:p>
        </w:tc>
      </w:tr>
      <w:tr w:rsidR="00BF7ACA" w:rsidRPr="00355860" w14:paraId="62689380" w14:textId="77777777" w:rsidTr="007924BE">
        <w:trPr>
          <w:jc w:val="center"/>
        </w:trPr>
        <w:tc>
          <w:tcPr>
            <w:tcW w:w="4876" w:type="dxa"/>
            <w:hideMark/>
          </w:tcPr>
          <w:p w14:paraId="47B4A22D" w14:textId="77777777" w:rsidR="00BF7ACA" w:rsidRPr="00B915F8" w:rsidRDefault="00BF7ACA" w:rsidP="007924BE">
            <w:pPr>
              <w:pStyle w:val="ColumnHeading"/>
              <w:keepNext/>
            </w:pPr>
            <w:r w:rsidRPr="00B915F8">
              <w:t>Texte proposé par la Commission</w:t>
            </w:r>
          </w:p>
        </w:tc>
        <w:tc>
          <w:tcPr>
            <w:tcW w:w="4876" w:type="dxa"/>
            <w:hideMark/>
          </w:tcPr>
          <w:p w14:paraId="77BE8105" w14:textId="77777777" w:rsidR="00BF7ACA" w:rsidRPr="00B915F8" w:rsidRDefault="00BF7ACA" w:rsidP="007924BE">
            <w:pPr>
              <w:pStyle w:val="ColumnHeading"/>
              <w:keepNext/>
            </w:pPr>
            <w:r w:rsidRPr="00B915F8">
              <w:t>Amendement</w:t>
            </w:r>
          </w:p>
        </w:tc>
      </w:tr>
      <w:tr w:rsidR="00BF7ACA" w:rsidRPr="00355860" w14:paraId="01276AF3" w14:textId="77777777" w:rsidTr="007924BE">
        <w:trPr>
          <w:jc w:val="center"/>
        </w:trPr>
        <w:tc>
          <w:tcPr>
            <w:tcW w:w="4876" w:type="dxa"/>
          </w:tcPr>
          <w:p w14:paraId="60EF8AE9" w14:textId="77777777" w:rsidR="00BF7ACA" w:rsidRPr="00B915F8" w:rsidRDefault="00BF7ACA" w:rsidP="007924BE">
            <w:pPr>
              <w:pStyle w:val="Normal6"/>
            </w:pPr>
          </w:p>
        </w:tc>
        <w:tc>
          <w:tcPr>
            <w:tcW w:w="4876" w:type="dxa"/>
            <w:hideMark/>
          </w:tcPr>
          <w:p w14:paraId="60B0FEAF" w14:textId="77777777" w:rsidR="00BF7ACA" w:rsidRPr="00DC274A" w:rsidRDefault="00BF7ACA" w:rsidP="007924BE">
            <w:pPr>
              <w:pStyle w:val="Normal6"/>
              <w:rPr>
                <w:b/>
                <w:i/>
                <w:szCs w:val="24"/>
              </w:rPr>
            </w:pPr>
            <w:r w:rsidRPr="00DC274A">
              <w:rPr>
                <w:b/>
                <w:i/>
              </w:rPr>
              <w:t>(e ter)</w:t>
            </w:r>
            <w:r w:rsidRPr="00DC274A">
              <w:rPr>
                <w:b/>
                <w:i/>
              </w:rPr>
              <w:tab/>
              <w:t>encouragent l’utilisation de l’aide déliée et contribuent à l’efficacité du développement, en particulier dans les pays moins avancés;</w:t>
            </w:r>
          </w:p>
        </w:tc>
      </w:tr>
    </w:tbl>
    <w:p w14:paraId="603EAAE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F2FCD84" w14:textId="77777777" w:rsidR="00BF7ACA" w:rsidRPr="00BF7ACA" w:rsidRDefault="00BF7ACA" w:rsidP="00BF7ACA">
      <w:r w:rsidRPr="00BF7ACA">
        <w:rPr>
          <w:rStyle w:val="HideTWBExt"/>
        </w:rPr>
        <w:t>&lt;/Amend&gt;</w:t>
      </w:r>
    </w:p>
    <w:p w14:paraId="1D6592C5" w14:textId="77777777" w:rsidR="00BF7ACA" w:rsidRPr="00AF1321" w:rsidRDefault="00BF7ACA" w:rsidP="00BF7ACA">
      <w:pPr>
        <w:pStyle w:val="AMNumberTabs"/>
        <w:keepNext/>
      </w:pPr>
      <w:r>
        <w:rPr>
          <w:rStyle w:val="HideTWBExt"/>
          <w:b w:val="0"/>
        </w:rPr>
        <w:t>&lt;Amend&gt;</w:t>
      </w:r>
      <w:r w:rsidRPr="00B0434F">
        <w:t>Amendement</w:t>
      </w:r>
      <w:r>
        <w:tab/>
      </w:r>
      <w:r>
        <w:tab/>
      </w:r>
      <w:r>
        <w:rPr>
          <w:rStyle w:val="HideTWBExt"/>
          <w:b w:val="0"/>
        </w:rPr>
        <w:t>&lt;NumAm&gt;</w:t>
      </w:r>
      <w:r w:rsidRPr="00B0434F">
        <w:t>288</w:t>
      </w:r>
      <w:r>
        <w:rPr>
          <w:rStyle w:val="HideTWBExt"/>
          <w:b w:val="0"/>
        </w:rPr>
        <w:t>&lt;/NumAm&gt;</w:t>
      </w:r>
    </w:p>
    <w:p w14:paraId="5CBC4896" w14:textId="77777777" w:rsidR="00BF7ACA" w:rsidRPr="00AF1321" w:rsidRDefault="00BF7ACA" w:rsidP="00BF7ACA">
      <w:pPr>
        <w:pStyle w:val="NormalBold"/>
      </w:pPr>
      <w:r>
        <w:rPr>
          <w:rStyle w:val="HideTWBExt"/>
          <w:b w:val="0"/>
        </w:rPr>
        <w:t>&lt;RepeatBlock-By&gt;&lt;Members&gt;</w:t>
      </w:r>
      <w:r w:rsidRPr="00B0434F">
        <w:t>Maurice Ponga, Paul Rübig, Bogdan Brunon Wenta</w:t>
      </w:r>
      <w:r>
        <w:rPr>
          <w:rStyle w:val="HideTWBExt"/>
          <w:b w:val="0"/>
        </w:rPr>
        <w:t>&lt;/Members&gt;</w:t>
      </w:r>
    </w:p>
    <w:p w14:paraId="3E398519" w14:textId="77777777" w:rsidR="00BF7ACA" w:rsidRPr="00AF1321" w:rsidRDefault="00BF7ACA" w:rsidP="00BF7ACA">
      <w:r>
        <w:rPr>
          <w:rStyle w:val="HideTWBExt"/>
        </w:rPr>
        <w:t>&lt;/RepeatBlock-By&gt;</w:t>
      </w:r>
    </w:p>
    <w:p w14:paraId="3FB3EB6C"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745B51D1" w14:textId="77777777" w:rsidR="00BF7ACA" w:rsidRPr="00AF1321" w:rsidRDefault="00BF7ACA" w:rsidP="00BF7ACA">
      <w:pPr>
        <w:pStyle w:val="NormalBold"/>
      </w:pPr>
      <w:r>
        <w:rPr>
          <w:rStyle w:val="HideTWBExt"/>
          <w:b w:val="0"/>
        </w:rPr>
        <w:t>&lt;Article&gt;</w:t>
      </w:r>
      <w:r w:rsidRPr="00B0434F">
        <w:t>Article 8 – paragraphe 2 – point e quater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42EB7157" w14:textId="77777777" w:rsidTr="007924BE">
        <w:trPr>
          <w:jc w:val="center"/>
        </w:trPr>
        <w:tc>
          <w:tcPr>
            <w:tcW w:w="9752" w:type="dxa"/>
            <w:gridSpan w:val="2"/>
          </w:tcPr>
          <w:p w14:paraId="6E5EB8FB" w14:textId="77777777" w:rsidR="00BF7ACA" w:rsidRPr="00AF1321" w:rsidRDefault="00BF7ACA" w:rsidP="007924BE">
            <w:pPr>
              <w:keepNext/>
            </w:pPr>
          </w:p>
        </w:tc>
      </w:tr>
      <w:tr w:rsidR="00BF7ACA" w:rsidRPr="00AF1321" w14:paraId="39425D7A" w14:textId="77777777" w:rsidTr="007924BE">
        <w:trPr>
          <w:jc w:val="center"/>
        </w:trPr>
        <w:tc>
          <w:tcPr>
            <w:tcW w:w="4876" w:type="dxa"/>
            <w:hideMark/>
          </w:tcPr>
          <w:p w14:paraId="5D67EFB2" w14:textId="77777777" w:rsidR="00BF7ACA" w:rsidRPr="00B0434F" w:rsidRDefault="00BF7ACA" w:rsidP="007924BE">
            <w:pPr>
              <w:pStyle w:val="ColumnHeading"/>
              <w:keepNext/>
            </w:pPr>
            <w:r w:rsidRPr="00B0434F">
              <w:t>Texte proposé par la Commission</w:t>
            </w:r>
          </w:p>
        </w:tc>
        <w:tc>
          <w:tcPr>
            <w:tcW w:w="4876" w:type="dxa"/>
            <w:hideMark/>
          </w:tcPr>
          <w:p w14:paraId="77635860" w14:textId="77777777" w:rsidR="00BF7ACA" w:rsidRPr="00B0434F" w:rsidRDefault="00BF7ACA" w:rsidP="007924BE">
            <w:pPr>
              <w:pStyle w:val="ColumnHeading"/>
              <w:keepNext/>
            </w:pPr>
            <w:r w:rsidRPr="00B0434F">
              <w:t>Amendement</w:t>
            </w:r>
          </w:p>
        </w:tc>
      </w:tr>
      <w:tr w:rsidR="00BF7ACA" w:rsidRPr="00AF1321" w14:paraId="24ED135F" w14:textId="77777777" w:rsidTr="007924BE">
        <w:trPr>
          <w:jc w:val="center"/>
        </w:trPr>
        <w:tc>
          <w:tcPr>
            <w:tcW w:w="4876" w:type="dxa"/>
          </w:tcPr>
          <w:p w14:paraId="4208DBE0" w14:textId="77777777" w:rsidR="00BF7ACA" w:rsidRPr="00B0434F" w:rsidRDefault="00BF7ACA" w:rsidP="007924BE">
            <w:pPr>
              <w:pStyle w:val="Normal6"/>
            </w:pPr>
          </w:p>
        </w:tc>
        <w:tc>
          <w:tcPr>
            <w:tcW w:w="4876" w:type="dxa"/>
            <w:hideMark/>
          </w:tcPr>
          <w:p w14:paraId="68E7EFF2" w14:textId="77777777" w:rsidR="00BF7ACA" w:rsidRPr="00B0434F" w:rsidRDefault="00BF7ACA" w:rsidP="007924BE">
            <w:pPr>
              <w:pStyle w:val="Normal6"/>
              <w:rPr>
                <w:szCs w:val="24"/>
              </w:rPr>
            </w:pPr>
            <w:r w:rsidRPr="00B0434F">
              <w:rPr>
                <w:b/>
                <w:i/>
              </w:rPr>
              <w:t>(e quater)</w:t>
            </w:r>
            <w:r>
              <w:tab/>
            </w:r>
            <w:r w:rsidRPr="00B0434F">
              <w:rPr>
                <w:b/>
                <w:i/>
              </w:rPr>
              <w:t>contribuent à la mise en œuvre du programme de développement durable à l</w:t>
            </w:r>
            <w:r>
              <w:rPr>
                <w:b/>
                <w:i/>
              </w:rPr>
              <w:t>’</w:t>
            </w:r>
            <w:r w:rsidRPr="00B0434F">
              <w:rPr>
                <w:b/>
                <w:i/>
              </w:rPr>
              <w:t>horizon 2030;</w:t>
            </w:r>
          </w:p>
        </w:tc>
      </w:tr>
    </w:tbl>
    <w:p w14:paraId="360CF20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9AE2AE6" w14:textId="77777777" w:rsidR="00BF7ACA" w:rsidRPr="00BF7ACA" w:rsidRDefault="00BF7ACA" w:rsidP="00BF7ACA">
      <w:r w:rsidRPr="00BF7ACA">
        <w:rPr>
          <w:rStyle w:val="HideTWBExt"/>
        </w:rPr>
        <w:t>&lt;/Amend&gt;</w:t>
      </w:r>
    </w:p>
    <w:p w14:paraId="6B4CC1F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289</w:t>
      </w:r>
      <w:r w:rsidRPr="00BF7ACA">
        <w:rPr>
          <w:rStyle w:val="HideTWBExt"/>
          <w:b w:val="0"/>
        </w:rPr>
        <w:t>&lt;/NumAm&gt;</w:t>
      </w:r>
    </w:p>
    <w:p w14:paraId="7ABA9F09"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647408FD" w14:textId="77777777" w:rsidR="00BF7ACA" w:rsidRPr="00AF1321" w:rsidRDefault="00BF7ACA" w:rsidP="00BF7ACA">
      <w:r>
        <w:rPr>
          <w:rStyle w:val="HideTWBExt"/>
        </w:rPr>
        <w:t>&lt;/RepeatBlock-By&gt;</w:t>
      </w:r>
    </w:p>
    <w:p w14:paraId="5289C154"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09CA912E" w14:textId="77777777" w:rsidR="00BF7ACA" w:rsidRPr="00AF1321" w:rsidRDefault="00BF7ACA" w:rsidP="00BF7ACA">
      <w:pPr>
        <w:pStyle w:val="NormalBold"/>
      </w:pPr>
      <w:r>
        <w:rPr>
          <w:rStyle w:val="HideTWBExt"/>
          <w:b w:val="0"/>
        </w:rPr>
        <w:t>&lt;Article&gt;</w:t>
      </w:r>
      <w:r w:rsidRPr="00B0434F">
        <w:t>Article 8 – paragraphe 2 – point e quater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4625D0BF" w14:textId="77777777" w:rsidTr="007924BE">
        <w:trPr>
          <w:jc w:val="center"/>
        </w:trPr>
        <w:tc>
          <w:tcPr>
            <w:tcW w:w="9752" w:type="dxa"/>
            <w:gridSpan w:val="2"/>
          </w:tcPr>
          <w:p w14:paraId="3B304723" w14:textId="77777777" w:rsidR="00BF7ACA" w:rsidRPr="00AF1321" w:rsidRDefault="00BF7ACA" w:rsidP="007924BE">
            <w:pPr>
              <w:keepNext/>
            </w:pPr>
          </w:p>
        </w:tc>
      </w:tr>
      <w:tr w:rsidR="00BF7ACA" w:rsidRPr="00AF1321" w14:paraId="48E8FA7B" w14:textId="77777777" w:rsidTr="007924BE">
        <w:trPr>
          <w:jc w:val="center"/>
        </w:trPr>
        <w:tc>
          <w:tcPr>
            <w:tcW w:w="4876" w:type="dxa"/>
            <w:hideMark/>
          </w:tcPr>
          <w:p w14:paraId="33C610B8" w14:textId="77777777" w:rsidR="00BF7ACA" w:rsidRPr="00B0434F" w:rsidRDefault="00BF7ACA" w:rsidP="007924BE">
            <w:pPr>
              <w:pStyle w:val="ColumnHeading"/>
              <w:keepNext/>
            </w:pPr>
            <w:r w:rsidRPr="00B0434F">
              <w:t>Texte proposé par la Commission</w:t>
            </w:r>
          </w:p>
        </w:tc>
        <w:tc>
          <w:tcPr>
            <w:tcW w:w="4876" w:type="dxa"/>
            <w:hideMark/>
          </w:tcPr>
          <w:p w14:paraId="507C3ACF" w14:textId="77777777" w:rsidR="00BF7ACA" w:rsidRPr="00B0434F" w:rsidRDefault="00BF7ACA" w:rsidP="007924BE">
            <w:pPr>
              <w:pStyle w:val="ColumnHeading"/>
              <w:keepNext/>
            </w:pPr>
            <w:r w:rsidRPr="00B0434F">
              <w:t>Amendement</w:t>
            </w:r>
          </w:p>
        </w:tc>
      </w:tr>
      <w:tr w:rsidR="00BF7ACA" w:rsidRPr="00AF1321" w14:paraId="01D73A59" w14:textId="77777777" w:rsidTr="007924BE">
        <w:trPr>
          <w:jc w:val="center"/>
        </w:trPr>
        <w:tc>
          <w:tcPr>
            <w:tcW w:w="4876" w:type="dxa"/>
          </w:tcPr>
          <w:p w14:paraId="2CDE0E03" w14:textId="77777777" w:rsidR="00BF7ACA" w:rsidRPr="00B0434F" w:rsidRDefault="00BF7ACA" w:rsidP="007924BE">
            <w:pPr>
              <w:pStyle w:val="Normal6"/>
            </w:pPr>
          </w:p>
        </w:tc>
        <w:tc>
          <w:tcPr>
            <w:tcW w:w="4876" w:type="dxa"/>
            <w:hideMark/>
          </w:tcPr>
          <w:p w14:paraId="5DCC4DF3" w14:textId="77777777" w:rsidR="00BF7ACA" w:rsidRPr="00B0434F" w:rsidRDefault="00BF7ACA" w:rsidP="007924BE">
            <w:pPr>
              <w:pStyle w:val="Normal6"/>
              <w:rPr>
                <w:szCs w:val="24"/>
              </w:rPr>
            </w:pPr>
            <w:r w:rsidRPr="00B0434F">
              <w:rPr>
                <w:b/>
                <w:i/>
              </w:rPr>
              <w:t>(e quater)</w:t>
            </w:r>
            <w:r>
              <w:tab/>
            </w:r>
            <w:r w:rsidRPr="00B0434F">
              <w:rPr>
                <w:b/>
                <w:i/>
              </w:rPr>
              <w:t>facilitent les envois de fonds et réduisent leurs coûts;</w:t>
            </w:r>
          </w:p>
        </w:tc>
      </w:tr>
    </w:tbl>
    <w:p w14:paraId="38E61E5B"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F276179" w14:textId="77777777" w:rsidR="00BF7ACA" w:rsidRPr="00BF7ACA" w:rsidRDefault="00BF7ACA" w:rsidP="00BF7ACA">
      <w:r w:rsidRPr="00BF7ACA">
        <w:rPr>
          <w:rStyle w:val="HideTWBExt"/>
        </w:rPr>
        <w:t>&lt;/Amend&gt;</w:t>
      </w:r>
    </w:p>
    <w:p w14:paraId="7AC380B5"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290</w:t>
      </w:r>
      <w:r w:rsidRPr="00BF7ACA">
        <w:rPr>
          <w:rStyle w:val="HideTWBExt"/>
          <w:b w:val="0"/>
        </w:rPr>
        <w:t>&lt;/NumAm&gt;</w:t>
      </w:r>
    </w:p>
    <w:p w14:paraId="392D90BF"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2416C5EE" w14:textId="77777777" w:rsidR="00BF7ACA" w:rsidRPr="00AF1321" w:rsidRDefault="00BF7ACA" w:rsidP="00BF7ACA">
      <w:r>
        <w:rPr>
          <w:rStyle w:val="HideTWBExt"/>
        </w:rPr>
        <w:t>&lt;/RepeatBlock-By&gt;</w:t>
      </w:r>
    </w:p>
    <w:p w14:paraId="18B40D6F"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4E742A39" w14:textId="77777777" w:rsidR="00BF7ACA" w:rsidRPr="00AF1321" w:rsidRDefault="00BF7ACA" w:rsidP="00BF7ACA">
      <w:pPr>
        <w:pStyle w:val="NormalBold"/>
      </w:pPr>
      <w:r>
        <w:rPr>
          <w:rStyle w:val="HideTWBExt"/>
          <w:b w:val="0"/>
        </w:rPr>
        <w:t>&lt;Article&gt;</w:t>
      </w:r>
      <w:r w:rsidRPr="00B0434F">
        <w:t>Article 8 – paragraphe 2 – point e quinquies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527FE8D0" w14:textId="77777777" w:rsidTr="007924BE">
        <w:trPr>
          <w:jc w:val="center"/>
        </w:trPr>
        <w:tc>
          <w:tcPr>
            <w:tcW w:w="9752" w:type="dxa"/>
            <w:gridSpan w:val="2"/>
          </w:tcPr>
          <w:p w14:paraId="5984B0CF" w14:textId="77777777" w:rsidR="00BF7ACA" w:rsidRPr="00AF1321" w:rsidRDefault="00BF7ACA" w:rsidP="007924BE">
            <w:pPr>
              <w:keepNext/>
            </w:pPr>
          </w:p>
        </w:tc>
      </w:tr>
      <w:tr w:rsidR="00BF7ACA" w:rsidRPr="00AF1321" w14:paraId="5835DC8C" w14:textId="77777777" w:rsidTr="007924BE">
        <w:trPr>
          <w:jc w:val="center"/>
        </w:trPr>
        <w:tc>
          <w:tcPr>
            <w:tcW w:w="4876" w:type="dxa"/>
            <w:hideMark/>
          </w:tcPr>
          <w:p w14:paraId="101357D2" w14:textId="77777777" w:rsidR="00BF7ACA" w:rsidRPr="00B0434F" w:rsidRDefault="00BF7ACA" w:rsidP="007924BE">
            <w:pPr>
              <w:pStyle w:val="ColumnHeading"/>
              <w:keepNext/>
            </w:pPr>
            <w:r w:rsidRPr="00B0434F">
              <w:t>Texte proposé par la Commission</w:t>
            </w:r>
          </w:p>
        </w:tc>
        <w:tc>
          <w:tcPr>
            <w:tcW w:w="4876" w:type="dxa"/>
            <w:hideMark/>
          </w:tcPr>
          <w:p w14:paraId="511CC81D" w14:textId="77777777" w:rsidR="00BF7ACA" w:rsidRPr="00B0434F" w:rsidRDefault="00BF7ACA" w:rsidP="007924BE">
            <w:pPr>
              <w:pStyle w:val="ColumnHeading"/>
              <w:keepNext/>
            </w:pPr>
            <w:r w:rsidRPr="00B0434F">
              <w:t>Amendement</w:t>
            </w:r>
          </w:p>
        </w:tc>
      </w:tr>
      <w:tr w:rsidR="00BF7ACA" w:rsidRPr="00AF1321" w14:paraId="7E9A955A" w14:textId="77777777" w:rsidTr="007924BE">
        <w:trPr>
          <w:jc w:val="center"/>
        </w:trPr>
        <w:tc>
          <w:tcPr>
            <w:tcW w:w="4876" w:type="dxa"/>
          </w:tcPr>
          <w:p w14:paraId="255AC2CC" w14:textId="77777777" w:rsidR="00BF7ACA" w:rsidRPr="00B0434F" w:rsidRDefault="00BF7ACA" w:rsidP="007924BE">
            <w:pPr>
              <w:pStyle w:val="Normal6"/>
            </w:pPr>
          </w:p>
        </w:tc>
        <w:tc>
          <w:tcPr>
            <w:tcW w:w="4876" w:type="dxa"/>
            <w:hideMark/>
          </w:tcPr>
          <w:p w14:paraId="25EFE114" w14:textId="77777777" w:rsidR="00BF7ACA" w:rsidRPr="00B0434F" w:rsidRDefault="00BF7ACA" w:rsidP="007924BE">
            <w:pPr>
              <w:pStyle w:val="Normal6"/>
              <w:rPr>
                <w:szCs w:val="24"/>
              </w:rPr>
            </w:pPr>
            <w:r w:rsidRPr="00B0434F">
              <w:rPr>
                <w:b/>
                <w:i/>
              </w:rPr>
              <w:t>(e quinquies)</w:t>
            </w:r>
            <w:r>
              <w:tab/>
            </w:r>
            <w:r w:rsidRPr="00B0434F">
              <w:rPr>
                <w:b/>
                <w:i/>
              </w:rPr>
              <w:t>sont mises en œuvre dans le plein respect des conventions des droits de l</w:t>
            </w:r>
            <w:r>
              <w:rPr>
                <w:b/>
                <w:i/>
              </w:rPr>
              <w:t>’</w:t>
            </w:r>
            <w:r w:rsidRPr="00B0434F">
              <w:rPr>
                <w:b/>
                <w:i/>
              </w:rPr>
              <w:t>homme, des principes directeurs de l</w:t>
            </w:r>
            <w:r>
              <w:rPr>
                <w:b/>
                <w:i/>
              </w:rPr>
              <w:t>’</w:t>
            </w:r>
            <w:r w:rsidRPr="00B0434F">
              <w:rPr>
                <w:b/>
                <w:i/>
              </w:rPr>
              <w:t>OCDE à l</w:t>
            </w:r>
            <w:r>
              <w:rPr>
                <w:b/>
                <w:i/>
              </w:rPr>
              <w:t>’</w:t>
            </w:r>
            <w:r w:rsidRPr="00B0434F">
              <w:rPr>
                <w:b/>
                <w:i/>
              </w:rPr>
              <w:t>intention des entreprises multinationales, les principes directeurs des Nations unies relatifs aux entreprises et aux droits de l</w:t>
            </w:r>
            <w:r>
              <w:rPr>
                <w:b/>
                <w:i/>
              </w:rPr>
              <w:t>’</w:t>
            </w:r>
            <w:r w:rsidRPr="00B0434F">
              <w:rPr>
                <w:b/>
                <w:i/>
              </w:rPr>
              <w:t>homme, les conventions et les normes de l</w:t>
            </w:r>
            <w:r>
              <w:rPr>
                <w:b/>
                <w:i/>
              </w:rPr>
              <w:t>’</w:t>
            </w:r>
            <w:r w:rsidRPr="00B0434F">
              <w:rPr>
                <w:b/>
                <w:i/>
              </w:rPr>
              <w:t xml:space="preserve">OIT, les principes de Maastricht relatifs aux obligations extraterritoriales des </w:t>
            </w:r>
            <w:r w:rsidRPr="00B0434F">
              <w:rPr>
                <w:b/>
                <w:i/>
              </w:rPr>
              <w:br/>
              <w:t>États dans le domaine des droits économiques, sociaux et culturels, et les directives volontaires de la FAO pour une gouvernance responsable des régimes fonciers applicables aux terres, aux pêches et aux forêts dans le contexte de la sécurité alimentaire nationale;</w:t>
            </w:r>
          </w:p>
        </w:tc>
      </w:tr>
    </w:tbl>
    <w:p w14:paraId="0B609CC7"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46B342B" w14:textId="77777777" w:rsidR="00BF7ACA" w:rsidRPr="00BF7ACA" w:rsidRDefault="00BF7ACA" w:rsidP="00BF7ACA">
      <w:r w:rsidRPr="00BF7ACA">
        <w:rPr>
          <w:rStyle w:val="HideTWBExt"/>
        </w:rPr>
        <w:t>&lt;/Amend&gt;</w:t>
      </w:r>
    </w:p>
    <w:p w14:paraId="69FA66C4"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291</w:t>
      </w:r>
      <w:r w:rsidRPr="00BF7ACA">
        <w:rPr>
          <w:rStyle w:val="HideTWBExt"/>
          <w:b w:val="0"/>
        </w:rPr>
        <w:t>&lt;/NumAm&gt;</w:t>
      </w:r>
    </w:p>
    <w:p w14:paraId="46455AC0"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6DB740A7" w14:textId="77777777" w:rsidR="00BF7ACA" w:rsidRPr="00AF1321" w:rsidRDefault="00BF7ACA" w:rsidP="00BF7ACA">
      <w:r>
        <w:rPr>
          <w:rStyle w:val="HideTWBExt"/>
        </w:rPr>
        <w:t>&lt;/RepeatBlock-By&gt;</w:t>
      </w:r>
    </w:p>
    <w:p w14:paraId="2A383CC2"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4A7F9C24" w14:textId="77777777" w:rsidR="00BF7ACA" w:rsidRPr="00AF1321" w:rsidRDefault="00BF7ACA" w:rsidP="00BF7ACA">
      <w:pPr>
        <w:pStyle w:val="NormalBold"/>
      </w:pPr>
      <w:r>
        <w:rPr>
          <w:rStyle w:val="HideTWBExt"/>
          <w:b w:val="0"/>
        </w:rPr>
        <w:t>&lt;Article&gt;</w:t>
      </w:r>
      <w:r w:rsidRPr="00B0434F">
        <w:t>Article 8 – paragraphe 2 – point e sexies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41338A95" w14:textId="77777777" w:rsidTr="007924BE">
        <w:trPr>
          <w:jc w:val="center"/>
        </w:trPr>
        <w:tc>
          <w:tcPr>
            <w:tcW w:w="9752" w:type="dxa"/>
            <w:gridSpan w:val="2"/>
          </w:tcPr>
          <w:p w14:paraId="1C95FDBA" w14:textId="77777777" w:rsidR="00BF7ACA" w:rsidRPr="00AF1321" w:rsidRDefault="00BF7ACA" w:rsidP="007924BE">
            <w:pPr>
              <w:keepNext/>
            </w:pPr>
          </w:p>
        </w:tc>
      </w:tr>
      <w:tr w:rsidR="00BF7ACA" w:rsidRPr="00AF1321" w14:paraId="22D0CF40" w14:textId="77777777" w:rsidTr="007924BE">
        <w:trPr>
          <w:jc w:val="center"/>
        </w:trPr>
        <w:tc>
          <w:tcPr>
            <w:tcW w:w="4876" w:type="dxa"/>
            <w:hideMark/>
          </w:tcPr>
          <w:p w14:paraId="715850F0" w14:textId="77777777" w:rsidR="00BF7ACA" w:rsidRPr="00B0434F" w:rsidRDefault="00BF7ACA" w:rsidP="007924BE">
            <w:pPr>
              <w:pStyle w:val="ColumnHeading"/>
              <w:keepNext/>
            </w:pPr>
            <w:r w:rsidRPr="00B0434F">
              <w:t>Texte proposé par la Commission</w:t>
            </w:r>
          </w:p>
        </w:tc>
        <w:tc>
          <w:tcPr>
            <w:tcW w:w="4876" w:type="dxa"/>
            <w:hideMark/>
          </w:tcPr>
          <w:p w14:paraId="64260D15" w14:textId="77777777" w:rsidR="00BF7ACA" w:rsidRPr="00B0434F" w:rsidRDefault="00BF7ACA" w:rsidP="007924BE">
            <w:pPr>
              <w:pStyle w:val="ColumnHeading"/>
              <w:keepNext/>
            </w:pPr>
            <w:r w:rsidRPr="00B0434F">
              <w:t>Amendement</w:t>
            </w:r>
          </w:p>
        </w:tc>
      </w:tr>
      <w:tr w:rsidR="00BF7ACA" w:rsidRPr="00AF1321" w14:paraId="29E5D396" w14:textId="77777777" w:rsidTr="007924BE">
        <w:trPr>
          <w:jc w:val="center"/>
        </w:trPr>
        <w:tc>
          <w:tcPr>
            <w:tcW w:w="4876" w:type="dxa"/>
          </w:tcPr>
          <w:p w14:paraId="3FAB7DF3" w14:textId="77777777" w:rsidR="00BF7ACA" w:rsidRPr="00B0434F" w:rsidRDefault="00BF7ACA" w:rsidP="007924BE">
            <w:pPr>
              <w:pStyle w:val="Normal6"/>
            </w:pPr>
          </w:p>
        </w:tc>
        <w:tc>
          <w:tcPr>
            <w:tcW w:w="4876" w:type="dxa"/>
            <w:hideMark/>
          </w:tcPr>
          <w:p w14:paraId="310BB9DB" w14:textId="77777777" w:rsidR="00BF7ACA" w:rsidRPr="00B0434F" w:rsidRDefault="00BF7ACA" w:rsidP="007924BE">
            <w:pPr>
              <w:pStyle w:val="Normal6"/>
              <w:rPr>
                <w:szCs w:val="24"/>
              </w:rPr>
            </w:pPr>
            <w:r w:rsidRPr="00B0434F">
              <w:rPr>
                <w:b/>
                <w:i/>
              </w:rPr>
              <w:t>(e sexies)</w:t>
            </w:r>
            <w:r>
              <w:tab/>
            </w:r>
            <w:r w:rsidRPr="00B0434F">
              <w:rPr>
                <w:b/>
                <w:i/>
              </w:rPr>
              <w:t>font l</w:t>
            </w:r>
            <w:r>
              <w:rPr>
                <w:b/>
                <w:i/>
              </w:rPr>
              <w:t>’</w:t>
            </w:r>
            <w:r w:rsidRPr="00B0434F">
              <w:rPr>
                <w:b/>
                <w:i/>
              </w:rPr>
              <w:t>objet d</w:t>
            </w:r>
            <w:r>
              <w:rPr>
                <w:b/>
                <w:i/>
              </w:rPr>
              <w:t>’</w:t>
            </w:r>
            <w:r w:rsidRPr="00B0434F">
              <w:rPr>
                <w:b/>
                <w:i/>
              </w:rPr>
              <w:t>une analyse participative ex ante de l</w:t>
            </w:r>
            <w:r>
              <w:rPr>
                <w:b/>
                <w:i/>
              </w:rPr>
              <w:t>’</w:t>
            </w:r>
            <w:r w:rsidRPr="00B0434F">
              <w:rPr>
                <w:b/>
                <w:i/>
              </w:rPr>
              <w:t>impact sur les droits de l</w:t>
            </w:r>
            <w:r>
              <w:rPr>
                <w:b/>
                <w:i/>
              </w:rPr>
              <w:t>’</w:t>
            </w:r>
            <w:r w:rsidRPr="00B0434F">
              <w:rPr>
                <w:b/>
                <w:i/>
              </w:rPr>
              <w:t>homme et sur l</w:t>
            </w:r>
            <w:r>
              <w:rPr>
                <w:b/>
                <w:i/>
              </w:rPr>
              <w:t>’</w:t>
            </w:r>
            <w:r w:rsidRPr="00B0434F">
              <w:rPr>
                <w:b/>
                <w:i/>
              </w:rPr>
              <w:t>environnement, mise à la disposition du public, qui recense et examine les risques qui existent dans ces domaines;</w:t>
            </w:r>
          </w:p>
        </w:tc>
      </w:tr>
    </w:tbl>
    <w:p w14:paraId="70F2F0D7"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30E4FA8" w14:textId="77777777" w:rsidR="00BF7ACA" w:rsidRPr="00BF7ACA" w:rsidRDefault="00BF7ACA" w:rsidP="00BF7ACA">
      <w:r w:rsidRPr="00BF7ACA">
        <w:rPr>
          <w:rStyle w:val="HideTWBExt"/>
        </w:rPr>
        <w:t>&lt;/Amend&gt;</w:t>
      </w:r>
    </w:p>
    <w:p w14:paraId="7BF68C32"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292</w:t>
      </w:r>
      <w:r w:rsidRPr="00BF7ACA">
        <w:rPr>
          <w:rStyle w:val="HideTWBExt"/>
          <w:b w:val="0"/>
        </w:rPr>
        <w:t>&lt;/NumAm&gt;</w:t>
      </w:r>
    </w:p>
    <w:p w14:paraId="3C6D678E"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4C2A8322" w14:textId="77777777" w:rsidR="00BF7ACA" w:rsidRPr="00AF1321" w:rsidRDefault="00BF7ACA" w:rsidP="00BF7ACA">
      <w:r>
        <w:rPr>
          <w:rStyle w:val="HideTWBExt"/>
        </w:rPr>
        <w:t>&lt;/RepeatBlock-By&gt;</w:t>
      </w:r>
    </w:p>
    <w:p w14:paraId="15F5934F"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0920FD04" w14:textId="77777777" w:rsidR="00BF7ACA" w:rsidRPr="00AF1321" w:rsidRDefault="00BF7ACA" w:rsidP="00BF7ACA">
      <w:pPr>
        <w:pStyle w:val="NormalBold"/>
      </w:pPr>
      <w:r>
        <w:rPr>
          <w:rStyle w:val="HideTWBExt"/>
          <w:b w:val="0"/>
        </w:rPr>
        <w:t>&lt;Article&gt;</w:t>
      </w:r>
      <w:r w:rsidRPr="00B0434F">
        <w:t>Article 8 – paragraphe 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33C87CEF" w14:textId="77777777" w:rsidTr="007924BE">
        <w:trPr>
          <w:jc w:val="center"/>
        </w:trPr>
        <w:tc>
          <w:tcPr>
            <w:tcW w:w="9752" w:type="dxa"/>
            <w:gridSpan w:val="2"/>
          </w:tcPr>
          <w:p w14:paraId="51974896" w14:textId="77777777" w:rsidR="00BF7ACA" w:rsidRPr="00AF1321" w:rsidRDefault="00BF7ACA" w:rsidP="007924BE">
            <w:pPr>
              <w:keepNext/>
            </w:pPr>
          </w:p>
        </w:tc>
      </w:tr>
      <w:tr w:rsidR="00BF7ACA" w:rsidRPr="00AF1321" w14:paraId="0AAB92E3" w14:textId="77777777" w:rsidTr="007924BE">
        <w:trPr>
          <w:jc w:val="center"/>
        </w:trPr>
        <w:tc>
          <w:tcPr>
            <w:tcW w:w="4876" w:type="dxa"/>
            <w:hideMark/>
          </w:tcPr>
          <w:p w14:paraId="2D6D9985" w14:textId="77777777" w:rsidR="00BF7ACA" w:rsidRPr="00B0434F" w:rsidRDefault="00BF7ACA" w:rsidP="007924BE">
            <w:pPr>
              <w:pStyle w:val="ColumnHeading"/>
              <w:keepNext/>
            </w:pPr>
            <w:r w:rsidRPr="00B0434F">
              <w:t>Texte proposé par la Commission</w:t>
            </w:r>
          </w:p>
        </w:tc>
        <w:tc>
          <w:tcPr>
            <w:tcW w:w="4876" w:type="dxa"/>
            <w:hideMark/>
          </w:tcPr>
          <w:p w14:paraId="60A73BBC" w14:textId="77777777" w:rsidR="00BF7ACA" w:rsidRPr="00B0434F" w:rsidRDefault="00BF7ACA" w:rsidP="007924BE">
            <w:pPr>
              <w:pStyle w:val="ColumnHeading"/>
              <w:keepNext/>
            </w:pPr>
            <w:r w:rsidRPr="00B0434F">
              <w:t>Amendement</w:t>
            </w:r>
          </w:p>
        </w:tc>
      </w:tr>
      <w:tr w:rsidR="00BF7ACA" w:rsidRPr="00AF1321" w14:paraId="4C3B3DEE" w14:textId="77777777" w:rsidTr="007924BE">
        <w:trPr>
          <w:jc w:val="center"/>
        </w:trPr>
        <w:tc>
          <w:tcPr>
            <w:tcW w:w="4876" w:type="dxa"/>
          </w:tcPr>
          <w:p w14:paraId="732EBE0B" w14:textId="77777777" w:rsidR="00BF7ACA" w:rsidRPr="00B0434F" w:rsidRDefault="00BF7ACA" w:rsidP="007924BE">
            <w:pPr>
              <w:pStyle w:val="Normal6"/>
            </w:pPr>
          </w:p>
        </w:tc>
        <w:tc>
          <w:tcPr>
            <w:tcW w:w="4876" w:type="dxa"/>
            <w:hideMark/>
          </w:tcPr>
          <w:p w14:paraId="633D92F2" w14:textId="77777777" w:rsidR="00BF7ACA" w:rsidRPr="00B0434F" w:rsidRDefault="00BF7ACA" w:rsidP="007924BE">
            <w:pPr>
              <w:pStyle w:val="Normal6"/>
              <w:rPr>
                <w:szCs w:val="24"/>
              </w:rPr>
            </w:pPr>
            <w:r w:rsidRPr="00B0434F">
              <w:rPr>
                <w:b/>
                <w:i/>
              </w:rPr>
              <w:t>2 bis.</w:t>
            </w:r>
            <w:r>
              <w:tab/>
            </w:r>
            <w:r w:rsidRPr="00B0434F">
              <w:rPr>
                <w:b/>
                <w:i/>
              </w:rPr>
              <w:t>La garantie FEDD ne soutient pas des opérations de financement et d</w:t>
            </w:r>
            <w:r>
              <w:rPr>
                <w:b/>
                <w:i/>
              </w:rPr>
              <w:t>’</w:t>
            </w:r>
            <w:r w:rsidRPr="00B0434F">
              <w:rPr>
                <w:b/>
                <w:i/>
              </w:rPr>
              <w:t>investissement qui:</w:t>
            </w:r>
          </w:p>
        </w:tc>
      </w:tr>
      <w:tr w:rsidR="00BF7ACA" w:rsidRPr="00AF1321" w14:paraId="2AB38664" w14:textId="77777777" w:rsidTr="007924BE">
        <w:trPr>
          <w:jc w:val="center"/>
        </w:trPr>
        <w:tc>
          <w:tcPr>
            <w:tcW w:w="4876" w:type="dxa"/>
          </w:tcPr>
          <w:p w14:paraId="17C3C282" w14:textId="77777777" w:rsidR="00BF7ACA" w:rsidRPr="00B0434F" w:rsidRDefault="00BF7ACA" w:rsidP="007924BE">
            <w:pPr>
              <w:pStyle w:val="Normal6"/>
            </w:pPr>
          </w:p>
        </w:tc>
        <w:tc>
          <w:tcPr>
            <w:tcW w:w="4876" w:type="dxa"/>
            <w:hideMark/>
          </w:tcPr>
          <w:p w14:paraId="4C09B00B" w14:textId="77777777" w:rsidR="00BF7ACA" w:rsidRPr="00B0434F" w:rsidRDefault="00BF7ACA" w:rsidP="007924BE">
            <w:pPr>
              <w:pStyle w:val="Normal6"/>
              <w:rPr>
                <w:szCs w:val="24"/>
              </w:rPr>
            </w:pPr>
            <w:r>
              <w:rPr>
                <w:b/>
                <w:i/>
              </w:rPr>
              <w:t>(a)</w:t>
            </w:r>
            <w:r>
              <w:rPr>
                <w:b/>
                <w:i/>
              </w:rPr>
              <w:tab/>
            </w:r>
            <w:r w:rsidRPr="00B0434F">
              <w:rPr>
                <w:b/>
                <w:i/>
              </w:rPr>
              <w:t>sont liées au secteur militaire ou de la sécurité;</w:t>
            </w:r>
          </w:p>
        </w:tc>
      </w:tr>
      <w:tr w:rsidR="00BF7ACA" w:rsidRPr="00AF1321" w14:paraId="7129E7CF" w14:textId="77777777" w:rsidTr="007924BE">
        <w:trPr>
          <w:jc w:val="center"/>
        </w:trPr>
        <w:tc>
          <w:tcPr>
            <w:tcW w:w="4876" w:type="dxa"/>
          </w:tcPr>
          <w:p w14:paraId="44376F7D" w14:textId="77777777" w:rsidR="00BF7ACA" w:rsidRPr="00B0434F" w:rsidRDefault="00BF7ACA" w:rsidP="007924BE">
            <w:pPr>
              <w:pStyle w:val="Normal6"/>
            </w:pPr>
          </w:p>
        </w:tc>
        <w:tc>
          <w:tcPr>
            <w:tcW w:w="4876" w:type="dxa"/>
            <w:hideMark/>
          </w:tcPr>
          <w:p w14:paraId="1DBCDAFD" w14:textId="77777777" w:rsidR="00BF7ACA" w:rsidRPr="00B0434F" w:rsidRDefault="00BF7ACA" w:rsidP="007924BE">
            <w:pPr>
              <w:pStyle w:val="Normal6"/>
              <w:rPr>
                <w:szCs w:val="24"/>
              </w:rPr>
            </w:pPr>
            <w:r>
              <w:rPr>
                <w:b/>
                <w:i/>
              </w:rPr>
              <w:t>(b)</w:t>
            </w:r>
            <w:r>
              <w:rPr>
                <w:b/>
                <w:i/>
              </w:rPr>
              <w:tab/>
            </w:r>
            <w:r w:rsidRPr="00B0434F">
              <w:rPr>
                <w:b/>
                <w:i/>
              </w:rPr>
              <w:t>soutiennent le développement de l</w:t>
            </w:r>
            <w:r>
              <w:rPr>
                <w:b/>
                <w:i/>
              </w:rPr>
              <w:t>’</w:t>
            </w:r>
            <w:r w:rsidRPr="00B0434F">
              <w:rPr>
                <w:b/>
                <w:i/>
              </w:rPr>
              <w:t>énergie nucléaire;</w:t>
            </w:r>
          </w:p>
        </w:tc>
      </w:tr>
      <w:tr w:rsidR="00BF7ACA" w:rsidRPr="00AF1321" w14:paraId="7BCAC2B5" w14:textId="77777777" w:rsidTr="007924BE">
        <w:trPr>
          <w:jc w:val="center"/>
        </w:trPr>
        <w:tc>
          <w:tcPr>
            <w:tcW w:w="4876" w:type="dxa"/>
          </w:tcPr>
          <w:p w14:paraId="6FAEF079" w14:textId="77777777" w:rsidR="00BF7ACA" w:rsidRPr="00B0434F" w:rsidRDefault="00BF7ACA" w:rsidP="007924BE">
            <w:pPr>
              <w:pStyle w:val="Normal6"/>
            </w:pPr>
          </w:p>
        </w:tc>
        <w:tc>
          <w:tcPr>
            <w:tcW w:w="4876" w:type="dxa"/>
            <w:hideMark/>
          </w:tcPr>
          <w:p w14:paraId="254C50F6" w14:textId="77777777" w:rsidR="00BF7ACA" w:rsidRPr="00B0434F" w:rsidRDefault="00BF7ACA" w:rsidP="007924BE">
            <w:pPr>
              <w:pStyle w:val="Normal6"/>
              <w:rPr>
                <w:szCs w:val="24"/>
              </w:rPr>
            </w:pPr>
            <w:r w:rsidRPr="00B0434F">
              <w:rPr>
                <w:b/>
                <w:i/>
              </w:rPr>
              <w:t>(c)</w:t>
            </w:r>
            <w:r>
              <w:rPr>
                <w:b/>
                <w:i/>
              </w:rPr>
              <w:tab/>
            </w:r>
            <w:r w:rsidRPr="00B0434F">
              <w:rPr>
                <w:b/>
                <w:i/>
              </w:rPr>
              <w:t>favorisent la dépendance à l</w:t>
            </w:r>
            <w:r>
              <w:rPr>
                <w:b/>
                <w:i/>
              </w:rPr>
              <w:t>’</w:t>
            </w:r>
            <w:r w:rsidRPr="00B0434F">
              <w:rPr>
                <w:b/>
                <w:i/>
              </w:rPr>
              <w:t>égard des combustibles fossiles et du carbone;</w:t>
            </w:r>
          </w:p>
        </w:tc>
      </w:tr>
      <w:tr w:rsidR="00BF7ACA" w:rsidRPr="00AF1321" w14:paraId="13967B37" w14:textId="77777777" w:rsidTr="007924BE">
        <w:trPr>
          <w:jc w:val="center"/>
        </w:trPr>
        <w:tc>
          <w:tcPr>
            <w:tcW w:w="4876" w:type="dxa"/>
          </w:tcPr>
          <w:p w14:paraId="2C9C95B0" w14:textId="77777777" w:rsidR="00BF7ACA" w:rsidRPr="00B0434F" w:rsidRDefault="00BF7ACA" w:rsidP="007924BE">
            <w:pPr>
              <w:pStyle w:val="Normal6"/>
            </w:pPr>
          </w:p>
        </w:tc>
        <w:tc>
          <w:tcPr>
            <w:tcW w:w="4876" w:type="dxa"/>
            <w:hideMark/>
          </w:tcPr>
          <w:p w14:paraId="0E274533" w14:textId="77777777" w:rsidR="00BF7ACA" w:rsidRPr="00B0434F" w:rsidRDefault="00BF7ACA" w:rsidP="007924BE">
            <w:pPr>
              <w:pStyle w:val="Normal6"/>
              <w:rPr>
                <w:szCs w:val="24"/>
              </w:rPr>
            </w:pPr>
            <w:r>
              <w:rPr>
                <w:b/>
                <w:i/>
              </w:rPr>
              <w:t>(d)</w:t>
            </w:r>
            <w:r>
              <w:rPr>
                <w:b/>
                <w:i/>
              </w:rPr>
              <w:tab/>
            </w:r>
            <w:r w:rsidRPr="00B0434F">
              <w:rPr>
                <w:b/>
                <w:i/>
              </w:rPr>
              <w:t>ont des coûts externes environnementaux considérables;</w:t>
            </w:r>
          </w:p>
        </w:tc>
      </w:tr>
      <w:tr w:rsidR="00BF7ACA" w:rsidRPr="00AF1321" w14:paraId="736931E4" w14:textId="77777777" w:rsidTr="007924BE">
        <w:trPr>
          <w:jc w:val="center"/>
        </w:trPr>
        <w:tc>
          <w:tcPr>
            <w:tcW w:w="4876" w:type="dxa"/>
          </w:tcPr>
          <w:p w14:paraId="0F019D9D" w14:textId="77777777" w:rsidR="00BF7ACA" w:rsidRPr="00B0434F" w:rsidRDefault="00BF7ACA" w:rsidP="007924BE">
            <w:pPr>
              <w:pStyle w:val="Normal6"/>
            </w:pPr>
          </w:p>
        </w:tc>
        <w:tc>
          <w:tcPr>
            <w:tcW w:w="4876" w:type="dxa"/>
            <w:hideMark/>
          </w:tcPr>
          <w:p w14:paraId="4C083F17" w14:textId="77777777" w:rsidR="00BF7ACA" w:rsidRPr="00B0434F" w:rsidRDefault="00BF7ACA" w:rsidP="007924BE">
            <w:pPr>
              <w:pStyle w:val="Normal6"/>
              <w:rPr>
                <w:szCs w:val="24"/>
              </w:rPr>
            </w:pPr>
            <w:r>
              <w:rPr>
                <w:b/>
                <w:i/>
              </w:rPr>
              <w:t>(e)</w:t>
            </w:r>
            <w:r>
              <w:rPr>
                <w:b/>
                <w:i/>
              </w:rPr>
              <w:tab/>
            </w:r>
            <w:r w:rsidRPr="00B0434F">
              <w:rPr>
                <w:b/>
                <w:i/>
              </w:rPr>
              <w:t>promeuvent l</w:t>
            </w:r>
            <w:r>
              <w:rPr>
                <w:b/>
                <w:i/>
              </w:rPr>
              <w:t>’</w:t>
            </w:r>
            <w:r w:rsidRPr="00B0434F">
              <w:rPr>
                <w:b/>
                <w:i/>
              </w:rPr>
              <w:t>utilisation de semences génétiquement modifiées;</w:t>
            </w:r>
          </w:p>
        </w:tc>
      </w:tr>
      <w:tr w:rsidR="00BF7ACA" w:rsidRPr="00AF1321" w14:paraId="79113E9D" w14:textId="77777777" w:rsidTr="007924BE">
        <w:trPr>
          <w:jc w:val="center"/>
        </w:trPr>
        <w:tc>
          <w:tcPr>
            <w:tcW w:w="4876" w:type="dxa"/>
          </w:tcPr>
          <w:p w14:paraId="25ABDE2F" w14:textId="77777777" w:rsidR="00BF7ACA" w:rsidRPr="00B0434F" w:rsidRDefault="00BF7ACA" w:rsidP="007924BE">
            <w:pPr>
              <w:pStyle w:val="Normal6"/>
            </w:pPr>
          </w:p>
        </w:tc>
        <w:tc>
          <w:tcPr>
            <w:tcW w:w="4876" w:type="dxa"/>
            <w:hideMark/>
          </w:tcPr>
          <w:p w14:paraId="4D776958" w14:textId="77777777" w:rsidR="00BF7ACA" w:rsidRPr="00B0434F" w:rsidRDefault="00BF7ACA" w:rsidP="007924BE">
            <w:pPr>
              <w:pStyle w:val="Normal6"/>
              <w:rPr>
                <w:szCs w:val="24"/>
              </w:rPr>
            </w:pPr>
            <w:r>
              <w:rPr>
                <w:b/>
                <w:i/>
              </w:rPr>
              <w:t>(f)</w:t>
            </w:r>
            <w:r>
              <w:rPr>
                <w:b/>
                <w:i/>
              </w:rPr>
              <w:tab/>
            </w:r>
            <w:r w:rsidRPr="00B0434F">
              <w:rPr>
                <w:b/>
                <w:i/>
              </w:rPr>
              <w:t>promeuvent la monoculture industrielle à grande échelle;</w:t>
            </w:r>
          </w:p>
        </w:tc>
      </w:tr>
      <w:tr w:rsidR="00BF7ACA" w:rsidRPr="00AF1321" w14:paraId="209AD84D" w14:textId="77777777" w:rsidTr="007924BE">
        <w:trPr>
          <w:jc w:val="center"/>
        </w:trPr>
        <w:tc>
          <w:tcPr>
            <w:tcW w:w="4876" w:type="dxa"/>
          </w:tcPr>
          <w:p w14:paraId="259C1196" w14:textId="77777777" w:rsidR="00BF7ACA" w:rsidRPr="00B0434F" w:rsidRDefault="00BF7ACA" w:rsidP="007924BE">
            <w:pPr>
              <w:pStyle w:val="Normal6"/>
            </w:pPr>
          </w:p>
        </w:tc>
        <w:tc>
          <w:tcPr>
            <w:tcW w:w="4876" w:type="dxa"/>
            <w:hideMark/>
          </w:tcPr>
          <w:p w14:paraId="6F5B6767" w14:textId="77777777" w:rsidR="00BF7ACA" w:rsidRPr="00B0434F" w:rsidRDefault="00BF7ACA" w:rsidP="007924BE">
            <w:pPr>
              <w:pStyle w:val="Normal6"/>
              <w:rPr>
                <w:szCs w:val="24"/>
              </w:rPr>
            </w:pPr>
            <w:r>
              <w:rPr>
                <w:b/>
                <w:i/>
              </w:rPr>
              <w:t>(g)</w:t>
            </w:r>
            <w:r>
              <w:rPr>
                <w:b/>
                <w:i/>
              </w:rPr>
              <w:tab/>
            </w:r>
            <w:r w:rsidRPr="00B0434F">
              <w:rPr>
                <w:b/>
                <w:i/>
              </w:rPr>
              <w:t>sont liées aux barrages géants;</w:t>
            </w:r>
          </w:p>
        </w:tc>
      </w:tr>
      <w:tr w:rsidR="00BF7ACA" w:rsidRPr="00AF1321" w14:paraId="32CF0292" w14:textId="77777777" w:rsidTr="007924BE">
        <w:trPr>
          <w:jc w:val="center"/>
        </w:trPr>
        <w:tc>
          <w:tcPr>
            <w:tcW w:w="4876" w:type="dxa"/>
          </w:tcPr>
          <w:p w14:paraId="6F68BB71" w14:textId="77777777" w:rsidR="00BF7ACA" w:rsidRPr="00B0434F" w:rsidRDefault="00BF7ACA" w:rsidP="007924BE">
            <w:pPr>
              <w:pStyle w:val="Normal6"/>
            </w:pPr>
          </w:p>
        </w:tc>
        <w:tc>
          <w:tcPr>
            <w:tcW w:w="4876" w:type="dxa"/>
            <w:hideMark/>
          </w:tcPr>
          <w:p w14:paraId="1FEBC41B" w14:textId="77777777" w:rsidR="00BF7ACA" w:rsidRPr="00B0434F" w:rsidRDefault="00BF7ACA" w:rsidP="007924BE">
            <w:pPr>
              <w:pStyle w:val="Normal6"/>
              <w:rPr>
                <w:szCs w:val="24"/>
              </w:rPr>
            </w:pPr>
            <w:r>
              <w:rPr>
                <w:b/>
                <w:i/>
              </w:rPr>
              <w:t>(h)</w:t>
            </w:r>
            <w:r>
              <w:rPr>
                <w:b/>
                <w:i/>
              </w:rPr>
              <w:tab/>
            </w:r>
            <w:r w:rsidRPr="00B0434F">
              <w:rPr>
                <w:b/>
                <w:i/>
              </w:rPr>
              <w:t>s</w:t>
            </w:r>
            <w:r>
              <w:rPr>
                <w:b/>
                <w:i/>
              </w:rPr>
              <w:t>’</w:t>
            </w:r>
            <w:r w:rsidRPr="00B0434F">
              <w:rPr>
                <w:b/>
                <w:i/>
              </w:rPr>
              <w:t>inscrivent dans des secteurs ou des projets qui risquent de nuire aux droits de l</w:t>
            </w:r>
            <w:r>
              <w:rPr>
                <w:b/>
                <w:i/>
              </w:rPr>
              <w:t>’</w:t>
            </w:r>
            <w:r w:rsidRPr="00B0434F">
              <w:rPr>
                <w:b/>
                <w:i/>
              </w:rPr>
              <w:t>homme dans les pays partenaires, par exemple l</w:t>
            </w:r>
            <w:r>
              <w:rPr>
                <w:b/>
                <w:i/>
              </w:rPr>
              <w:t>’</w:t>
            </w:r>
            <w:r w:rsidRPr="00B0434F">
              <w:rPr>
                <w:b/>
                <w:i/>
              </w:rPr>
              <w:t>accaparement de terres et le déplacement forcé de populations. Une analyse ex ante de l</w:t>
            </w:r>
            <w:r>
              <w:rPr>
                <w:b/>
                <w:i/>
              </w:rPr>
              <w:t>’</w:t>
            </w:r>
            <w:r w:rsidRPr="00B0434F">
              <w:rPr>
                <w:b/>
                <w:i/>
              </w:rPr>
              <w:t>impact sur les droits de l</w:t>
            </w:r>
            <w:r>
              <w:rPr>
                <w:b/>
                <w:i/>
              </w:rPr>
              <w:t>’</w:t>
            </w:r>
            <w:r w:rsidRPr="00B0434F">
              <w:rPr>
                <w:b/>
                <w:i/>
              </w:rPr>
              <w:t>homme et sur l</w:t>
            </w:r>
            <w:r>
              <w:rPr>
                <w:b/>
                <w:i/>
              </w:rPr>
              <w:t>’</w:t>
            </w:r>
            <w:r w:rsidRPr="00B0434F">
              <w:rPr>
                <w:b/>
                <w:i/>
              </w:rPr>
              <w:t>environnement, mise à la disposition du public, a lieu pour recenser de tels risques.</w:t>
            </w:r>
          </w:p>
        </w:tc>
      </w:tr>
    </w:tbl>
    <w:p w14:paraId="4AA26ECF"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481D7E2" w14:textId="77777777" w:rsidR="00BF7ACA" w:rsidRPr="00BF7ACA" w:rsidRDefault="00BF7ACA" w:rsidP="00BF7ACA">
      <w:r w:rsidRPr="00BF7ACA">
        <w:rPr>
          <w:rStyle w:val="HideTWBExt"/>
        </w:rPr>
        <w:t>&lt;/Amend&gt;</w:t>
      </w:r>
    </w:p>
    <w:p w14:paraId="2DB3C6E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293</w:t>
      </w:r>
      <w:r w:rsidRPr="00BF7ACA">
        <w:rPr>
          <w:rStyle w:val="HideTWBExt"/>
          <w:b w:val="0"/>
        </w:rPr>
        <w:t>&lt;/NumAm&gt;</w:t>
      </w:r>
    </w:p>
    <w:p w14:paraId="64E17ED3" w14:textId="77777777" w:rsidR="00BF7ACA" w:rsidRPr="00BF7ACA" w:rsidRDefault="00BF7ACA" w:rsidP="00BF7ACA">
      <w:pPr>
        <w:pStyle w:val="NormalBold"/>
      </w:pPr>
      <w:r w:rsidRPr="00BF7ACA">
        <w:rPr>
          <w:rStyle w:val="HideTWBExt"/>
          <w:b w:val="0"/>
        </w:rPr>
        <w:t>&lt;RepeatBlock-By&gt;&lt;Members&gt;</w:t>
      </w:r>
      <w:r w:rsidRPr="00BF7ACA">
        <w:t>Fabio Massimo Castaldo, Ignazio Corrao, Marco Valli</w:t>
      </w:r>
      <w:r w:rsidRPr="00BF7ACA">
        <w:rPr>
          <w:rStyle w:val="HideTWBExt"/>
          <w:b w:val="0"/>
        </w:rPr>
        <w:t>&lt;/Members&gt;</w:t>
      </w:r>
    </w:p>
    <w:p w14:paraId="39CB63BB" w14:textId="77777777" w:rsidR="00BF7ACA" w:rsidRPr="00BF7ACA" w:rsidRDefault="00BF7ACA" w:rsidP="00BF7ACA">
      <w:r w:rsidRPr="00BF7ACA">
        <w:rPr>
          <w:rStyle w:val="HideTWBExt"/>
        </w:rPr>
        <w:t>&lt;/RepeatBlock-By&gt;</w:t>
      </w:r>
    </w:p>
    <w:p w14:paraId="4ABDD92C" w14:textId="77777777" w:rsidR="00BF7ACA" w:rsidRPr="00BF7ACA" w:rsidRDefault="00BF7ACA" w:rsidP="00BF7ACA">
      <w:pPr>
        <w:pStyle w:val="NormalBold"/>
        <w:keepNext/>
      </w:pPr>
      <w:r w:rsidRPr="00BF7ACA">
        <w:rPr>
          <w:rStyle w:val="HideTWBExt"/>
          <w:b w:val="0"/>
        </w:rPr>
        <w:t>&lt;DocAmend&gt;</w:t>
      </w:r>
      <w:r w:rsidRPr="00BF7ACA">
        <w:t>Proposition de règlement</w:t>
      </w:r>
      <w:r w:rsidRPr="00BF7ACA">
        <w:rPr>
          <w:rStyle w:val="HideTWBExt"/>
          <w:b w:val="0"/>
        </w:rPr>
        <w:t>&lt;/DocAmend&gt;</w:t>
      </w:r>
    </w:p>
    <w:p w14:paraId="70413776" w14:textId="77777777" w:rsidR="00BF7ACA" w:rsidRPr="00E502E5" w:rsidRDefault="00BF7ACA" w:rsidP="00BF7ACA">
      <w:pPr>
        <w:pStyle w:val="NormalBold"/>
      </w:pPr>
      <w:r>
        <w:rPr>
          <w:rStyle w:val="HideTWBExt"/>
          <w:b w:val="0"/>
        </w:rPr>
        <w:t>&lt;Article&gt;</w:t>
      </w:r>
      <w:r w:rsidRPr="002E43F3">
        <w:t>Article 8 – paragraphe 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52692408" w14:textId="77777777" w:rsidTr="007924BE">
        <w:trPr>
          <w:jc w:val="center"/>
        </w:trPr>
        <w:tc>
          <w:tcPr>
            <w:tcW w:w="9752" w:type="dxa"/>
            <w:gridSpan w:val="2"/>
          </w:tcPr>
          <w:p w14:paraId="10F998D7" w14:textId="77777777" w:rsidR="00BF7ACA" w:rsidRPr="00E502E5" w:rsidRDefault="00BF7ACA" w:rsidP="007924BE">
            <w:pPr>
              <w:keepNext/>
            </w:pPr>
          </w:p>
        </w:tc>
      </w:tr>
      <w:tr w:rsidR="00BF7ACA" w:rsidRPr="00E502E5" w14:paraId="79A036B9" w14:textId="77777777" w:rsidTr="007924BE">
        <w:trPr>
          <w:jc w:val="center"/>
        </w:trPr>
        <w:tc>
          <w:tcPr>
            <w:tcW w:w="4876" w:type="dxa"/>
            <w:hideMark/>
          </w:tcPr>
          <w:p w14:paraId="26981C07" w14:textId="77777777" w:rsidR="00BF7ACA" w:rsidRPr="002E43F3" w:rsidRDefault="00BF7ACA" w:rsidP="007924BE">
            <w:pPr>
              <w:pStyle w:val="ColumnHeading"/>
              <w:keepNext/>
            </w:pPr>
            <w:r w:rsidRPr="002E43F3">
              <w:t>Texte proposé par la Commission</w:t>
            </w:r>
          </w:p>
        </w:tc>
        <w:tc>
          <w:tcPr>
            <w:tcW w:w="4876" w:type="dxa"/>
            <w:hideMark/>
          </w:tcPr>
          <w:p w14:paraId="3477F935" w14:textId="77777777" w:rsidR="00BF7ACA" w:rsidRPr="002E43F3" w:rsidRDefault="00BF7ACA" w:rsidP="007924BE">
            <w:pPr>
              <w:pStyle w:val="ColumnHeading"/>
              <w:keepNext/>
            </w:pPr>
            <w:r w:rsidRPr="002E43F3">
              <w:t>Amendement</w:t>
            </w:r>
          </w:p>
        </w:tc>
      </w:tr>
      <w:tr w:rsidR="00BF7ACA" w:rsidRPr="00E502E5" w14:paraId="3FE8F298" w14:textId="77777777" w:rsidTr="007924BE">
        <w:trPr>
          <w:jc w:val="center"/>
        </w:trPr>
        <w:tc>
          <w:tcPr>
            <w:tcW w:w="4876" w:type="dxa"/>
          </w:tcPr>
          <w:p w14:paraId="12605A8F" w14:textId="77777777" w:rsidR="00BF7ACA" w:rsidRPr="002E43F3" w:rsidRDefault="00BF7ACA" w:rsidP="007924BE">
            <w:pPr>
              <w:pStyle w:val="Normal6"/>
            </w:pPr>
          </w:p>
        </w:tc>
        <w:tc>
          <w:tcPr>
            <w:tcW w:w="4876" w:type="dxa"/>
            <w:hideMark/>
          </w:tcPr>
          <w:p w14:paraId="157EE376" w14:textId="77777777" w:rsidR="00BF7ACA" w:rsidRPr="002E43F3" w:rsidRDefault="00BF7ACA" w:rsidP="007924BE">
            <w:pPr>
              <w:pStyle w:val="Normal6"/>
              <w:rPr>
                <w:szCs w:val="24"/>
              </w:rPr>
            </w:pPr>
            <w:r w:rsidRPr="002E43F3">
              <w:rPr>
                <w:b/>
                <w:i/>
              </w:rPr>
              <w:t>2 bis.</w:t>
            </w:r>
            <w:r>
              <w:tab/>
            </w:r>
            <w:r w:rsidRPr="002E43F3">
              <w:rPr>
                <w:b/>
                <w:i/>
              </w:rPr>
              <w:t>L</w:t>
            </w:r>
            <w:r>
              <w:rPr>
                <w:b/>
                <w:i/>
              </w:rPr>
              <w:t>’</w:t>
            </w:r>
            <w:r w:rsidRPr="002E43F3">
              <w:rPr>
                <w:b/>
                <w:i/>
              </w:rPr>
              <w:t>utilisation de la garantie est exclue:</w:t>
            </w:r>
          </w:p>
        </w:tc>
      </w:tr>
      <w:tr w:rsidR="00BF7ACA" w:rsidRPr="00E502E5" w14:paraId="1A83CEA7" w14:textId="77777777" w:rsidTr="007924BE">
        <w:trPr>
          <w:jc w:val="center"/>
        </w:trPr>
        <w:tc>
          <w:tcPr>
            <w:tcW w:w="4876" w:type="dxa"/>
          </w:tcPr>
          <w:p w14:paraId="66AF8B0E" w14:textId="77777777" w:rsidR="00BF7ACA" w:rsidRPr="002E43F3" w:rsidRDefault="00BF7ACA" w:rsidP="007924BE">
            <w:pPr>
              <w:pStyle w:val="Normal6"/>
            </w:pPr>
          </w:p>
        </w:tc>
        <w:tc>
          <w:tcPr>
            <w:tcW w:w="4876" w:type="dxa"/>
            <w:hideMark/>
          </w:tcPr>
          <w:p w14:paraId="7776901E" w14:textId="77777777" w:rsidR="00BF7ACA" w:rsidRPr="002E43F3" w:rsidRDefault="00BF7ACA" w:rsidP="007924BE">
            <w:pPr>
              <w:pStyle w:val="Normal6"/>
              <w:rPr>
                <w:szCs w:val="24"/>
              </w:rPr>
            </w:pPr>
            <w:r>
              <w:rPr>
                <w:b/>
                <w:i/>
              </w:rPr>
              <w:t>(a)</w:t>
            </w:r>
            <w:r>
              <w:rPr>
                <w:b/>
                <w:i/>
              </w:rPr>
              <w:tab/>
            </w:r>
            <w:r w:rsidRPr="002E43F3">
              <w:rPr>
                <w:b/>
                <w:i/>
              </w:rPr>
              <w:t>dans le cas d</w:t>
            </w:r>
            <w:r>
              <w:rPr>
                <w:b/>
                <w:i/>
              </w:rPr>
              <w:t>’</w:t>
            </w:r>
            <w:r w:rsidRPr="002E43F3">
              <w:rPr>
                <w:b/>
                <w:i/>
              </w:rPr>
              <w:t>activités qui encouragent la violation des droits fondamentaux des communautés locales et autochtones (accaparement des terres, forces paramilitaires, activités dans des zones déboisées), notamment dans les pays concernés par ces phénomènes;</w:t>
            </w:r>
          </w:p>
        </w:tc>
      </w:tr>
      <w:tr w:rsidR="00BF7ACA" w:rsidRPr="00E502E5" w14:paraId="19771FC9" w14:textId="77777777" w:rsidTr="007924BE">
        <w:trPr>
          <w:jc w:val="center"/>
        </w:trPr>
        <w:tc>
          <w:tcPr>
            <w:tcW w:w="4876" w:type="dxa"/>
          </w:tcPr>
          <w:p w14:paraId="4D9BAAF8" w14:textId="77777777" w:rsidR="00BF7ACA" w:rsidRPr="002E43F3" w:rsidRDefault="00BF7ACA" w:rsidP="007924BE">
            <w:pPr>
              <w:pStyle w:val="Normal6"/>
            </w:pPr>
          </w:p>
        </w:tc>
        <w:tc>
          <w:tcPr>
            <w:tcW w:w="4876" w:type="dxa"/>
            <w:hideMark/>
          </w:tcPr>
          <w:p w14:paraId="67FABED0" w14:textId="77777777" w:rsidR="00BF7ACA" w:rsidRPr="002E43F3" w:rsidRDefault="00BF7ACA" w:rsidP="007924BE">
            <w:pPr>
              <w:pStyle w:val="Normal6"/>
              <w:rPr>
                <w:szCs w:val="24"/>
              </w:rPr>
            </w:pPr>
            <w:r>
              <w:rPr>
                <w:b/>
                <w:i/>
              </w:rPr>
              <w:t>(b)</w:t>
            </w:r>
            <w:r>
              <w:rPr>
                <w:b/>
                <w:i/>
              </w:rPr>
              <w:tab/>
            </w:r>
            <w:r w:rsidRPr="002E43F3">
              <w:rPr>
                <w:b/>
                <w:i/>
              </w:rPr>
              <w:t>dans le cas de de grands projets d</w:t>
            </w:r>
            <w:r>
              <w:rPr>
                <w:b/>
                <w:i/>
              </w:rPr>
              <w:t>’</w:t>
            </w:r>
            <w:r w:rsidRPr="002E43F3">
              <w:rPr>
                <w:b/>
                <w:i/>
              </w:rPr>
              <w:t>infrastructure à incidence environnementale élevée, mais aussi dépourvus de valeur ajoutée économique et sociale significative pour la population locale concernée;</w:t>
            </w:r>
          </w:p>
        </w:tc>
      </w:tr>
      <w:tr w:rsidR="00BF7ACA" w:rsidRPr="00E502E5" w14:paraId="116323C4" w14:textId="77777777" w:rsidTr="007924BE">
        <w:trPr>
          <w:jc w:val="center"/>
        </w:trPr>
        <w:tc>
          <w:tcPr>
            <w:tcW w:w="4876" w:type="dxa"/>
          </w:tcPr>
          <w:p w14:paraId="0A0B1CEB" w14:textId="77777777" w:rsidR="00BF7ACA" w:rsidRPr="002E43F3" w:rsidRDefault="00BF7ACA" w:rsidP="007924BE">
            <w:pPr>
              <w:pStyle w:val="Normal6"/>
            </w:pPr>
          </w:p>
        </w:tc>
        <w:tc>
          <w:tcPr>
            <w:tcW w:w="4876" w:type="dxa"/>
            <w:hideMark/>
          </w:tcPr>
          <w:p w14:paraId="67610E01" w14:textId="77777777" w:rsidR="00BF7ACA" w:rsidRPr="002E43F3" w:rsidRDefault="00BF7ACA" w:rsidP="007924BE">
            <w:pPr>
              <w:pStyle w:val="Normal6"/>
              <w:rPr>
                <w:szCs w:val="24"/>
              </w:rPr>
            </w:pPr>
            <w:r w:rsidRPr="002E43F3">
              <w:rPr>
                <w:b/>
                <w:i/>
              </w:rPr>
              <w:t>(c)</w:t>
            </w:r>
            <w:r>
              <w:rPr>
                <w:b/>
                <w:i/>
              </w:rPr>
              <w:tab/>
            </w:r>
            <w:r w:rsidRPr="002E43F3">
              <w:rPr>
                <w:b/>
                <w:i/>
              </w:rPr>
              <w:t>en cas de soupçons d</w:t>
            </w:r>
            <w:r>
              <w:rPr>
                <w:b/>
                <w:i/>
              </w:rPr>
              <w:t>’</w:t>
            </w:r>
            <w:r w:rsidRPr="002E43F3">
              <w:rPr>
                <w:b/>
                <w:i/>
              </w:rPr>
              <w:t>infractions environnementales et de préjudice à la société ou aux collectivités locales, compte tenu du principe de précaution;</w:t>
            </w:r>
          </w:p>
        </w:tc>
      </w:tr>
    </w:tbl>
    <w:p w14:paraId="235FE328"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{IT}</w:t>
      </w:r>
      <w:r w:rsidRPr="00BF7ACA">
        <w:rPr>
          <w:noProof w:val="0"/>
        </w:rPr>
        <w:t>it</w:t>
      </w:r>
      <w:r w:rsidRPr="00BF7ACA">
        <w:rPr>
          <w:rStyle w:val="HideTWBExt"/>
          <w:noProof w:val="0"/>
        </w:rPr>
        <w:t>&lt;/Original&gt;</w:t>
      </w:r>
    </w:p>
    <w:p w14:paraId="309A3DEA" w14:textId="77777777" w:rsidR="00BF7ACA" w:rsidRPr="00BF7ACA" w:rsidRDefault="00BF7ACA" w:rsidP="00BF7ACA">
      <w:r w:rsidRPr="00BF7ACA">
        <w:rPr>
          <w:rStyle w:val="HideTWBExt"/>
        </w:rPr>
        <w:t>&lt;/Amend&gt;</w:t>
      </w:r>
    </w:p>
    <w:p w14:paraId="4A2839EF"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294</w:t>
      </w:r>
      <w:r w:rsidRPr="00BF7ACA">
        <w:rPr>
          <w:rStyle w:val="HideTWBExt"/>
          <w:b w:val="0"/>
        </w:rPr>
        <w:t>&lt;/NumAm&gt;</w:t>
      </w:r>
    </w:p>
    <w:p w14:paraId="044371BA" w14:textId="77777777"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14:paraId="2A6E8F44" w14:textId="77777777" w:rsidR="00BF7ACA" w:rsidRPr="00AF1321" w:rsidRDefault="00BF7ACA" w:rsidP="00BF7ACA">
      <w:r>
        <w:rPr>
          <w:rStyle w:val="HideTWBExt"/>
        </w:rPr>
        <w:t>&lt;/RepeatBlock-By&gt;</w:t>
      </w:r>
    </w:p>
    <w:p w14:paraId="6E7ADAFF"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7A306AC9" w14:textId="77777777" w:rsidR="00BF7ACA" w:rsidRPr="00AF1321" w:rsidRDefault="00BF7ACA" w:rsidP="00BF7ACA">
      <w:pPr>
        <w:pStyle w:val="NormalBold"/>
      </w:pPr>
      <w:r>
        <w:rPr>
          <w:rStyle w:val="HideTWBExt"/>
          <w:b w:val="0"/>
        </w:rPr>
        <w:t>&lt;Article&gt;</w:t>
      </w:r>
      <w:r w:rsidRPr="00B0434F">
        <w:t>Article 8 – paragraphe 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21D039CA" w14:textId="77777777" w:rsidTr="007924BE">
        <w:trPr>
          <w:jc w:val="center"/>
        </w:trPr>
        <w:tc>
          <w:tcPr>
            <w:tcW w:w="9752" w:type="dxa"/>
            <w:gridSpan w:val="2"/>
          </w:tcPr>
          <w:p w14:paraId="2E7D8E7E" w14:textId="77777777" w:rsidR="00BF7ACA" w:rsidRPr="00AF1321" w:rsidRDefault="00BF7ACA" w:rsidP="007924BE">
            <w:pPr>
              <w:keepNext/>
            </w:pPr>
          </w:p>
        </w:tc>
      </w:tr>
      <w:tr w:rsidR="00BF7ACA" w:rsidRPr="00AF1321" w14:paraId="469CDB30" w14:textId="77777777" w:rsidTr="007924BE">
        <w:trPr>
          <w:jc w:val="center"/>
        </w:trPr>
        <w:tc>
          <w:tcPr>
            <w:tcW w:w="4876" w:type="dxa"/>
            <w:hideMark/>
          </w:tcPr>
          <w:p w14:paraId="4C45AED5" w14:textId="77777777" w:rsidR="00BF7ACA" w:rsidRPr="00B0434F" w:rsidRDefault="00BF7ACA" w:rsidP="007924BE">
            <w:pPr>
              <w:pStyle w:val="ColumnHeading"/>
              <w:keepNext/>
            </w:pPr>
            <w:r w:rsidRPr="00B0434F">
              <w:t>Texte proposé par la Commission</w:t>
            </w:r>
          </w:p>
        </w:tc>
        <w:tc>
          <w:tcPr>
            <w:tcW w:w="4876" w:type="dxa"/>
            <w:hideMark/>
          </w:tcPr>
          <w:p w14:paraId="285100EA" w14:textId="77777777" w:rsidR="00BF7ACA" w:rsidRPr="00B0434F" w:rsidRDefault="00BF7ACA" w:rsidP="007924BE">
            <w:pPr>
              <w:pStyle w:val="ColumnHeading"/>
              <w:keepNext/>
            </w:pPr>
            <w:r w:rsidRPr="00B0434F">
              <w:t>Amendement</w:t>
            </w:r>
          </w:p>
        </w:tc>
      </w:tr>
      <w:tr w:rsidR="00BF7ACA" w:rsidRPr="00AF1321" w14:paraId="5A44DF75" w14:textId="77777777" w:rsidTr="007924BE">
        <w:trPr>
          <w:jc w:val="center"/>
        </w:trPr>
        <w:tc>
          <w:tcPr>
            <w:tcW w:w="4876" w:type="dxa"/>
          </w:tcPr>
          <w:p w14:paraId="0A919389" w14:textId="77777777" w:rsidR="00BF7ACA" w:rsidRPr="00B0434F" w:rsidRDefault="00BF7ACA" w:rsidP="007924BE">
            <w:pPr>
              <w:pStyle w:val="Normal6"/>
            </w:pPr>
          </w:p>
        </w:tc>
        <w:tc>
          <w:tcPr>
            <w:tcW w:w="4876" w:type="dxa"/>
            <w:hideMark/>
          </w:tcPr>
          <w:p w14:paraId="0DD5B31C" w14:textId="77777777" w:rsidR="00BF7ACA" w:rsidRPr="00B0434F" w:rsidRDefault="00BF7ACA" w:rsidP="007924BE">
            <w:pPr>
              <w:pStyle w:val="Normal6"/>
              <w:rPr>
                <w:szCs w:val="24"/>
              </w:rPr>
            </w:pPr>
            <w:r w:rsidRPr="00B0434F">
              <w:rPr>
                <w:b/>
                <w:i/>
              </w:rPr>
              <w:t>2 bis.</w:t>
            </w:r>
            <w:r>
              <w:tab/>
            </w:r>
            <w:r w:rsidRPr="00B0434F">
              <w:rPr>
                <w:b/>
                <w:i/>
              </w:rPr>
              <w:t>Le FEDD ne doit pas être utilisé pour remplacer la responsabilité de l</w:t>
            </w:r>
            <w:r>
              <w:rPr>
                <w:b/>
                <w:i/>
              </w:rPr>
              <w:t>’</w:t>
            </w:r>
            <w:r w:rsidRPr="00B0434F">
              <w:rPr>
                <w:b/>
                <w:i/>
              </w:rPr>
              <w:t>État en matière de services publics.</w:t>
            </w:r>
          </w:p>
        </w:tc>
      </w:tr>
    </w:tbl>
    <w:p w14:paraId="1F3D84BD"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61A1C75" w14:textId="77777777" w:rsidR="00BF7ACA" w:rsidRPr="00BF7ACA" w:rsidRDefault="00BF7ACA" w:rsidP="00BF7ACA">
      <w:r w:rsidRPr="00BF7ACA">
        <w:rPr>
          <w:rStyle w:val="HideTWBExt"/>
        </w:rPr>
        <w:t>&lt;/Amend&gt;</w:t>
      </w:r>
    </w:p>
    <w:p w14:paraId="33F1667C"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295</w:t>
      </w:r>
      <w:r w:rsidRPr="00BF7ACA">
        <w:rPr>
          <w:rStyle w:val="HideTWBExt"/>
          <w:b w:val="0"/>
        </w:rPr>
        <w:t>&lt;/NumAm&gt;</w:t>
      </w:r>
    </w:p>
    <w:p w14:paraId="4EF58461"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3BE45534" w14:textId="77777777" w:rsidR="00BF7ACA" w:rsidRPr="00AF1321" w:rsidRDefault="00BF7ACA" w:rsidP="00BF7ACA">
      <w:r>
        <w:rPr>
          <w:rStyle w:val="HideTWBExt"/>
        </w:rPr>
        <w:t>&lt;/RepeatBlock-By&gt;</w:t>
      </w:r>
    </w:p>
    <w:p w14:paraId="41A58F2C"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07725850" w14:textId="77777777" w:rsidR="00BF7ACA" w:rsidRPr="00AF1321" w:rsidRDefault="00BF7ACA" w:rsidP="00BF7ACA">
      <w:pPr>
        <w:pStyle w:val="NormalBold"/>
      </w:pPr>
      <w:r>
        <w:rPr>
          <w:rStyle w:val="HideTWBExt"/>
          <w:b w:val="0"/>
        </w:rPr>
        <w:t>&lt;Article&gt;</w:t>
      </w:r>
      <w:r w:rsidRPr="00B0434F">
        <w:t>Article 8 – paragraphe 3</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0B9369CE" w14:textId="77777777" w:rsidTr="007924BE">
        <w:trPr>
          <w:jc w:val="center"/>
        </w:trPr>
        <w:tc>
          <w:tcPr>
            <w:tcW w:w="9752" w:type="dxa"/>
            <w:gridSpan w:val="2"/>
          </w:tcPr>
          <w:p w14:paraId="48B2B9EC" w14:textId="77777777" w:rsidR="00BF7ACA" w:rsidRPr="00AF1321" w:rsidRDefault="00BF7ACA" w:rsidP="007924BE">
            <w:pPr>
              <w:keepNext/>
            </w:pPr>
          </w:p>
        </w:tc>
      </w:tr>
      <w:tr w:rsidR="00BF7ACA" w:rsidRPr="00AF1321" w14:paraId="24029AF9" w14:textId="77777777" w:rsidTr="007924BE">
        <w:trPr>
          <w:jc w:val="center"/>
        </w:trPr>
        <w:tc>
          <w:tcPr>
            <w:tcW w:w="4876" w:type="dxa"/>
            <w:hideMark/>
          </w:tcPr>
          <w:p w14:paraId="314EB9DC" w14:textId="77777777" w:rsidR="00BF7ACA" w:rsidRPr="00B0434F" w:rsidRDefault="00BF7ACA" w:rsidP="007924BE">
            <w:pPr>
              <w:pStyle w:val="ColumnHeading"/>
              <w:keepNext/>
            </w:pPr>
            <w:r w:rsidRPr="00B0434F">
              <w:t>Texte proposé par la Commission</w:t>
            </w:r>
          </w:p>
        </w:tc>
        <w:tc>
          <w:tcPr>
            <w:tcW w:w="4876" w:type="dxa"/>
            <w:hideMark/>
          </w:tcPr>
          <w:p w14:paraId="343D0557" w14:textId="77777777" w:rsidR="00BF7ACA" w:rsidRPr="00B0434F" w:rsidRDefault="00BF7ACA" w:rsidP="007924BE">
            <w:pPr>
              <w:pStyle w:val="ColumnHeading"/>
              <w:keepNext/>
            </w:pPr>
            <w:r w:rsidRPr="00B0434F">
              <w:t>Amendement</w:t>
            </w:r>
          </w:p>
        </w:tc>
      </w:tr>
      <w:tr w:rsidR="00BF7ACA" w:rsidRPr="00AF1321" w14:paraId="57CF4CE3" w14:textId="77777777" w:rsidTr="007924BE">
        <w:trPr>
          <w:jc w:val="center"/>
        </w:trPr>
        <w:tc>
          <w:tcPr>
            <w:tcW w:w="4876" w:type="dxa"/>
            <w:hideMark/>
          </w:tcPr>
          <w:p w14:paraId="12FFF70F" w14:textId="77777777" w:rsidR="00BF7ACA" w:rsidRPr="00B0434F" w:rsidRDefault="00BF7ACA" w:rsidP="007924BE">
            <w:pPr>
              <w:pStyle w:val="Normal6"/>
            </w:pPr>
            <w:r w:rsidRPr="00B0434F">
              <w:t>3.</w:t>
            </w:r>
            <w:r>
              <w:tab/>
            </w:r>
            <w:r w:rsidRPr="00B0434F">
              <w:t>Au cas par cas, la Commission peut autoriser le cumul de financements provena</w:t>
            </w:r>
            <w:r>
              <w:t>nt de différents instruments de </w:t>
            </w:r>
            <w:r w:rsidRPr="00B0434F">
              <w:t>l</w:t>
            </w:r>
            <w:r>
              <w:t>’</w:t>
            </w:r>
            <w:r w:rsidRPr="00B0434F">
              <w:t>Union.</w:t>
            </w:r>
          </w:p>
        </w:tc>
        <w:tc>
          <w:tcPr>
            <w:tcW w:w="4876" w:type="dxa"/>
            <w:hideMark/>
          </w:tcPr>
          <w:p w14:paraId="00B5C18F" w14:textId="77777777" w:rsidR="00BF7ACA" w:rsidRPr="00B0434F" w:rsidRDefault="00BF7ACA" w:rsidP="007924BE">
            <w:pPr>
              <w:pStyle w:val="Normal6"/>
              <w:rPr>
                <w:szCs w:val="24"/>
              </w:rPr>
            </w:pPr>
            <w:r w:rsidRPr="00B0434F">
              <w:t>3.</w:t>
            </w:r>
            <w:r>
              <w:tab/>
            </w:r>
            <w:r w:rsidRPr="00B0434F">
              <w:t>Au cas par cas, la Commission peut autoriser le cumul de financements provenant de différents instruments de l</w:t>
            </w:r>
            <w:r>
              <w:t>’</w:t>
            </w:r>
            <w:r w:rsidRPr="00B0434F">
              <w:t>Union</w:t>
            </w:r>
            <w:r w:rsidRPr="00B0434F">
              <w:rPr>
                <w:b/>
                <w:i/>
              </w:rPr>
              <w:t>, pour autant que cela n</w:t>
            </w:r>
            <w:r>
              <w:rPr>
                <w:b/>
                <w:i/>
              </w:rPr>
              <w:t>’</w:t>
            </w:r>
            <w:r w:rsidRPr="00B0434F">
              <w:rPr>
                <w:b/>
                <w:i/>
              </w:rPr>
              <w:t>entraîne pas de diminution des financements pour d</w:t>
            </w:r>
            <w:r>
              <w:rPr>
                <w:b/>
                <w:i/>
              </w:rPr>
              <w:t>’</w:t>
            </w:r>
            <w:r w:rsidRPr="00B0434F">
              <w:rPr>
                <w:b/>
                <w:i/>
              </w:rPr>
              <w:t>autres objectifs de développement</w:t>
            </w:r>
            <w:r w:rsidRPr="00B0434F">
              <w:rPr>
                <w:b/>
              </w:rPr>
              <w:t>.</w:t>
            </w:r>
          </w:p>
        </w:tc>
      </w:tr>
    </w:tbl>
    <w:p w14:paraId="46C5745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00BE9D2" w14:textId="77777777" w:rsidR="00BF7ACA" w:rsidRPr="00BF7ACA" w:rsidRDefault="00BF7ACA" w:rsidP="00BF7ACA">
      <w:r w:rsidRPr="00BF7ACA">
        <w:rPr>
          <w:rStyle w:val="HideTWBExt"/>
        </w:rPr>
        <w:t>&lt;/Amend&gt;</w:t>
      </w:r>
    </w:p>
    <w:p w14:paraId="744F428D"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296</w:t>
      </w:r>
      <w:r w:rsidRPr="00E502E5">
        <w:rPr>
          <w:rStyle w:val="HideTWBExt"/>
          <w:b w:val="0"/>
        </w:rPr>
        <w:t>&lt;/NumAm&gt;</w:t>
      </w:r>
    </w:p>
    <w:p w14:paraId="1FB91ECD" w14:textId="77777777"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14:paraId="1BDF5074" w14:textId="77777777" w:rsidR="00BF7ACA" w:rsidRPr="00E502E5" w:rsidRDefault="00BF7ACA" w:rsidP="00BF7ACA">
      <w:r w:rsidRPr="00E502E5">
        <w:rPr>
          <w:rStyle w:val="HideTWBExt"/>
        </w:rPr>
        <w:t>&lt;/RepeatBlock-By&gt;</w:t>
      </w:r>
    </w:p>
    <w:p w14:paraId="611E2B89"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5D7905DA" w14:textId="77777777" w:rsidR="00BF7ACA" w:rsidRPr="00E502E5" w:rsidRDefault="00BF7ACA" w:rsidP="00BF7ACA">
      <w:pPr>
        <w:pStyle w:val="NormalBold"/>
      </w:pPr>
      <w:r w:rsidRPr="00E502E5">
        <w:rPr>
          <w:rStyle w:val="HideTWBExt"/>
          <w:b w:val="0"/>
        </w:rPr>
        <w:t>&lt;Article&gt;</w:t>
      </w:r>
      <w:r w:rsidRPr="00E502E5">
        <w:t>Article 8 – paragraphe 4</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36EE27B5" w14:textId="77777777" w:rsidTr="007924BE">
        <w:trPr>
          <w:jc w:val="center"/>
        </w:trPr>
        <w:tc>
          <w:tcPr>
            <w:tcW w:w="9752" w:type="dxa"/>
            <w:gridSpan w:val="2"/>
          </w:tcPr>
          <w:p w14:paraId="06E2694B" w14:textId="77777777" w:rsidR="00BF7ACA" w:rsidRPr="00E502E5" w:rsidRDefault="00BF7ACA" w:rsidP="007924BE">
            <w:pPr>
              <w:keepNext/>
            </w:pPr>
          </w:p>
        </w:tc>
      </w:tr>
      <w:tr w:rsidR="00BF7ACA" w:rsidRPr="00E502E5" w14:paraId="14D260E1" w14:textId="77777777" w:rsidTr="007924BE">
        <w:trPr>
          <w:jc w:val="center"/>
        </w:trPr>
        <w:tc>
          <w:tcPr>
            <w:tcW w:w="4876" w:type="dxa"/>
            <w:hideMark/>
          </w:tcPr>
          <w:p w14:paraId="69760CD7" w14:textId="77777777" w:rsidR="00BF7ACA" w:rsidRPr="00E502E5" w:rsidRDefault="00BF7ACA" w:rsidP="007924BE">
            <w:pPr>
              <w:pStyle w:val="ColumnHeading"/>
              <w:keepNext/>
            </w:pPr>
            <w:r w:rsidRPr="00E502E5">
              <w:t>Texte proposé par la Commission</w:t>
            </w:r>
          </w:p>
        </w:tc>
        <w:tc>
          <w:tcPr>
            <w:tcW w:w="4876" w:type="dxa"/>
            <w:hideMark/>
          </w:tcPr>
          <w:p w14:paraId="70D775E2" w14:textId="77777777" w:rsidR="00BF7ACA" w:rsidRPr="00E502E5" w:rsidRDefault="00BF7ACA" w:rsidP="007924BE">
            <w:pPr>
              <w:pStyle w:val="ColumnHeading"/>
              <w:keepNext/>
            </w:pPr>
            <w:r w:rsidRPr="00E502E5">
              <w:t>Amendement</w:t>
            </w:r>
          </w:p>
        </w:tc>
      </w:tr>
      <w:tr w:rsidR="00BF7ACA" w:rsidRPr="00E502E5" w14:paraId="134A9C62" w14:textId="77777777" w:rsidTr="007924BE">
        <w:trPr>
          <w:jc w:val="center"/>
        </w:trPr>
        <w:tc>
          <w:tcPr>
            <w:tcW w:w="4876" w:type="dxa"/>
            <w:hideMark/>
          </w:tcPr>
          <w:p w14:paraId="65DB624A" w14:textId="77777777" w:rsidR="00BF7ACA" w:rsidRPr="00E502E5" w:rsidRDefault="00BF7ACA" w:rsidP="007924BE">
            <w:pPr>
              <w:pStyle w:val="Normal6"/>
            </w:pPr>
            <w:r w:rsidRPr="00E502E5">
              <w:t>4.</w:t>
            </w:r>
            <w:r w:rsidRPr="00E502E5">
              <w:tab/>
              <w:t xml:space="preserve">La Commission </w:t>
            </w:r>
            <w:r w:rsidRPr="00E502E5">
              <w:rPr>
                <w:b/>
                <w:i/>
              </w:rPr>
              <w:t>peut définir</w:t>
            </w:r>
            <w:r w:rsidRPr="00E502E5">
              <w:t xml:space="preserve"> des volets d</w:t>
            </w:r>
            <w:r>
              <w:t>’</w:t>
            </w:r>
            <w:r w:rsidRPr="00E502E5">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E502E5">
              <w:t>un financement par les instruments visés à l</w:t>
            </w:r>
            <w:r>
              <w:t>’</w:t>
            </w:r>
            <w:r w:rsidRPr="00E502E5">
              <w:t>article 9, lesquels seront couverts par la garantie FEDD à hauteur d</w:t>
            </w:r>
            <w:r>
              <w:t>’</w:t>
            </w:r>
            <w:r w:rsidRPr="00E502E5">
              <w:t xml:space="preserve">un montant déterminé. </w:t>
            </w:r>
            <w:r w:rsidRPr="00E502E5">
              <w:rPr>
                <w:b/>
                <w:i/>
              </w:rPr>
              <w:t>Toute demande de soutien financier dans le cadre des volets</w:t>
            </w:r>
            <w:r w:rsidRPr="00E502E5">
              <w:t xml:space="preserve"> d</w:t>
            </w:r>
            <w:r>
              <w:t>’</w:t>
            </w:r>
            <w:r w:rsidRPr="00E502E5">
              <w:t xml:space="preserve">investissement </w:t>
            </w:r>
            <w:r w:rsidRPr="00E502E5">
              <w:rPr>
                <w:b/>
                <w:i/>
              </w:rPr>
              <w:t>est adressée à</w:t>
            </w:r>
            <w:r w:rsidRPr="00E502E5">
              <w:t xml:space="preserve"> la Commission.</w:t>
            </w:r>
          </w:p>
        </w:tc>
        <w:tc>
          <w:tcPr>
            <w:tcW w:w="4876" w:type="dxa"/>
            <w:hideMark/>
          </w:tcPr>
          <w:p w14:paraId="2C56A6D2" w14:textId="77777777" w:rsidR="00BF7ACA" w:rsidRPr="00E502E5" w:rsidRDefault="00BF7ACA" w:rsidP="007924BE">
            <w:pPr>
              <w:pStyle w:val="Normal6"/>
              <w:rPr>
                <w:szCs w:val="24"/>
              </w:rPr>
            </w:pPr>
            <w:r w:rsidRPr="00E502E5">
              <w:t>4.</w:t>
            </w:r>
            <w:r w:rsidRPr="00E502E5">
              <w:tab/>
              <w:t xml:space="preserve">La Commission </w:t>
            </w:r>
            <w:r w:rsidRPr="00E502E5">
              <w:rPr>
                <w:b/>
                <w:i/>
              </w:rPr>
              <w:t>définit</w:t>
            </w:r>
            <w:r w:rsidRPr="00E502E5">
              <w:t xml:space="preserve"> des volets d</w:t>
            </w:r>
            <w:r>
              <w:t>’</w:t>
            </w:r>
            <w:r w:rsidRPr="00E502E5">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E502E5">
              <w:t>un financement par les instruments visés à l</w:t>
            </w:r>
            <w:r>
              <w:t>’</w:t>
            </w:r>
            <w:r w:rsidRPr="00E502E5">
              <w:t>article 9, lesquels seront couverts par la garantie FEDD à hauteur d</w:t>
            </w:r>
            <w:r>
              <w:t>’</w:t>
            </w:r>
            <w:r w:rsidRPr="00E502E5">
              <w:t>un montant déterminé.</w:t>
            </w:r>
          </w:p>
        </w:tc>
      </w:tr>
      <w:tr w:rsidR="00BF7ACA" w:rsidRPr="00E502E5" w14:paraId="66077A1B" w14:textId="77777777" w:rsidTr="007924BE">
        <w:trPr>
          <w:jc w:val="center"/>
        </w:trPr>
        <w:tc>
          <w:tcPr>
            <w:tcW w:w="4876" w:type="dxa"/>
          </w:tcPr>
          <w:p w14:paraId="305E2A21" w14:textId="77777777" w:rsidR="00BF7ACA" w:rsidRPr="00E502E5" w:rsidRDefault="00BF7ACA" w:rsidP="007924BE">
            <w:pPr>
              <w:pStyle w:val="Normal6"/>
            </w:pPr>
          </w:p>
        </w:tc>
        <w:tc>
          <w:tcPr>
            <w:tcW w:w="4876" w:type="dxa"/>
            <w:hideMark/>
          </w:tcPr>
          <w:p w14:paraId="2782F541" w14:textId="77777777" w:rsidR="00BF7ACA" w:rsidRPr="00E502E5" w:rsidRDefault="00BF7ACA" w:rsidP="007924BE">
            <w:pPr>
              <w:pStyle w:val="Normal6"/>
              <w:rPr>
                <w:szCs w:val="24"/>
              </w:rPr>
            </w:pPr>
            <w:r w:rsidRPr="00E502E5">
              <w:rPr>
                <w:b/>
                <w:i/>
              </w:rPr>
              <w:t>Le choix des volets d</w:t>
            </w:r>
            <w:r>
              <w:rPr>
                <w:b/>
                <w:i/>
              </w:rPr>
              <w:t>’</w:t>
            </w:r>
            <w:r w:rsidRPr="00E502E5">
              <w:rPr>
                <w:b/>
                <w:i/>
              </w:rPr>
              <w:t>investissement est dûment justifié par une analyse locale des défaillances du marché ou des situations</w:t>
            </w:r>
            <w:r w:rsidRPr="00E502E5">
              <w:t xml:space="preserve"> d</w:t>
            </w:r>
            <w:r>
              <w:t>’</w:t>
            </w:r>
            <w:r w:rsidRPr="00E502E5">
              <w:t xml:space="preserve">investissement </w:t>
            </w:r>
            <w:r w:rsidRPr="00E502E5">
              <w:rPr>
                <w:b/>
                <w:i/>
              </w:rPr>
              <w:t>non optimales. Ce type d</w:t>
            </w:r>
            <w:r>
              <w:rPr>
                <w:b/>
                <w:i/>
              </w:rPr>
              <w:t>’</w:t>
            </w:r>
            <w:r w:rsidRPr="00E502E5">
              <w:rPr>
                <w:b/>
                <w:i/>
              </w:rPr>
              <w:t>analyse est réalisé par</w:t>
            </w:r>
            <w:r w:rsidRPr="00E502E5">
              <w:t xml:space="preserve"> la Commission </w:t>
            </w:r>
            <w:r w:rsidRPr="00E502E5">
              <w:rPr>
                <w:b/>
                <w:i/>
              </w:rPr>
              <w:t>en coopération avec les contreparties potentiellement éligibles et les parties concernées.</w:t>
            </w:r>
          </w:p>
        </w:tc>
      </w:tr>
      <w:tr w:rsidR="00BF7ACA" w:rsidRPr="00E502E5" w14:paraId="234EF3BF" w14:textId="77777777" w:rsidTr="007924BE">
        <w:trPr>
          <w:jc w:val="center"/>
        </w:trPr>
        <w:tc>
          <w:tcPr>
            <w:tcW w:w="4876" w:type="dxa"/>
          </w:tcPr>
          <w:p w14:paraId="47E44030" w14:textId="77777777" w:rsidR="00BF7ACA" w:rsidRPr="00E502E5" w:rsidRDefault="00BF7ACA" w:rsidP="007924BE">
            <w:pPr>
              <w:pStyle w:val="Normal6"/>
            </w:pPr>
          </w:p>
        </w:tc>
        <w:tc>
          <w:tcPr>
            <w:tcW w:w="4876" w:type="dxa"/>
            <w:hideMark/>
          </w:tcPr>
          <w:p w14:paraId="1A7F5E3C" w14:textId="77777777" w:rsidR="00BF7ACA" w:rsidRPr="00E502E5" w:rsidRDefault="00BF7ACA" w:rsidP="007924BE">
            <w:pPr>
              <w:pStyle w:val="Normal6"/>
              <w:rPr>
                <w:szCs w:val="24"/>
              </w:rPr>
            </w:pPr>
            <w:r w:rsidRPr="00E502E5">
              <w:rPr>
                <w:b/>
                <w:i/>
              </w:rPr>
              <w:t>Les volets d</w:t>
            </w:r>
            <w:r>
              <w:rPr>
                <w:b/>
                <w:i/>
              </w:rPr>
              <w:t>’</w:t>
            </w:r>
            <w:r w:rsidRPr="00E502E5">
              <w:rPr>
                <w:b/>
                <w:i/>
              </w:rPr>
              <w:t>investissement sont définis dans le but d</w:t>
            </w:r>
            <w:r>
              <w:rPr>
                <w:b/>
                <w:i/>
              </w:rPr>
              <w:t>’</w:t>
            </w:r>
            <w:r w:rsidRPr="00E502E5">
              <w:rPr>
                <w:b/>
                <w:i/>
              </w:rPr>
              <w:t>allouer une part conséquente de la garantie FEDD à des pays fragiles et en situation de conflit, à des pays enclavés et aux pays les moins développés</w:t>
            </w:r>
            <w:r w:rsidRPr="00E502E5">
              <w:t>.</w:t>
            </w:r>
          </w:p>
        </w:tc>
      </w:tr>
    </w:tbl>
    <w:p w14:paraId="26E9B8F6"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6F696F49" w14:textId="77777777" w:rsidR="00BF7ACA" w:rsidRPr="00E502E5" w:rsidRDefault="00BF7ACA" w:rsidP="00BF7ACA">
      <w:r w:rsidRPr="00E502E5">
        <w:rPr>
          <w:rStyle w:val="HideTWBExt"/>
        </w:rPr>
        <w:t>&lt;/Amend&gt;</w:t>
      </w:r>
    </w:p>
    <w:p w14:paraId="13C18C4E"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297</w:t>
      </w:r>
      <w:r w:rsidRPr="00BF7ACA">
        <w:rPr>
          <w:rStyle w:val="HideTWBExt"/>
          <w:b w:val="0"/>
        </w:rPr>
        <w:t>&lt;/NumAm&gt;</w:t>
      </w:r>
    </w:p>
    <w:p w14:paraId="033049A2" w14:textId="77777777"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14:paraId="6E856F4A" w14:textId="77777777" w:rsidR="00BF7ACA" w:rsidRPr="00AF1321" w:rsidRDefault="00BF7ACA" w:rsidP="00BF7ACA">
      <w:r>
        <w:rPr>
          <w:rStyle w:val="HideTWBExt"/>
        </w:rPr>
        <w:t>&lt;/RepeatBlock-By&gt;</w:t>
      </w:r>
    </w:p>
    <w:p w14:paraId="100B66DE"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20761C4E" w14:textId="77777777" w:rsidR="00BF7ACA" w:rsidRPr="00AF1321" w:rsidRDefault="00BF7ACA" w:rsidP="00BF7ACA">
      <w:pPr>
        <w:pStyle w:val="NormalBold"/>
      </w:pPr>
      <w:r>
        <w:rPr>
          <w:rStyle w:val="HideTWBExt"/>
          <w:b w:val="0"/>
        </w:rPr>
        <w:t>&lt;Article&gt;</w:t>
      </w:r>
      <w:r w:rsidRPr="00B0434F">
        <w:t>Article 8 – paragraphe 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284F6BA3" w14:textId="77777777" w:rsidTr="007924BE">
        <w:trPr>
          <w:jc w:val="center"/>
        </w:trPr>
        <w:tc>
          <w:tcPr>
            <w:tcW w:w="9752" w:type="dxa"/>
            <w:gridSpan w:val="2"/>
          </w:tcPr>
          <w:p w14:paraId="6E28A504" w14:textId="77777777" w:rsidR="00BF7ACA" w:rsidRPr="00AF1321" w:rsidRDefault="00BF7ACA" w:rsidP="007924BE">
            <w:pPr>
              <w:keepNext/>
            </w:pPr>
          </w:p>
        </w:tc>
      </w:tr>
      <w:tr w:rsidR="00BF7ACA" w:rsidRPr="00AF1321" w14:paraId="0562E6D5" w14:textId="77777777" w:rsidTr="007924BE">
        <w:trPr>
          <w:jc w:val="center"/>
        </w:trPr>
        <w:tc>
          <w:tcPr>
            <w:tcW w:w="4876" w:type="dxa"/>
            <w:hideMark/>
          </w:tcPr>
          <w:p w14:paraId="09E11653" w14:textId="77777777" w:rsidR="00BF7ACA" w:rsidRPr="00B0434F" w:rsidRDefault="00BF7ACA" w:rsidP="007924BE">
            <w:pPr>
              <w:pStyle w:val="ColumnHeading"/>
              <w:keepNext/>
            </w:pPr>
            <w:r w:rsidRPr="00B0434F">
              <w:t>Texte proposé par la Commission</w:t>
            </w:r>
          </w:p>
        </w:tc>
        <w:tc>
          <w:tcPr>
            <w:tcW w:w="4876" w:type="dxa"/>
            <w:hideMark/>
          </w:tcPr>
          <w:p w14:paraId="1B2213EB" w14:textId="77777777" w:rsidR="00BF7ACA" w:rsidRPr="00B0434F" w:rsidRDefault="00BF7ACA" w:rsidP="007924BE">
            <w:pPr>
              <w:pStyle w:val="ColumnHeading"/>
              <w:keepNext/>
            </w:pPr>
            <w:r w:rsidRPr="00B0434F">
              <w:t>Amendement</w:t>
            </w:r>
          </w:p>
        </w:tc>
      </w:tr>
      <w:tr w:rsidR="00BF7ACA" w:rsidRPr="00AF1321" w14:paraId="625F959C" w14:textId="77777777" w:rsidTr="007924BE">
        <w:trPr>
          <w:jc w:val="center"/>
        </w:trPr>
        <w:tc>
          <w:tcPr>
            <w:tcW w:w="4876" w:type="dxa"/>
            <w:hideMark/>
          </w:tcPr>
          <w:p w14:paraId="3E3E1F4B" w14:textId="77777777" w:rsidR="00BF7ACA" w:rsidRPr="00B0434F" w:rsidRDefault="00BF7ACA" w:rsidP="007924BE">
            <w:pPr>
              <w:pStyle w:val="Normal6"/>
            </w:pPr>
            <w:r w:rsidRPr="00B0434F">
              <w:t>4.</w:t>
            </w:r>
            <w:r>
              <w:tab/>
            </w:r>
            <w:r w:rsidRPr="00B0434F">
              <w:t xml:space="preserve">La Commission </w:t>
            </w:r>
            <w:r w:rsidRPr="00B0434F">
              <w:rPr>
                <w:b/>
                <w:i/>
              </w:rPr>
              <w:t>peut définir</w:t>
            </w:r>
            <w:r w:rsidRPr="00B0434F">
              <w:t xml:space="preserve"> des volets d</w:t>
            </w:r>
            <w:r>
              <w:t>’</w:t>
            </w:r>
            <w:r w:rsidRPr="00B0434F">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B0434F">
              <w:t>un financement par les instruments visés à l</w:t>
            </w:r>
            <w:r>
              <w:t>’</w:t>
            </w:r>
            <w:r w:rsidRPr="00B0434F">
              <w:t>article 9, lesquels seront couverts par la garantie FEDD à hauteur d</w:t>
            </w:r>
            <w:r>
              <w:t>’</w:t>
            </w:r>
            <w:r w:rsidRPr="00B0434F">
              <w:t>un montant déterminé. Toute demande de soutien financier dans le cadre des volets d</w:t>
            </w:r>
            <w:r>
              <w:t>’</w:t>
            </w:r>
            <w:r w:rsidRPr="00B0434F">
              <w:t>investissement est adressée à la Commission.</w:t>
            </w:r>
          </w:p>
        </w:tc>
        <w:tc>
          <w:tcPr>
            <w:tcW w:w="4876" w:type="dxa"/>
            <w:hideMark/>
          </w:tcPr>
          <w:p w14:paraId="704356A3" w14:textId="77777777" w:rsidR="00BF7ACA" w:rsidRPr="00B0434F" w:rsidRDefault="00BF7ACA" w:rsidP="007924BE">
            <w:pPr>
              <w:pStyle w:val="Normal6"/>
              <w:rPr>
                <w:szCs w:val="24"/>
              </w:rPr>
            </w:pPr>
            <w:r w:rsidRPr="00B0434F">
              <w:t>4.</w:t>
            </w:r>
            <w:r>
              <w:tab/>
            </w:r>
            <w:r w:rsidRPr="00B0434F">
              <w:t xml:space="preserve">La Commission </w:t>
            </w:r>
            <w:r w:rsidRPr="00B0434F">
              <w:rPr>
                <w:b/>
                <w:i/>
              </w:rPr>
              <w:t>définit</w:t>
            </w:r>
            <w:r w:rsidRPr="00B0434F">
              <w:t xml:space="preserve"> des volets d</w:t>
            </w:r>
            <w:r>
              <w:t>’</w:t>
            </w:r>
            <w:r w:rsidRPr="00B0434F">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B0434F">
              <w:t>un financement par les instruments visés à l</w:t>
            </w:r>
            <w:r>
              <w:t>’</w:t>
            </w:r>
            <w:r w:rsidRPr="00B0434F">
              <w:t>article 9, lesquels seront couverts par la garantie FEDD à hauteur d</w:t>
            </w:r>
            <w:r>
              <w:t>’</w:t>
            </w:r>
            <w:r w:rsidRPr="00B0434F">
              <w:t>un montant déterminé. Toute demande de soutien financier dans le cadre des volets d</w:t>
            </w:r>
            <w:r>
              <w:t>’</w:t>
            </w:r>
            <w:r w:rsidRPr="00B0434F">
              <w:t xml:space="preserve">investissement est adressée à la Commission. </w:t>
            </w:r>
            <w:r w:rsidRPr="00B0434F">
              <w:rPr>
                <w:b/>
                <w:i/>
              </w:rPr>
              <w:t>La Commission veillera à disposer de la capacité et de l</w:t>
            </w:r>
            <w:r>
              <w:rPr>
                <w:b/>
                <w:i/>
              </w:rPr>
              <w:t>’</w:t>
            </w:r>
            <w:r w:rsidRPr="00B0434F">
              <w:rPr>
                <w:b/>
                <w:i/>
              </w:rPr>
              <w:t>expertise nécessaires pour gérer un vaste portefeuille financier et le volume potentiellement élevé de propositions.</w:t>
            </w:r>
          </w:p>
        </w:tc>
      </w:tr>
    </w:tbl>
    <w:p w14:paraId="07FB7F2E"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64AC4B4" w14:textId="77777777" w:rsidR="00BF7ACA" w:rsidRPr="00BF7ACA" w:rsidRDefault="00BF7ACA" w:rsidP="00BF7ACA">
      <w:r w:rsidRPr="00BF7ACA">
        <w:rPr>
          <w:rStyle w:val="HideTWBExt"/>
        </w:rPr>
        <w:t>&lt;/Amend&gt;</w:t>
      </w:r>
    </w:p>
    <w:p w14:paraId="08DA22CD"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298</w:t>
      </w:r>
      <w:r w:rsidRPr="00BF7ACA">
        <w:rPr>
          <w:rStyle w:val="HideTWBExt"/>
          <w:b w:val="0"/>
        </w:rPr>
        <w:t>&lt;/NumAm&gt;</w:t>
      </w:r>
    </w:p>
    <w:p w14:paraId="3375CFC4"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Nedzhmi Ali, Jasenko Selimovic</w:t>
      </w:r>
      <w:r w:rsidRPr="00BF7ACA">
        <w:rPr>
          <w:rStyle w:val="HideTWBExt"/>
          <w:b w:val="0"/>
        </w:rPr>
        <w:t>&lt;/Members&gt;</w:t>
      </w:r>
    </w:p>
    <w:p w14:paraId="49B05C02" w14:textId="77777777" w:rsidR="00BF7ACA" w:rsidRPr="00AF1321" w:rsidRDefault="00BF7ACA" w:rsidP="00BF7ACA">
      <w:r>
        <w:rPr>
          <w:rStyle w:val="HideTWBExt"/>
        </w:rPr>
        <w:t>&lt;/RepeatBlock-By&gt;</w:t>
      </w:r>
    </w:p>
    <w:p w14:paraId="0DC68F59"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1575FBE9" w14:textId="77777777" w:rsidR="00BF7ACA" w:rsidRPr="00AF1321" w:rsidRDefault="00BF7ACA" w:rsidP="00BF7ACA">
      <w:pPr>
        <w:pStyle w:val="NormalBold"/>
      </w:pPr>
      <w:r>
        <w:rPr>
          <w:rStyle w:val="HideTWBExt"/>
          <w:b w:val="0"/>
        </w:rPr>
        <w:t>&lt;Article&gt;</w:t>
      </w:r>
      <w:r w:rsidRPr="00B0434F">
        <w:t>Article 8 – paragraphe 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4940E7B7" w14:textId="77777777" w:rsidTr="007924BE">
        <w:trPr>
          <w:jc w:val="center"/>
        </w:trPr>
        <w:tc>
          <w:tcPr>
            <w:tcW w:w="9752" w:type="dxa"/>
            <w:gridSpan w:val="2"/>
          </w:tcPr>
          <w:p w14:paraId="6A4DE46C" w14:textId="77777777" w:rsidR="00BF7ACA" w:rsidRPr="00AF1321" w:rsidRDefault="00BF7ACA" w:rsidP="007924BE">
            <w:pPr>
              <w:keepNext/>
            </w:pPr>
          </w:p>
        </w:tc>
      </w:tr>
      <w:tr w:rsidR="00BF7ACA" w:rsidRPr="00AF1321" w14:paraId="6025E1C3" w14:textId="77777777" w:rsidTr="007924BE">
        <w:trPr>
          <w:jc w:val="center"/>
        </w:trPr>
        <w:tc>
          <w:tcPr>
            <w:tcW w:w="4876" w:type="dxa"/>
            <w:hideMark/>
          </w:tcPr>
          <w:p w14:paraId="5A062135" w14:textId="77777777" w:rsidR="00BF7ACA" w:rsidRPr="00B0434F" w:rsidRDefault="00BF7ACA" w:rsidP="007924BE">
            <w:pPr>
              <w:pStyle w:val="ColumnHeading"/>
              <w:keepNext/>
            </w:pPr>
            <w:r w:rsidRPr="00B0434F">
              <w:t>Texte proposé par la Commission</w:t>
            </w:r>
          </w:p>
        </w:tc>
        <w:tc>
          <w:tcPr>
            <w:tcW w:w="4876" w:type="dxa"/>
            <w:hideMark/>
          </w:tcPr>
          <w:p w14:paraId="3834E444" w14:textId="77777777" w:rsidR="00BF7ACA" w:rsidRPr="00B0434F" w:rsidRDefault="00BF7ACA" w:rsidP="007924BE">
            <w:pPr>
              <w:pStyle w:val="ColumnHeading"/>
              <w:keepNext/>
            </w:pPr>
            <w:r w:rsidRPr="00B0434F">
              <w:t>Amendement</w:t>
            </w:r>
          </w:p>
        </w:tc>
      </w:tr>
      <w:tr w:rsidR="00BF7ACA" w:rsidRPr="00AF1321" w14:paraId="4B29A509" w14:textId="77777777" w:rsidTr="007924BE">
        <w:trPr>
          <w:jc w:val="center"/>
        </w:trPr>
        <w:tc>
          <w:tcPr>
            <w:tcW w:w="4876" w:type="dxa"/>
            <w:hideMark/>
          </w:tcPr>
          <w:p w14:paraId="2852E69C" w14:textId="77777777" w:rsidR="00BF7ACA" w:rsidRPr="00B0434F" w:rsidRDefault="00BF7ACA" w:rsidP="007924BE">
            <w:pPr>
              <w:pStyle w:val="Normal6"/>
            </w:pPr>
            <w:r w:rsidRPr="00B0434F">
              <w:t>4.</w:t>
            </w:r>
            <w:r>
              <w:tab/>
            </w:r>
            <w:r w:rsidRPr="00B0434F">
              <w:t xml:space="preserve">La Commission </w:t>
            </w:r>
            <w:r w:rsidRPr="00B0434F">
              <w:rPr>
                <w:b/>
                <w:i/>
              </w:rPr>
              <w:t>peut définir</w:t>
            </w:r>
            <w:r w:rsidRPr="00B0434F">
              <w:t xml:space="preserve"> des volets d</w:t>
            </w:r>
            <w:r>
              <w:t>’</w:t>
            </w:r>
            <w:r w:rsidRPr="00B0434F">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B0434F">
              <w:t>un financement par les instruments visés à l</w:t>
            </w:r>
            <w:r>
              <w:t>’</w:t>
            </w:r>
            <w:r w:rsidRPr="00B0434F">
              <w:t>article 9, lesquels seront couverts par la garantie FEDD à hauteur d</w:t>
            </w:r>
            <w:r>
              <w:t>’</w:t>
            </w:r>
            <w:r w:rsidRPr="00B0434F">
              <w:t>un montant déterminé. Toute demande de soutien financier dans le cadre des volets d</w:t>
            </w:r>
            <w:r>
              <w:t>’</w:t>
            </w:r>
            <w:r w:rsidRPr="00B0434F">
              <w:t>investissement est adressée à la Commission.</w:t>
            </w:r>
          </w:p>
        </w:tc>
        <w:tc>
          <w:tcPr>
            <w:tcW w:w="4876" w:type="dxa"/>
            <w:hideMark/>
          </w:tcPr>
          <w:p w14:paraId="0F65B050" w14:textId="77777777" w:rsidR="00BF7ACA" w:rsidRPr="00B0434F" w:rsidRDefault="00BF7ACA" w:rsidP="007924BE">
            <w:pPr>
              <w:pStyle w:val="Normal6"/>
              <w:rPr>
                <w:szCs w:val="24"/>
              </w:rPr>
            </w:pPr>
            <w:r w:rsidRPr="00B0434F">
              <w:t>4.</w:t>
            </w:r>
            <w:r>
              <w:tab/>
            </w:r>
            <w:r w:rsidRPr="00B0434F">
              <w:t xml:space="preserve">La Commission </w:t>
            </w:r>
            <w:r w:rsidRPr="00B0434F">
              <w:rPr>
                <w:b/>
                <w:i/>
              </w:rPr>
              <w:t>définit</w:t>
            </w:r>
            <w:r w:rsidRPr="00B0434F">
              <w:t xml:space="preserve"> des volets d</w:t>
            </w:r>
            <w:r>
              <w:t>’</w:t>
            </w:r>
            <w:r w:rsidRPr="00B0434F">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B0434F">
              <w:t>un financement par les instruments visés à l</w:t>
            </w:r>
            <w:r>
              <w:t>’</w:t>
            </w:r>
            <w:r w:rsidRPr="00B0434F">
              <w:t>article 9, lesquels seront couverts par la garantie FEDD à hauteur d</w:t>
            </w:r>
            <w:r>
              <w:t>’</w:t>
            </w:r>
            <w:r w:rsidRPr="00B0434F">
              <w:t>un montant déterminé.</w:t>
            </w:r>
            <w:r w:rsidRPr="00B0434F">
              <w:rPr>
                <w:b/>
                <w:i/>
              </w:rPr>
              <w:t xml:space="preserve"> En outre, la BEI devrait fournir un avis écrit sur les questions relevant du domaine bancaire, qui devrait accompagner chaque proposition relative aux volets d</w:t>
            </w:r>
            <w:r>
              <w:rPr>
                <w:b/>
                <w:i/>
              </w:rPr>
              <w:t>’</w:t>
            </w:r>
            <w:r w:rsidRPr="00B0434F">
              <w:rPr>
                <w:b/>
                <w:i/>
              </w:rPr>
              <w:t>investissement.</w:t>
            </w:r>
            <w:r w:rsidRPr="00B0434F">
              <w:t xml:space="preserve"> Toute demande de soutien financier dans le cadre des volets d</w:t>
            </w:r>
            <w:r>
              <w:t>’</w:t>
            </w:r>
            <w:r w:rsidRPr="00B0434F">
              <w:t>investissement est adressée à la Commission.</w:t>
            </w:r>
          </w:p>
        </w:tc>
      </w:tr>
    </w:tbl>
    <w:p w14:paraId="17AD180C"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6804CAA" w14:textId="77777777" w:rsidR="00BF7ACA" w:rsidRPr="00BF7ACA" w:rsidRDefault="00BF7ACA" w:rsidP="00BF7ACA">
      <w:r w:rsidRPr="00BF7ACA">
        <w:rPr>
          <w:rStyle w:val="HideTWBExt"/>
        </w:rPr>
        <w:t>&lt;/Amend&gt;</w:t>
      </w:r>
    </w:p>
    <w:p w14:paraId="2A0B0574"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299</w:t>
      </w:r>
      <w:r w:rsidRPr="00BF7ACA">
        <w:rPr>
          <w:rStyle w:val="HideTWBExt"/>
          <w:b w:val="0"/>
        </w:rPr>
        <w:t>&lt;/NumAm&gt;</w:t>
      </w:r>
    </w:p>
    <w:p w14:paraId="03DCEDF7" w14:textId="77777777"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14:paraId="4DA1C065" w14:textId="77777777" w:rsidR="00BF7ACA" w:rsidRPr="00AF1321" w:rsidRDefault="00BF7ACA" w:rsidP="00BF7ACA">
      <w:r>
        <w:rPr>
          <w:rStyle w:val="HideTWBExt"/>
        </w:rPr>
        <w:t>&lt;/RepeatBlock-By&gt;</w:t>
      </w:r>
    </w:p>
    <w:p w14:paraId="515ECE36"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3D19E08F" w14:textId="77777777" w:rsidR="00BF7ACA" w:rsidRPr="00AF1321" w:rsidRDefault="00BF7ACA" w:rsidP="00BF7ACA">
      <w:pPr>
        <w:pStyle w:val="NormalBold"/>
      </w:pPr>
      <w:r>
        <w:rPr>
          <w:rStyle w:val="HideTWBExt"/>
          <w:b w:val="0"/>
        </w:rPr>
        <w:t>&lt;Article&gt;</w:t>
      </w:r>
      <w:r w:rsidRPr="00B0434F">
        <w:t>Article 8 – paragraphe 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3EC31A1C" w14:textId="77777777" w:rsidTr="007924BE">
        <w:trPr>
          <w:jc w:val="center"/>
        </w:trPr>
        <w:tc>
          <w:tcPr>
            <w:tcW w:w="9752" w:type="dxa"/>
            <w:gridSpan w:val="2"/>
          </w:tcPr>
          <w:p w14:paraId="24C899DB" w14:textId="77777777" w:rsidR="00BF7ACA" w:rsidRPr="00AF1321" w:rsidRDefault="00BF7ACA" w:rsidP="007924BE">
            <w:pPr>
              <w:keepNext/>
            </w:pPr>
          </w:p>
        </w:tc>
      </w:tr>
      <w:tr w:rsidR="00BF7ACA" w:rsidRPr="00AF1321" w14:paraId="610B15FA" w14:textId="77777777" w:rsidTr="007924BE">
        <w:trPr>
          <w:jc w:val="center"/>
        </w:trPr>
        <w:tc>
          <w:tcPr>
            <w:tcW w:w="4876" w:type="dxa"/>
            <w:hideMark/>
          </w:tcPr>
          <w:p w14:paraId="5DCD7CD0" w14:textId="77777777" w:rsidR="00BF7ACA" w:rsidRPr="00B0434F" w:rsidRDefault="00BF7ACA" w:rsidP="007924BE">
            <w:pPr>
              <w:pStyle w:val="ColumnHeading"/>
              <w:keepNext/>
            </w:pPr>
            <w:r w:rsidRPr="00B0434F">
              <w:t>Texte proposé par la Commission</w:t>
            </w:r>
          </w:p>
        </w:tc>
        <w:tc>
          <w:tcPr>
            <w:tcW w:w="4876" w:type="dxa"/>
            <w:hideMark/>
          </w:tcPr>
          <w:p w14:paraId="2F3A0CD5" w14:textId="77777777" w:rsidR="00BF7ACA" w:rsidRPr="00B0434F" w:rsidRDefault="00BF7ACA" w:rsidP="007924BE">
            <w:pPr>
              <w:pStyle w:val="ColumnHeading"/>
              <w:keepNext/>
            </w:pPr>
            <w:r w:rsidRPr="00B0434F">
              <w:t>Amendement</w:t>
            </w:r>
          </w:p>
        </w:tc>
      </w:tr>
      <w:tr w:rsidR="00BF7ACA" w:rsidRPr="00AF1321" w14:paraId="7FC9A347" w14:textId="77777777" w:rsidTr="007924BE">
        <w:trPr>
          <w:jc w:val="center"/>
        </w:trPr>
        <w:tc>
          <w:tcPr>
            <w:tcW w:w="4876" w:type="dxa"/>
            <w:hideMark/>
          </w:tcPr>
          <w:p w14:paraId="0157066B" w14:textId="77777777" w:rsidR="00BF7ACA" w:rsidRPr="00B0434F" w:rsidRDefault="00BF7ACA" w:rsidP="007924BE">
            <w:pPr>
              <w:pStyle w:val="Normal6"/>
            </w:pPr>
            <w:r w:rsidRPr="00B0434F">
              <w:t>4.</w:t>
            </w:r>
            <w:r>
              <w:tab/>
            </w:r>
            <w:r w:rsidRPr="00B0434F">
              <w:t xml:space="preserve">La Commission </w:t>
            </w:r>
            <w:r w:rsidRPr="00B0434F">
              <w:rPr>
                <w:b/>
                <w:i/>
              </w:rPr>
              <w:t>peut définir</w:t>
            </w:r>
            <w:r w:rsidRPr="00B0434F">
              <w:t xml:space="preserve"> des volets d</w:t>
            </w:r>
            <w:r>
              <w:t>’</w:t>
            </w:r>
            <w:r w:rsidRPr="00B0434F">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B0434F">
              <w:t>un financement par les instruments visés à l</w:t>
            </w:r>
            <w:r>
              <w:t>’</w:t>
            </w:r>
            <w:r w:rsidRPr="00B0434F">
              <w:t>article 9, lesquels seront couverts par la garantie FEDD à hauteur d</w:t>
            </w:r>
            <w:r>
              <w:t>’</w:t>
            </w:r>
            <w:r w:rsidRPr="00B0434F">
              <w:t>un montant déterminé. Toute demande de soutien financier dans le cadre des volets d</w:t>
            </w:r>
            <w:r>
              <w:t>’</w:t>
            </w:r>
            <w:r w:rsidRPr="00B0434F">
              <w:t>investissement est adressée à la Commission.</w:t>
            </w:r>
          </w:p>
        </w:tc>
        <w:tc>
          <w:tcPr>
            <w:tcW w:w="4876" w:type="dxa"/>
            <w:hideMark/>
          </w:tcPr>
          <w:p w14:paraId="029DEE3F" w14:textId="77777777" w:rsidR="00BF7ACA" w:rsidRPr="00B0434F" w:rsidRDefault="00BF7ACA" w:rsidP="007924BE">
            <w:pPr>
              <w:pStyle w:val="Normal6"/>
              <w:rPr>
                <w:szCs w:val="24"/>
              </w:rPr>
            </w:pPr>
            <w:r w:rsidRPr="00B0434F">
              <w:t>4.</w:t>
            </w:r>
            <w:r>
              <w:tab/>
            </w:r>
            <w:r w:rsidRPr="00B0434F">
              <w:t xml:space="preserve">La Commission </w:t>
            </w:r>
            <w:r w:rsidRPr="00B0434F">
              <w:rPr>
                <w:b/>
                <w:i/>
              </w:rPr>
              <w:t>est habilitée à adopter des actes délégués conformément à l</w:t>
            </w:r>
            <w:r>
              <w:rPr>
                <w:b/>
                <w:i/>
              </w:rPr>
              <w:t>’</w:t>
            </w:r>
            <w:r w:rsidRPr="00B0434F">
              <w:rPr>
                <w:b/>
                <w:i/>
              </w:rPr>
              <w:t>article 20 bis afin de compléter le présent règlement en définissant</w:t>
            </w:r>
            <w:r w:rsidRPr="00B0434F">
              <w:t xml:space="preserve"> des volets d</w:t>
            </w:r>
            <w:r>
              <w:t>’</w:t>
            </w:r>
            <w:r w:rsidRPr="00B0434F">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B0434F">
              <w:t>un financement par les instruments visés à l</w:t>
            </w:r>
            <w:r>
              <w:t>’article </w:t>
            </w:r>
            <w:r w:rsidRPr="00B0434F">
              <w:t>9, lesquels seront couverts par la garantie FEDD à hauteur d</w:t>
            </w:r>
            <w:r>
              <w:t>’</w:t>
            </w:r>
            <w:r w:rsidRPr="00B0434F">
              <w:t>un montant déterminé. Toute demande de soutien financier dans le cadre des volets d</w:t>
            </w:r>
            <w:r>
              <w:t>’</w:t>
            </w:r>
            <w:r w:rsidRPr="00B0434F">
              <w:t>investissement est adressée à la Commission.</w:t>
            </w:r>
          </w:p>
        </w:tc>
      </w:tr>
    </w:tbl>
    <w:p w14:paraId="7589CF9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2ECC711" w14:textId="77777777" w:rsidR="00BF7ACA" w:rsidRPr="00BF7ACA" w:rsidRDefault="00BF7ACA" w:rsidP="00BF7ACA">
      <w:r w:rsidRPr="00BF7ACA">
        <w:rPr>
          <w:rStyle w:val="HideTWBExt"/>
        </w:rPr>
        <w:t>&lt;/Amend&gt;</w:t>
      </w:r>
    </w:p>
    <w:p w14:paraId="6217CE32"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300</w:t>
      </w:r>
      <w:r w:rsidRPr="00BF7ACA">
        <w:rPr>
          <w:rStyle w:val="HideTWBExt"/>
          <w:b w:val="0"/>
        </w:rPr>
        <w:t>&lt;/NumAm&gt;</w:t>
      </w:r>
    </w:p>
    <w:p w14:paraId="464E39B1" w14:textId="77777777"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14:paraId="420819DC" w14:textId="77777777" w:rsidR="00BF7ACA" w:rsidRPr="00AF1321" w:rsidRDefault="00BF7ACA" w:rsidP="00BF7ACA">
      <w:r>
        <w:rPr>
          <w:rStyle w:val="HideTWBExt"/>
        </w:rPr>
        <w:t>&lt;/RepeatBlock-By&gt;</w:t>
      </w:r>
    </w:p>
    <w:p w14:paraId="4BD4EF9A"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42F8C940" w14:textId="77777777" w:rsidR="00BF7ACA" w:rsidRPr="00AF1321" w:rsidRDefault="00BF7ACA" w:rsidP="00BF7ACA">
      <w:pPr>
        <w:pStyle w:val="NormalBold"/>
      </w:pPr>
      <w:r>
        <w:rPr>
          <w:rStyle w:val="HideTWBExt"/>
          <w:b w:val="0"/>
        </w:rPr>
        <w:t>&lt;Article&gt;</w:t>
      </w:r>
      <w:r w:rsidRPr="00B0434F">
        <w:t>Article 8 – paragraphe 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01840D57" w14:textId="77777777" w:rsidTr="007924BE">
        <w:trPr>
          <w:jc w:val="center"/>
        </w:trPr>
        <w:tc>
          <w:tcPr>
            <w:tcW w:w="9752" w:type="dxa"/>
            <w:gridSpan w:val="2"/>
          </w:tcPr>
          <w:p w14:paraId="5D4D8213" w14:textId="77777777" w:rsidR="00BF7ACA" w:rsidRPr="00AF1321" w:rsidRDefault="00BF7ACA" w:rsidP="007924BE">
            <w:pPr>
              <w:keepNext/>
            </w:pPr>
          </w:p>
        </w:tc>
      </w:tr>
      <w:tr w:rsidR="00BF7ACA" w:rsidRPr="00AF1321" w14:paraId="11FB9EFB" w14:textId="77777777" w:rsidTr="007924BE">
        <w:trPr>
          <w:jc w:val="center"/>
        </w:trPr>
        <w:tc>
          <w:tcPr>
            <w:tcW w:w="4876" w:type="dxa"/>
            <w:hideMark/>
          </w:tcPr>
          <w:p w14:paraId="42006E70" w14:textId="77777777" w:rsidR="00BF7ACA" w:rsidRPr="00B0434F" w:rsidRDefault="00BF7ACA" w:rsidP="007924BE">
            <w:pPr>
              <w:pStyle w:val="ColumnHeading"/>
              <w:keepNext/>
            </w:pPr>
            <w:r w:rsidRPr="00B0434F">
              <w:t>Texte proposé par la Commission</w:t>
            </w:r>
          </w:p>
        </w:tc>
        <w:tc>
          <w:tcPr>
            <w:tcW w:w="4876" w:type="dxa"/>
            <w:hideMark/>
          </w:tcPr>
          <w:p w14:paraId="2599A27F" w14:textId="77777777" w:rsidR="00BF7ACA" w:rsidRPr="00B0434F" w:rsidRDefault="00BF7ACA" w:rsidP="007924BE">
            <w:pPr>
              <w:pStyle w:val="ColumnHeading"/>
              <w:keepNext/>
            </w:pPr>
            <w:r w:rsidRPr="00B0434F">
              <w:t>Amendement</w:t>
            </w:r>
          </w:p>
        </w:tc>
      </w:tr>
      <w:tr w:rsidR="00BF7ACA" w:rsidRPr="00AF1321" w14:paraId="05A3F92B" w14:textId="77777777" w:rsidTr="007924BE">
        <w:trPr>
          <w:jc w:val="center"/>
        </w:trPr>
        <w:tc>
          <w:tcPr>
            <w:tcW w:w="4876" w:type="dxa"/>
            <w:hideMark/>
          </w:tcPr>
          <w:p w14:paraId="7D0EC98A" w14:textId="77777777" w:rsidR="00BF7ACA" w:rsidRPr="00B0434F" w:rsidRDefault="00BF7ACA" w:rsidP="007924BE">
            <w:pPr>
              <w:pStyle w:val="Normal6"/>
            </w:pPr>
            <w:r w:rsidRPr="00B0434F">
              <w:t>4.</w:t>
            </w:r>
            <w:r>
              <w:tab/>
            </w:r>
            <w:r w:rsidRPr="00B0434F">
              <w:t xml:space="preserve">La Commission </w:t>
            </w:r>
            <w:r w:rsidRPr="00B0434F">
              <w:rPr>
                <w:b/>
                <w:i/>
              </w:rPr>
              <w:t>peut définir</w:t>
            </w:r>
            <w:r w:rsidRPr="00B0434F">
              <w:t xml:space="preserve"> des volets d</w:t>
            </w:r>
            <w:r>
              <w:t>’</w:t>
            </w:r>
            <w:r w:rsidRPr="00B0434F">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B0434F">
              <w:t>un financement par les instruments visés à l</w:t>
            </w:r>
            <w:r>
              <w:t>’</w:t>
            </w:r>
            <w:r w:rsidRPr="00B0434F">
              <w:t>article 9, lesquels seront couverts par la garantie FEDD à hauteur d</w:t>
            </w:r>
            <w:r>
              <w:t>’</w:t>
            </w:r>
            <w:r w:rsidRPr="00B0434F">
              <w:t>un montant déterminé. Toute demande de soutien financier dans le cadre des volets d</w:t>
            </w:r>
            <w:r>
              <w:t>’</w:t>
            </w:r>
            <w:r w:rsidRPr="00B0434F">
              <w:t>investissement est adressée à la Commission.</w:t>
            </w:r>
          </w:p>
        </w:tc>
        <w:tc>
          <w:tcPr>
            <w:tcW w:w="4876" w:type="dxa"/>
            <w:hideMark/>
          </w:tcPr>
          <w:p w14:paraId="3B56A27A" w14:textId="77777777" w:rsidR="00BF7ACA" w:rsidRPr="00B0434F" w:rsidRDefault="00BF7ACA" w:rsidP="007924BE">
            <w:pPr>
              <w:pStyle w:val="Normal6"/>
              <w:rPr>
                <w:szCs w:val="24"/>
              </w:rPr>
            </w:pPr>
            <w:r w:rsidRPr="00B0434F">
              <w:t>4.</w:t>
            </w:r>
            <w:r>
              <w:tab/>
            </w:r>
            <w:r>
              <w:rPr>
                <w:b/>
                <w:i/>
              </w:rPr>
              <w:t>Après avoir consulté le conseil stratégique,</w:t>
            </w:r>
            <w:r>
              <w:rPr>
                <w:b/>
              </w:rPr>
              <w:t xml:space="preserve"> </w:t>
            </w:r>
            <w:r>
              <w:t xml:space="preserve">la Commission </w:t>
            </w:r>
            <w:r>
              <w:rPr>
                <w:b/>
                <w:i/>
              </w:rPr>
              <w:t>définit</w:t>
            </w:r>
            <w:r>
              <w:t xml:space="preserve"> des volets d’investissement correspondant à des régions ou à des pays partenaires spécifiques ou aux deux à la fois, à des secteurs spécifiques, à des projets spécifiques ou à des catégories spécifiques de bénéficiaires finaux ou aux deux à la fois, qui bénéficieront d’un financement par les instruments visés à l’article 9, lesquels seront couverts par la garantie FEDD à hauteur d’un montant déterminé.</w:t>
            </w:r>
            <w:r w:rsidRPr="00B0434F">
              <w:t xml:space="preserve"> Toute demande de soutien financier dans le cadre des volets d</w:t>
            </w:r>
            <w:r>
              <w:t>’</w:t>
            </w:r>
            <w:r w:rsidRPr="00B0434F">
              <w:t>investissement est adressée à la Commission.</w:t>
            </w:r>
          </w:p>
        </w:tc>
      </w:tr>
    </w:tbl>
    <w:p w14:paraId="7E9A87BC"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9564271" w14:textId="77777777" w:rsidR="00BF7ACA" w:rsidRPr="00BF7ACA" w:rsidRDefault="00BF7ACA" w:rsidP="00BF7ACA">
      <w:r w:rsidRPr="00BF7ACA">
        <w:rPr>
          <w:rStyle w:val="HideTWBExt"/>
        </w:rPr>
        <w:t>&lt;/Amend&gt;</w:t>
      </w:r>
    </w:p>
    <w:p w14:paraId="19514E8D"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301</w:t>
      </w:r>
      <w:r w:rsidRPr="00BF7ACA">
        <w:rPr>
          <w:rStyle w:val="HideTWBExt"/>
          <w:b w:val="0"/>
        </w:rPr>
        <w:t>&lt;/NumAm&gt;</w:t>
      </w:r>
    </w:p>
    <w:p w14:paraId="5F3F24ED"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147890A9" w14:textId="77777777" w:rsidR="00BF7ACA" w:rsidRPr="00AF1321" w:rsidRDefault="00BF7ACA" w:rsidP="00BF7ACA">
      <w:r>
        <w:rPr>
          <w:rStyle w:val="HideTWBExt"/>
        </w:rPr>
        <w:t>&lt;/RepeatBlock-By&gt;</w:t>
      </w:r>
    </w:p>
    <w:p w14:paraId="705260D5"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2359C97C" w14:textId="77777777" w:rsidR="00BF7ACA" w:rsidRPr="00AF1321" w:rsidRDefault="00BF7ACA" w:rsidP="00BF7ACA">
      <w:pPr>
        <w:pStyle w:val="NormalBold"/>
      </w:pPr>
      <w:r>
        <w:rPr>
          <w:rStyle w:val="HideTWBExt"/>
          <w:b w:val="0"/>
        </w:rPr>
        <w:t>&lt;Article&gt;</w:t>
      </w:r>
      <w:r w:rsidRPr="00B0434F">
        <w:t>Article 8 – paragraphe 4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201CB0CC" w14:textId="77777777" w:rsidTr="007924BE">
        <w:trPr>
          <w:jc w:val="center"/>
        </w:trPr>
        <w:tc>
          <w:tcPr>
            <w:tcW w:w="9752" w:type="dxa"/>
            <w:gridSpan w:val="2"/>
          </w:tcPr>
          <w:p w14:paraId="4693687F" w14:textId="77777777" w:rsidR="00BF7ACA" w:rsidRPr="00AF1321" w:rsidRDefault="00BF7ACA" w:rsidP="007924BE">
            <w:pPr>
              <w:keepNext/>
            </w:pPr>
          </w:p>
        </w:tc>
      </w:tr>
      <w:tr w:rsidR="00BF7ACA" w:rsidRPr="00AF1321" w14:paraId="58B65FEF" w14:textId="77777777" w:rsidTr="007924BE">
        <w:trPr>
          <w:jc w:val="center"/>
        </w:trPr>
        <w:tc>
          <w:tcPr>
            <w:tcW w:w="4876" w:type="dxa"/>
            <w:hideMark/>
          </w:tcPr>
          <w:p w14:paraId="07B741BA" w14:textId="77777777" w:rsidR="00BF7ACA" w:rsidRPr="00B0434F" w:rsidRDefault="00BF7ACA" w:rsidP="007924BE">
            <w:pPr>
              <w:pStyle w:val="ColumnHeading"/>
              <w:keepNext/>
            </w:pPr>
            <w:r w:rsidRPr="00B0434F">
              <w:t>Texte proposé par la Commission</w:t>
            </w:r>
          </w:p>
        </w:tc>
        <w:tc>
          <w:tcPr>
            <w:tcW w:w="4876" w:type="dxa"/>
            <w:hideMark/>
          </w:tcPr>
          <w:p w14:paraId="1C613837" w14:textId="77777777" w:rsidR="00BF7ACA" w:rsidRPr="00B0434F" w:rsidRDefault="00BF7ACA" w:rsidP="007924BE">
            <w:pPr>
              <w:pStyle w:val="ColumnHeading"/>
              <w:keepNext/>
            </w:pPr>
            <w:r w:rsidRPr="00B0434F">
              <w:t>Amendement</w:t>
            </w:r>
          </w:p>
        </w:tc>
      </w:tr>
      <w:tr w:rsidR="00BF7ACA" w:rsidRPr="00AF1321" w14:paraId="5FFD0FB7" w14:textId="77777777" w:rsidTr="007924BE">
        <w:trPr>
          <w:jc w:val="center"/>
        </w:trPr>
        <w:tc>
          <w:tcPr>
            <w:tcW w:w="4876" w:type="dxa"/>
          </w:tcPr>
          <w:p w14:paraId="678B3860" w14:textId="77777777" w:rsidR="00BF7ACA" w:rsidRPr="00B0434F" w:rsidRDefault="00BF7ACA" w:rsidP="007924BE">
            <w:pPr>
              <w:pStyle w:val="Normal6"/>
            </w:pPr>
          </w:p>
        </w:tc>
        <w:tc>
          <w:tcPr>
            <w:tcW w:w="4876" w:type="dxa"/>
            <w:hideMark/>
          </w:tcPr>
          <w:p w14:paraId="62FEB1EF" w14:textId="77777777" w:rsidR="00BF7ACA" w:rsidRPr="00B0434F" w:rsidRDefault="00BF7ACA" w:rsidP="007924BE">
            <w:pPr>
              <w:pStyle w:val="Normal6"/>
              <w:rPr>
                <w:szCs w:val="24"/>
              </w:rPr>
            </w:pPr>
            <w:r w:rsidRPr="00B0434F">
              <w:rPr>
                <w:b/>
                <w:i/>
              </w:rPr>
              <w:t>4 bis.</w:t>
            </w:r>
            <w:r>
              <w:tab/>
            </w:r>
            <w:r w:rsidRPr="00B0434F">
              <w:rPr>
                <w:b/>
                <w:i/>
              </w:rPr>
              <w:t>La Commission est habilitée à adopter des actes délégués conformément à l</w:t>
            </w:r>
            <w:r>
              <w:rPr>
                <w:b/>
                <w:i/>
              </w:rPr>
              <w:t>’</w:t>
            </w:r>
            <w:r w:rsidRPr="00B0434F">
              <w:rPr>
                <w:b/>
                <w:i/>
              </w:rPr>
              <w:t>article 21, paragraphes 1 à 3 et paragraphe 5, afin de compléter le présent règlement par un tableau de bord d</w:t>
            </w:r>
            <w:r>
              <w:rPr>
                <w:b/>
                <w:i/>
              </w:rPr>
              <w:t>’</w:t>
            </w:r>
            <w:r w:rsidRPr="00B0434F">
              <w:rPr>
                <w:b/>
                <w:i/>
              </w:rPr>
              <w:t>indicateurs public en vue de garantir une évaluation indépendante et transparente de l</w:t>
            </w:r>
            <w:r>
              <w:rPr>
                <w:b/>
                <w:i/>
              </w:rPr>
              <w:t>’</w:t>
            </w:r>
            <w:r w:rsidRPr="00B0434F">
              <w:rPr>
                <w:b/>
                <w:i/>
              </w:rPr>
              <w:t>utilisation potentielle et effective de la garantie, notamment au regard des critères visés au paragraphe 2.</w:t>
            </w:r>
          </w:p>
        </w:tc>
      </w:tr>
    </w:tbl>
    <w:p w14:paraId="0A50BCEB"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66C4A41" w14:textId="77777777" w:rsidR="00BF7ACA" w:rsidRPr="00BF7ACA" w:rsidRDefault="00BF7ACA" w:rsidP="00BF7ACA">
      <w:r w:rsidRPr="00BF7ACA">
        <w:rPr>
          <w:rStyle w:val="HideTWBExt"/>
        </w:rPr>
        <w:t>&lt;/Amend&gt;</w:t>
      </w:r>
    </w:p>
    <w:p w14:paraId="0B270DED"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302</w:t>
      </w:r>
      <w:r w:rsidRPr="00BF7ACA">
        <w:rPr>
          <w:rStyle w:val="HideTWBExt"/>
          <w:b w:val="0"/>
        </w:rPr>
        <w:t>&lt;/NumAm&gt;</w:t>
      </w:r>
    </w:p>
    <w:p w14:paraId="744DED93" w14:textId="77777777"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14:paraId="6CA00E3F" w14:textId="77777777" w:rsidR="00BF7ACA" w:rsidRPr="00AF1321" w:rsidRDefault="00BF7ACA" w:rsidP="00BF7ACA">
      <w:r>
        <w:rPr>
          <w:rStyle w:val="HideTWBExt"/>
        </w:rPr>
        <w:t>&lt;/RepeatBlock-By&gt;</w:t>
      </w:r>
    </w:p>
    <w:p w14:paraId="534F6BD0"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28E7FE2E" w14:textId="77777777" w:rsidR="00BF7ACA" w:rsidRPr="00AF1321" w:rsidRDefault="00BF7ACA" w:rsidP="00BF7ACA">
      <w:pPr>
        <w:pStyle w:val="NormalBold"/>
      </w:pPr>
      <w:r>
        <w:rPr>
          <w:rStyle w:val="HideTWBExt"/>
          <w:b w:val="0"/>
        </w:rPr>
        <w:t>&lt;Article&gt;</w:t>
      </w:r>
      <w:r w:rsidRPr="00B0434F">
        <w:t>Article 8 – paragraphe 4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41FE3722" w14:textId="77777777" w:rsidTr="007924BE">
        <w:trPr>
          <w:jc w:val="center"/>
        </w:trPr>
        <w:tc>
          <w:tcPr>
            <w:tcW w:w="9752" w:type="dxa"/>
            <w:gridSpan w:val="2"/>
          </w:tcPr>
          <w:p w14:paraId="670EE89A" w14:textId="77777777" w:rsidR="00BF7ACA" w:rsidRPr="00AF1321" w:rsidRDefault="00BF7ACA" w:rsidP="007924BE">
            <w:pPr>
              <w:keepNext/>
            </w:pPr>
          </w:p>
        </w:tc>
      </w:tr>
      <w:tr w:rsidR="00BF7ACA" w:rsidRPr="00AF1321" w14:paraId="3631F42D" w14:textId="77777777" w:rsidTr="007924BE">
        <w:trPr>
          <w:jc w:val="center"/>
        </w:trPr>
        <w:tc>
          <w:tcPr>
            <w:tcW w:w="4876" w:type="dxa"/>
            <w:hideMark/>
          </w:tcPr>
          <w:p w14:paraId="5095EF5D" w14:textId="77777777" w:rsidR="00BF7ACA" w:rsidRPr="00B0434F" w:rsidRDefault="00BF7ACA" w:rsidP="007924BE">
            <w:pPr>
              <w:pStyle w:val="ColumnHeading"/>
              <w:keepNext/>
            </w:pPr>
            <w:r w:rsidRPr="00B0434F">
              <w:t>Texte proposé par la Commission</w:t>
            </w:r>
          </w:p>
        </w:tc>
        <w:tc>
          <w:tcPr>
            <w:tcW w:w="4876" w:type="dxa"/>
            <w:hideMark/>
          </w:tcPr>
          <w:p w14:paraId="230C9EB9" w14:textId="77777777" w:rsidR="00BF7ACA" w:rsidRPr="00B0434F" w:rsidRDefault="00BF7ACA" w:rsidP="007924BE">
            <w:pPr>
              <w:pStyle w:val="ColumnHeading"/>
              <w:keepNext/>
            </w:pPr>
            <w:r w:rsidRPr="00B0434F">
              <w:t>Amendement</w:t>
            </w:r>
          </w:p>
        </w:tc>
      </w:tr>
      <w:tr w:rsidR="00BF7ACA" w:rsidRPr="00AF1321" w14:paraId="6E3C1BA7" w14:textId="77777777" w:rsidTr="007924BE">
        <w:trPr>
          <w:jc w:val="center"/>
        </w:trPr>
        <w:tc>
          <w:tcPr>
            <w:tcW w:w="4876" w:type="dxa"/>
          </w:tcPr>
          <w:p w14:paraId="35713B70" w14:textId="77777777" w:rsidR="00BF7ACA" w:rsidRPr="00B0434F" w:rsidRDefault="00BF7ACA" w:rsidP="007924BE">
            <w:pPr>
              <w:pStyle w:val="Normal6"/>
            </w:pPr>
          </w:p>
        </w:tc>
        <w:tc>
          <w:tcPr>
            <w:tcW w:w="4876" w:type="dxa"/>
            <w:hideMark/>
          </w:tcPr>
          <w:p w14:paraId="54021067" w14:textId="77777777" w:rsidR="00BF7ACA" w:rsidRPr="00B0434F" w:rsidRDefault="00BF7ACA" w:rsidP="007924BE">
            <w:pPr>
              <w:pStyle w:val="Normal6"/>
              <w:rPr>
                <w:szCs w:val="24"/>
              </w:rPr>
            </w:pPr>
            <w:r w:rsidRPr="00B0434F">
              <w:rPr>
                <w:b/>
                <w:i/>
              </w:rPr>
              <w:t>4 bis.</w:t>
            </w:r>
            <w:r>
              <w:tab/>
            </w:r>
            <w:r w:rsidRPr="00B0434F">
              <w:rPr>
                <w:b/>
                <w:i/>
              </w:rPr>
              <w:t>La Commission est habilitée à adopter des actes délégués conformément à l</w:t>
            </w:r>
            <w:r>
              <w:rPr>
                <w:b/>
                <w:i/>
              </w:rPr>
              <w:t>’</w:t>
            </w:r>
            <w:r w:rsidRPr="00B0434F">
              <w:rPr>
                <w:b/>
                <w:i/>
              </w:rPr>
              <w:t>article 20 bis, afin de compléter le présent règlement en créant et en publiant un tableau de bord d</w:t>
            </w:r>
            <w:r>
              <w:rPr>
                <w:b/>
                <w:i/>
              </w:rPr>
              <w:t>’</w:t>
            </w:r>
            <w:r w:rsidRPr="00B0434F">
              <w:rPr>
                <w:b/>
                <w:i/>
              </w:rPr>
              <w:t>indicateurs à utiliser pour garantir une évaluation indépendante et transparente des opérations potentielles et effectives soutenues par la garantie FEDD.</w:t>
            </w:r>
          </w:p>
        </w:tc>
      </w:tr>
    </w:tbl>
    <w:p w14:paraId="12FDC683"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CB55859" w14:textId="77777777" w:rsidR="00BF7ACA" w:rsidRPr="00BF7ACA" w:rsidRDefault="00BF7ACA" w:rsidP="00BF7ACA">
      <w:r w:rsidRPr="00BF7ACA">
        <w:rPr>
          <w:rStyle w:val="HideTWBExt"/>
        </w:rPr>
        <w:t>&lt;/Amend&gt;</w:t>
      </w:r>
    </w:p>
    <w:p w14:paraId="59813385"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303</w:t>
      </w:r>
      <w:r w:rsidRPr="00E502E5">
        <w:rPr>
          <w:rStyle w:val="HideTWBExt"/>
          <w:b w:val="0"/>
        </w:rPr>
        <w:t>&lt;/NumAm&gt;</w:t>
      </w:r>
    </w:p>
    <w:p w14:paraId="4CA24CAF" w14:textId="77777777"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14:paraId="0964A779" w14:textId="77777777" w:rsidR="00BF7ACA" w:rsidRPr="00E502E5" w:rsidRDefault="00BF7ACA" w:rsidP="00BF7ACA">
      <w:r w:rsidRPr="00E502E5">
        <w:rPr>
          <w:rStyle w:val="HideTWBExt"/>
        </w:rPr>
        <w:t>&lt;/RepeatBlock-By&gt;</w:t>
      </w:r>
    </w:p>
    <w:p w14:paraId="757994E3"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5451B0B0" w14:textId="77777777" w:rsidR="00BF7ACA" w:rsidRPr="00E502E5" w:rsidRDefault="00BF7ACA" w:rsidP="00BF7ACA">
      <w:pPr>
        <w:pStyle w:val="NormalBold"/>
      </w:pPr>
      <w:r w:rsidRPr="00E502E5">
        <w:rPr>
          <w:rStyle w:val="HideTWBExt"/>
          <w:b w:val="0"/>
        </w:rPr>
        <w:t>&lt;Article&gt;</w:t>
      </w:r>
      <w:r w:rsidRPr="00E502E5">
        <w:t>Article 8 – paragraphe 4 bis (nouveau)</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21C4DCFF" w14:textId="77777777" w:rsidTr="007924BE">
        <w:trPr>
          <w:jc w:val="center"/>
        </w:trPr>
        <w:tc>
          <w:tcPr>
            <w:tcW w:w="9752" w:type="dxa"/>
            <w:gridSpan w:val="2"/>
          </w:tcPr>
          <w:p w14:paraId="5CF44340" w14:textId="77777777" w:rsidR="00BF7ACA" w:rsidRPr="00E502E5" w:rsidRDefault="00BF7ACA" w:rsidP="007924BE">
            <w:pPr>
              <w:keepNext/>
            </w:pPr>
          </w:p>
        </w:tc>
      </w:tr>
      <w:tr w:rsidR="00BF7ACA" w:rsidRPr="00E502E5" w14:paraId="5277849F" w14:textId="77777777" w:rsidTr="007924BE">
        <w:trPr>
          <w:jc w:val="center"/>
        </w:trPr>
        <w:tc>
          <w:tcPr>
            <w:tcW w:w="4876" w:type="dxa"/>
            <w:hideMark/>
          </w:tcPr>
          <w:p w14:paraId="185EE7F3" w14:textId="77777777" w:rsidR="00BF7ACA" w:rsidRPr="00E502E5" w:rsidRDefault="00BF7ACA" w:rsidP="007924BE">
            <w:pPr>
              <w:pStyle w:val="ColumnHeading"/>
              <w:keepNext/>
            </w:pPr>
            <w:r w:rsidRPr="00E502E5">
              <w:t>Texte proposé par la Commission</w:t>
            </w:r>
          </w:p>
        </w:tc>
        <w:tc>
          <w:tcPr>
            <w:tcW w:w="4876" w:type="dxa"/>
            <w:hideMark/>
          </w:tcPr>
          <w:p w14:paraId="0BF5096E" w14:textId="77777777" w:rsidR="00BF7ACA" w:rsidRPr="00E502E5" w:rsidRDefault="00BF7ACA" w:rsidP="007924BE">
            <w:pPr>
              <w:pStyle w:val="ColumnHeading"/>
              <w:keepNext/>
            </w:pPr>
            <w:r w:rsidRPr="00E502E5">
              <w:t>Amendement</w:t>
            </w:r>
          </w:p>
        </w:tc>
      </w:tr>
      <w:tr w:rsidR="00BF7ACA" w:rsidRPr="00E502E5" w14:paraId="462DAD96" w14:textId="77777777" w:rsidTr="007924BE">
        <w:trPr>
          <w:jc w:val="center"/>
        </w:trPr>
        <w:tc>
          <w:tcPr>
            <w:tcW w:w="4876" w:type="dxa"/>
          </w:tcPr>
          <w:p w14:paraId="4E27A26D" w14:textId="77777777" w:rsidR="00BF7ACA" w:rsidRPr="00E502E5" w:rsidRDefault="00BF7ACA" w:rsidP="007924BE">
            <w:pPr>
              <w:pStyle w:val="Normal6"/>
            </w:pPr>
          </w:p>
        </w:tc>
        <w:tc>
          <w:tcPr>
            <w:tcW w:w="4876" w:type="dxa"/>
            <w:hideMark/>
          </w:tcPr>
          <w:p w14:paraId="618F0131" w14:textId="77777777" w:rsidR="00BF7ACA" w:rsidRPr="00E502E5" w:rsidRDefault="00BF7ACA" w:rsidP="007924BE">
            <w:pPr>
              <w:pStyle w:val="Normal6"/>
              <w:rPr>
                <w:szCs w:val="24"/>
              </w:rPr>
            </w:pPr>
            <w:r w:rsidRPr="00E502E5">
              <w:rPr>
                <w:b/>
                <w:i/>
              </w:rPr>
              <w:t>4 bis.</w:t>
            </w:r>
            <w:r w:rsidRPr="00E502E5">
              <w:tab/>
            </w:r>
            <w:r w:rsidRPr="00E502E5">
              <w:rPr>
                <w:b/>
                <w:i/>
              </w:rPr>
              <w:t>La Commission établit et publie un tableau d</w:t>
            </w:r>
            <w:r>
              <w:rPr>
                <w:b/>
                <w:i/>
              </w:rPr>
              <w:t>’</w:t>
            </w:r>
            <w:r w:rsidRPr="00E502E5">
              <w:rPr>
                <w:b/>
                <w:i/>
              </w:rPr>
              <w:t>indicateurs à utiliser pour assurer une évaluation indépendante et transparente des opérations potentielles et réelles soutenues par la garantie FEDD. Ces indicateurs comprennent, entre autres, une composante genre.</w:t>
            </w:r>
          </w:p>
        </w:tc>
      </w:tr>
    </w:tbl>
    <w:p w14:paraId="616925D6"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19DD747C" w14:textId="77777777" w:rsidR="00BF7ACA" w:rsidRPr="00E502E5" w:rsidRDefault="00BF7ACA" w:rsidP="00BF7ACA">
      <w:r w:rsidRPr="00E502E5">
        <w:rPr>
          <w:rStyle w:val="HideTWBExt"/>
        </w:rPr>
        <w:t>&lt;/Amend&gt;</w:t>
      </w:r>
    </w:p>
    <w:p w14:paraId="5CE48DE8" w14:textId="77777777" w:rsidR="00BF7ACA" w:rsidRPr="00CC49E1" w:rsidRDefault="00BF7ACA" w:rsidP="00BF7ACA">
      <w:pPr>
        <w:pStyle w:val="AMNumberTabs"/>
        <w:keepNext/>
        <w:rPr>
          <w:lang w:val="en-GB"/>
        </w:rPr>
      </w:pPr>
      <w:r w:rsidRPr="00CC49E1">
        <w:rPr>
          <w:rStyle w:val="HideTWBExt"/>
          <w:b w:val="0"/>
          <w:lang w:val="en-GB"/>
        </w:rPr>
        <w:t>&lt;Amend&gt;</w:t>
      </w:r>
      <w:r w:rsidRPr="00CC49E1">
        <w:rPr>
          <w:lang w:val="en-GB"/>
        </w:rPr>
        <w:t>Amendement</w:t>
      </w:r>
      <w:r w:rsidRPr="00CC49E1">
        <w:rPr>
          <w:lang w:val="en-GB"/>
        </w:rPr>
        <w:tab/>
      </w:r>
      <w:r w:rsidRPr="00CC49E1">
        <w:rPr>
          <w:lang w:val="en-GB"/>
        </w:rPr>
        <w:tab/>
      </w:r>
      <w:r w:rsidRPr="00CC49E1">
        <w:rPr>
          <w:rStyle w:val="HideTWBExt"/>
          <w:b w:val="0"/>
          <w:lang w:val="en-GB"/>
        </w:rPr>
        <w:t>&lt;NumAm&gt;</w:t>
      </w:r>
      <w:r w:rsidRPr="00CC49E1">
        <w:rPr>
          <w:lang w:val="en-GB"/>
        </w:rPr>
        <w:t>304</w:t>
      </w:r>
      <w:r w:rsidRPr="00CC49E1">
        <w:rPr>
          <w:rStyle w:val="HideTWBExt"/>
          <w:b w:val="0"/>
          <w:lang w:val="en-GB"/>
        </w:rPr>
        <w:t>&lt;/NumAm&gt;</w:t>
      </w:r>
    </w:p>
    <w:p w14:paraId="4724E9C7" w14:textId="77777777" w:rsidR="00BF7ACA" w:rsidRPr="00CC49E1" w:rsidRDefault="00BF7ACA" w:rsidP="00BF7ACA">
      <w:pPr>
        <w:pStyle w:val="NormalBold"/>
        <w:rPr>
          <w:lang w:val="en-GB"/>
        </w:rPr>
      </w:pPr>
      <w:r w:rsidRPr="00CC49E1">
        <w:rPr>
          <w:rStyle w:val="HideTWBExt"/>
          <w:b w:val="0"/>
          <w:lang w:val="en-GB"/>
        </w:rPr>
        <w:t>&lt;RepeatBlock-By&gt;&lt;Members&gt;</w:t>
      </w:r>
      <w:r w:rsidRPr="00CC49E1">
        <w:rPr>
          <w:lang w:val="en-GB"/>
        </w:rPr>
        <w:t>Eduard Kukan</w:t>
      </w:r>
      <w:r w:rsidRPr="00CC49E1">
        <w:rPr>
          <w:rStyle w:val="HideTWBExt"/>
          <w:b w:val="0"/>
          <w:lang w:val="en-GB"/>
        </w:rPr>
        <w:t>&lt;/Members&gt;</w:t>
      </w:r>
    </w:p>
    <w:p w14:paraId="6E2951BB" w14:textId="77777777" w:rsidR="00BF7ACA" w:rsidRPr="00AF1321" w:rsidRDefault="00BF7ACA" w:rsidP="00BF7ACA">
      <w:r>
        <w:rPr>
          <w:rStyle w:val="HideTWBExt"/>
        </w:rPr>
        <w:t>&lt;/RepeatBlock-By&gt;</w:t>
      </w:r>
    </w:p>
    <w:p w14:paraId="423155FD"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79BCA9D7" w14:textId="77777777" w:rsidR="00BF7ACA" w:rsidRPr="00AF1321" w:rsidRDefault="00BF7ACA" w:rsidP="00BF7ACA">
      <w:pPr>
        <w:pStyle w:val="NormalBold"/>
      </w:pPr>
      <w:r>
        <w:rPr>
          <w:rStyle w:val="HideTWBExt"/>
          <w:b w:val="0"/>
        </w:rPr>
        <w:t>&lt;Article&gt;</w:t>
      </w:r>
      <w:r w:rsidRPr="00B0434F">
        <w:t>Article 9 – paragraphe 1 – point a</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2687C857" w14:textId="77777777" w:rsidTr="007924BE">
        <w:trPr>
          <w:jc w:val="center"/>
        </w:trPr>
        <w:tc>
          <w:tcPr>
            <w:tcW w:w="9752" w:type="dxa"/>
            <w:gridSpan w:val="2"/>
          </w:tcPr>
          <w:p w14:paraId="55CCA2A0" w14:textId="77777777" w:rsidR="00BF7ACA" w:rsidRPr="00AF1321" w:rsidRDefault="00BF7ACA" w:rsidP="007924BE">
            <w:pPr>
              <w:keepNext/>
            </w:pPr>
          </w:p>
        </w:tc>
      </w:tr>
      <w:tr w:rsidR="00BF7ACA" w:rsidRPr="00AF1321" w14:paraId="163FE0CD" w14:textId="77777777" w:rsidTr="007924BE">
        <w:trPr>
          <w:jc w:val="center"/>
        </w:trPr>
        <w:tc>
          <w:tcPr>
            <w:tcW w:w="4876" w:type="dxa"/>
            <w:hideMark/>
          </w:tcPr>
          <w:p w14:paraId="421D80E1" w14:textId="77777777" w:rsidR="00BF7ACA" w:rsidRPr="00B0434F" w:rsidRDefault="00BF7ACA" w:rsidP="007924BE">
            <w:pPr>
              <w:pStyle w:val="ColumnHeading"/>
              <w:keepNext/>
            </w:pPr>
            <w:r w:rsidRPr="00B0434F">
              <w:t>Texte proposé par la Commission</w:t>
            </w:r>
          </w:p>
        </w:tc>
        <w:tc>
          <w:tcPr>
            <w:tcW w:w="4876" w:type="dxa"/>
            <w:hideMark/>
          </w:tcPr>
          <w:p w14:paraId="00E61853" w14:textId="77777777" w:rsidR="00BF7ACA" w:rsidRPr="00B0434F" w:rsidRDefault="00BF7ACA" w:rsidP="007924BE">
            <w:pPr>
              <w:pStyle w:val="ColumnHeading"/>
              <w:keepNext/>
            </w:pPr>
            <w:r w:rsidRPr="00B0434F">
              <w:t>Amendement</w:t>
            </w:r>
          </w:p>
        </w:tc>
      </w:tr>
      <w:tr w:rsidR="00BF7ACA" w:rsidRPr="00AF1321" w14:paraId="200027E3" w14:textId="77777777" w:rsidTr="007924BE">
        <w:trPr>
          <w:jc w:val="center"/>
        </w:trPr>
        <w:tc>
          <w:tcPr>
            <w:tcW w:w="4876" w:type="dxa"/>
            <w:hideMark/>
          </w:tcPr>
          <w:p w14:paraId="2B9FD83D" w14:textId="77777777" w:rsidR="00BF7ACA" w:rsidRPr="00B0434F" w:rsidRDefault="00BF7ACA" w:rsidP="007924BE">
            <w:pPr>
              <w:pStyle w:val="Normal6"/>
            </w:pPr>
            <w:r w:rsidRPr="00B0434F">
              <w:t>(a)</w:t>
            </w:r>
            <w:r>
              <w:tab/>
            </w:r>
            <w:r w:rsidRPr="00B0434F">
              <w:t>les prêts;</w:t>
            </w:r>
          </w:p>
        </w:tc>
        <w:tc>
          <w:tcPr>
            <w:tcW w:w="4876" w:type="dxa"/>
            <w:hideMark/>
          </w:tcPr>
          <w:p w14:paraId="2E37713E" w14:textId="77777777" w:rsidR="00BF7ACA" w:rsidRPr="00B0434F" w:rsidRDefault="00BF7ACA" w:rsidP="007924BE">
            <w:pPr>
              <w:pStyle w:val="Normal6"/>
              <w:rPr>
                <w:szCs w:val="24"/>
              </w:rPr>
            </w:pPr>
            <w:r w:rsidRPr="00B0434F">
              <w:t>(a)</w:t>
            </w:r>
            <w:r>
              <w:tab/>
              <w:t>les prêts</w:t>
            </w:r>
            <w:r>
              <w:rPr>
                <w:b/>
                <w:i/>
              </w:rPr>
              <w:t>, y compris les prêts en monnaie nationale</w:t>
            </w:r>
            <w:r>
              <w:t>;</w:t>
            </w:r>
          </w:p>
        </w:tc>
      </w:tr>
    </w:tbl>
    <w:p w14:paraId="4106EED1"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204A4BA" w14:textId="77777777" w:rsidR="00BF7ACA" w:rsidRPr="00BF7ACA" w:rsidRDefault="00BF7ACA" w:rsidP="00BF7ACA">
      <w:r w:rsidRPr="00BF7ACA">
        <w:rPr>
          <w:rStyle w:val="HideTWBExt"/>
        </w:rPr>
        <w:t>&lt;/Amend&gt;</w:t>
      </w:r>
    </w:p>
    <w:p w14:paraId="3A0E7C14"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305</w:t>
      </w:r>
      <w:r w:rsidRPr="00BF7ACA">
        <w:rPr>
          <w:rStyle w:val="HideTWBExt"/>
          <w:b w:val="0"/>
        </w:rPr>
        <w:t>&lt;/NumAm&gt;</w:t>
      </w:r>
    </w:p>
    <w:p w14:paraId="58BAE015"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14337726" w14:textId="77777777" w:rsidR="00BF7ACA" w:rsidRPr="00AF1321" w:rsidRDefault="00BF7ACA" w:rsidP="00BF7ACA">
      <w:r>
        <w:rPr>
          <w:rStyle w:val="HideTWBExt"/>
        </w:rPr>
        <w:t>&lt;/RepeatBlock-By&gt;</w:t>
      </w:r>
    </w:p>
    <w:p w14:paraId="156EA767"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5118CF8B" w14:textId="77777777" w:rsidR="00BF7ACA" w:rsidRPr="00AF1321" w:rsidRDefault="00BF7ACA" w:rsidP="00BF7ACA">
      <w:pPr>
        <w:pStyle w:val="NormalBold"/>
      </w:pPr>
      <w:r>
        <w:rPr>
          <w:rStyle w:val="HideTWBExt"/>
          <w:b w:val="0"/>
        </w:rPr>
        <w:t>&lt;Article&gt;</w:t>
      </w:r>
      <w:r w:rsidRPr="00B0434F">
        <w:t>Article 9 – paragraphe 1 – point 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63386044" w14:textId="77777777" w:rsidTr="007924BE">
        <w:trPr>
          <w:jc w:val="center"/>
        </w:trPr>
        <w:tc>
          <w:tcPr>
            <w:tcW w:w="9752" w:type="dxa"/>
            <w:gridSpan w:val="2"/>
          </w:tcPr>
          <w:p w14:paraId="3FDED905" w14:textId="77777777" w:rsidR="00BF7ACA" w:rsidRPr="00AF1321" w:rsidRDefault="00BF7ACA" w:rsidP="007924BE">
            <w:pPr>
              <w:keepNext/>
            </w:pPr>
          </w:p>
        </w:tc>
      </w:tr>
      <w:tr w:rsidR="00BF7ACA" w:rsidRPr="00AF1321" w14:paraId="77F67DF2" w14:textId="77777777" w:rsidTr="007924BE">
        <w:trPr>
          <w:jc w:val="center"/>
        </w:trPr>
        <w:tc>
          <w:tcPr>
            <w:tcW w:w="4876" w:type="dxa"/>
            <w:hideMark/>
          </w:tcPr>
          <w:p w14:paraId="04D20D8A" w14:textId="77777777" w:rsidR="00BF7ACA" w:rsidRPr="00B0434F" w:rsidRDefault="00BF7ACA" w:rsidP="007924BE">
            <w:pPr>
              <w:pStyle w:val="ColumnHeading"/>
              <w:keepNext/>
            </w:pPr>
            <w:r w:rsidRPr="00B0434F">
              <w:t>Texte proposé par la Commission</w:t>
            </w:r>
          </w:p>
        </w:tc>
        <w:tc>
          <w:tcPr>
            <w:tcW w:w="4876" w:type="dxa"/>
            <w:hideMark/>
          </w:tcPr>
          <w:p w14:paraId="095E0BC7" w14:textId="77777777" w:rsidR="00BF7ACA" w:rsidRPr="00B0434F" w:rsidRDefault="00BF7ACA" w:rsidP="007924BE">
            <w:pPr>
              <w:pStyle w:val="ColumnHeading"/>
              <w:keepNext/>
            </w:pPr>
            <w:r w:rsidRPr="00B0434F">
              <w:t>Amendement</w:t>
            </w:r>
          </w:p>
        </w:tc>
      </w:tr>
      <w:tr w:rsidR="00BF7ACA" w:rsidRPr="00AF1321" w14:paraId="43F918DE" w14:textId="77777777" w:rsidTr="007924BE">
        <w:trPr>
          <w:jc w:val="center"/>
        </w:trPr>
        <w:tc>
          <w:tcPr>
            <w:tcW w:w="4876" w:type="dxa"/>
            <w:hideMark/>
          </w:tcPr>
          <w:p w14:paraId="464AB702" w14:textId="77777777" w:rsidR="00BF7ACA" w:rsidRPr="00B0434F" w:rsidRDefault="00BF7ACA" w:rsidP="007924BE">
            <w:pPr>
              <w:pStyle w:val="Normal6"/>
            </w:pPr>
            <w:r w:rsidRPr="00B0434F">
              <w:rPr>
                <w:b/>
                <w:i/>
              </w:rPr>
              <w:t>(e)</w:t>
            </w:r>
            <w:r>
              <w:tab/>
            </w:r>
            <w:r w:rsidRPr="00B0434F">
              <w:rPr>
                <w:b/>
                <w:i/>
              </w:rPr>
              <w:t>toute autre forme de financement ou de rehaussement de crédit et les participations sous la forme de fonds propres ou de quasi-fonds propres.</w:t>
            </w:r>
          </w:p>
        </w:tc>
        <w:tc>
          <w:tcPr>
            <w:tcW w:w="4876" w:type="dxa"/>
            <w:hideMark/>
          </w:tcPr>
          <w:p w14:paraId="3B5B9893" w14:textId="77777777" w:rsidR="00BF7ACA" w:rsidRPr="00B0434F" w:rsidRDefault="00BF7ACA" w:rsidP="007924BE">
            <w:pPr>
              <w:pStyle w:val="Normal6"/>
              <w:rPr>
                <w:szCs w:val="24"/>
              </w:rPr>
            </w:pPr>
            <w:r w:rsidRPr="00B0434F">
              <w:rPr>
                <w:b/>
                <w:i/>
              </w:rPr>
              <w:t>supprimé</w:t>
            </w:r>
          </w:p>
        </w:tc>
      </w:tr>
    </w:tbl>
    <w:p w14:paraId="463BD1D8" w14:textId="77777777" w:rsidR="00BF7ACA" w:rsidRPr="00AF1321" w:rsidRDefault="00BF7ACA" w:rsidP="00BF7ACA">
      <w:pPr>
        <w:pStyle w:val="Olang"/>
        <w:rPr>
          <w:noProof w:val="0"/>
          <w:szCs w:val="24"/>
        </w:rPr>
      </w:pPr>
      <w:r w:rsidRPr="00B0434F">
        <w:rPr>
          <w:noProof w:val="0"/>
        </w:rPr>
        <w:t xml:space="preserve">Or. </w:t>
      </w:r>
      <w:r w:rsidRPr="004C208F">
        <w:rPr>
          <w:rStyle w:val="HideTWBExt"/>
          <w:noProof w:val="0"/>
        </w:rPr>
        <w:t>&lt;Original&gt;</w:t>
      </w:r>
      <w:r w:rsidRPr="004C208F">
        <w:rPr>
          <w:rStyle w:val="HideTWBInt"/>
          <w:noProof w:val="0"/>
        </w:rPr>
        <w:t>{EN}</w:t>
      </w:r>
      <w:r w:rsidRPr="00B0434F">
        <w:rPr>
          <w:noProof w:val="0"/>
        </w:rPr>
        <w:t>en</w:t>
      </w:r>
      <w:r w:rsidRPr="004C208F">
        <w:rPr>
          <w:rStyle w:val="HideTWBExt"/>
          <w:noProof w:val="0"/>
        </w:rPr>
        <w:t>&lt;/Original&gt;</w:t>
      </w:r>
    </w:p>
    <w:p w14:paraId="7FEE1319" w14:textId="77777777" w:rsidR="00BF7ACA" w:rsidRPr="00AF1321" w:rsidRDefault="00BF7ACA" w:rsidP="00BF7ACA">
      <w:r>
        <w:rPr>
          <w:rStyle w:val="HideTWBExt"/>
        </w:rPr>
        <w:t>&lt;/Amend&gt;</w:t>
      </w:r>
    </w:p>
    <w:p w14:paraId="2394BBBF" w14:textId="77777777" w:rsidR="00BF7ACA" w:rsidRPr="00AF1321" w:rsidRDefault="00BF7ACA" w:rsidP="00BF7ACA">
      <w:pPr>
        <w:pStyle w:val="AMNumberTabs"/>
        <w:keepNext/>
      </w:pPr>
      <w:r>
        <w:rPr>
          <w:rStyle w:val="HideTWBExt"/>
          <w:b w:val="0"/>
        </w:rPr>
        <w:t>&lt;Amend&gt;</w:t>
      </w:r>
      <w:r w:rsidRPr="00B0434F">
        <w:t>Amendement</w:t>
      </w:r>
      <w:r>
        <w:tab/>
      </w:r>
      <w:r>
        <w:tab/>
      </w:r>
      <w:r>
        <w:rPr>
          <w:rStyle w:val="HideTWBExt"/>
          <w:b w:val="0"/>
        </w:rPr>
        <w:t>&lt;NumAm&gt;</w:t>
      </w:r>
      <w:r w:rsidRPr="00B0434F">
        <w:t>306</w:t>
      </w:r>
      <w:r>
        <w:rPr>
          <w:rStyle w:val="HideTWBExt"/>
          <w:b w:val="0"/>
        </w:rPr>
        <w:t>&lt;/NumAm&gt;</w:t>
      </w:r>
    </w:p>
    <w:p w14:paraId="1BF3483C" w14:textId="77777777" w:rsidR="00BF7ACA" w:rsidRPr="00AF1321" w:rsidRDefault="00BF7ACA" w:rsidP="00BF7ACA">
      <w:pPr>
        <w:pStyle w:val="NormalBold"/>
      </w:pPr>
      <w:r>
        <w:rPr>
          <w:rStyle w:val="HideTWBExt"/>
          <w:b w:val="0"/>
        </w:rPr>
        <w:t>&lt;RepeatBlock-By&gt;&lt;Members&gt;</w:t>
      </w:r>
      <w:r w:rsidRPr="00B0434F">
        <w:t>Xabier Benito Ziluaga, Lola Sánchez Caldentey, Miguel Urbán Crespo, Stelios Kouloglou</w:t>
      </w:r>
      <w:r>
        <w:rPr>
          <w:rStyle w:val="HideTWBExt"/>
          <w:b w:val="0"/>
        </w:rPr>
        <w:t>&lt;/Members&gt;</w:t>
      </w:r>
    </w:p>
    <w:p w14:paraId="5F26E1F6" w14:textId="77777777" w:rsidR="00BF7ACA" w:rsidRPr="00AF1321" w:rsidRDefault="00BF7ACA" w:rsidP="00BF7ACA">
      <w:r>
        <w:rPr>
          <w:rStyle w:val="HideTWBExt"/>
        </w:rPr>
        <w:t>&lt;/RepeatBlock-By&gt;</w:t>
      </w:r>
    </w:p>
    <w:p w14:paraId="71B79519"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2ADFCE27" w14:textId="77777777" w:rsidR="00BF7ACA" w:rsidRPr="00AF1321" w:rsidRDefault="00BF7ACA" w:rsidP="00BF7ACA">
      <w:pPr>
        <w:pStyle w:val="NormalBold"/>
      </w:pPr>
      <w:r>
        <w:rPr>
          <w:rStyle w:val="HideTWBExt"/>
          <w:b w:val="0"/>
        </w:rPr>
        <w:t>&lt;Article&gt;</w:t>
      </w:r>
      <w:r w:rsidRPr="00B0434F">
        <w:t>Article 10 – paragraphe 1 – point 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4D1B5185" w14:textId="77777777" w:rsidTr="007924BE">
        <w:trPr>
          <w:jc w:val="center"/>
        </w:trPr>
        <w:tc>
          <w:tcPr>
            <w:tcW w:w="9752" w:type="dxa"/>
            <w:gridSpan w:val="2"/>
          </w:tcPr>
          <w:p w14:paraId="66F48190" w14:textId="77777777" w:rsidR="00BF7ACA" w:rsidRPr="00AF1321" w:rsidRDefault="00BF7ACA" w:rsidP="007924BE">
            <w:pPr>
              <w:keepNext/>
            </w:pPr>
          </w:p>
        </w:tc>
      </w:tr>
      <w:tr w:rsidR="00BF7ACA" w:rsidRPr="00AF1321" w14:paraId="07E7CC9A" w14:textId="77777777" w:rsidTr="007924BE">
        <w:trPr>
          <w:jc w:val="center"/>
        </w:trPr>
        <w:tc>
          <w:tcPr>
            <w:tcW w:w="4876" w:type="dxa"/>
            <w:hideMark/>
          </w:tcPr>
          <w:p w14:paraId="2C133DD9" w14:textId="77777777" w:rsidR="00BF7ACA" w:rsidRPr="00B0434F" w:rsidRDefault="00BF7ACA" w:rsidP="007924BE">
            <w:pPr>
              <w:pStyle w:val="ColumnHeading"/>
              <w:keepNext/>
            </w:pPr>
            <w:r w:rsidRPr="00B0434F">
              <w:t>Texte proposé par la Commission</w:t>
            </w:r>
          </w:p>
        </w:tc>
        <w:tc>
          <w:tcPr>
            <w:tcW w:w="4876" w:type="dxa"/>
            <w:hideMark/>
          </w:tcPr>
          <w:p w14:paraId="79388233" w14:textId="77777777" w:rsidR="00BF7ACA" w:rsidRPr="00B0434F" w:rsidRDefault="00BF7ACA" w:rsidP="007924BE">
            <w:pPr>
              <w:pStyle w:val="ColumnHeading"/>
              <w:keepNext/>
            </w:pPr>
            <w:r w:rsidRPr="00B0434F">
              <w:t>Amendement</w:t>
            </w:r>
          </w:p>
        </w:tc>
      </w:tr>
      <w:tr w:rsidR="00BF7ACA" w:rsidRPr="00AF1321" w14:paraId="4BFA4613" w14:textId="77777777" w:rsidTr="007924BE">
        <w:trPr>
          <w:jc w:val="center"/>
        </w:trPr>
        <w:tc>
          <w:tcPr>
            <w:tcW w:w="4876" w:type="dxa"/>
            <w:hideMark/>
          </w:tcPr>
          <w:p w14:paraId="62A0DCFA" w14:textId="77777777" w:rsidR="00BF7ACA" w:rsidRPr="00B0434F" w:rsidRDefault="00BF7ACA" w:rsidP="007924BE">
            <w:pPr>
              <w:pStyle w:val="Normal6"/>
            </w:pPr>
            <w:r w:rsidRPr="00B0434F">
              <w:rPr>
                <w:b/>
                <w:i/>
              </w:rPr>
              <w:t>(e)</w:t>
            </w:r>
            <w:r>
              <w:tab/>
            </w:r>
            <w:r w:rsidRPr="00B0434F">
              <w:rPr>
                <w:b/>
                <w:i/>
              </w:rPr>
              <w:t>les organismes de droit privé d</w:t>
            </w:r>
            <w:r>
              <w:rPr>
                <w:b/>
                <w:i/>
              </w:rPr>
              <w:t>’</w:t>
            </w:r>
            <w:r w:rsidRPr="00B0434F">
              <w:rPr>
                <w:b/>
                <w:i/>
              </w:rPr>
              <w:t>un État membre qui présentent les garanties financières suffisantes, par dérogation à l</w:t>
            </w:r>
            <w:r>
              <w:rPr>
                <w:b/>
                <w:i/>
              </w:rPr>
              <w:t>’</w:t>
            </w:r>
            <w:r w:rsidRPr="00B0434F">
              <w:rPr>
                <w:b/>
                <w:i/>
              </w:rPr>
              <w:t>article 58, paragraphe 1, point c) vii), du règlement (UE, Euratom) nº 966/2012;</w:t>
            </w:r>
          </w:p>
        </w:tc>
        <w:tc>
          <w:tcPr>
            <w:tcW w:w="4876" w:type="dxa"/>
            <w:hideMark/>
          </w:tcPr>
          <w:p w14:paraId="504A4307" w14:textId="77777777" w:rsidR="00BF7ACA" w:rsidRPr="00B0434F" w:rsidRDefault="00BF7ACA" w:rsidP="007924BE">
            <w:pPr>
              <w:pStyle w:val="Normal6"/>
              <w:rPr>
                <w:szCs w:val="24"/>
              </w:rPr>
            </w:pPr>
            <w:r w:rsidRPr="00B0434F">
              <w:rPr>
                <w:b/>
                <w:i/>
              </w:rPr>
              <w:t>supprimé</w:t>
            </w:r>
          </w:p>
        </w:tc>
      </w:tr>
    </w:tbl>
    <w:p w14:paraId="5B5F1B45" w14:textId="77777777" w:rsidR="00BF7ACA" w:rsidRPr="00AF1321" w:rsidRDefault="00BF7ACA" w:rsidP="00BF7ACA">
      <w:pPr>
        <w:pStyle w:val="Olang"/>
        <w:rPr>
          <w:noProof w:val="0"/>
          <w:szCs w:val="24"/>
        </w:rPr>
      </w:pPr>
      <w:r w:rsidRPr="00B0434F">
        <w:rPr>
          <w:noProof w:val="0"/>
        </w:rPr>
        <w:t xml:space="preserve">Or. </w:t>
      </w:r>
      <w:r w:rsidRPr="004C208F">
        <w:rPr>
          <w:rStyle w:val="HideTWBExt"/>
          <w:noProof w:val="0"/>
        </w:rPr>
        <w:t>&lt;Original&gt;</w:t>
      </w:r>
      <w:r w:rsidRPr="004C208F">
        <w:rPr>
          <w:rStyle w:val="HideTWBInt"/>
          <w:noProof w:val="0"/>
        </w:rPr>
        <w:t>{EN}</w:t>
      </w:r>
      <w:r w:rsidRPr="00B0434F">
        <w:rPr>
          <w:noProof w:val="0"/>
        </w:rPr>
        <w:t>en</w:t>
      </w:r>
      <w:r w:rsidRPr="004C208F">
        <w:rPr>
          <w:rStyle w:val="HideTWBExt"/>
          <w:noProof w:val="0"/>
        </w:rPr>
        <w:t>&lt;/Original&gt;</w:t>
      </w:r>
    </w:p>
    <w:p w14:paraId="6AA61422" w14:textId="77777777" w:rsidR="00BF7ACA" w:rsidRPr="00AF1321" w:rsidRDefault="00BF7ACA" w:rsidP="00BF7ACA">
      <w:r>
        <w:rPr>
          <w:rStyle w:val="HideTWBExt"/>
        </w:rPr>
        <w:t>&lt;/Amend&gt;</w:t>
      </w:r>
    </w:p>
    <w:p w14:paraId="57BEA223" w14:textId="77777777" w:rsidR="00BF7ACA" w:rsidRPr="00AF1321" w:rsidRDefault="00BF7ACA" w:rsidP="00BF7ACA">
      <w:pPr>
        <w:pStyle w:val="AMNumberTabs"/>
        <w:keepNext/>
      </w:pPr>
      <w:r>
        <w:rPr>
          <w:rStyle w:val="HideTWBExt"/>
          <w:b w:val="0"/>
        </w:rPr>
        <w:t>&lt;Amend&gt;</w:t>
      </w:r>
      <w:r w:rsidRPr="00B0434F">
        <w:t>Amendement</w:t>
      </w:r>
      <w:r>
        <w:tab/>
      </w:r>
      <w:r>
        <w:tab/>
      </w:r>
      <w:r>
        <w:rPr>
          <w:rStyle w:val="HideTWBExt"/>
          <w:b w:val="0"/>
        </w:rPr>
        <w:t>&lt;NumAm&gt;</w:t>
      </w:r>
      <w:r w:rsidRPr="00B0434F">
        <w:t>307</w:t>
      </w:r>
      <w:r>
        <w:rPr>
          <w:rStyle w:val="HideTWBExt"/>
          <w:b w:val="0"/>
        </w:rPr>
        <w:t>&lt;/NumAm&gt;</w:t>
      </w:r>
    </w:p>
    <w:p w14:paraId="475F067C" w14:textId="77777777" w:rsidR="00BF7ACA" w:rsidRPr="00BF7ACA" w:rsidRDefault="00BF7ACA" w:rsidP="00BF7ACA">
      <w:pPr>
        <w:pStyle w:val="NormalBold"/>
        <w:rPr>
          <w:lang w:val="pt-PT"/>
        </w:rPr>
      </w:pPr>
      <w:r w:rsidRPr="00BF7ACA">
        <w:rPr>
          <w:rStyle w:val="HideTWBExt"/>
          <w:b w:val="0"/>
          <w:lang w:val="pt-PT"/>
        </w:rPr>
        <w:t>&lt;RepeatBlock-By&gt;&lt;Members&gt;</w:t>
      </w:r>
      <w:r w:rsidRPr="00BF7ACA">
        <w:rPr>
          <w:lang w:val="pt-PT"/>
        </w:rPr>
        <w:t>Heidi Hautala, Maria Heubuch, Judith Sargentini</w:t>
      </w:r>
      <w:r w:rsidRPr="00BF7ACA">
        <w:rPr>
          <w:rStyle w:val="HideTWBExt"/>
          <w:b w:val="0"/>
          <w:lang w:val="pt-PT"/>
        </w:rPr>
        <w:t>&lt;/Members&gt;</w:t>
      </w:r>
    </w:p>
    <w:p w14:paraId="2388A0DC" w14:textId="77777777" w:rsidR="00BF7ACA" w:rsidRPr="00BF7ACA" w:rsidRDefault="00BF7ACA" w:rsidP="00BF7ACA">
      <w:pPr>
        <w:rPr>
          <w:lang w:val="pt-PT"/>
        </w:rPr>
      </w:pPr>
      <w:r w:rsidRPr="00BF7ACA">
        <w:rPr>
          <w:rStyle w:val="HideTWBExt"/>
          <w:lang w:val="pt-PT"/>
        </w:rPr>
        <w:t>&lt;/RepeatBlock-By&gt;</w:t>
      </w:r>
    </w:p>
    <w:p w14:paraId="4B8FDB48"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68DC3E4F" w14:textId="77777777" w:rsidR="00BF7ACA" w:rsidRPr="00AF1321" w:rsidRDefault="00BF7ACA" w:rsidP="00BF7ACA">
      <w:pPr>
        <w:pStyle w:val="NormalBold"/>
      </w:pPr>
      <w:r>
        <w:rPr>
          <w:rStyle w:val="HideTWBExt"/>
          <w:b w:val="0"/>
        </w:rPr>
        <w:t>&lt;Article&gt;</w:t>
      </w:r>
      <w:r w:rsidRPr="00B0434F">
        <w:t>Article 10 – paragraphe 1 – point 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4F284F94" w14:textId="77777777" w:rsidTr="007924BE">
        <w:trPr>
          <w:jc w:val="center"/>
        </w:trPr>
        <w:tc>
          <w:tcPr>
            <w:tcW w:w="9752" w:type="dxa"/>
            <w:gridSpan w:val="2"/>
          </w:tcPr>
          <w:p w14:paraId="644F3EC7" w14:textId="77777777" w:rsidR="00BF7ACA" w:rsidRPr="00AF1321" w:rsidRDefault="00BF7ACA" w:rsidP="007924BE">
            <w:pPr>
              <w:keepNext/>
            </w:pPr>
          </w:p>
        </w:tc>
      </w:tr>
      <w:tr w:rsidR="00BF7ACA" w:rsidRPr="00AF1321" w14:paraId="434DE5F4" w14:textId="77777777" w:rsidTr="007924BE">
        <w:trPr>
          <w:jc w:val="center"/>
        </w:trPr>
        <w:tc>
          <w:tcPr>
            <w:tcW w:w="4876" w:type="dxa"/>
            <w:hideMark/>
          </w:tcPr>
          <w:p w14:paraId="5881C132" w14:textId="77777777" w:rsidR="00BF7ACA" w:rsidRPr="00B0434F" w:rsidRDefault="00BF7ACA" w:rsidP="007924BE">
            <w:pPr>
              <w:pStyle w:val="ColumnHeading"/>
              <w:keepNext/>
            </w:pPr>
            <w:r w:rsidRPr="00B0434F">
              <w:t>Texte proposé par la Commission</w:t>
            </w:r>
          </w:p>
        </w:tc>
        <w:tc>
          <w:tcPr>
            <w:tcW w:w="4876" w:type="dxa"/>
            <w:hideMark/>
          </w:tcPr>
          <w:p w14:paraId="04DD929B" w14:textId="77777777" w:rsidR="00BF7ACA" w:rsidRPr="00B0434F" w:rsidRDefault="00BF7ACA" w:rsidP="007924BE">
            <w:pPr>
              <w:pStyle w:val="ColumnHeading"/>
              <w:keepNext/>
            </w:pPr>
            <w:r w:rsidRPr="00B0434F">
              <w:t>Amendement</w:t>
            </w:r>
          </w:p>
        </w:tc>
      </w:tr>
      <w:tr w:rsidR="00BF7ACA" w:rsidRPr="00AF1321" w14:paraId="26008A45" w14:textId="77777777" w:rsidTr="007924BE">
        <w:trPr>
          <w:jc w:val="center"/>
        </w:trPr>
        <w:tc>
          <w:tcPr>
            <w:tcW w:w="4876" w:type="dxa"/>
            <w:hideMark/>
          </w:tcPr>
          <w:p w14:paraId="1E7B8A79" w14:textId="77777777" w:rsidR="00BF7ACA" w:rsidRPr="00B0434F" w:rsidRDefault="00BF7ACA" w:rsidP="007924BE">
            <w:pPr>
              <w:pStyle w:val="Normal6"/>
            </w:pPr>
            <w:r w:rsidRPr="00B0434F">
              <w:t>(e)</w:t>
            </w:r>
            <w:r>
              <w:tab/>
            </w:r>
            <w:r w:rsidRPr="00B0434F">
              <w:t>les organismes de droit privé d</w:t>
            </w:r>
            <w:r>
              <w:t>’</w:t>
            </w:r>
            <w:r w:rsidRPr="00B0434F">
              <w:t>un État membre qui présentent les garanties financières suffisantes, par dérogation à l</w:t>
            </w:r>
            <w:r>
              <w:t>’</w:t>
            </w:r>
            <w:r w:rsidRPr="00B0434F">
              <w:t>article 58, paragraphe 1, point c) vii), du règlement (UE, Euratom) nº 966/2012;</w:t>
            </w:r>
          </w:p>
        </w:tc>
        <w:tc>
          <w:tcPr>
            <w:tcW w:w="4876" w:type="dxa"/>
            <w:hideMark/>
          </w:tcPr>
          <w:p w14:paraId="047C0CB7" w14:textId="77777777" w:rsidR="00BF7ACA" w:rsidRPr="00B0434F" w:rsidRDefault="00BF7ACA" w:rsidP="007924BE">
            <w:pPr>
              <w:pStyle w:val="Normal6"/>
              <w:rPr>
                <w:szCs w:val="24"/>
              </w:rPr>
            </w:pPr>
            <w:r w:rsidRPr="00B0434F">
              <w:t>(e)</w:t>
            </w:r>
            <w:r>
              <w:tab/>
            </w:r>
            <w:r w:rsidRPr="00B0434F">
              <w:t>les organismes de droit privé d</w:t>
            </w:r>
            <w:r>
              <w:t>’</w:t>
            </w:r>
            <w:r w:rsidRPr="00B0434F">
              <w:t>un État membre qui présentent les garanties financières suffisantes, par dérogation à l</w:t>
            </w:r>
            <w:r>
              <w:t>’</w:t>
            </w:r>
            <w:r w:rsidRPr="00B0434F">
              <w:t xml:space="preserve">article 58, paragraphe 1, point c) vii), du règlement (UE, Euratom) nº 966/2012 </w:t>
            </w:r>
            <w:r w:rsidRPr="00B0434F">
              <w:rPr>
                <w:b/>
                <w:i/>
              </w:rPr>
              <w:t>et qui divulguent les facteurs extra-financiers (environnementaux, sociaux et de gouvernance), tels que le changement climatique, la raréfaction des ressources, la rémunération disproportionnée du personnel de direction ou la corruption, qu</w:t>
            </w:r>
            <w:r>
              <w:rPr>
                <w:b/>
                <w:i/>
              </w:rPr>
              <w:t>’</w:t>
            </w:r>
            <w:r w:rsidRPr="00B0434F">
              <w:rPr>
                <w:b/>
                <w:i/>
              </w:rPr>
              <w:t>ils considèrent comme faisant partie de leur devoir de loyauté</w:t>
            </w:r>
            <w:r w:rsidRPr="00B0434F">
              <w:t>;</w:t>
            </w:r>
          </w:p>
        </w:tc>
      </w:tr>
    </w:tbl>
    <w:p w14:paraId="7DC53EF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30DC25B" w14:textId="77777777" w:rsidR="00BF7ACA" w:rsidRPr="00BF7ACA" w:rsidRDefault="00BF7ACA" w:rsidP="00BF7ACA">
      <w:r w:rsidRPr="00BF7ACA">
        <w:rPr>
          <w:rStyle w:val="HideTWBExt"/>
        </w:rPr>
        <w:t>&lt;/Amend&gt;</w:t>
      </w:r>
    </w:p>
    <w:p w14:paraId="364D4C1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308</w:t>
      </w:r>
      <w:r w:rsidRPr="00BF7ACA">
        <w:rPr>
          <w:rStyle w:val="HideTWBExt"/>
          <w:b w:val="0"/>
        </w:rPr>
        <w:t>&lt;/NumAm&gt;</w:t>
      </w:r>
    </w:p>
    <w:p w14:paraId="4E6C48BF"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2B2FAB0B" w14:textId="77777777" w:rsidR="00BF7ACA" w:rsidRPr="00AF1321" w:rsidRDefault="00BF7ACA" w:rsidP="00BF7ACA">
      <w:r>
        <w:rPr>
          <w:rStyle w:val="HideTWBExt"/>
        </w:rPr>
        <w:t>&lt;/RepeatBlock-By&gt;</w:t>
      </w:r>
    </w:p>
    <w:p w14:paraId="5EC18ECD"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42902517" w14:textId="77777777" w:rsidR="00BF7ACA" w:rsidRPr="00AF1321" w:rsidRDefault="00BF7ACA" w:rsidP="00BF7ACA">
      <w:pPr>
        <w:pStyle w:val="NormalBold"/>
      </w:pPr>
      <w:r>
        <w:rPr>
          <w:rStyle w:val="HideTWBExt"/>
          <w:b w:val="0"/>
        </w:rPr>
        <w:t>&lt;Article&gt;</w:t>
      </w:r>
      <w:r w:rsidRPr="00B0434F">
        <w:t>Article 10 – paragraphe 1 – point f</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24A37A64" w14:textId="77777777" w:rsidTr="007924BE">
        <w:trPr>
          <w:jc w:val="center"/>
        </w:trPr>
        <w:tc>
          <w:tcPr>
            <w:tcW w:w="9752" w:type="dxa"/>
            <w:gridSpan w:val="2"/>
          </w:tcPr>
          <w:p w14:paraId="2EEBBC4C" w14:textId="77777777" w:rsidR="00BF7ACA" w:rsidRPr="00AF1321" w:rsidRDefault="00BF7ACA" w:rsidP="007924BE">
            <w:pPr>
              <w:keepNext/>
            </w:pPr>
          </w:p>
        </w:tc>
      </w:tr>
      <w:tr w:rsidR="00BF7ACA" w:rsidRPr="00AF1321" w14:paraId="679ECA17" w14:textId="77777777" w:rsidTr="007924BE">
        <w:trPr>
          <w:jc w:val="center"/>
        </w:trPr>
        <w:tc>
          <w:tcPr>
            <w:tcW w:w="4876" w:type="dxa"/>
            <w:hideMark/>
          </w:tcPr>
          <w:p w14:paraId="2E9B0C72" w14:textId="77777777" w:rsidR="00BF7ACA" w:rsidRPr="00B0434F" w:rsidRDefault="00BF7ACA" w:rsidP="007924BE">
            <w:pPr>
              <w:pStyle w:val="ColumnHeading"/>
              <w:keepNext/>
            </w:pPr>
            <w:r w:rsidRPr="00B0434F">
              <w:t>Texte proposé par la Commission</w:t>
            </w:r>
          </w:p>
        </w:tc>
        <w:tc>
          <w:tcPr>
            <w:tcW w:w="4876" w:type="dxa"/>
            <w:hideMark/>
          </w:tcPr>
          <w:p w14:paraId="0D393B26" w14:textId="77777777" w:rsidR="00BF7ACA" w:rsidRPr="00B0434F" w:rsidRDefault="00BF7ACA" w:rsidP="007924BE">
            <w:pPr>
              <w:pStyle w:val="ColumnHeading"/>
              <w:keepNext/>
            </w:pPr>
            <w:r w:rsidRPr="00B0434F">
              <w:t>Amendement</w:t>
            </w:r>
          </w:p>
        </w:tc>
      </w:tr>
      <w:tr w:rsidR="00BF7ACA" w:rsidRPr="00AF1321" w14:paraId="08ED056F" w14:textId="77777777" w:rsidTr="007924BE">
        <w:trPr>
          <w:jc w:val="center"/>
        </w:trPr>
        <w:tc>
          <w:tcPr>
            <w:tcW w:w="4876" w:type="dxa"/>
            <w:hideMark/>
          </w:tcPr>
          <w:p w14:paraId="51BBB16A" w14:textId="77777777" w:rsidR="00BF7ACA" w:rsidRPr="00B0434F" w:rsidRDefault="00BF7ACA" w:rsidP="007924BE">
            <w:pPr>
              <w:pStyle w:val="Normal6"/>
            </w:pPr>
            <w:r w:rsidRPr="00B0434F">
              <w:rPr>
                <w:b/>
                <w:i/>
              </w:rPr>
              <w:t>(f)</w:t>
            </w:r>
            <w:r>
              <w:tab/>
            </w:r>
            <w:r w:rsidRPr="00B0434F">
              <w:rPr>
                <w:b/>
                <w:i/>
              </w:rPr>
              <w:t>les organismes de droit privé d</w:t>
            </w:r>
            <w:r>
              <w:rPr>
                <w:b/>
                <w:i/>
              </w:rPr>
              <w:t>’</w:t>
            </w:r>
            <w:r w:rsidRPr="00B0434F">
              <w:rPr>
                <w:b/>
                <w:i/>
              </w:rPr>
              <w:t>un pays partenaire qui présentent les garanties financières suffisantes, par dérogation à l</w:t>
            </w:r>
            <w:r>
              <w:rPr>
                <w:b/>
                <w:i/>
              </w:rPr>
              <w:t>’</w:t>
            </w:r>
            <w:r w:rsidRPr="00B0434F">
              <w:rPr>
                <w:b/>
                <w:i/>
              </w:rPr>
              <w:t>article 58, paragraphe 1, point c) vii), du règlement (UE, Euratom) nº 966/2012.</w:t>
            </w:r>
          </w:p>
        </w:tc>
        <w:tc>
          <w:tcPr>
            <w:tcW w:w="4876" w:type="dxa"/>
            <w:hideMark/>
          </w:tcPr>
          <w:p w14:paraId="28922047" w14:textId="77777777" w:rsidR="00BF7ACA" w:rsidRPr="00B0434F" w:rsidRDefault="00BF7ACA" w:rsidP="007924BE">
            <w:pPr>
              <w:pStyle w:val="Normal6"/>
              <w:rPr>
                <w:szCs w:val="24"/>
              </w:rPr>
            </w:pPr>
            <w:r w:rsidRPr="00B0434F">
              <w:rPr>
                <w:b/>
                <w:i/>
              </w:rPr>
              <w:t>supprimé</w:t>
            </w:r>
          </w:p>
        </w:tc>
      </w:tr>
    </w:tbl>
    <w:p w14:paraId="07F62B4D" w14:textId="77777777" w:rsidR="00BF7ACA" w:rsidRPr="00AF1321" w:rsidRDefault="00BF7ACA" w:rsidP="00BF7ACA">
      <w:pPr>
        <w:pStyle w:val="Olang"/>
        <w:rPr>
          <w:noProof w:val="0"/>
          <w:szCs w:val="24"/>
        </w:rPr>
      </w:pPr>
      <w:r w:rsidRPr="00B0434F">
        <w:rPr>
          <w:noProof w:val="0"/>
        </w:rPr>
        <w:t xml:space="preserve">Or. </w:t>
      </w:r>
      <w:r w:rsidRPr="004C208F">
        <w:rPr>
          <w:rStyle w:val="HideTWBExt"/>
          <w:noProof w:val="0"/>
        </w:rPr>
        <w:t>&lt;Original&gt;</w:t>
      </w:r>
      <w:r w:rsidRPr="004C208F">
        <w:rPr>
          <w:rStyle w:val="HideTWBInt"/>
          <w:noProof w:val="0"/>
        </w:rPr>
        <w:t>{EN}</w:t>
      </w:r>
      <w:r w:rsidRPr="00B0434F">
        <w:rPr>
          <w:noProof w:val="0"/>
        </w:rPr>
        <w:t>en</w:t>
      </w:r>
      <w:r w:rsidRPr="004C208F">
        <w:rPr>
          <w:rStyle w:val="HideTWBExt"/>
          <w:noProof w:val="0"/>
        </w:rPr>
        <w:t>&lt;/Original&gt;</w:t>
      </w:r>
    </w:p>
    <w:p w14:paraId="09E7D063" w14:textId="77777777" w:rsidR="00BF7ACA" w:rsidRPr="00AF1321" w:rsidRDefault="00BF7ACA" w:rsidP="00BF7ACA">
      <w:r>
        <w:rPr>
          <w:rStyle w:val="HideTWBExt"/>
        </w:rPr>
        <w:t>&lt;/Amend&gt;</w:t>
      </w:r>
    </w:p>
    <w:p w14:paraId="3ADAF0EE" w14:textId="77777777" w:rsidR="00BF7ACA" w:rsidRPr="00AF1321" w:rsidRDefault="00BF7ACA" w:rsidP="00BF7ACA">
      <w:pPr>
        <w:pStyle w:val="AMNumberTabs"/>
        <w:keepNext/>
      </w:pPr>
      <w:r>
        <w:rPr>
          <w:rStyle w:val="HideTWBExt"/>
          <w:b w:val="0"/>
        </w:rPr>
        <w:t>&lt;Amend&gt;</w:t>
      </w:r>
      <w:r w:rsidRPr="00B0434F">
        <w:t>Amendement</w:t>
      </w:r>
      <w:r>
        <w:tab/>
      </w:r>
      <w:r>
        <w:tab/>
      </w:r>
      <w:r>
        <w:rPr>
          <w:rStyle w:val="HideTWBExt"/>
          <w:b w:val="0"/>
        </w:rPr>
        <w:t>&lt;NumAm&gt;</w:t>
      </w:r>
      <w:r w:rsidRPr="00B0434F">
        <w:t>309</w:t>
      </w:r>
      <w:r>
        <w:rPr>
          <w:rStyle w:val="HideTWBExt"/>
          <w:b w:val="0"/>
        </w:rPr>
        <w:t>&lt;/NumAm&gt;</w:t>
      </w:r>
    </w:p>
    <w:p w14:paraId="7C59B199" w14:textId="77777777" w:rsidR="00BF7ACA" w:rsidRPr="00BF7ACA" w:rsidRDefault="00BF7ACA" w:rsidP="00BF7ACA">
      <w:pPr>
        <w:pStyle w:val="NormalBold"/>
        <w:rPr>
          <w:lang w:val="pt-PT"/>
        </w:rPr>
      </w:pPr>
      <w:r w:rsidRPr="00BF7ACA">
        <w:rPr>
          <w:rStyle w:val="HideTWBExt"/>
          <w:b w:val="0"/>
          <w:lang w:val="pt-PT"/>
        </w:rPr>
        <w:t>&lt;RepeatBlock-By&gt;&lt;Members&gt;</w:t>
      </w:r>
      <w:r w:rsidRPr="00BF7ACA">
        <w:rPr>
          <w:lang w:val="pt-PT"/>
        </w:rPr>
        <w:t>Heidi Hautala, Maria Heubuch, Judith Sargentini</w:t>
      </w:r>
      <w:r w:rsidRPr="00BF7ACA">
        <w:rPr>
          <w:rStyle w:val="HideTWBExt"/>
          <w:b w:val="0"/>
          <w:lang w:val="pt-PT"/>
        </w:rPr>
        <w:t>&lt;/Members&gt;</w:t>
      </w:r>
    </w:p>
    <w:p w14:paraId="17FF444E" w14:textId="77777777" w:rsidR="00BF7ACA" w:rsidRPr="00BF7ACA" w:rsidRDefault="00BF7ACA" w:rsidP="00BF7ACA">
      <w:pPr>
        <w:rPr>
          <w:lang w:val="pt-PT"/>
        </w:rPr>
      </w:pPr>
      <w:r w:rsidRPr="00BF7ACA">
        <w:rPr>
          <w:rStyle w:val="HideTWBExt"/>
          <w:lang w:val="pt-PT"/>
        </w:rPr>
        <w:t>&lt;/RepeatBlock-By&gt;</w:t>
      </w:r>
    </w:p>
    <w:p w14:paraId="36EC126B"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198B618C" w14:textId="77777777" w:rsidR="00BF7ACA" w:rsidRPr="00AF1321" w:rsidRDefault="00BF7ACA" w:rsidP="00BF7ACA">
      <w:pPr>
        <w:pStyle w:val="NormalBold"/>
      </w:pPr>
      <w:r>
        <w:rPr>
          <w:rStyle w:val="HideTWBExt"/>
          <w:b w:val="0"/>
        </w:rPr>
        <w:t>&lt;Article&gt;</w:t>
      </w:r>
      <w:r w:rsidRPr="00B0434F">
        <w:t>Article 10 – paragraphe 1 – point f</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4E5DA410" w14:textId="77777777" w:rsidTr="007924BE">
        <w:trPr>
          <w:jc w:val="center"/>
        </w:trPr>
        <w:tc>
          <w:tcPr>
            <w:tcW w:w="9752" w:type="dxa"/>
            <w:gridSpan w:val="2"/>
          </w:tcPr>
          <w:p w14:paraId="132A0710" w14:textId="77777777" w:rsidR="00BF7ACA" w:rsidRPr="00AF1321" w:rsidRDefault="00BF7ACA" w:rsidP="007924BE">
            <w:pPr>
              <w:keepNext/>
            </w:pPr>
          </w:p>
        </w:tc>
      </w:tr>
      <w:tr w:rsidR="00BF7ACA" w:rsidRPr="00AF1321" w14:paraId="5D745096" w14:textId="77777777" w:rsidTr="007924BE">
        <w:trPr>
          <w:jc w:val="center"/>
        </w:trPr>
        <w:tc>
          <w:tcPr>
            <w:tcW w:w="4876" w:type="dxa"/>
            <w:hideMark/>
          </w:tcPr>
          <w:p w14:paraId="796BDCF0" w14:textId="77777777" w:rsidR="00BF7ACA" w:rsidRPr="00B0434F" w:rsidRDefault="00BF7ACA" w:rsidP="007924BE">
            <w:pPr>
              <w:pStyle w:val="ColumnHeading"/>
              <w:keepNext/>
            </w:pPr>
            <w:r w:rsidRPr="00B0434F">
              <w:t>Texte proposé par la Commission</w:t>
            </w:r>
          </w:p>
        </w:tc>
        <w:tc>
          <w:tcPr>
            <w:tcW w:w="4876" w:type="dxa"/>
            <w:hideMark/>
          </w:tcPr>
          <w:p w14:paraId="3A07EF4E" w14:textId="77777777" w:rsidR="00BF7ACA" w:rsidRPr="00B0434F" w:rsidRDefault="00BF7ACA" w:rsidP="007924BE">
            <w:pPr>
              <w:pStyle w:val="ColumnHeading"/>
              <w:keepNext/>
            </w:pPr>
            <w:r w:rsidRPr="00B0434F">
              <w:t>Amendement</w:t>
            </w:r>
          </w:p>
        </w:tc>
      </w:tr>
      <w:tr w:rsidR="00BF7ACA" w:rsidRPr="00AF1321" w14:paraId="5040936A" w14:textId="77777777" w:rsidTr="007924BE">
        <w:trPr>
          <w:jc w:val="center"/>
        </w:trPr>
        <w:tc>
          <w:tcPr>
            <w:tcW w:w="4876" w:type="dxa"/>
            <w:hideMark/>
          </w:tcPr>
          <w:p w14:paraId="52446EBF" w14:textId="77777777" w:rsidR="00BF7ACA" w:rsidRPr="00B0434F" w:rsidRDefault="00BF7ACA" w:rsidP="007924BE">
            <w:pPr>
              <w:pStyle w:val="Normal6"/>
            </w:pPr>
            <w:r w:rsidRPr="00B0434F">
              <w:t>(f)</w:t>
            </w:r>
            <w:r>
              <w:tab/>
            </w:r>
            <w:r w:rsidRPr="00B0434F">
              <w:t>les organismes de droit privé d</w:t>
            </w:r>
            <w:r>
              <w:t>’</w:t>
            </w:r>
            <w:r w:rsidRPr="00B0434F">
              <w:t>un pays partenaire qui présentent les garanties financières suffisantes, par dérogation à l</w:t>
            </w:r>
            <w:r>
              <w:t>’</w:t>
            </w:r>
            <w:r w:rsidRPr="00B0434F">
              <w:t>article 58, paragraphe 1, point c) vii), du règlement (UE, Euratom) nº 966/2012.</w:t>
            </w:r>
          </w:p>
        </w:tc>
        <w:tc>
          <w:tcPr>
            <w:tcW w:w="4876" w:type="dxa"/>
            <w:hideMark/>
          </w:tcPr>
          <w:p w14:paraId="26597094" w14:textId="77777777" w:rsidR="00BF7ACA" w:rsidRPr="00B0434F" w:rsidRDefault="00BF7ACA" w:rsidP="007924BE">
            <w:pPr>
              <w:pStyle w:val="Normal6"/>
              <w:rPr>
                <w:szCs w:val="24"/>
              </w:rPr>
            </w:pPr>
            <w:r w:rsidRPr="00B0434F">
              <w:t>(f)</w:t>
            </w:r>
            <w:r>
              <w:tab/>
            </w:r>
            <w:r w:rsidRPr="00B0434F">
              <w:t>les organismes de droit privé d</w:t>
            </w:r>
            <w:r>
              <w:t>’</w:t>
            </w:r>
            <w:r w:rsidRPr="00B0434F">
              <w:t>un pays partenaire qui présentent les garanties financières suffisantes, par dérogation à l</w:t>
            </w:r>
            <w:r>
              <w:t>’</w:t>
            </w:r>
            <w:r w:rsidRPr="00B0434F">
              <w:t xml:space="preserve">article 58, paragraphe 1, point c) vii), du règlement (UE, Euratom) nº 966/2012 </w:t>
            </w:r>
            <w:r w:rsidRPr="00B0434F">
              <w:rPr>
                <w:b/>
                <w:i/>
              </w:rPr>
              <w:t>et qui divulguent les facteurs extra-financiers (environnementaux, sociaux et de gouvernance), tels que le changement climatique, la raréfaction des ressources, la rémunération disproportionnée du personnel de direction ou la corruption, qu</w:t>
            </w:r>
            <w:r>
              <w:rPr>
                <w:b/>
                <w:i/>
              </w:rPr>
              <w:t>’</w:t>
            </w:r>
            <w:r w:rsidRPr="00B0434F">
              <w:rPr>
                <w:b/>
                <w:i/>
              </w:rPr>
              <w:t>ils considèrent comme faisant partie de leur devoir de loyauté</w:t>
            </w:r>
            <w:r w:rsidRPr="00B0434F">
              <w:t xml:space="preserve">; </w:t>
            </w:r>
          </w:p>
        </w:tc>
      </w:tr>
    </w:tbl>
    <w:p w14:paraId="58642572"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4FD5B63" w14:textId="77777777" w:rsidR="00BF7ACA" w:rsidRPr="00BF7ACA" w:rsidRDefault="00BF7ACA" w:rsidP="00BF7ACA">
      <w:r w:rsidRPr="00BF7ACA">
        <w:rPr>
          <w:rStyle w:val="HideTWBExt"/>
        </w:rPr>
        <w:t>&lt;/Amend&gt;</w:t>
      </w:r>
    </w:p>
    <w:p w14:paraId="3BBE0569"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310</w:t>
      </w:r>
      <w:r w:rsidRPr="00BF7ACA">
        <w:rPr>
          <w:rStyle w:val="HideTWBExt"/>
          <w:b w:val="0"/>
        </w:rPr>
        <w:t>&lt;/NumAm&gt;</w:t>
      </w:r>
    </w:p>
    <w:p w14:paraId="03E255FB" w14:textId="77777777"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14:paraId="1D092094" w14:textId="77777777" w:rsidR="00BF7ACA" w:rsidRPr="00AF1321" w:rsidRDefault="00BF7ACA" w:rsidP="00BF7ACA">
      <w:r>
        <w:rPr>
          <w:rStyle w:val="HideTWBExt"/>
        </w:rPr>
        <w:t>&lt;/RepeatBlock-By&gt;</w:t>
      </w:r>
    </w:p>
    <w:p w14:paraId="02338F8F"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0F17007F" w14:textId="77777777" w:rsidR="00BF7ACA" w:rsidRPr="00AF1321" w:rsidRDefault="00BF7ACA" w:rsidP="00BF7ACA">
      <w:pPr>
        <w:pStyle w:val="NormalBold"/>
      </w:pPr>
      <w:r>
        <w:rPr>
          <w:rStyle w:val="HideTWBExt"/>
          <w:b w:val="0"/>
        </w:rPr>
        <w:t>&lt;Article&gt;</w:t>
      </w:r>
      <w:r w:rsidRPr="00B0434F">
        <w:t>Article 10 – paragraphe 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02311F8C" w14:textId="77777777" w:rsidTr="007924BE">
        <w:trPr>
          <w:jc w:val="center"/>
        </w:trPr>
        <w:tc>
          <w:tcPr>
            <w:tcW w:w="9752" w:type="dxa"/>
            <w:gridSpan w:val="2"/>
          </w:tcPr>
          <w:p w14:paraId="007ACDAD" w14:textId="77777777" w:rsidR="00BF7ACA" w:rsidRPr="00AF1321" w:rsidRDefault="00BF7ACA" w:rsidP="007924BE">
            <w:pPr>
              <w:keepNext/>
            </w:pPr>
          </w:p>
        </w:tc>
      </w:tr>
      <w:tr w:rsidR="00BF7ACA" w:rsidRPr="00AF1321" w14:paraId="13CBB833" w14:textId="77777777" w:rsidTr="007924BE">
        <w:trPr>
          <w:jc w:val="center"/>
        </w:trPr>
        <w:tc>
          <w:tcPr>
            <w:tcW w:w="4876" w:type="dxa"/>
            <w:hideMark/>
          </w:tcPr>
          <w:p w14:paraId="3193EC18" w14:textId="77777777" w:rsidR="00BF7ACA" w:rsidRPr="00B0434F" w:rsidRDefault="00BF7ACA" w:rsidP="007924BE">
            <w:pPr>
              <w:pStyle w:val="ColumnHeading"/>
              <w:keepNext/>
            </w:pPr>
            <w:r w:rsidRPr="00B0434F">
              <w:t>Texte proposé par la Commission</w:t>
            </w:r>
          </w:p>
        </w:tc>
        <w:tc>
          <w:tcPr>
            <w:tcW w:w="4876" w:type="dxa"/>
            <w:hideMark/>
          </w:tcPr>
          <w:p w14:paraId="12D51678" w14:textId="77777777" w:rsidR="00BF7ACA" w:rsidRPr="00B0434F" w:rsidRDefault="00BF7ACA" w:rsidP="007924BE">
            <w:pPr>
              <w:pStyle w:val="ColumnHeading"/>
              <w:keepNext/>
            </w:pPr>
            <w:r w:rsidRPr="00B0434F">
              <w:t>Amendement</w:t>
            </w:r>
          </w:p>
        </w:tc>
      </w:tr>
      <w:tr w:rsidR="00BF7ACA" w:rsidRPr="00AF1321" w14:paraId="7FF8330F" w14:textId="77777777" w:rsidTr="007924BE">
        <w:trPr>
          <w:jc w:val="center"/>
        </w:trPr>
        <w:tc>
          <w:tcPr>
            <w:tcW w:w="4876" w:type="dxa"/>
          </w:tcPr>
          <w:p w14:paraId="09663A02" w14:textId="77777777" w:rsidR="00BF7ACA" w:rsidRPr="00B0434F" w:rsidRDefault="00BF7ACA" w:rsidP="007924BE">
            <w:pPr>
              <w:pStyle w:val="Normal6"/>
            </w:pPr>
          </w:p>
        </w:tc>
        <w:tc>
          <w:tcPr>
            <w:tcW w:w="4876" w:type="dxa"/>
            <w:hideMark/>
          </w:tcPr>
          <w:p w14:paraId="31CC26C5" w14:textId="77777777" w:rsidR="00BF7ACA" w:rsidRPr="00B0434F" w:rsidRDefault="00BF7ACA" w:rsidP="007924BE">
            <w:pPr>
              <w:pStyle w:val="Normal6"/>
              <w:rPr>
                <w:szCs w:val="24"/>
              </w:rPr>
            </w:pPr>
            <w:r w:rsidRPr="00B0434F">
              <w:rPr>
                <w:b/>
                <w:i/>
              </w:rPr>
              <w:t>2 bis.</w:t>
            </w:r>
            <w:r>
              <w:tab/>
            </w:r>
            <w:r w:rsidRPr="00B0434F">
              <w:rPr>
                <w:b/>
                <w:i/>
              </w:rPr>
              <w:t>La Commission veille à assurer des conditions de concurrence équitables aux contreparties éligibles et à favoriser la coopération entre celles-ci. Elle veille à l</w:t>
            </w:r>
            <w:r>
              <w:rPr>
                <w:b/>
                <w:i/>
              </w:rPr>
              <w:t>’</w:t>
            </w:r>
            <w:r w:rsidRPr="00B0434F">
              <w:rPr>
                <w:b/>
                <w:i/>
              </w:rPr>
              <w:t>absence de conflits d</w:t>
            </w:r>
            <w:r>
              <w:rPr>
                <w:b/>
                <w:i/>
              </w:rPr>
              <w:t>’</w:t>
            </w:r>
            <w:r w:rsidRPr="00B0434F">
              <w:rPr>
                <w:b/>
                <w:i/>
              </w:rPr>
              <w:t>intérêts à tous les stades de la mise en œuvre du FEDD. Afin d</w:t>
            </w:r>
            <w:r>
              <w:rPr>
                <w:b/>
                <w:i/>
              </w:rPr>
              <w:t>’</w:t>
            </w:r>
            <w:r w:rsidRPr="00B0434F">
              <w:rPr>
                <w:b/>
                <w:i/>
              </w:rPr>
              <w:t>assurer la complémentarité, les contreparties éligibles fournissent toutes les informations utiles sur leurs opérations ne relevant pas du FEDD.</w:t>
            </w:r>
          </w:p>
        </w:tc>
      </w:tr>
    </w:tbl>
    <w:p w14:paraId="6FCBC6B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792364F" w14:textId="77777777" w:rsidR="00BF7ACA" w:rsidRPr="00BF7ACA" w:rsidRDefault="00BF7ACA" w:rsidP="00BF7ACA">
      <w:r w:rsidRPr="00BF7ACA">
        <w:rPr>
          <w:rStyle w:val="HideTWBExt"/>
        </w:rPr>
        <w:t>&lt;/Amend&gt;</w:t>
      </w:r>
    </w:p>
    <w:p w14:paraId="24F34A4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311</w:t>
      </w:r>
      <w:r w:rsidRPr="00BF7ACA">
        <w:rPr>
          <w:rStyle w:val="HideTWBExt"/>
          <w:b w:val="0"/>
        </w:rPr>
        <w:t>&lt;/NumAm&gt;</w:t>
      </w:r>
    </w:p>
    <w:p w14:paraId="2474A1EA" w14:textId="77777777" w:rsidR="00BF7ACA" w:rsidRPr="00BF7ACA" w:rsidRDefault="00BF7ACA" w:rsidP="00BF7ACA">
      <w:pPr>
        <w:pStyle w:val="NormalBold"/>
      </w:pPr>
      <w:r w:rsidRPr="00BF7ACA">
        <w:rPr>
          <w:rStyle w:val="HideTWBExt"/>
          <w:b w:val="0"/>
        </w:rPr>
        <w:t>&lt;RepeatBlock-By&gt;&lt;Members&gt;</w:t>
      </w:r>
      <w:r w:rsidRPr="00BF7ACA">
        <w:t>Maurice Ponga, Paul Rübig, Bogdan Brunon Wenta</w:t>
      </w:r>
      <w:r w:rsidRPr="00BF7ACA">
        <w:rPr>
          <w:rStyle w:val="HideTWBExt"/>
          <w:b w:val="0"/>
        </w:rPr>
        <w:t>&lt;/Members&gt;</w:t>
      </w:r>
    </w:p>
    <w:p w14:paraId="297462FA" w14:textId="77777777" w:rsidR="00BF7ACA" w:rsidRPr="00AF1321" w:rsidRDefault="00BF7ACA" w:rsidP="00BF7ACA">
      <w:r>
        <w:rPr>
          <w:rStyle w:val="HideTWBExt"/>
        </w:rPr>
        <w:t>&lt;/RepeatBlock-By&gt;</w:t>
      </w:r>
    </w:p>
    <w:p w14:paraId="7105E9E8"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0AEB685D" w14:textId="77777777" w:rsidR="00BF7ACA" w:rsidRPr="00AF1321" w:rsidRDefault="00BF7ACA" w:rsidP="00BF7ACA">
      <w:pPr>
        <w:pStyle w:val="NormalBold"/>
      </w:pPr>
      <w:r>
        <w:rPr>
          <w:rStyle w:val="HideTWBExt"/>
          <w:b w:val="0"/>
        </w:rPr>
        <w:t>&lt;Article&gt;</w:t>
      </w:r>
      <w:r w:rsidRPr="00B0434F">
        <w:t>Article 10 – paragraphe 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5EEEB6DF" w14:textId="77777777" w:rsidTr="007924BE">
        <w:trPr>
          <w:jc w:val="center"/>
        </w:trPr>
        <w:tc>
          <w:tcPr>
            <w:tcW w:w="9752" w:type="dxa"/>
            <w:gridSpan w:val="2"/>
          </w:tcPr>
          <w:p w14:paraId="040F6DAA" w14:textId="77777777" w:rsidR="00BF7ACA" w:rsidRPr="00AF1321" w:rsidRDefault="00BF7ACA" w:rsidP="007924BE">
            <w:pPr>
              <w:keepNext/>
            </w:pPr>
          </w:p>
        </w:tc>
      </w:tr>
      <w:tr w:rsidR="00BF7ACA" w:rsidRPr="00AF1321" w14:paraId="4B0DC134" w14:textId="77777777" w:rsidTr="007924BE">
        <w:trPr>
          <w:jc w:val="center"/>
        </w:trPr>
        <w:tc>
          <w:tcPr>
            <w:tcW w:w="4876" w:type="dxa"/>
            <w:hideMark/>
          </w:tcPr>
          <w:p w14:paraId="06EA77FC" w14:textId="77777777" w:rsidR="00BF7ACA" w:rsidRPr="00B0434F" w:rsidRDefault="00BF7ACA" w:rsidP="007924BE">
            <w:pPr>
              <w:pStyle w:val="ColumnHeading"/>
              <w:keepNext/>
            </w:pPr>
            <w:r w:rsidRPr="00B0434F">
              <w:t>Texte proposé par la Commission</w:t>
            </w:r>
          </w:p>
        </w:tc>
        <w:tc>
          <w:tcPr>
            <w:tcW w:w="4876" w:type="dxa"/>
            <w:hideMark/>
          </w:tcPr>
          <w:p w14:paraId="6C09B265" w14:textId="77777777" w:rsidR="00BF7ACA" w:rsidRPr="00B0434F" w:rsidRDefault="00BF7ACA" w:rsidP="007924BE">
            <w:pPr>
              <w:pStyle w:val="ColumnHeading"/>
              <w:keepNext/>
            </w:pPr>
            <w:r w:rsidRPr="00B0434F">
              <w:t>Amendement</w:t>
            </w:r>
          </w:p>
        </w:tc>
      </w:tr>
      <w:tr w:rsidR="00BF7ACA" w:rsidRPr="00AF1321" w14:paraId="1E09AE56" w14:textId="77777777" w:rsidTr="007924BE">
        <w:trPr>
          <w:jc w:val="center"/>
        </w:trPr>
        <w:tc>
          <w:tcPr>
            <w:tcW w:w="4876" w:type="dxa"/>
          </w:tcPr>
          <w:p w14:paraId="69B9D31C" w14:textId="77777777" w:rsidR="00BF7ACA" w:rsidRPr="00B0434F" w:rsidRDefault="00BF7ACA" w:rsidP="007924BE">
            <w:pPr>
              <w:pStyle w:val="Normal6"/>
            </w:pPr>
          </w:p>
        </w:tc>
        <w:tc>
          <w:tcPr>
            <w:tcW w:w="4876" w:type="dxa"/>
            <w:hideMark/>
          </w:tcPr>
          <w:p w14:paraId="18E4D69B" w14:textId="77777777" w:rsidR="00BF7ACA" w:rsidRPr="00B0434F" w:rsidRDefault="00BF7ACA" w:rsidP="007924BE">
            <w:pPr>
              <w:pStyle w:val="Normal6"/>
              <w:rPr>
                <w:szCs w:val="24"/>
              </w:rPr>
            </w:pPr>
            <w:r w:rsidRPr="00B0434F">
              <w:rPr>
                <w:b/>
                <w:i/>
              </w:rPr>
              <w:t>2 bis.</w:t>
            </w:r>
            <w:r>
              <w:tab/>
            </w:r>
            <w:r w:rsidRPr="00B0434F">
              <w:rPr>
                <w:b/>
                <w:i/>
              </w:rPr>
              <w:t>La garantie est mise en œuvre dans le strict respect des principes d</w:t>
            </w:r>
            <w:r>
              <w:rPr>
                <w:b/>
                <w:i/>
              </w:rPr>
              <w:t>’</w:t>
            </w:r>
            <w:r w:rsidRPr="00B0434F">
              <w:rPr>
                <w:b/>
                <w:i/>
              </w:rPr>
              <w:t>efficacité du développement auxquels l</w:t>
            </w:r>
            <w:r>
              <w:rPr>
                <w:b/>
                <w:i/>
              </w:rPr>
              <w:t>’</w:t>
            </w:r>
            <w:r w:rsidRPr="00B0434F">
              <w:rPr>
                <w:b/>
                <w:i/>
              </w:rPr>
              <w:t>Union est attachée, notamment l</w:t>
            </w:r>
            <w:r>
              <w:rPr>
                <w:b/>
                <w:i/>
              </w:rPr>
              <w:t>’</w:t>
            </w:r>
            <w:r w:rsidRPr="00B0434F">
              <w:rPr>
                <w:b/>
                <w:i/>
              </w:rPr>
              <w:t>appropriation, la priorité aux résultats, les partenariats pour le développement, la transparence et la responsabilité partagée.</w:t>
            </w:r>
          </w:p>
        </w:tc>
      </w:tr>
    </w:tbl>
    <w:p w14:paraId="7471CB4B"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C90E2F9" w14:textId="77777777" w:rsidR="00BF7ACA" w:rsidRPr="00BF7ACA" w:rsidRDefault="00BF7ACA" w:rsidP="00BF7ACA">
      <w:r w:rsidRPr="00BF7ACA">
        <w:rPr>
          <w:rStyle w:val="HideTWBExt"/>
        </w:rPr>
        <w:t>&lt;/Amend&gt;</w:t>
      </w:r>
    </w:p>
    <w:p w14:paraId="5F2589D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312</w:t>
      </w:r>
      <w:r w:rsidRPr="00BF7ACA">
        <w:rPr>
          <w:rStyle w:val="HideTWBExt"/>
          <w:b w:val="0"/>
        </w:rPr>
        <w:t>&lt;/NumAm&gt;</w:t>
      </w:r>
    </w:p>
    <w:p w14:paraId="3E250D63"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2E7F6F79" w14:textId="77777777" w:rsidR="00BF7ACA" w:rsidRPr="00AF1321" w:rsidRDefault="00BF7ACA" w:rsidP="00BF7ACA">
      <w:r>
        <w:rPr>
          <w:rStyle w:val="HideTWBExt"/>
        </w:rPr>
        <w:t>&lt;/RepeatBlock-By&gt;</w:t>
      </w:r>
    </w:p>
    <w:p w14:paraId="69E44CFF"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766ABCE2" w14:textId="77777777" w:rsidR="00BF7ACA" w:rsidRPr="00AF1321" w:rsidRDefault="00BF7ACA" w:rsidP="00BF7ACA">
      <w:pPr>
        <w:pStyle w:val="NormalBold"/>
      </w:pPr>
      <w:r>
        <w:rPr>
          <w:rStyle w:val="HideTWBExt"/>
          <w:b w:val="0"/>
        </w:rPr>
        <w:t>&lt;Article&gt;</w:t>
      </w:r>
      <w:r w:rsidRPr="00B0434F">
        <w:t>Article 10 – paragraphe 3</w:t>
      </w:r>
      <w:r>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782EA0CA" w14:textId="77777777" w:rsidTr="007924BE">
        <w:trPr>
          <w:jc w:val="center"/>
        </w:trPr>
        <w:tc>
          <w:tcPr>
            <w:tcW w:w="9752" w:type="dxa"/>
            <w:gridSpan w:val="2"/>
          </w:tcPr>
          <w:p w14:paraId="77DD19AB" w14:textId="77777777" w:rsidR="00BF7ACA" w:rsidRPr="00AF1321" w:rsidRDefault="00BF7ACA" w:rsidP="007924BE">
            <w:pPr>
              <w:keepNext/>
            </w:pPr>
          </w:p>
        </w:tc>
      </w:tr>
      <w:tr w:rsidR="00BF7ACA" w:rsidRPr="00AF1321" w14:paraId="6AC4106C" w14:textId="77777777" w:rsidTr="007924BE">
        <w:trPr>
          <w:jc w:val="center"/>
        </w:trPr>
        <w:tc>
          <w:tcPr>
            <w:tcW w:w="4876" w:type="dxa"/>
            <w:hideMark/>
          </w:tcPr>
          <w:p w14:paraId="2FDB6656" w14:textId="77777777" w:rsidR="00BF7ACA" w:rsidRPr="00B0434F" w:rsidRDefault="00BF7ACA" w:rsidP="007924BE">
            <w:pPr>
              <w:pStyle w:val="ColumnHeading"/>
              <w:keepNext/>
            </w:pPr>
            <w:r w:rsidRPr="00B0434F">
              <w:t>Texte proposé par la Commission</w:t>
            </w:r>
          </w:p>
        </w:tc>
        <w:tc>
          <w:tcPr>
            <w:tcW w:w="4876" w:type="dxa"/>
            <w:hideMark/>
          </w:tcPr>
          <w:p w14:paraId="0EF1BBF3" w14:textId="77777777" w:rsidR="00BF7ACA" w:rsidRPr="00B0434F" w:rsidRDefault="00BF7ACA" w:rsidP="007924BE">
            <w:pPr>
              <w:pStyle w:val="ColumnHeading"/>
              <w:keepNext/>
            </w:pPr>
            <w:r w:rsidRPr="00B0434F">
              <w:t>Amendement</w:t>
            </w:r>
          </w:p>
        </w:tc>
      </w:tr>
      <w:tr w:rsidR="00BF7ACA" w:rsidRPr="00AF1321" w14:paraId="46A69D74" w14:textId="77777777" w:rsidTr="007924BE">
        <w:trPr>
          <w:jc w:val="center"/>
        </w:trPr>
        <w:tc>
          <w:tcPr>
            <w:tcW w:w="4876" w:type="dxa"/>
            <w:hideMark/>
          </w:tcPr>
          <w:p w14:paraId="7EB6F372" w14:textId="77777777" w:rsidR="00BF7ACA" w:rsidRPr="00B0434F" w:rsidRDefault="00BF7ACA" w:rsidP="007924BE">
            <w:pPr>
              <w:pStyle w:val="Normal6"/>
            </w:pPr>
            <w:r w:rsidRPr="00B0434F">
              <w:t>3.</w:t>
            </w:r>
            <w:r>
              <w:tab/>
            </w:r>
            <w:r w:rsidRPr="00B0434F">
              <w:t>La Commission sélectionne les contreparties éligibles conformément à l</w:t>
            </w:r>
            <w:r>
              <w:t>’</w:t>
            </w:r>
            <w:r w:rsidRPr="00B0434F">
              <w:t>article 61 du règlement (UE, Euratom) nº 966/2012.</w:t>
            </w:r>
          </w:p>
        </w:tc>
        <w:tc>
          <w:tcPr>
            <w:tcW w:w="4876" w:type="dxa"/>
            <w:hideMark/>
          </w:tcPr>
          <w:p w14:paraId="4BA6520D" w14:textId="77777777" w:rsidR="00BF7ACA" w:rsidRPr="00B0434F" w:rsidRDefault="00BF7ACA" w:rsidP="007924BE">
            <w:pPr>
              <w:pStyle w:val="Normal6"/>
              <w:rPr>
                <w:szCs w:val="24"/>
              </w:rPr>
            </w:pPr>
            <w:r w:rsidRPr="00B0434F">
              <w:t>3.</w:t>
            </w:r>
            <w:r>
              <w:tab/>
            </w:r>
            <w:r w:rsidRPr="00B0434F">
              <w:t>La Commission sélectionne les contreparties éligibles conformément à l</w:t>
            </w:r>
            <w:r>
              <w:t>’</w:t>
            </w:r>
            <w:r w:rsidRPr="00B0434F">
              <w:t>article 61 du règlement (UE, Euratom) nº 966/2012</w:t>
            </w:r>
            <w:r w:rsidRPr="00B0434F">
              <w:rPr>
                <w:b/>
                <w:i/>
              </w:rPr>
              <w:t>, tandis que la préférence est accordée aux contreparties éligibles:</w:t>
            </w:r>
          </w:p>
        </w:tc>
      </w:tr>
      <w:tr w:rsidR="00BF7ACA" w:rsidRPr="00AF1321" w14:paraId="652B7F11" w14:textId="77777777" w:rsidTr="007924BE">
        <w:trPr>
          <w:jc w:val="center"/>
        </w:trPr>
        <w:tc>
          <w:tcPr>
            <w:tcW w:w="4876" w:type="dxa"/>
          </w:tcPr>
          <w:p w14:paraId="00F35817" w14:textId="77777777" w:rsidR="00BF7ACA" w:rsidRPr="00B0434F" w:rsidRDefault="00BF7ACA" w:rsidP="007924BE">
            <w:pPr>
              <w:pStyle w:val="Normal6"/>
            </w:pPr>
          </w:p>
        </w:tc>
        <w:tc>
          <w:tcPr>
            <w:tcW w:w="4876" w:type="dxa"/>
            <w:hideMark/>
          </w:tcPr>
          <w:p w14:paraId="128721E1" w14:textId="77777777" w:rsidR="00BF7ACA" w:rsidRPr="00B0434F" w:rsidRDefault="00BF7ACA" w:rsidP="007924BE">
            <w:pPr>
              <w:pStyle w:val="Normal6"/>
              <w:rPr>
                <w:szCs w:val="24"/>
              </w:rPr>
            </w:pPr>
            <w:r>
              <w:rPr>
                <w:b/>
                <w:i/>
              </w:rPr>
              <w:t>–</w:t>
            </w:r>
            <w:r>
              <w:rPr>
                <w:b/>
                <w:i/>
              </w:rPr>
              <w:tab/>
            </w:r>
            <w:r w:rsidRPr="00B0434F">
              <w:rPr>
                <w:b/>
                <w:i/>
              </w:rPr>
              <w:t>établies dans les pays partenaires d</w:t>
            </w:r>
            <w:r>
              <w:rPr>
                <w:b/>
                <w:i/>
              </w:rPr>
              <w:t>’</w:t>
            </w:r>
            <w:r w:rsidRPr="00B0434F">
              <w:rPr>
                <w:b/>
                <w:i/>
              </w:rPr>
              <w:t>Afrique et du voisinage, respectivement;</w:t>
            </w:r>
          </w:p>
        </w:tc>
      </w:tr>
      <w:tr w:rsidR="00BF7ACA" w:rsidRPr="00AF1321" w14:paraId="3FEBB8AC" w14:textId="77777777" w:rsidTr="007924BE">
        <w:trPr>
          <w:jc w:val="center"/>
        </w:trPr>
        <w:tc>
          <w:tcPr>
            <w:tcW w:w="4876" w:type="dxa"/>
          </w:tcPr>
          <w:p w14:paraId="50B69BB5" w14:textId="77777777" w:rsidR="00BF7ACA" w:rsidRPr="00B0434F" w:rsidRDefault="00BF7ACA" w:rsidP="007924BE">
            <w:pPr>
              <w:pStyle w:val="Normal6"/>
            </w:pPr>
          </w:p>
        </w:tc>
        <w:tc>
          <w:tcPr>
            <w:tcW w:w="4876" w:type="dxa"/>
            <w:hideMark/>
          </w:tcPr>
          <w:p w14:paraId="08805FE6" w14:textId="77777777" w:rsidR="00BF7ACA" w:rsidRPr="00B0434F" w:rsidRDefault="00BF7ACA" w:rsidP="007924BE">
            <w:pPr>
              <w:pStyle w:val="Normal6"/>
              <w:rPr>
                <w:szCs w:val="24"/>
              </w:rPr>
            </w:pPr>
            <w:r>
              <w:rPr>
                <w:b/>
                <w:i/>
              </w:rPr>
              <w:t>–</w:t>
            </w:r>
            <w:r>
              <w:rPr>
                <w:b/>
                <w:i/>
              </w:rPr>
              <w:tab/>
            </w:r>
            <w:r w:rsidRPr="00B0434F">
              <w:rPr>
                <w:b/>
                <w:i/>
              </w:rPr>
              <w:t>disposant d</w:t>
            </w:r>
            <w:r>
              <w:rPr>
                <w:b/>
                <w:i/>
              </w:rPr>
              <w:t>’</w:t>
            </w:r>
            <w:r w:rsidRPr="00B0434F">
              <w:rPr>
                <w:b/>
                <w:i/>
              </w:rPr>
              <w:t>une expérience avérée dans les investissements durables et responsables favorisant des approches participatives et l</w:t>
            </w:r>
            <w:r>
              <w:rPr>
                <w:b/>
                <w:i/>
              </w:rPr>
              <w:t>’</w:t>
            </w:r>
            <w:r w:rsidRPr="00B0434F">
              <w:rPr>
                <w:b/>
                <w:i/>
              </w:rPr>
              <w:t>appropriation dans la conception et la mise en place de programmes et de projets;</w:t>
            </w:r>
          </w:p>
        </w:tc>
      </w:tr>
      <w:tr w:rsidR="00BF7ACA" w:rsidRPr="00AF1321" w14:paraId="5AAA5E8C" w14:textId="77777777" w:rsidTr="007924BE">
        <w:trPr>
          <w:jc w:val="center"/>
        </w:trPr>
        <w:tc>
          <w:tcPr>
            <w:tcW w:w="4876" w:type="dxa"/>
          </w:tcPr>
          <w:p w14:paraId="51186837" w14:textId="77777777" w:rsidR="00BF7ACA" w:rsidRPr="00B0434F" w:rsidRDefault="00BF7ACA" w:rsidP="007924BE">
            <w:pPr>
              <w:pStyle w:val="Normal6"/>
            </w:pPr>
          </w:p>
        </w:tc>
        <w:tc>
          <w:tcPr>
            <w:tcW w:w="4876" w:type="dxa"/>
            <w:hideMark/>
          </w:tcPr>
          <w:p w14:paraId="3062D5A1" w14:textId="77777777" w:rsidR="00BF7ACA" w:rsidRPr="00B0434F" w:rsidRDefault="00BF7ACA" w:rsidP="007924BE">
            <w:pPr>
              <w:pStyle w:val="Normal6"/>
              <w:rPr>
                <w:szCs w:val="24"/>
              </w:rPr>
            </w:pPr>
            <w:r>
              <w:rPr>
                <w:b/>
                <w:i/>
              </w:rPr>
              <w:t>–</w:t>
            </w:r>
            <w:r>
              <w:rPr>
                <w:b/>
                <w:i/>
              </w:rPr>
              <w:tab/>
            </w:r>
            <w:r w:rsidRPr="00B0434F">
              <w:rPr>
                <w:b/>
                <w:i/>
              </w:rPr>
              <w:t>utilisant des méthodes de suivi et d</w:t>
            </w:r>
            <w:r>
              <w:rPr>
                <w:b/>
                <w:i/>
              </w:rPr>
              <w:t>’</w:t>
            </w:r>
            <w:r w:rsidRPr="00B0434F">
              <w:rPr>
                <w:b/>
                <w:i/>
              </w:rPr>
              <w:t>évaluation, notamment en ce qui concerne les aspects qualitatifs, tels que les normes environnementales et sociales et l</w:t>
            </w:r>
            <w:r>
              <w:rPr>
                <w:b/>
                <w:i/>
              </w:rPr>
              <w:t>’</w:t>
            </w:r>
            <w:r w:rsidRPr="00B0434F">
              <w:rPr>
                <w:b/>
                <w:i/>
              </w:rPr>
              <w:t>additionnalité;</w:t>
            </w:r>
          </w:p>
        </w:tc>
      </w:tr>
      <w:tr w:rsidR="00BF7ACA" w:rsidRPr="00AF1321" w14:paraId="76E81CF5" w14:textId="77777777" w:rsidTr="007924BE">
        <w:trPr>
          <w:jc w:val="center"/>
        </w:trPr>
        <w:tc>
          <w:tcPr>
            <w:tcW w:w="4876" w:type="dxa"/>
          </w:tcPr>
          <w:p w14:paraId="54FA11A0" w14:textId="77777777" w:rsidR="00BF7ACA" w:rsidRPr="00B0434F" w:rsidRDefault="00BF7ACA" w:rsidP="007924BE">
            <w:pPr>
              <w:pStyle w:val="Normal6"/>
            </w:pPr>
          </w:p>
        </w:tc>
        <w:tc>
          <w:tcPr>
            <w:tcW w:w="4876" w:type="dxa"/>
            <w:hideMark/>
          </w:tcPr>
          <w:p w14:paraId="18830F21" w14:textId="77777777" w:rsidR="00BF7ACA" w:rsidRPr="00B0434F" w:rsidRDefault="00BF7ACA" w:rsidP="007924BE">
            <w:pPr>
              <w:pStyle w:val="Normal6"/>
              <w:rPr>
                <w:szCs w:val="24"/>
              </w:rPr>
            </w:pPr>
            <w:r>
              <w:rPr>
                <w:b/>
                <w:i/>
              </w:rPr>
              <w:t>–</w:t>
            </w:r>
            <w:r>
              <w:rPr>
                <w:b/>
                <w:i/>
              </w:rPr>
              <w:tab/>
            </w:r>
            <w:r w:rsidRPr="00B0434F">
              <w:rPr>
                <w:b/>
                <w:i/>
              </w:rPr>
              <w:t>disposant, dans leur structure de gouvernance, d</w:t>
            </w:r>
            <w:r>
              <w:rPr>
                <w:b/>
                <w:i/>
              </w:rPr>
              <w:t>’</w:t>
            </w:r>
            <w:r w:rsidRPr="00B0434F">
              <w:rPr>
                <w:b/>
                <w:i/>
              </w:rPr>
              <w:t xml:space="preserve">un mécanisme de traitement des plaintes </w:t>
            </w:r>
            <w:r>
              <w:rPr>
                <w:b/>
                <w:i/>
              </w:rPr>
              <w:t>indépendant et </w:t>
            </w:r>
            <w:r w:rsidRPr="00B0434F">
              <w:rPr>
                <w:b/>
                <w:i/>
              </w:rPr>
              <w:t>efficace.</w:t>
            </w:r>
          </w:p>
        </w:tc>
      </w:tr>
    </w:tbl>
    <w:p w14:paraId="41ABD72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8696EE5" w14:textId="77777777" w:rsidR="00BF7ACA" w:rsidRPr="00BF7ACA" w:rsidRDefault="00BF7ACA" w:rsidP="00BF7ACA">
      <w:r w:rsidRPr="00BF7ACA">
        <w:rPr>
          <w:rStyle w:val="HideTWBExt"/>
        </w:rPr>
        <w:t>&lt;/Amend&gt;</w:t>
      </w:r>
    </w:p>
    <w:p w14:paraId="6FA6B76D"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313</w:t>
      </w:r>
      <w:r w:rsidRPr="00BF7ACA">
        <w:rPr>
          <w:rStyle w:val="HideTWBExt"/>
          <w:b w:val="0"/>
        </w:rPr>
        <w:t>&lt;/NumAm&gt;</w:t>
      </w:r>
    </w:p>
    <w:p w14:paraId="69D7BC7E" w14:textId="77777777" w:rsidR="00BF7ACA" w:rsidRPr="00BF7ACA" w:rsidRDefault="00BF7ACA" w:rsidP="00BF7ACA">
      <w:pPr>
        <w:pStyle w:val="NormalBold"/>
      </w:pPr>
      <w:r w:rsidRPr="00BF7ACA">
        <w:rPr>
          <w:rStyle w:val="HideTWBExt"/>
          <w:b w:val="0"/>
        </w:rPr>
        <w:t>&lt;RepeatBlock-By&gt;&lt;Members&gt;</w:t>
      </w:r>
      <w:r w:rsidRPr="00BF7ACA">
        <w:t>Maurice Ponga, Paul Rübig, Bogdan Brunon Wenta</w:t>
      </w:r>
      <w:r w:rsidRPr="00BF7ACA">
        <w:rPr>
          <w:rStyle w:val="HideTWBExt"/>
          <w:b w:val="0"/>
        </w:rPr>
        <w:t>&lt;/Members&gt;</w:t>
      </w:r>
    </w:p>
    <w:p w14:paraId="14671D32" w14:textId="77777777" w:rsidR="00BF7ACA" w:rsidRPr="00AF1321" w:rsidRDefault="00BF7ACA" w:rsidP="00BF7ACA">
      <w:r>
        <w:rPr>
          <w:rStyle w:val="HideTWBExt"/>
        </w:rPr>
        <w:t>&lt;/RepeatBlock-By&gt;</w:t>
      </w:r>
    </w:p>
    <w:p w14:paraId="52D7BE76"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39B290A8" w14:textId="77777777" w:rsidR="00BF7ACA" w:rsidRPr="00AF1321" w:rsidRDefault="00BF7ACA" w:rsidP="00BF7ACA">
      <w:pPr>
        <w:pStyle w:val="NormalBold"/>
      </w:pPr>
      <w:r>
        <w:rPr>
          <w:rStyle w:val="HideTWBExt"/>
          <w:b w:val="0"/>
        </w:rPr>
        <w:t>&lt;Article&gt;</w:t>
      </w:r>
      <w:r w:rsidRPr="00B0434F">
        <w:t>Article 10 – paragraphe 3</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2B93FB25" w14:textId="77777777" w:rsidTr="007924BE">
        <w:trPr>
          <w:jc w:val="center"/>
        </w:trPr>
        <w:tc>
          <w:tcPr>
            <w:tcW w:w="9752" w:type="dxa"/>
            <w:gridSpan w:val="2"/>
          </w:tcPr>
          <w:p w14:paraId="12644411" w14:textId="77777777" w:rsidR="00BF7ACA" w:rsidRPr="00AF1321" w:rsidRDefault="00BF7ACA" w:rsidP="007924BE">
            <w:pPr>
              <w:keepNext/>
            </w:pPr>
          </w:p>
        </w:tc>
      </w:tr>
      <w:tr w:rsidR="00BF7ACA" w:rsidRPr="00AF1321" w14:paraId="36DFCA24" w14:textId="77777777" w:rsidTr="007924BE">
        <w:trPr>
          <w:jc w:val="center"/>
        </w:trPr>
        <w:tc>
          <w:tcPr>
            <w:tcW w:w="4876" w:type="dxa"/>
            <w:hideMark/>
          </w:tcPr>
          <w:p w14:paraId="67169268" w14:textId="77777777" w:rsidR="00BF7ACA" w:rsidRPr="00B0434F" w:rsidRDefault="00BF7ACA" w:rsidP="007924BE">
            <w:pPr>
              <w:pStyle w:val="ColumnHeading"/>
              <w:keepNext/>
            </w:pPr>
            <w:r w:rsidRPr="00B0434F">
              <w:t>Texte proposé par la Commission</w:t>
            </w:r>
          </w:p>
        </w:tc>
        <w:tc>
          <w:tcPr>
            <w:tcW w:w="4876" w:type="dxa"/>
            <w:hideMark/>
          </w:tcPr>
          <w:p w14:paraId="67FB830F" w14:textId="77777777" w:rsidR="00BF7ACA" w:rsidRPr="00B0434F" w:rsidRDefault="00BF7ACA" w:rsidP="007924BE">
            <w:pPr>
              <w:pStyle w:val="ColumnHeading"/>
              <w:keepNext/>
            </w:pPr>
            <w:r w:rsidRPr="00B0434F">
              <w:t>Amendement</w:t>
            </w:r>
          </w:p>
        </w:tc>
      </w:tr>
      <w:tr w:rsidR="00BF7ACA" w:rsidRPr="00AF1321" w14:paraId="611B9300" w14:textId="77777777" w:rsidTr="007924BE">
        <w:trPr>
          <w:jc w:val="center"/>
        </w:trPr>
        <w:tc>
          <w:tcPr>
            <w:tcW w:w="4876" w:type="dxa"/>
            <w:hideMark/>
          </w:tcPr>
          <w:p w14:paraId="425A8BF0" w14:textId="77777777" w:rsidR="00BF7ACA" w:rsidRPr="00B0434F" w:rsidRDefault="00BF7ACA" w:rsidP="007924BE">
            <w:pPr>
              <w:pStyle w:val="Normal6"/>
            </w:pPr>
            <w:r w:rsidRPr="00B0434F">
              <w:t>3.</w:t>
            </w:r>
            <w:r>
              <w:tab/>
            </w:r>
            <w:r w:rsidRPr="00B0434F">
              <w:t>La Commission sélectionne les contreparties éligibles conformément à l</w:t>
            </w:r>
            <w:r>
              <w:t>’</w:t>
            </w:r>
            <w:r w:rsidRPr="00B0434F">
              <w:t>article 61 du règlement (UE, Euratom) nº 966/2012.</w:t>
            </w:r>
          </w:p>
        </w:tc>
        <w:tc>
          <w:tcPr>
            <w:tcW w:w="4876" w:type="dxa"/>
            <w:hideMark/>
          </w:tcPr>
          <w:p w14:paraId="26B74D42" w14:textId="77777777" w:rsidR="00BF7ACA" w:rsidRPr="00B0434F" w:rsidRDefault="00BF7ACA" w:rsidP="007924BE">
            <w:pPr>
              <w:pStyle w:val="Normal6"/>
              <w:rPr>
                <w:szCs w:val="24"/>
              </w:rPr>
            </w:pPr>
            <w:r w:rsidRPr="00B0434F">
              <w:t>3.</w:t>
            </w:r>
            <w:r>
              <w:tab/>
            </w:r>
            <w:r w:rsidRPr="00B0434F">
              <w:t>La Commission sélectionne les contreparties éligibles conformément à l</w:t>
            </w:r>
            <w:r>
              <w:t>’</w:t>
            </w:r>
            <w:r w:rsidRPr="00B0434F">
              <w:t>article 61 du règlement (UE, Euratom) nº 966/2012.</w:t>
            </w:r>
            <w:r>
              <w:t xml:space="preserve"> </w:t>
            </w:r>
            <w:r w:rsidRPr="00B0434F">
              <w:rPr>
                <w:b/>
                <w:i/>
              </w:rPr>
              <w:t>La garantie FEDD est mise en œuvre, dans la mesure du possible, sous la direction d</w:t>
            </w:r>
            <w:r>
              <w:rPr>
                <w:b/>
                <w:i/>
              </w:rPr>
              <w:t>’</w:t>
            </w:r>
            <w:r w:rsidRPr="00B0434F">
              <w:rPr>
                <w:b/>
                <w:i/>
              </w:rPr>
              <w:t>une contrepartie éligible européenne.</w:t>
            </w:r>
          </w:p>
        </w:tc>
      </w:tr>
    </w:tbl>
    <w:p w14:paraId="79E33F6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E04AC3D" w14:textId="77777777" w:rsidR="00BF7ACA" w:rsidRPr="00BF7ACA" w:rsidRDefault="00BF7ACA" w:rsidP="00BF7ACA">
      <w:r w:rsidRPr="00BF7ACA">
        <w:rPr>
          <w:rStyle w:val="HideTWBExt"/>
        </w:rPr>
        <w:t>&lt;/Amend&gt;</w:t>
      </w:r>
    </w:p>
    <w:p w14:paraId="21F3A2F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314</w:t>
      </w:r>
      <w:r w:rsidRPr="00BF7ACA">
        <w:rPr>
          <w:rStyle w:val="HideTWBExt"/>
          <w:b w:val="0"/>
        </w:rPr>
        <w:t>&lt;/NumAm&gt;</w:t>
      </w:r>
    </w:p>
    <w:p w14:paraId="1AC03A66" w14:textId="77777777" w:rsidR="00BF7ACA" w:rsidRPr="00BF7ACA" w:rsidRDefault="00BF7ACA" w:rsidP="00BF7ACA">
      <w:pPr>
        <w:pStyle w:val="NormalBold"/>
      </w:pPr>
      <w:r w:rsidRPr="00BF7ACA">
        <w:rPr>
          <w:rStyle w:val="HideTWBExt"/>
          <w:b w:val="0"/>
        </w:rPr>
        <w:t>&lt;RepeatBlock-By&gt;&lt;Members&gt;</w:t>
      </w:r>
      <w:r w:rsidRPr="00BF7ACA">
        <w:t>Patrizia Toia, Goffredo Maria Bettini, Cécile Kashetu Kyenge</w:t>
      </w:r>
      <w:r w:rsidRPr="00BF7ACA">
        <w:rPr>
          <w:rStyle w:val="HideTWBExt"/>
          <w:b w:val="0"/>
        </w:rPr>
        <w:t>&lt;/Members&gt;</w:t>
      </w:r>
    </w:p>
    <w:p w14:paraId="5B8D0BE8" w14:textId="77777777" w:rsidR="00BF7ACA" w:rsidRPr="00BF7ACA" w:rsidRDefault="00BF7ACA" w:rsidP="00BF7ACA">
      <w:r w:rsidRPr="00BF7ACA">
        <w:rPr>
          <w:rStyle w:val="HideTWBExt"/>
        </w:rPr>
        <w:t>&lt;/RepeatBlock-By&gt;</w:t>
      </w:r>
    </w:p>
    <w:p w14:paraId="4D0EAD9B"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4726E37B" w14:textId="77777777" w:rsidR="00BF7ACA" w:rsidRPr="00AF1321" w:rsidRDefault="00BF7ACA" w:rsidP="00BF7ACA">
      <w:pPr>
        <w:pStyle w:val="NormalBold"/>
      </w:pPr>
      <w:r>
        <w:rPr>
          <w:rStyle w:val="HideTWBExt"/>
          <w:b w:val="0"/>
        </w:rPr>
        <w:t>&lt;Article&gt;</w:t>
      </w:r>
      <w:r w:rsidRPr="00B0434F">
        <w:t>Article 10 – paragraphe 3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0C5871D1" w14:textId="77777777" w:rsidTr="007924BE">
        <w:trPr>
          <w:jc w:val="center"/>
        </w:trPr>
        <w:tc>
          <w:tcPr>
            <w:tcW w:w="9752" w:type="dxa"/>
            <w:gridSpan w:val="2"/>
          </w:tcPr>
          <w:p w14:paraId="39F1CD29" w14:textId="77777777" w:rsidR="00BF7ACA" w:rsidRPr="00AF1321" w:rsidRDefault="00BF7ACA" w:rsidP="007924BE">
            <w:pPr>
              <w:keepNext/>
            </w:pPr>
          </w:p>
        </w:tc>
      </w:tr>
      <w:tr w:rsidR="00BF7ACA" w:rsidRPr="00AF1321" w14:paraId="2CD9B241" w14:textId="77777777" w:rsidTr="007924BE">
        <w:trPr>
          <w:jc w:val="center"/>
        </w:trPr>
        <w:tc>
          <w:tcPr>
            <w:tcW w:w="4876" w:type="dxa"/>
            <w:hideMark/>
          </w:tcPr>
          <w:p w14:paraId="38132330" w14:textId="77777777" w:rsidR="00BF7ACA" w:rsidRPr="00B0434F" w:rsidRDefault="00BF7ACA" w:rsidP="007924BE">
            <w:pPr>
              <w:pStyle w:val="ColumnHeading"/>
              <w:keepNext/>
            </w:pPr>
            <w:r w:rsidRPr="00B0434F">
              <w:t>Texte proposé par la Commission</w:t>
            </w:r>
          </w:p>
        </w:tc>
        <w:tc>
          <w:tcPr>
            <w:tcW w:w="4876" w:type="dxa"/>
            <w:hideMark/>
          </w:tcPr>
          <w:p w14:paraId="5139AE1F" w14:textId="77777777" w:rsidR="00BF7ACA" w:rsidRPr="00B0434F" w:rsidRDefault="00BF7ACA" w:rsidP="007924BE">
            <w:pPr>
              <w:pStyle w:val="ColumnHeading"/>
              <w:keepNext/>
            </w:pPr>
            <w:r w:rsidRPr="00B0434F">
              <w:t>Amendement</w:t>
            </w:r>
          </w:p>
        </w:tc>
      </w:tr>
      <w:tr w:rsidR="00BF7ACA" w:rsidRPr="00AF1321" w14:paraId="4B042D67" w14:textId="77777777" w:rsidTr="007924BE">
        <w:trPr>
          <w:jc w:val="center"/>
        </w:trPr>
        <w:tc>
          <w:tcPr>
            <w:tcW w:w="4876" w:type="dxa"/>
          </w:tcPr>
          <w:p w14:paraId="36983D08" w14:textId="77777777" w:rsidR="00BF7ACA" w:rsidRPr="00B0434F" w:rsidRDefault="00BF7ACA" w:rsidP="007924BE">
            <w:pPr>
              <w:pStyle w:val="Normal6"/>
            </w:pPr>
          </w:p>
        </w:tc>
        <w:tc>
          <w:tcPr>
            <w:tcW w:w="4876" w:type="dxa"/>
            <w:hideMark/>
          </w:tcPr>
          <w:p w14:paraId="096A3872" w14:textId="77777777" w:rsidR="00BF7ACA" w:rsidRPr="00B0434F" w:rsidRDefault="00BF7ACA" w:rsidP="007924BE">
            <w:pPr>
              <w:pStyle w:val="Normal6"/>
              <w:rPr>
                <w:szCs w:val="24"/>
              </w:rPr>
            </w:pPr>
            <w:r w:rsidRPr="00B0434F">
              <w:rPr>
                <w:b/>
                <w:i/>
              </w:rPr>
              <w:t>3 bis.</w:t>
            </w:r>
            <w:r>
              <w:tab/>
            </w:r>
            <w:r w:rsidRPr="00B0434F">
              <w:rPr>
                <w:b/>
                <w:i/>
              </w:rPr>
              <w:t>La garantie est mise en œuvre, de préférence, sous la direction d</w:t>
            </w:r>
            <w:r>
              <w:rPr>
                <w:b/>
                <w:i/>
              </w:rPr>
              <w:t>’</w:t>
            </w:r>
            <w:r w:rsidRPr="00B0434F">
              <w:rPr>
                <w:b/>
                <w:i/>
              </w:rPr>
              <w:t>une contrepartie éligible européenne.</w:t>
            </w:r>
          </w:p>
        </w:tc>
      </w:tr>
    </w:tbl>
    <w:p w14:paraId="7A4EA6E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665C7A2" w14:textId="77777777" w:rsidR="00BF7ACA" w:rsidRPr="00BF7ACA" w:rsidRDefault="00BF7ACA" w:rsidP="00BF7ACA">
      <w:r w:rsidRPr="00BF7ACA">
        <w:rPr>
          <w:rStyle w:val="HideTWBExt"/>
        </w:rPr>
        <w:t>&lt;/Amend&gt;</w:t>
      </w:r>
    </w:p>
    <w:p w14:paraId="330F93E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315</w:t>
      </w:r>
      <w:r w:rsidRPr="00BF7ACA">
        <w:rPr>
          <w:rStyle w:val="HideTWBExt"/>
          <w:b w:val="0"/>
        </w:rPr>
        <w:t>&lt;/NumAm&gt;</w:t>
      </w:r>
    </w:p>
    <w:p w14:paraId="77A8CF4A"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22253EB3" w14:textId="77777777" w:rsidR="00BF7ACA" w:rsidRPr="00AF1321" w:rsidRDefault="00BF7ACA" w:rsidP="00BF7ACA">
      <w:r>
        <w:rPr>
          <w:rStyle w:val="HideTWBExt"/>
        </w:rPr>
        <w:t>&lt;/RepeatBlock-By&gt;</w:t>
      </w:r>
    </w:p>
    <w:p w14:paraId="09E31366"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676BF6A3" w14:textId="77777777" w:rsidR="00BF7ACA" w:rsidRPr="00AF1321" w:rsidRDefault="00BF7ACA" w:rsidP="00BF7ACA">
      <w:pPr>
        <w:pStyle w:val="NormalBold"/>
      </w:pPr>
      <w:r>
        <w:rPr>
          <w:rStyle w:val="HideTWBExt"/>
          <w:b w:val="0"/>
        </w:rPr>
        <w:t>&lt;Article&gt;</w:t>
      </w:r>
      <w:r w:rsidRPr="00B0434F">
        <w:t>Article 11 – paragraphe 1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732114C5" w14:textId="77777777" w:rsidTr="007924BE">
        <w:trPr>
          <w:jc w:val="center"/>
        </w:trPr>
        <w:tc>
          <w:tcPr>
            <w:tcW w:w="9752" w:type="dxa"/>
            <w:gridSpan w:val="2"/>
          </w:tcPr>
          <w:p w14:paraId="33E1A91A" w14:textId="77777777" w:rsidR="00BF7ACA" w:rsidRPr="00AF1321" w:rsidRDefault="00BF7ACA" w:rsidP="007924BE">
            <w:pPr>
              <w:keepNext/>
            </w:pPr>
          </w:p>
        </w:tc>
      </w:tr>
      <w:tr w:rsidR="00BF7ACA" w:rsidRPr="00AF1321" w14:paraId="23A4FEED" w14:textId="77777777" w:rsidTr="007924BE">
        <w:trPr>
          <w:jc w:val="center"/>
        </w:trPr>
        <w:tc>
          <w:tcPr>
            <w:tcW w:w="4876" w:type="dxa"/>
            <w:hideMark/>
          </w:tcPr>
          <w:p w14:paraId="5726D0F6" w14:textId="77777777" w:rsidR="00BF7ACA" w:rsidRPr="00B0434F" w:rsidRDefault="00BF7ACA" w:rsidP="007924BE">
            <w:pPr>
              <w:pStyle w:val="ColumnHeading"/>
              <w:keepNext/>
            </w:pPr>
            <w:r w:rsidRPr="00B0434F">
              <w:t>Texte proposé par la Commission</w:t>
            </w:r>
          </w:p>
        </w:tc>
        <w:tc>
          <w:tcPr>
            <w:tcW w:w="4876" w:type="dxa"/>
            <w:hideMark/>
          </w:tcPr>
          <w:p w14:paraId="072B4FE7" w14:textId="77777777" w:rsidR="00BF7ACA" w:rsidRPr="00B0434F" w:rsidRDefault="00BF7ACA" w:rsidP="007924BE">
            <w:pPr>
              <w:pStyle w:val="ColumnHeading"/>
              <w:keepNext/>
            </w:pPr>
            <w:r w:rsidRPr="00B0434F">
              <w:t>Amendement</w:t>
            </w:r>
          </w:p>
        </w:tc>
      </w:tr>
      <w:tr w:rsidR="00BF7ACA" w:rsidRPr="00AF1321" w14:paraId="5E515AC5" w14:textId="77777777" w:rsidTr="007924BE">
        <w:trPr>
          <w:jc w:val="center"/>
        </w:trPr>
        <w:tc>
          <w:tcPr>
            <w:tcW w:w="4876" w:type="dxa"/>
          </w:tcPr>
          <w:p w14:paraId="0BD491CF" w14:textId="77777777" w:rsidR="00BF7ACA" w:rsidRPr="00B0434F" w:rsidRDefault="00BF7ACA" w:rsidP="007924BE">
            <w:pPr>
              <w:pStyle w:val="Normal6"/>
            </w:pPr>
          </w:p>
        </w:tc>
        <w:tc>
          <w:tcPr>
            <w:tcW w:w="4876" w:type="dxa"/>
            <w:hideMark/>
          </w:tcPr>
          <w:p w14:paraId="74EA5F27" w14:textId="77777777" w:rsidR="00BF7ACA" w:rsidRPr="00B0434F" w:rsidRDefault="00BF7ACA" w:rsidP="007924BE">
            <w:pPr>
              <w:pStyle w:val="Normal6"/>
              <w:rPr>
                <w:szCs w:val="24"/>
              </w:rPr>
            </w:pPr>
            <w:r w:rsidRPr="00B0434F">
              <w:rPr>
                <w:b/>
                <w:i/>
              </w:rPr>
              <w:t>1 bis.</w:t>
            </w:r>
            <w:r>
              <w:tab/>
            </w:r>
            <w:r w:rsidRPr="00B0434F">
              <w:rPr>
                <w:b/>
                <w:i/>
              </w:rPr>
              <w:t>Une évaluation, sous forme agrégée, de l</w:t>
            </w:r>
            <w:r>
              <w:rPr>
                <w:b/>
                <w:i/>
              </w:rPr>
              <w:t>’</w:t>
            </w:r>
            <w:r w:rsidRPr="00B0434F">
              <w:rPr>
                <w:b/>
                <w:i/>
              </w:rPr>
              <w:t>additionnalité, de la conformité avec les principes d</w:t>
            </w:r>
            <w:r>
              <w:rPr>
                <w:b/>
                <w:i/>
              </w:rPr>
              <w:t>’</w:t>
            </w:r>
            <w:r w:rsidRPr="00B0434F">
              <w:rPr>
                <w:b/>
                <w:i/>
              </w:rPr>
              <w:t>efficacité du développement convenus à l</w:t>
            </w:r>
            <w:r>
              <w:rPr>
                <w:b/>
                <w:i/>
              </w:rPr>
              <w:t>’</w:t>
            </w:r>
            <w:r w:rsidRPr="00B0434F">
              <w:rPr>
                <w:b/>
                <w:i/>
              </w:rPr>
              <w:t>échelle internationale, des opérations de financement et d</w:t>
            </w:r>
            <w:r>
              <w:rPr>
                <w:b/>
                <w:i/>
              </w:rPr>
              <w:t>’</w:t>
            </w:r>
            <w:r w:rsidRPr="00B0434F">
              <w:rPr>
                <w:b/>
                <w:i/>
              </w:rPr>
              <w:t>investissement couvertes par la garantie FEDD, de la mobilisation de ressources privées ainsi que des réalisations estimatives et effectives qu</w:t>
            </w:r>
            <w:r>
              <w:rPr>
                <w:b/>
                <w:i/>
              </w:rPr>
              <w:t>’</w:t>
            </w:r>
            <w:r w:rsidRPr="00B0434F">
              <w:rPr>
                <w:b/>
                <w:i/>
              </w:rPr>
              <w:t>elles ont permises, de leurs résultats et de leur impact, y compris sur le développement durable, notamment sur la réduction de la pauvreté et des inégalités la création d</w:t>
            </w:r>
            <w:r>
              <w:rPr>
                <w:b/>
                <w:i/>
              </w:rPr>
              <w:t>’</w:t>
            </w:r>
            <w:r w:rsidRPr="00B0434F">
              <w:rPr>
                <w:b/>
                <w:i/>
              </w:rPr>
              <w:t>emplois décents, le changement climatique, l</w:t>
            </w:r>
            <w:r>
              <w:rPr>
                <w:b/>
                <w:i/>
              </w:rPr>
              <w:t>’</w:t>
            </w:r>
            <w:r w:rsidRPr="00B0434F">
              <w:rPr>
                <w:b/>
                <w:i/>
              </w:rPr>
              <w:t>égalité entre les hommes et les femmes et l</w:t>
            </w:r>
            <w:r>
              <w:rPr>
                <w:b/>
                <w:i/>
              </w:rPr>
              <w:t>’</w:t>
            </w:r>
            <w:r w:rsidRPr="00B0434F">
              <w:rPr>
                <w:b/>
                <w:i/>
              </w:rPr>
              <w:t>éradication de la pauvreté à long terme. Cette évaluation est complétée par une plateforme en ligne accessible au public contenant les données ventilées dans un format ouvert et lisible par machine ainsi que la publication d</w:t>
            </w:r>
            <w:r>
              <w:rPr>
                <w:b/>
                <w:i/>
              </w:rPr>
              <w:t>’</w:t>
            </w:r>
            <w:r w:rsidRPr="00B0434F">
              <w:rPr>
                <w:b/>
                <w:i/>
              </w:rPr>
              <w:t>autres documents connexes, notamment les plans relatifs aux projets, les analyses de l</w:t>
            </w:r>
            <w:r>
              <w:rPr>
                <w:b/>
                <w:i/>
              </w:rPr>
              <w:t>’</w:t>
            </w:r>
            <w:r w:rsidRPr="00B0434F">
              <w:rPr>
                <w:b/>
                <w:i/>
              </w:rPr>
              <w:t>impact sur l</w:t>
            </w:r>
            <w:r>
              <w:rPr>
                <w:b/>
                <w:i/>
              </w:rPr>
              <w:t>’</w:t>
            </w:r>
            <w:r w:rsidRPr="00B0434F">
              <w:rPr>
                <w:b/>
                <w:i/>
              </w:rPr>
              <w:t>égalité entre les hommes et les femmes, sur l</w:t>
            </w:r>
            <w:r>
              <w:rPr>
                <w:b/>
                <w:i/>
              </w:rPr>
              <w:t>’</w:t>
            </w:r>
            <w:r w:rsidRPr="00B0434F">
              <w:rPr>
                <w:b/>
                <w:i/>
              </w:rPr>
              <w:t>environnement et sur le plan social, ainsi que les rapports et les évaluations des incidences. Cette plateforme devrait inclure les noms des bénéficiaires effectifs des promoteurs de projets relevant du FEDD et veiller à ce que tous les bénéficiaires finaux soient rendus publics.</w:t>
            </w:r>
          </w:p>
        </w:tc>
      </w:tr>
    </w:tbl>
    <w:p w14:paraId="72141E4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8DAFE36" w14:textId="77777777" w:rsidR="00BF7ACA" w:rsidRPr="00BF7ACA" w:rsidRDefault="00BF7ACA" w:rsidP="00BF7ACA">
      <w:r w:rsidRPr="00BF7ACA">
        <w:rPr>
          <w:rStyle w:val="HideTWBExt"/>
        </w:rPr>
        <w:t>&lt;/Amend&gt;</w:t>
      </w:r>
    </w:p>
    <w:p w14:paraId="1B1FCB94"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316</w:t>
      </w:r>
      <w:r w:rsidRPr="00BF7ACA">
        <w:rPr>
          <w:rStyle w:val="HideTWBExt"/>
          <w:b w:val="0"/>
        </w:rPr>
        <w:t>&lt;/NumAm&gt;</w:t>
      </w:r>
    </w:p>
    <w:p w14:paraId="2DD1AA5C" w14:textId="77777777" w:rsidR="00BF7ACA" w:rsidRPr="00BF7ACA" w:rsidRDefault="00BF7ACA" w:rsidP="00BF7ACA">
      <w:pPr>
        <w:pStyle w:val="NormalBold"/>
      </w:pPr>
      <w:r w:rsidRPr="00BF7ACA">
        <w:rPr>
          <w:rStyle w:val="HideTWBExt"/>
          <w:b w:val="0"/>
        </w:rPr>
        <w:t>&lt;RepeatBlock-By&gt;&lt;Members&gt;</w:t>
      </w:r>
      <w:r w:rsidRPr="00BF7ACA">
        <w:t>Anders Primdahl Vistisen</w:t>
      </w:r>
      <w:r w:rsidRPr="00BF7ACA">
        <w:rPr>
          <w:rStyle w:val="HideTWBExt"/>
          <w:b w:val="0"/>
        </w:rPr>
        <w:t>&lt;/Members&gt;</w:t>
      </w:r>
    </w:p>
    <w:p w14:paraId="5F814ABC" w14:textId="77777777" w:rsidR="00BF7ACA" w:rsidRPr="00AF1321" w:rsidRDefault="00BF7ACA" w:rsidP="00BF7ACA">
      <w:r>
        <w:rPr>
          <w:rStyle w:val="HideTWBExt"/>
        </w:rPr>
        <w:t>&lt;/RepeatBlock-By&gt;</w:t>
      </w:r>
    </w:p>
    <w:p w14:paraId="7E1CFACA"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38CE182F" w14:textId="77777777" w:rsidR="00BF7ACA" w:rsidRPr="00AF1321" w:rsidRDefault="00BF7ACA" w:rsidP="00BF7ACA">
      <w:pPr>
        <w:pStyle w:val="NormalBold"/>
      </w:pPr>
      <w:r>
        <w:rPr>
          <w:rStyle w:val="HideTWBExt"/>
          <w:b w:val="0"/>
        </w:rPr>
        <w:t>&lt;Article&gt;</w:t>
      </w:r>
      <w:r w:rsidRPr="00B0434F">
        <w:t>Article 11 – paragraphe 2 – alinéa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102EFEA6" w14:textId="77777777" w:rsidTr="007924BE">
        <w:trPr>
          <w:jc w:val="center"/>
        </w:trPr>
        <w:tc>
          <w:tcPr>
            <w:tcW w:w="9752" w:type="dxa"/>
            <w:gridSpan w:val="2"/>
          </w:tcPr>
          <w:p w14:paraId="5582A634" w14:textId="77777777" w:rsidR="00BF7ACA" w:rsidRPr="00AF1321" w:rsidRDefault="00BF7ACA" w:rsidP="007924BE">
            <w:pPr>
              <w:keepNext/>
            </w:pPr>
          </w:p>
        </w:tc>
      </w:tr>
      <w:tr w:rsidR="00BF7ACA" w:rsidRPr="00AF1321" w14:paraId="3540E17E" w14:textId="77777777" w:rsidTr="007924BE">
        <w:trPr>
          <w:jc w:val="center"/>
        </w:trPr>
        <w:tc>
          <w:tcPr>
            <w:tcW w:w="4876" w:type="dxa"/>
            <w:hideMark/>
          </w:tcPr>
          <w:p w14:paraId="75EBCD0A" w14:textId="77777777" w:rsidR="00BF7ACA" w:rsidRPr="00B0434F" w:rsidRDefault="00BF7ACA" w:rsidP="007924BE">
            <w:pPr>
              <w:pStyle w:val="ColumnHeading"/>
              <w:keepNext/>
            </w:pPr>
            <w:r w:rsidRPr="00B0434F">
              <w:t>Texte proposé par la Commission</w:t>
            </w:r>
          </w:p>
        </w:tc>
        <w:tc>
          <w:tcPr>
            <w:tcW w:w="4876" w:type="dxa"/>
            <w:hideMark/>
          </w:tcPr>
          <w:p w14:paraId="7225F550" w14:textId="77777777" w:rsidR="00BF7ACA" w:rsidRPr="00B0434F" w:rsidRDefault="00BF7ACA" w:rsidP="007924BE">
            <w:pPr>
              <w:pStyle w:val="ColumnHeading"/>
              <w:keepNext/>
            </w:pPr>
            <w:r w:rsidRPr="00B0434F">
              <w:t>Amendement</w:t>
            </w:r>
          </w:p>
        </w:tc>
      </w:tr>
      <w:tr w:rsidR="00BF7ACA" w:rsidRPr="00AF1321" w14:paraId="64F16EF4" w14:textId="77777777" w:rsidTr="007924BE">
        <w:trPr>
          <w:jc w:val="center"/>
        </w:trPr>
        <w:tc>
          <w:tcPr>
            <w:tcW w:w="4876" w:type="dxa"/>
            <w:hideMark/>
          </w:tcPr>
          <w:p w14:paraId="15177A1D" w14:textId="77777777" w:rsidR="00BF7ACA" w:rsidRPr="00B0434F" w:rsidRDefault="00BF7ACA" w:rsidP="007924BE">
            <w:pPr>
              <w:pStyle w:val="Normal6"/>
            </w:pPr>
            <w:r w:rsidRPr="00B0434F">
              <w:t>Les États membres peuvent contribuer au fonds de garantie FEDD sous la forme de garanties ou de liquidités. Sous réserve de l</w:t>
            </w:r>
            <w:r>
              <w:t>’</w:t>
            </w:r>
            <w:r w:rsidRPr="00B0434F">
              <w:t>approbation de la Commission, d</w:t>
            </w:r>
            <w:r>
              <w:t>’</w:t>
            </w:r>
            <w:r w:rsidRPr="00B0434F">
              <w:t>autres contributeurs peuvent y contribuer, sous la forme de liquidités.</w:t>
            </w:r>
          </w:p>
        </w:tc>
        <w:tc>
          <w:tcPr>
            <w:tcW w:w="4876" w:type="dxa"/>
            <w:hideMark/>
          </w:tcPr>
          <w:p w14:paraId="40B46E1F" w14:textId="77777777" w:rsidR="00BF7ACA" w:rsidRPr="00B0434F" w:rsidRDefault="00BF7ACA" w:rsidP="007924BE">
            <w:pPr>
              <w:pStyle w:val="Normal6"/>
              <w:rPr>
                <w:szCs w:val="24"/>
              </w:rPr>
            </w:pPr>
            <w:r w:rsidRPr="00B0434F">
              <w:t>Les États membres peuvent contribuer au fonds de garantie FEDD sous la forme de garanties ou de liquidités. Sous réserve de l</w:t>
            </w:r>
            <w:r>
              <w:t>’</w:t>
            </w:r>
            <w:r w:rsidRPr="00B0434F">
              <w:t xml:space="preserve">approbation de la Commission, </w:t>
            </w:r>
            <w:r w:rsidRPr="00B0434F">
              <w:rPr>
                <w:b/>
                <w:i/>
              </w:rPr>
              <w:t>et des États membres le cas échéant,</w:t>
            </w:r>
            <w:r w:rsidRPr="00B0434F">
              <w:t xml:space="preserve"> d</w:t>
            </w:r>
            <w:r>
              <w:t>’</w:t>
            </w:r>
            <w:r w:rsidRPr="00B0434F">
              <w:t>autres contributeurs peuvent y contribuer, sous la forme de liquidités.</w:t>
            </w:r>
          </w:p>
        </w:tc>
      </w:tr>
    </w:tbl>
    <w:p w14:paraId="1D3A82B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8B5C540" w14:textId="77777777" w:rsidR="00BF7ACA" w:rsidRPr="00BF7ACA" w:rsidRDefault="00BF7ACA" w:rsidP="00BF7ACA">
      <w:r w:rsidRPr="00BF7ACA">
        <w:rPr>
          <w:rStyle w:val="HideTWBExt"/>
        </w:rPr>
        <w:t>&lt;/Amend&gt;</w:t>
      </w:r>
    </w:p>
    <w:p w14:paraId="7054AB4E"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317</w:t>
      </w:r>
      <w:r w:rsidRPr="00BF7ACA">
        <w:rPr>
          <w:rStyle w:val="HideTWBExt"/>
          <w:b w:val="0"/>
        </w:rPr>
        <w:t>&lt;/NumAm&gt;</w:t>
      </w:r>
    </w:p>
    <w:p w14:paraId="7B3CBB28" w14:textId="77777777"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14:paraId="63E4D60E" w14:textId="77777777" w:rsidR="00BF7ACA" w:rsidRPr="00AF1321" w:rsidRDefault="00BF7ACA" w:rsidP="00BF7ACA">
      <w:r>
        <w:rPr>
          <w:rStyle w:val="HideTWBExt"/>
        </w:rPr>
        <w:t>&lt;/RepeatBlock-By&gt;</w:t>
      </w:r>
    </w:p>
    <w:p w14:paraId="5CF4BFE9"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34732BE8" w14:textId="77777777" w:rsidR="00BF7ACA" w:rsidRPr="00AF1321" w:rsidRDefault="00BF7ACA" w:rsidP="00BF7ACA">
      <w:pPr>
        <w:pStyle w:val="NormalBold"/>
      </w:pPr>
      <w:r>
        <w:rPr>
          <w:rStyle w:val="HideTWBExt"/>
          <w:b w:val="0"/>
        </w:rPr>
        <w:t>&lt;Article&gt;</w:t>
      </w:r>
      <w:r w:rsidRPr="00B0434F">
        <w:t>Article 11 – paragraphe 2 – alinéa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542380C8" w14:textId="77777777" w:rsidTr="007924BE">
        <w:trPr>
          <w:jc w:val="center"/>
        </w:trPr>
        <w:tc>
          <w:tcPr>
            <w:tcW w:w="9752" w:type="dxa"/>
            <w:gridSpan w:val="2"/>
          </w:tcPr>
          <w:p w14:paraId="41682A17" w14:textId="77777777" w:rsidR="00BF7ACA" w:rsidRPr="00AF1321" w:rsidRDefault="00BF7ACA" w:rsidP="007924BE">
            <w:pPr>
              <w:keepNext/>
            </w:pPr>
          </w:p>
        </w:tc>
      </w:tr>
      <w:tr w:rsidR="00BF7ACA" w:rsidRPr="00AF1321" w14:paraId="7ECFFE6E" w14:textId="77777777" w:rsidTr="007924BE">
        <w:trPr>
          <w:jc w:val="center"/>
        </w:trPr>
        <w:tc>
          <w:tcPr>
            <w:tcW w:w="4876" w:type="dxa"/>
            <w:hideMark/>
          </w:tcPr>
          <w:p w14:paraId="71105CFC" w14:textId="77777777" w:rsidR="00BF7ACA" w:rsidRPr="00B0434F" w:rsidRDefault="00BF7ACA" w:rsidP="007924BE">
            <w:pPr>
              <w:pStyle w:val="ColumnHeading"/>
              <w:keepNext/>
            </w:pPr>
            <w:r w:rsidRPr="00B0434F">
              <w:t>Texte proposé par la Commission</w:t>
            </w:r>
          </w:p>
        </w:tc>
        <w:tc>
          <w:tcPr>
            <w:tcW w:w="4876" w:type="dxa"/>
            <w:hideMark/>
          </w:tcPr>
          <w:p w14:paraId="1BCC11B5" w14:textId="77777777" w:rsidR="00BF7ACA" w:rsidRPr="00B0434F" w:rsidRDefault="00BF7ACA" w:rsidP="007924BE">
            <w:pPr>
              <w:pStyle w:val="ColumnHeading"/>
              <w:keepNext/>
            </w:pPr>
            <w:r w:rsidRPr="00B0434F">
              <w:t>Amendement</w:t>
            </w:r>
          </w:p>
        </w:tc>
      </w:tr>
      <w:tr w:rsidR="00BF7ACA" w:rsidRPr="00AF1321" w14:paraId="75EA8FA0" w14:textId="77777777" w:rsidTr="007924BE">
        <w:trPr>
          <w:jc w:val="center"/>
        </w:trPr>
        <w:tc>
          <w:tcPr>
            <w:tcW w:w="4876" w:type="dxa"/>
            <w:hideMark/>
          </w:tcPr>
          <w:p w14:paraId="0C60AC36" w14:textId="77777777" w:rsidR="00BF7ACA" w:rsidRPr="00B0434F" w:rsidRDefault="00BF7ACA" w:rsidP="007924BE">
            <w:pPr>
              <w:pStyle w:val="Normal6"/>
            </w:pPr>
            <w:r w:rsidRPr="00B0434F">
              <w:t>Les États membres peuvent contribuer au fonds de garantie FEDD sous la forme de garanties ou de liquidités. Sous réserve de l</w:t>
            </w:r>
            <w:r>
              <w:t>’</w:t>
            </w:r>
            <w:r w:rsidRPr="00B0434F">
              <w:t>approbation de la Commission, d</w:t>
            </w:r>
            <w:r>
              <w:t>’</w:t>
            </w:r>
            <w:r w:rsidRPr="00B0434F">
              <w:t>autres contributeurs peuvent y contribuer, sous la forme de liquidités.</w:t>
            </w:r>
          </w:p>
        </w:tc>
        <w:tc>
          <w:tcPr>
            <w:tcW w:w="4876" w:type="dxa"/>
            <w:hideMark/>
          </w:tcPr>
          <w:p w14:paraId="73BB5CF8" w14:textId="77777777" w:rsidR="00BF7ACA" w:rsidRPr="00B0434F" w:rsidRDefault="00BF7ACA" w:rsidP="007924BE">
            <w:pPr>
              <w:pStyle w:val="Normal6"/>
              <w:rPr>
                <w:szCs w:val="24"/>
              </w:rPr>
            </w:pPr>
            <w:r w:rsidRPr="00B0434F">
              <w:t xml:space="preserve">Les États membres </w:t>
            </w:r>
            <w:r w:rsidRPr="00B0434F">
              <w:rPr>
                <w:b/>
                <w:i/>
              </w:rPr>
              <w:t>et les pays de l</w:t>
            </w:r>
            <w:r>
              <w:rPr>
                <w:b/>
                <w:i/>
              </w:rPr>
              <w:t>’</w:t>
            </w:r>
            <w:r w:rsidRPr="00B0434F">
              <w:rPr>
                <w:b/>
                <w:i/>
              </w:rPr>
              <w:t>AELE</w:t>
            </w:r>
            <w:r w:rsidRPr="00B0434F">
              <w:rPr>
                <w:b/>
              </w:rPr>
              <w:t xml:space="preserve"> </w:t>
            </w:r>
            <w:r w:rsidRPr="00B0434F">
              <w:t>peuvent contribuer au fonds de garantie FEDD sous la forme de garanties ou de liquidités. Sous réserve de l</w:t>
            </w:r>
            <w:r>
              <w:t>’</w:t>
            </w:r>
            <w:r w:rsidRPr="00B0434F">
              <w:t>approbation de la Commission, d</w:t>
            </w:r>
            <w:r>
              <w:t>’</w:t>
            </w:r>
            <w:r w:rsidRPr="00B0434F">
              <w:t>autres contributeurs peuvent y contribuer, sous la forme de liquidités.</w:t>
            </w:r>
          </w:p>
        </w:tc>
      </w:tr>
    </w:tbl>
    <w:p w14:paraId="4294DEF1"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4399A17" w14:textId="77777777" w:rsidR="00BF7ACA" w:rsidRPr="00BF7ACA" w:rsidRDefault="00BF7ACA" w:rsidP="00BF7ACA">
      <w:r w:rsidRPr="00BF7ACA">
        <w:rPr>
          <w:rStyle w:val="HideTWBExt"/>
        </w:rPr>
        <w:t>&lt;/Amend&gt;</w:t>
      </w:r>
    </w:p>
    <w:p w14:paraId="2078C04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318</w:t>
      </w:r>
      <w:r w:rsidRPr="00BF7ACA">
        <w:rPr>
          <w:rStyle w:val="HideTWBExt"/>
          <w:b w:val="0"/>
        </w:rPr>
        <w:t>&lt;/NumAm&gt;</w:t>
      </w:r>
    </w:p>
    <w:p w14:paraId="53755263" w14:textId="77777777" w:rsidR="00BF7ACA" w:rsidRPr="00BF7ACA" w:rsidRDefault="00BF7ACA" w:rsidP="00BF7ACA">
      <w:pPr>
        <w:pStyle w:val="NormalBold"/>
      </w:pPr>
      <w:r w:rsidRPr="00BF7ACA">
        <w:rPr>
          <w:rStyle w:val="HideTWBExt"/>
          <w:b w:val="0"/>
        </w:rPr>
        <w:t>&lt;RepeatBlock-By&gt;&lt;Members&gt;</w:t>
      </w:r>
      <w:r w:rsidRPr="00BF7ACA">
        <w:t>Xabier Benito Ziluaga, Miguel Urbán Crespo, Stelios Kouloglou</w:t>
      </w:r>
      <w:r w:rsidRPr="00BF7ACA">
        <w:rPr>
          <w:rStyle w:val="HideTWBExt"/>
          <w:b w:val="0"/>
        </w:rPr>
        <w:t>&lt;/Members&gt;</w:t>
      </w:r>
    </w:p>
    <w:p w14:paraId="56E67DB3" w14:textId="77777777" w:rsidR="00BF7ACA" w:rsidRPr="00AF1321" w:rsidRDefault="00BF7ACA" w:rsidP="00BF7ACA">
      <w:r>
        <w:rPr>
          <w:rStyle w:val="HideTWBExt"/>
        </w:rPr>
        <w:t>&lt;/RepeatBlock-By&gt;</w:t>
      </w:r>
    </w:p>
    <w:p w14:paraId="63711EC8"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05B6C7EF" w14:textId="77777777" w:rsidR="00BF7ACA" w:rsidRPr="00AF1321" w:rsidRDefault="00BF7ACA" w:rsidP="00BF7ACA">
      <w:pPr>
        <w:pStyle w:val="NormalBold"/>
      </w:pPr>
      <w:r>
        <w:rPr>
          <w:rStyle w:val="HideTWBExt"/>
          <w:b w:val="0"/>
        </w:rPr>
        <w:t>&lt;Article&gt;</w:t>
      </w:r>
      <w:r w:rsidRPr="00B0434F">
        <w:t>Article 11 – paragraphe 2 – alinéa 3</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16EB6111" w14:textId="77777777" w:rsidTr="007924BE">
        <w:trPr>
          <w:jc w:val="center"/>
        </w:trPr>
        <w:tc>
          <w:tcPr>
            <w:tcW w:w="9752" w:type="dxa"/>
            <w:gridSpan w:val="2"/>
          </w:tcPr>
          <w:p w14:paraId="5020D72B" w14:textId="77777777" w:rsidR="00BF7ACA" w:rsidRPr="00AF1321" w:rsidRDefault="00BF7ACA" w:rsidP="007924BE">
            <w:pPr>
              <w:keepNext/>
            </w:pPr>
          </w:p>
        </w:tc>
      </w:tr>
      <w:tr w:rsidR="00BF7ACA" w:rsidRPr="00AF1321" w14:paraId="3E9DDD4E" w14:textId="77777777" w:rsidTr="007924BE">
        <w:trPr>
          <w:jc w:val="center"/>
        </w:trPr>
        <w:tc>
          <w:tcPr>
            <w:tcW w:w="4876" w:type="dxa"/>
            <w:hideMark/>
          </w:tcPr>
          <w:p w14:paraId="5EF797D9" w14:textId="77777777" w:rsidR="00BF7ACA" w:rsidRPr="00B0434F" w:rsidRDefault="00BF7ACA" w:rsidP="007924BE">
            <w:pPr>
              <w:pStyle w:val="ColumnHeading"/>
              <w:keepNext/>
            </w:pPr>
            <w:r w:rsidRPr="00B0434F">
              <w:t>Texte proposé par la Commission</w:t>
            </w:r>
          </w:p>
        </w:tc>
        <w:tc>
          <w:tcPr>
            <w:tcW w:w="4876" w:type="dxa"/>
            <w:hideMark/>
          </w:tcPr>
          <w:p w14:paraId="5B895565" w14:textId="77777777" w:rsidR="00BF7ACA" w:rsidRPr="00B0434F" w:rsidRDefault="00BF7ACA" w:rsidP="007924BE">
            <w:pPr>
              <w:pStyle w:val="ColumnHeading"/>
              <w:keepNext/>
            </w:pPr>
            <w:r w:rsidRPr="00B0434F">
              <w:t>Amendement</w:t>
            </w:r>
          </w:p>
        </w:tc>
      </w:tr>
      <w:tr w:rsidR="00BF7ACA" w:rsidRPr="00AF1321" w14:paraId="5187DEA6" w14:textId="77777777" w:rsidTr="007924BE">
        <w:trPr>
          <w:jc w:val="center"/>
        </w:trPr>
        <w:tc>
          <w:tcPr>
            <w:tcW w:w="4876" w:type="dxa"/>
            <w:hideMark/>
          </w:tcPr>
          <w:p w14:paraId="493FDC77" w14:textId="77777777" w:rsidR="00BF7ACA" w:rsidRPr="00B0434F" w:rsidRDefault="00BF7ACA" w:rsidP="007924BE">
            <w:pPr>
              <w:pStyle w:val="Normal6"/>
            </w:pPr>
            <w:r w:rsidRPr="00B0434F">
              <w:t>Le total net des paiements issus du budget général de l</w:t>
            </w:r>
            <w:r>
              <w:t>’</w:t>
            </w:r>
            <w:r w:rsidRPr="00B0434F">
              <w:t xml:space="preserve">Union au titre de la garantie FEDD ne dépasse pas </w:t>
            </w:r>
            <w:r w:rsidRPr="00B0434F">
              <w:rPr>
                <w:b/>
                <w:i/>
              </w:rPr>
              <w:t>1 500 000 000 </w:t>
            </w:r>
            <w:r w:rsidRPr="00B0434F">
              <w:t>EUR. Le paiement des appels à garantie est effectué, au besoin, par les États membres contributeurs ou les autres contributeurs à égalité de rang avec l</w:t>
            </w:r>
            <w:r>
              <w:t>’</w:t>
            </w:r>
            <w:r w:rsidRPr="00B0434F">
              <w:t>Union, sans préjudice du paragraphe 4.</w:t>
            </w:r>
          </w:p>
        </w:tc>
        <w:tc>
          <w:tcPr>
            <w:tcW w:w="4876" w:type="dxa"/>
            <w:hideMark/>
          </w:tcPr>
          <w:p w14:paraId="31F9A6FC" w14:textId="77777777" w:rsidR="00BF7ACA" w:rsidRPr="00B0434F" w:rsidRDefault="00BF7ACA" w:rsidP="007924BE">
            <w:pPr>
              <w:pStyle w:val="Normal6"/>
              <w:rPr>
                <w:szCs w:val="24"/>
              </w:rPr>
            </w:pPr>
            <w:r w:rsidRPr="00B0434F">
              <w:t>Le total net des paiements issus du budget général de l</w:t>
            </w:r>
            <w:r>
              <w:t>’</w:t>
            </w:r>
            <w:r w:rsidRPr="00B0434F">
              <w:t xml:space="preserve">Union au titre de la garantie FEDD ne dépasse pas </w:t>
            </w:r>
            <w:r w:rsidRPr="00B0434F">
              <w:rPr>
                <w:b/>
                <w:i/>
              </w:rPr>
              <w:t>1 000 000 000 </w:t>
            </w:r>
            <w:r w:rsidRPr="00B0434F">
              <w:t>EUR. Le paiement des appels à garantie est effectué, au besoin, par les États membres contributeurs ou les autres contributeurs à égalité de rang avec l</w:t>
            </w:r>
            <w:r>
              <w:t>’</w:t>
            </w:r>
            <w:r w:rsidRPr="00B0434F">
              <w:t>Union, sans préjudice du paragraphe 4.</w:t>
            </w:r>
          </w:p>
        </w:tc>
      </w:tr>
    </w:tbl>
    <w:p w14:paraId="64755C9F"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56F2332" w14:textId="77777777" w:rsidR="00BF7ACA" w:rsidRPr="00BF7ACA" w:rsidRDefault="00BF7ACA" w:rsidP="00BF7ACA">
      <w:r w:rsidRPr="00BF7ACA">
        <w:rPr>
          <w:rStyle w:val="HideTWBExt"/>
        </w:rPr>
        <w:t>&lt;/Amend&gt;</w:t>
      </w:r>
    </w:p>
    <w:p w14:paraId="141B4D8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319</w:t>
      </w:r>
      <w:r w:rsidRPr="00BF7ACA">
        <w:rPr>
          <w:rStyle w:val="HideTWBExt"/>
          <w:b w:val="0"/>
        </w:rPr>
        <w:t>&lt;/NumAm&gt;</w:t>
      </w:r>
    </w:p>
    <w:p w14:paraId="7678E264" w14:textId="77777777" w:rsidR="00BF7ACA" w:rsidRPr="00BF7ACA" w:rsidRDefault="00BF7ACA" w:rsidP="00BF7ACA">
      <w:pPr>
        <w:pStyle w:val="NormalBold"/>
      </w:pPr>
      <w:r w:rsidRPr="00BF7ACA">
        <w:rPr>
          <w:rStyle w:val="HideTWBExt"/>
          <w:b w:val="0"/>
        </w:rPr>
        <w:t>&lt;RepeatBlock-By&gt;&lt;Members&gt;</w:t>
      </w:r>
      <w:r w:rsidRPr="00BF7ACA">
        <w:t>Anders Primdahl Vistisen</w:t>
      </w:r>
      <w:r w:rsidRPr="00BF7ACA">
        <w:rPr>
          <w:rStyle w:val="HideTWBExt"/>
          <w:b w:val="0"/>
        </w:rPr>
        <w:t>&lt;/Members&gt;</w:t>
      </w:r>
    </w:p>
    <w:p w14:paraId="16920DB1" w14:textId="77777777" w:rsidR="00BF7ACA" w:rsidRPr="00AF1321" w:rsidRDefault="00BF7ACA" w:rsidP="00BF7ACA">
      <w:r>
        <w:rPr>
          <w:rStyle w:val="HideTWBExt"/>
        </w:rPr>
        <w:t>&lt;/RepeatBlock-By&gt;</w:t>
      </w:r>
    </w:p>
    <w:p w14:paraId="7C240069"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0C30B66E" w14:textId="77777777" w:rsidR="00BF7ACA" w:rsidRPr="00AF1321" w:rsidRDefault="00BF7ACA" w:rsidP="00BF7ACA">
      <w:pPr>
        <w:pStyle w:val="NormalBold"/>
      </w:pPr>
      <w:r>
        <w:rPr>
          <w:rStyle w:val="HideTWBExt"/>
          <w:b w:val="0"/>
        </w:rPr>
        <w:t>&lt;Article&gt;</w:t>
      </w:r>
      <w:r w:rsidRPr="00B0434F">
        <w:t>Article 11 – paragraphe 3 – alinéa 3</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1ED27665" w14:textId="77777777" w:rsidTr="007924BE">
        <w:trPr>
          <w:jc w:val="center"/>
        </w:trPr>
        <w:tc>
          <w:tcPr>
            <w:tcW w:w="9752" w:type="dxa"/>
            <w:gridSpan w:val="2"/>
          </w:tcPr>
          <w:p w14:paraId="43D35E39" w14:textId="77777777" w:rsidR="00BF7ACA" w:rsidRPr="00AF1321" w:rsidRDefault="00BF7ACA" w:rsidP="007924BE">
            <w:pPr>
              <w:keepNext/>
            </w:pPr>
          </w:p>
        </w:tc>
      </w:tr>
      <w:tr w:rsidR="00BF7ACA" w:rsidRPr="00AF1321" w14:paraId="36BB09CB" w14:textId="77777777" w:rsidTr="007924BE">
        <w:trPr>
          <w:jc w:val="center"/>
        </w:trPr>
        <w:tc>
          <w:tcPr>
            <w:tcW w:w="4876" w:type="dxa"/>
            <w:hideMark/>
          </w:tcPr>
          <w:p w14:paraId="0B14B153" w14:textId="77777777" w:rsidR="00BF7ACA" w:rsidRPr="00B0434F" w:rsidRDefault="00BF7ACA" w:rsidP="007924BE">
            <w:pPr>
              <w:pStyle w:val="ColumnHeading"/>
              <w:keepNext/>
            </w:pPr>
            <w:r w:rsidRPr="00B0434F">
              <w:t>Texte proposé par la Commission</w:t>
            </w:r>
          </w:p>
        </w:tc>
        <w:tc>
          <w:tcPr>
            <w:tcW w:w="4876" w:type="dxa"/>
            <w:hideMark/>
          </w:tcPr>
          <w:p w14:paraId="33E36C35" w14:textId="77777777" w:rsidR="00BF7ACA" w:rsidRPr="00B0434F" w:rsidRDefault="00BF7ACA" w:rsidP="007924BE">
            <w:pPr>
              <w:pStyle w:val="ColumnHeading"/>
              <w:keepNext/>
            </w:pPr>
            <w:r w:rsidRPr="00B0434F">
              <w:t>Amendement</w:t>
            </w:r>
          </w:p>
        </w:tc>
      </w:tr>
      <w:tr w:rsidR="00BF7ACA" w:rsidRPr="00AF1321" w14:paraId="74E2665E" w14:textId="77777777" w:rsidTr="007924BE">
        <w:trPr>
          <w:jc w:val="center"/>
        </w:trPr>
        <w:tc>
          <w:tcPr>
            <w:tcW w:w="4876" w:type="dxa"/>
            <w:hideMark/>
          </w:tcPr>
          <w:p w14:paraId="407370BC" w14:textId="77777777" w:rsidR="00BF7ACA" w:rsidRPr="00B0434F" w:rsidRDefault="00BF7ACA" w:rsidP="007924BE">
            <w:pPr>
              <w:pStyle w:val="Normal6"/>
            </w:pPr>
            <w:r w:rsidRPr="00B0434F">
              <w:t xml:space="preserve">La Commission informe le Parlement européen </w:t>
            </w:r>
            <w:r w:rsidRPr="00B0434F">
              <w:rPr>
                <w:b/>
                <w:i/>
              </w:rPr>
              <w:t>et</w:t>
            </w:r>
            <w:r w:rsidRPr="00B0434F">
              <w:t xml:space="preserve"> le Conseil des contributions confirmées.</w:t>
            </w:r>
          </w:p>
        </w:tc>
        <w:tc>
          <w:tcPr>
            <w:tcW w:w="4876" w:type="dxa"/>
            <w:hideMark/>
          </w:tcPr>
          <w:p w14:paraId="27B8BAC9" w14:textId="77777777" w:rsidR="00BF7ACA" w:rsidRPr="00B0434F" w:rsidRDefault="00BF7ACA" w:rsidP="007924BE">
            <w:pPr>
              <w:pStyle w:val="Normal6"/>
              <w:rPr>
                <w:szCs w:val="24"/>
              </w:rPr>
            </w:pPr>
            <w:r w:rsidRPr="00B0434F">
              <w:t>La Commission informe sans retard le Parlement européen</w:t>
            </w:r>
            <w:r w:rsidRPr="00B0434F">
              <w:rPr>
                <w:b/>
                <w:i/>
              </w:rPr>
              <w:t>,</w:t>
            </w:r>
            <w:r w:rsidRPr="00B0434F">
              <w:t xml:space="preserve"> le Conseil </w:t>
            </w:r>
            <w:r w:rsidRPr="00B0434F">
              <w:rPr>
                <w:b/>
                <w:i/>
              </w:rPr>
              <w:t>et les États membres, le cas échéant,</w:t>
            </w:r>
            <w:r w:rsidRPr="00B0434F">
              <w:rPr>
                <w:b/>
              </w:rPr>
              <w:t xml:space="preserve"> </w:t>
            </w:r>
            <w:r w:rsidRPr="00B0434F">
              <w:t>des contributions confirmées.</w:t>
            </w:r>
          </w:p>
        </w:tc>
      </w:tr>
    </w:tbl>
    <w:p w14:paraId="2C7E0A94"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A688EED" w14:textId="77777777" w:rsidR="00BF7ACA" w:rsidRPr="00BF7ACA" w:rsidRDefault="00BF7ACA" w:rsidP="00BF7ACA">
      <w:r w:rsidRPr="00BF7ACA">
        <w:rPr>
          <w:rStyle w:val="HideTWBExt"/>
        </w:rPr>
        <w:t>&lt;/Amend&gt;</w:t>
      </w:r>
    </w:p>
    <w:p w14:paraId="6CB6D2DE"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320</w:t>
      </w:r>
      <w:r w:rsidRPr="00BF7ACA">
        <w:rPr>
          <w:rStyle w:val="HideTWBExt"/>
          <w:b w:val="0"/>
        </w:rPr>
        <w:t>&lt;/NumAm&gt;</w:t>
      </w:r>
    </w:p>
    <w:p w14:paraId="3CC47261" w14:textId="77777777" w:rsidR="00BF7ACA" w:rsidRPr="00BF7ACA" w:rsidRDefault="00BF7ACA" w:rsidP="00BF7ACA">
      <w:pPr>
        <w:pStyle w:val="NormalBold"/>
      </w:pPr>
      <w:r w:rsidRPr="00BF7ACA">
        <w:rPr>
          <w:rStyle w:val="HideTWBExt"/>
          <w:b w:val="0"/>
        </w:rPr>
        <w:t>&lt;RepeatBlock-By&gt;&lt;Members&gt;</w:t>
      </w:r>
      <w:r w:rsidRPr="00BF7ACA">
        <w:t>Anders Primdahl Vistisen</w:t>
      </w:r>
      <w:r w:rsidRPr="00BF7ACA">
        <w:rPr>
          <w:rStyle w:val="HideTWBExt"/>
          <w:b w:val="0"/>
        </w:rPr>
        <w:t>&lt;/Members&gt;</w:t>
      </w:r>
    </w:p>
    <w:p w14:paraId="5764C416" w14:textId="77777777" w:rsidR="00BF7ACA" w:rsidRPr="00AF1321" w:rsidRDefault="00BF7ACA" w:rsidP="00BF7ACA">
      <w:r>
        <w:rPr>
          <w:rStyle w:val="HideTWBExt"/>
        </w:rPr>
        <w:t>&lt;/RepeatBlock-By&gt;</w:t>
      </w:r>
    </w:p>
    <w:p w14:paraId="4FC35975"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144BB2B3" w14:textId="77777777" w:rsidR="00BF7ACA" w:rsidRPr="00AF1321" w:rsidRDefault="00BF7ACA" w:rsidP="00BF7ACA">
      <w:pPr>
        <w:pStyle w:val="NormalBold"/>
      </w:pPr>
      <w:r>
        <w:rPr>
          <w:rStyle w:val="HideTWBExt"/>
          <w:b w:val="0"/>
        </w:rPr>
        <w:t>&lt;Article&gt;</w:t>
      </w:r>
      <w:r w:rsidRPr="00B0434F">
        <w:t>Article 11 – paragraphe 4 – alinéa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793DD3BE" w14:textId="77777777" w:rsidTr="007924BE">
        <w:trPr>
          <w:jc w:val="center"/>
        </w:trPr>
        <w:tc>
          <w:tcPr>
            <w:tcW w:w="9752" w:type="dxa"/>
            <w:gridSpan w:val="2"/>
          </w:tcPr>
          <w:p w14:paraId="371344A9" w14:textId="77777777" w:rsidR="00BF7ACA" w:rsidRPr="00AF1321" w:rsidRDefault="00BF7ACA" w:rsidP="007924BE">
            <w:pPr>
              <w:keepNext/>
            </w:pPr>
          </w:p>
        </w:tc>
      </w:tr>
      <w:tr w:rsidR="00BF7ACA" w:rsidRPr="00AF1321" w14:paraId="2F2ADD04" w14:textId="77777777" w:rsidTr="007924BE">
        <w:trPr>
          <w:jc w:val="center"/>
        </w:trPr>
        <w:tc>
          <w:tcPr>
            <w:tcW w:w="4876" w:type="dxa"/>
            <w:hideMark/>
          </w:tcPr>
          <w:p w14:paraId="53F123BF" w14:textId="77777777" w:rsidR="00BF7ACA" w:rsidRPr="00B0434F" w:rsidRDefault="00BF7ACA" w:rsidP="007924BE">
            <w:pPr>
              <w:pStyle w:val="ColumnHeading"/>
              <w:keepNext/>
            </w:pPr>
            <w:r w:rsidRPr="00B0434F">
              <w:t>Texte proposé par la Commission</w:t>
            </w:r>
          </w:p>
        </w:tc>
        <w:tc>
          <w:tcPr>
            <w:tcW w:w="4876" w:type="dxa"/>
            <w:hideMark/>
          </w:tcPr>
          <w:p w14:paraId="64F53CD0" w14:textId="77777777" w:rsidR="00BF7ACA" w:rsidRPr="00B0434F" w:rsidRDefault="00BF7ACA" w:rsidP="007924BE">
            <w:pPr>
              <w:pStyle w:val="ColumnHeading"/>
              <w:keepNext/>
            </w:pPr>
            <w:r w:rsidRPr="00B0434F">
              <w:t>Amendement</w:t>
            </w:r>
          </w:p>
        </w:tc>
      </w:tr>
      <w:tr w:rsidR="00BF7ACA" w:rsidRPr="00AF1321" w14:paraId="20B55A0B" w14:textId="77777777" w:rsidTr="007924BE">
        <w:trPr>
          <w:jc w:val="center"/>
        </w:trPr>
        <w:tc>
          <w:tcPr>
            <w:tcW w:w="4876" w:type="dxa"/>
            <w:hideMark/>
          </w:tcPr>
          <w:p w14:paraId="1A6DBA0C" w14:textId="77777777" w:rsidR="00BF7ACA" w:rsidRPr="00B0434F" w:rsidRDefault="00BF7ACA" w:rsidP="007924BE">
            <w:pPr>
              <w:pStyle w:val="Normal6"/>
            </w:pPr>
            <w:r w:rsidRPr="00B0434F">
              <w:t>À la demande des États membres, leurs contributions peuvent être affectées au lancement de projets dans des régions, pays, secteurs ou volets d</w:t>
            </w:r>
            <w:r>
              <w:t>’</w:t>
            </w:r>
            <w:r w:rsidRPr="00B0434F">
              <w:t>investissement spécifiques.</w:t>
            </w:r>
          </w:p>
        </w:tc>
        <w:tc>
          <w:tcPr>
            <w:tcW w:w="4876" w:type="dxa"/>
            <w:hideMark/>
          </w:tcPr>
          <w:p w14:paraId="7E871ECB" w14:textId="77777777" w:rsidR="00BF7ACA" w:rsidRPr="00B0434F" w:rsidRDefault="00BF7ACA" w:rsidP="007924BE">
            <w:pPr>
              <w:pStyle w:val="Normal6"/>
              <w:rPr>
                <w:szCs w:val="24"/>
              </w:rPr>
            </w:pPr>
            <w:r w:rsidRPr="00B0434F">
              <w:t>À la demande des États membres, leurs contributions peuvent être affectées au lancement de projets dans des régions, pays, secteurs ou volets d</w:t>
            </w:r>
            <w:r>
              <w:t>’</w:t>
            </w:r>
            <w:r w:rsidRPr="00B0434F">
              <w:t>investissement spécifiques</w:t>
            </w:r>
            <w:r w:rsidRPr="00B0434F">
              <w:rPr>
                <w:b/>
                <w:i/>
              </w:rPr>
              <w:t>, et les États membres sont tenus informés de l</w:t>
            </w:r>
            <w:r>
              <w:rPr>
                <w:b/>
                <w:i/>
              </w:rPr>
              <w:t>’</w:t>
            </w:r>
            <w:r w:rsidRPr="00B0434F">
              <w:rPr>
                <w:b/>
                <w:i/>
              </w:rPr>
              <w:t>état d</w:t>
            </w:r>
            <w:r>
              <w:rPr>
                <w:b/>
                <w:i/>
              </w:rPr>
              <w:t>’</w:t>
            </w:r>
            <w:r w:rsidRPr="00B0434F">
              <w:rPr>
                <w:b/>
                <w:i/>
              </w:rPr>
              <w:t>avancement et de l</w:t>
            </w:r>
            <w:r>
              <w:rPr>
                <w:b/>
                <w:i/>
              </w:rPr>
              <w:t>’</w:t>
            </w:r>
            <w:r w:rsidRPr="00B0434F">
              <w:rPr>
                <w:b/>
                <w:i/>
              </w:rPr>
              <w:t>impact de ces projets</w:t>
            </w:r>
            <w:r w:rsidRPr="00B0434F">
              <w:t>.</w:t>
            </w:r>
          </w:p>
        </w:tc>
      </w:tr>
    </w:tbl>
    <w:p w14:paraId="684C1B0E"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AB6D7BB" w14:textId="77777777" w:rsidR="00BF7ACA" w:rsidRPr="00BF7ACA" w:rsidRDefault="00BF7ACA" w:rsidP="00BF7ACA">
      <w:r w:rsidRPr="00BF7ACA">
        <w:rPr>
          <w:rStyle w:val="HideTWBExt"/>
        </w:rPr>
        <w:t>&lt;/Amend&gt;</w:t>
      </w:r>
    </w:p>
    <w:p w14:paraId="6CEE181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321</w:t>
      </w:r>
      <w:r w:rsidRPr="00BF7ACA">
        <w:rPr>
          <w:rStyle w:val="HideTWBExt"/>
          <w:b w:val="0"/>
        </w:rPr>
        <w:t>&lt;/NumAm&gt;</w:t>
      </w:r>
    </w:p>
    <w:p w14:paraId="051F4024" w14:textId="77777777"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14:paraId="1AEC5C74" w14:textId="77777777" w:rsidR="00BF7ACA" w:rsidRPr="00AF1321" w:rsidRDefault="00BF7ACA" w:rsidP="00BF7ACA">
      <w:r>
        <w:rPr>
          <w:rStyle w:val="HideTWBExt"/>
        </w:rPr>
        <w:t>&lt;/RepeatBlock-By&gt;</w:t>
      </w:r>
    </w:p>
    <w:p w14:paraId="78A38A88"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35066CAE" w14:textId="77777777" w:rsidR="00BF7ACA" w:rsidRPr="00AF1321" w:rsidRDefault="00BF7ACA" w:rsidP="00BF7ACA">
      <w:pPr>
        <w:pStyle w:val="NormalBold"/>
      </w:pPr>
      <w:r>
        <w:rPr>
          <w:rStyle w:val="HideTWBExt"/>
          <w:b w:val="0"/>
        </w:rPr>
        <w:t>&lt;Article&gt;</w:t>
      </w:r>
      <w:r w:rsidRPr="00B0434F">
        <w:t>Article 11 – paragraphe 4 – alinéa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34585BB0" w14:textId="77777777" w:rsidTr="007924BE">
        <w:trPr>
          <w:jc w:val="center"/>
        </w:trPr>
        <w:tc>
          <w:tcPr>
            <w:tcW w:w="9752" w:type="dxa"/>
            <w:gridSpan w:val="2"/>
          </w:tcPr>
          <w:p w14:paraId="528430FE" w14:textId="77777777" w:rsidR="00BF7ACA" w:rsidRPr="00AF1321" w:rsidRDefault="00BF7ACA" w:rsidP="007924BE">
            <w:pPr>
              <w:keepNext/>
            </w:pPr>
          </w:p>
        </w:tc>
      </w:tr>
      <w:tr w:rsidR="00BF7ACA" w:rsidRPr="00AF1321" w14:paraId="49773A6D" w14:textId="77777777" w:rsidTr="007924BE">
        <w:trPr>
          <w:jc w:val="center"/>
        </w:trPr>
        <w:tc>
          <w:tcPr>
            <w:tcW w:w="4876" w:type="dxa"/>
            <w:hideMark/>
          </w:tcPr>
          <w:p w14:paraId="3CC2397E" w14:textId="77777777" w:rsidR="00BF7ACA" w:rsidRPr="00B0434F" w:rsidRDefault="00BF7ACA" w:rsidP="007924BE">
            <w:pPr>
              <w:pStyle w:val="ColumnHeading"/>
              <w:keepNext/>
            </w:pPr>
            <w:r w:rsidRPr="00B0434F">
              <w:t>Texte proposé par la Commission</w:t>
            </w:r>
          </w:p>
        </w:tc>
        <w:tc>
          <w:tcPr>
            <w:tcW w:w="4876" w:type="dxa"/>
            <w:hideMark/>
          </w:tcPr>
          <w:p w14:paraId="0224665A" w14:textId="77777777" w:rsidR="00BF7ACA" w:rsidRPr="00B0434F" w:rsidRDefault="00BF7ACA" w:rsidP="007924BE">
            <w:pPr>
              <w:pStyle w:val="ColumnHeading"/>
              <w:keepNext/>
            </w:pPr>
            <w:r w:rsidRPr="00B0434F">
              <w:t>Amendement</w:t>
            </w:r>
          </w:p>
        </w:tc>
      </w:tr>
      <w:tr w:rsidR="00BF7ACA" w:rsidRPr="00AF1321" w14:paraId="1AE2A0C5" w14:textId="77777777" w:rsidTr="007924BE">
        <w:trPr>
          <w:jc w:val="center"/>
        </w:trPr>
        <w:tc>
          <w:tcPr>
            <w:tcW w:w="4876" w:type="dxa"/>
            <w:hideMark/>
          </w:tcPr>
          <w:p w14:paraId="7E09361F" w14:textId="77777777" w:rsidR="00BF7ACA" w:rsidRPr="00B0434F" w:rsidRDefault="00BF7ACA" w:rsidP="007924BE">
            <w:pPr>
              <w:pStyle w:val="Normal6"/>
            </w:pPr>
            <w:r w:rsidRPr="00B0434F">
              <w:t xml:space="preserve">À la demande des États membres, leurs contributions peuvent être affectées au lancement de projets </w:t>
            </w:r>
            <w:r w:rsidRPr="00B0434F">
              <w:rPr>
                <w:b/>
                <w:i/>
              </w:rPr>
              <w:t>dans des</w:t>
            </w:r>
            <w:r w:rsidRPr="00B0434F">
              <w:t xml:space="preserve"> régions</w:t>
            </w:r>
            <w:r w:rsidRPr="00B0434F">
              <w:rPr>
                <w:b/>
                <w:i/>
              </w:rPr>
              <w:t>, pays, secteurs</w:t>
            </w:r>
            <w:r w:rsidRPr="00B0434F">
              <w:t xml:space="preserve"> ou volets d</w:t>
            </w:r>
            <w:r>
              <w:t>’</w:t>
            </w:r>
            <w:r w:rsidRPr="00B0434F">
              <w:t xml:space="preserve">investissement </w:t>
            </w:r>
            <w:r w:rsidRPr="00B0434F">
              <w:rPr>
                <w:b/>
                <w:i/>
              </w:rPr>
              <w:t>spécifiques</w:t>
            </w:r>
            <w:r w:rsidRPr="00B0434F">
              <w:t>.</w:t>
            </w:r>
          </w:p>
        </w:tc>
        <w:tc>
          <w:tcPr>
            <w:tcW w:w="4876" w:type="dxa"/>
            <w:hideMark/>
          </w:tcPr>
          <w:p w14:paraId="426E41E4" w14:textId="77777777" w:rsidR="00BF7ACA" w:rsidRPr="00B0434F" w:rsidRDefault="00BF7ACA" w:rsidP="007924BE">
            <w:pPr>
              <w:pStyle w:val="Normal6"/>
              <w:rPr>
                <w:szCs w:val="24"/>
              </w:rPr>
            </w:pPr>
            <w:r w:rsidRPr="00B0434F">
              <w:t>À la demande des États membres</w:t>
            </w:r>
            <w:r w:rsidRPr="00B0434F">
              <w:rPr>
                <w:b/>
                <w:i/>
              </w:rPr>
              <w:t xml:space="preserve"> et sous réserve de l</w:t>
            </w:r>
            <w:r>
              <w:rPr>
                <w:b/>
                <w:i/>
              </w:rPr>
              <w:t>’</w:t>
            </w:r>
            <w:r w:rsidRPr="00B0434F">
              <w:rPr>
                <w:b/>
                <w:i/>
              </w:rPr>
              <w:t>approbation du conseil stratégique</w:t>
            </w:r>
            <w:r w:rsidRPr="00B0434F">
              <w:t xml:space="preserve">, leurs contributions peuvent être affectées au lancement de projets dans </w:t>
            </w:r>
            <w:r w:rsidRPr="00B0434F">
              <w:rPr>
                <w:b/>
                <w:i/>
              </w:rPr>
              <w:t>certaines</w:t>
            </w:r>
            <w:r w:rsidRPr="00B0434F">
              <w:t xml:space="preserve"> régions ou </w:t>
            </w:r>
            <w:r w:rsidRPr="00B0434F">
              <w:rPr>
                <w:b/>
                <w:i/>
              </w:rPr>
              <w:t>dans certains</w:t>
            </w:r>
            <w:r w:rsidRPr="00B0434F">
              <w:t xml:space="preserve"> volets d</w:t>
            </w:r>
            <w:r>
              <w:t>’</w:t>
            </w:r>
            <w:r w:rsidRPr="00B0434F">
              <w:t xml:space="preserve">investissement </w:t>
            </w:r>
            <w:r w:rsidRPr="00B0434F">
              <w:rPr>
                <w:b/>
                <w:i/>
              </w:rPr>
              <w:t>existants</w:t>
            </w:r>
            <w:r w:rsidRPr="00B0434F">
              <w:t>.</w:t>
            </w:r>
          </w:p>
        </w:tc>
      </w:tr>
    </w:tbl>
    <w:p w14:paraId="033E705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D68C473" w14:textId="77777777" w:rsidR="00BF7ACA" w:rsidRPr="00BF7ACA" w:rsidRDefault="00BF7ACA" w:rsidP="00BF7ACA">
      <w:r w:rsidRPr="00BF7ACA">
        <w:rPr>
          <w:rStyle w:val="HideTWBExt"/>
        </w:rPr>
        <w:t>&lt;/Amend&gt;</w:t>
      </w:r>
    </w:p>
    <w:p w14:paraId="21BCD144"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322</w:t>
      </w:r>
      <w:r w:rsidRPr="00BF7ACA">
        <w:rPr>
          <w:rStyle w:val="HideTWBExt"/>
          <w:b w:val="0"/>
        </w:rPr>
        <w:t>&lt;/NumAm&gt;</w:t>
      </w:r>
    </w:p>
    <w:p w14:paraId="63B4DFDD"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Ilhan Kyuchyuk, Nedzhmi Ali</w:t>
      </w:r>
      <w:r w:rsidRPr="00BF7ACA">
        <w:rPr>
          <w:rStyle w:val="HideTWBExt"/>
          <w:b w:val="0"/>
        </w:rPr>
        <w:t>&lt;/Members&gt;</w:t>
      </w:r>
    </w:p>
    <w:p w14:paraId="2CFD0A09" w14:textId="77777777" w:rsidR="00BF7ACA" w:rsidRPr="00AF1321" w:rsidRDefault="00BF7ACA" w:rsidP="00BF7ACA">
      <w:r>
        <w:rPr>
          <w:rStyle w:val="HideTWBExt"/>
        </w:rPr>
        <w:t>&lt;/RepeatBlock-By&gt;</w:t>
      </w:r>
    </w:p>
    <w:p w14:paraId="0276D291"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2378A93E" w14:textId="77777777" w:rsidR="00BF7ACA" w:rsidRPr="00AF1321" w:rsidRDefault="00BF7ACA" w:rsidP="00BF7ACA">
      <w:pPr>
        <w:pStyle w:val="NormalBold"/>
      </w:pPr>
      <w:r>
        <w:rPr>
          <w:rStyle w:val="HideTWBExt"/>
          <w:b w:val="0"/>
        </w:rPr>
        <w:t>&lt;Article&gt;</w:t>
      </w:r>
      <w:r w:rsidRPr="00B0434F">
        <w:t>Article 11 – paragraphe 5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3EEEB542" w14:textId="77777777" w:rsidTr="007924BE">
        <w:trPr>
          <w:jc w:val="center"/>
        </w:trPr>
        <w:tc>
          <w:tcPr>
            <w:tcW w:w="9752" w:type="dxa"/>
            <w:gridSpan w:val="2"/>
          </w:tcPr>
          <w:p w14:paraId="67017B93" w14:textId="77777777" w:rsidR="00BF7ACA" w:rsidRPr="00AF1321" w:rsidRDefault="00BF7ACA" w:rsidP="007924BE">
            <w:pPr>
              <w:keepNext/>
            </w:pPr>
          </w:p>
        </w:tc>
      </w:tr>
      <w:tr w:rsidR="00BF7ACA" w:rsidRPr="00AF1321" w14:paraId="19E340FB" w14:textId="77777777" w:rsidTr="007924BE">
        <w:trPr>
          <w:jc w:val="center"/>
        </w:trPr>
        <w:tc>
          <w:tcPr>
            <w:tcW w:w="4876" w:type="dxa"/>
            <w:hideMark/>
          </w:tcPr>
          <w:p w14:paraId="66AC6C4E" w14:textId="77777777" w:rsidR="00BF7ACA" w:rsidRPr="00B0434F" w:rsidRDefault="00BF7ACA" w:rsidP="007924BE">
            <w:pPr>
              <w:pStyle w:val="ColumnHeading"/>
              <w:keepNext/>
            </w:pPr>
            <w:r w:rsidRPr="00B0434F">
              <w:t>Texte proposé par la Commission</w:t>
            </w:r>
          </w:p>
        </w:tc>
        <w:tc>
          <w:tcPr>
            <w:tcW w:w="4876" w:type="dxa"/>
            <w:hideMark/>
          </w:tcPr>
          <w:p w14:paraId="7FC3E98A" w14:textId="77777777" w:rsidR="00BF7ACA" w:rsidRPr="00B0434F" w:rsidRDefault="00BF7ACA" w:rsidP="007924BE">
            <w:pPr>
              <w:pStyle w:val="ColumnHeading"/>
              <w:keepNext/>
            </w:pPr>
            <w:r w:rsidRPr="00B0434F">
              <w:t>Amendement</w:t>
            </w:r>
          </w:p>
        </w:tc>
      </w:tr>
      <w:tr w:rsidR="00BF7ACA" w:rsidRPr="00AF1321" w14:paraId="5D1F1E62" w14:textId="77777777" w:rsidTr="007924BE">
        <w:trPr>
          <w:jc w:val="center"/>
        </w:trPr>
        <w:tc>
          <w:tcPr>
            <w:tcW w:w="4876" w:type="dxa"/>
          </w:tcPr>
          <w:p w14:paraId="3E409BC0" w14:textId="77777777" w:rsidR="00BF7ACA" w:rsidRPr="00B0434F" w:rsidRDefault="00BF7ACA" w:rsidP="007924BE">
            <w:pPr>
              <w:pStyle w:val="Normal6"/>
            </w:pPr>
          </w:p>
        </w:tc>
        <w:tc>
          <w:tcPr>
            <w:tcW w:w="4876" w:type="dxa"/>
            <w:hideMark/>
          </w:tcPr>
          <w:p w14:paraId="4FA3E1ED" w14:textId="77777777" w:rsidR="00BF7ACA" w:rsidRPr="00B0434F" w:rsidRDefault="00BF7ACA" w:rsidP="007924BE">
            <w:pPr>
              <w:pStyle w:val="Normal6"/>
              <w:rPr>
                <w:szCs w:val="24"/>
              </w:rPr>
            </w:pPr>
            <w:r w:rsidRPr="00B0434F">
              <w:rPr>
                <w:b/>
                <w:i/>
              </w:rPr>
              <w:t>5 bis.</w:t>
            </w:r>
            <w:r>
              <w:tab/>
            </w:r>
            <w:r w:rsidRPr="00B0434F">
              <w:rPr>
                <w:b/>
                <w:i/>
              </w:rPr>
              <w:t>Au moins 100 000 000 EUR sont affectés à des investissements dans les pays partenaires du voisinage oriental et méridional et, à cette fin, les fonds devraient être transférés depuis l</w:t>
            </w:r>
            <w:r>
              <w:rPr>
                <w:b/>
                <w:i/>
              </w:rPr>
              <w:t>’</w:t>
            </w:r>
            <w:r w:rsidRPr="00B0434F">
              <w:rPr>
                <w:b/>
                <w:i/>
              </w:rPr>
              <w:t>instrument d</w:t>
            </w:r>
            <w:r>
              <w:rPr>
                <w:b/>
                <w:i/>
              </w:rPr>
              <w:t>’</w:t>
            </w:r>
            <w:r w:rsidRPr="00B0434F">
              <w:rPr>
                <w:b/>
                <w:i/>
              </w:rPr>
              <w:t>aide de préadhésion (IAP II), institué par le règlement (UE) nº 231/2014.</w:t>
            </w:r>
          </w:p>
        </w:tc>
      </w:tr>
    </w:tbl>
    <w:p w14:paraId="0DDD74EA" w14:textId="77777777" w:rsidR="00BF7ACA" w:rsidRPr="00AF1321" w:rsidRDefault="00BF7ACA" w:rsidP="00BF7ACA">
      <w:pPr>
        <w:pStyle w:val="Olang"/>
        <w:rPr>
          <w:noProof w:val="0"/>
          <w:szCs w:val="24"/>
        </w:rPr>
      </w:pPr>
      <w:r w:rsidRPr="00B0434F">
        <w:rPr>
          <w:noProof w:val="0"/>
        </w:rPr>
        <w:t xml:space="preserve">Or. </w:t>
      </w:r>
      <w:r w:rsidRPr="004C208F">
        <w:rPr>
          <w:rStyle w:val="HideTWBExt"/>
          <w:noProof w:val="0"/>
        </w:rPr>
        <w:t>&lt;Original&gt;</w:t>
      </w:r>
      <w:r w:rsidRPr="004C208F">
        <w:rPr>
          <w:rStyle w:val="HideTWBInt"/>
          <w:noProof w:val="0"/>
        </w:rPr>
        <w:t>{EN}</w:t>
      </w:r>
      <w:r w:rsidRPr="00B0434F">
        <w:rPr>
          <w:noProof w:val="0"/>
        </w:rPr>
        <w:t>en</w:t>
      </w:r>
      <w:r w:rsidRPr="004C208F">
        <w:rPr>
          <w:rStyle w:val="HideTWBExt"/>
          <w:noProof w:val="0"/>
        </w:rPr>
        <w:t>&lt;/Original&gt;</w:t>
      </w:r>
    </w:p>
    <w:p w14:paraId="03DAEA49" w14:textId="77777777" w:rsidR="00BF7ACA" w:rsidRPr="00AF1321" w:rsidRDefault="00BF7ACA" w:rsidP="00BF7ACA">
      <w:pPr>
        <w:pStyle w:val="JustificationTitle"/>
        <w:rPr>
          <w:noProof w:val="0"/>
        </w:rPr>
      </w:pPr>
      <w:r>
        <w:rPr>
          <w:rStyle w:val="HideTWBExt"/>
          <w:i w:val="0"/>
          <w:noProof w:val="0"/>
        </w:rPr>
        <w:t>&lt;TitreJust&gt;</w:t>
      </w:r>
      <w:r w:rsidRPr="00B0434F">
        <w:rPr>
          <w:noProof w:val="0"/>
        </w:rPr>
        <w:t>Justification</w:t>
      </w:r>
      <w:r>
        <w:rPr>
          <w:rStyle w:val="HideTWBExt"/>
          <w:i w:val="0"/>
          <w:noProof w:val="0"/>
        </w:rPr>
        <w:t>&lt;/TitreJust&gt;</w:t>
      </w:r>
    </w:p>
    <w:p w14:paraId="005AAB9E" w14:textId="77777777" w:rsidR="00BF7ACA" w:rsidRPr="00AF1321" w:rsidRDefault="00BF7ACA" w:rsidP="00BF7ACA">
      <w:pPr>
        <w:pStyle w:val="Normal12Italic"/>
        <w:rPr>
          <w:noProof w:val="0"/>
        </w:rPr>
      </w:pPr>
      <w:r>
        <w:rPr>
          <w:noProof w:val="0"/>
        </w:rPr>
        <w:t>Étant donné que l’instrument européen de voisinage, institué par le règlement (UE) nº 232/2014, est sous-financé, les fonds du FEDD devraient provenir d’ailleurs. Nous estimons que, compte tenu du faible taux d’absorption des fonds de l’IAP, les ressources du FEDD pourraient provenir de l’IAP.</w:t>
      </w:r>
    </w:p>
    <w:p w14:paraId="31768F9C" w14:textId="77777777" w:rsidR="00BF7ACA" w:rsidRPr="00BF7ACA" w:rsidRDefault="00BF7ACA" w:rsidP="00BF7ACA">
      <w:r w:rsidRPr="00BF7ACA">
        <w:rPr>
          <w:rStyle w:val="HideTWBExt"/>
        </w:rPr>
        <w:t>&lt;/Amend&gt;</w:t>
      </w:r>
    </w:p>
    <w:p w14:paraId="297D6052"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323</w:t>
      </w:r>
      <w:r w:rsidRPr="00BF7ACA">
        <w:rPr>
          <w:rStyle w:val="HideTWBExt"/>
          <w:b w:val="0"/>
        </w:rPr>
        <w:t>&lt;/NumAm&gt;</w:t>
      </w:r>
    </w:p>
    <w:p w14:paraId="49E4EDE6" w14:textId="77777777"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14:paraId="6E876EA9" w14:textId="77777777" w:rsidR="00BF7ACA" w:rsidRPr="00AF1321" w:rsidRDefault="00BF7ACA" w:rsidP="00BF7ACA">
      <w:r>
        <w:rPr>
          <w:rStyle w:val="HideTWBExt"/>
        </w:rPr>
        <w:t>&lt;/RepeatBlock-By&gt;</w:t>
      </w:r>
    </w:p>
    <w:p w14:paraId="5CAD4EFE"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7FBC3B04" w14:textId="77777777" w:rsidR="00BF7ACA" w:rsidRPr="00AF1321" w:rsidRDefault="00BF7ACA" w:rsidP="00BF7ACA">
      <w:pPr>
        <w:pStyle w:val="NormalBold"/>
      </w:pPr>
      <w:r>
        <w:rPr>
          <w:rStyle w:val="HideTWBExt"/>
          <w:b w:val="0"/>
        </w:rPr>
        <w:t>&lt;Article&gt;</w:t>
      </w:r>
      <w:r w:rsidRPr="00B0434F">
        <w:t>Article 11 – paragraphe 5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37E72C3B" w14:textId="77777777" w:rsidTr="007924BE">
        <w:trPr>
          <w:jc w:val="center"/>
        </w:trPr>
        <w:tc>
          <w:tcPr>
            <w:tcW w:w="9752" w:type="dxa"/>
            <w:gridSpan w:val="2"/>
          </w:tcPr>
          <w:p w14:paraId="7330F300" w14:textId="77777777" w:rsidR="00BF7ACA" w:rsidRPr="00AF1321" w:rsidRDefault="00BF7ACA" w:rsidP="007924BE">
            <w:pPr>
              <w:keepNext/>
            </w:pPr>
          </w:p>
        </w:tc>
      </w:tr>
      <w:tr w:rsidR="00BF7ACA" w:rsidRPr="00AF1321" w14:paraId="0823E084" w14:textId="77777777" w:rsidTr="007924BE">
        <w:trPr>
          <w:jc w:val="center"/>
        </w:trPr>
        <w:tc>
          <w:tcPr>
            <w:tcW w:w="4876" w:type="dxa"/>
            <w:hideMark/>
          </w:tcPr>
          <w:p w14:paraId="3A989632" w14:textId="77777777" w:rsidR="00BF7ACA" w:rsidRPr="00B0434F" w:rsidRDefault="00BF7ACA" w:rsidP="007924BE">
            <w:pPr>
              <w:pStyle w:val="ColumnHeading"/>
              <w:keepNext/>
            </w:pPr>
            <w:r w:rsidRPr="00B0434F">
              <w:t>Texte proposé par la Commission</w:t>
            </w:r>
          </w:p>
        </w:tc>
        <w:tc>
          <w:tcPr>
            <w:tcW w:w="4876" w:type="dxa"/>
            <w:hideMark/>
          </w:tcPr>
          <w:p w14:paraId="0AC6CFF0" w14:textId="77777777" w:rsidR="00BF7ACA" w:rsidRPr="00B0434F" w:rsidRDefault="00BF7ACA" w:rsidP="007924BE">
            <w:pPr>
              <w:pStyle w:val="ColumnHeading"/>
              <w:keepNext/>
            </w:pPr>
            <w:r w:rsidRPr="00B0434F">
              <w:t>Amendement</w:t>
            </w:r>
          </w:p>
        </w:tc>
      </w:tr>
      <w:tr w:rsidR="00BF7ACA" w:rsidRPr="00AF1321" w14:paraId="2C7F47A1" w14:textId="77777777" w:rsidTr="007924BE">
        <w:trPr>
          <w:jc w:val="center"/>
        </w:trPr>
        <w:tc>
          <w:tcPr>
            <w:tcW w:w="4876" w:type="dxa"/>
          </w:tcPr>
          <w:p w14:paraId="6368CF83" w14:textId="77777777" w:rsidR="00BF7ACA" w:rsidRPr="00B0434F" w:rsidRDefault="00BF7ACA" w:rsidP="007924BE">
            <w:pPr>
              <w:pStyle w:val="Normal6"/>
            </w:pPr>
          </w:p>
        </w:tc>
        <w:tc>
          <w:tcPr>
            <w:tcW w:w="4876" w:type="dxa"/>
            <w:hideMark/>
          </w:tcPr>
          <w:p w14:paraId="46EDD132" w14:textId="77777777" w:rsidR="00BF7ACA" w:rsidRPr="00B0434F" w:rsidRDefault="00BF7ACA" w:rsidP="007924BE">
            <w:pPr>
              <w:pStyle w:val="Normal6"/>
              <w:rPr>
                <w:szCs w:val="24"/>
              </w:rPr>
            </w:pPr>
            <w:r w:rsidRPr="00B0434F">
              <w:rPr>
                <w:b/>
                <w:i/>
              </w:rPr>
              <w:t>5 bis.</w:t>
            </w:r>
            <w:r>
              <w:tab/>
            </w:r>
            <w:r w:rsidRPr="00B0434F">
              <w:rPr>
                <w:b/>
                <w:i/>
              </w:rPr>
              <w:t>Au moins 200 000 000 EUR de la couverture de la garantie FEDD sont affectés à des investissements dans les pays partenaires du voisinage oriental et méridional,</w:t>
            </w:r>
            <w:r>
              <w:rPr>
                <w:b/>
                <w:i/>
              </w:rPr>
              <w:t xml:space="preserve"> conformément au règlement (UE) </w:t>
            </w:r>
            <w:r w:rsidRPr="00B0434F">
              <w:rPr>
                <w:b/>
                <w:i/>
              </w:rPr>
              <w:t>nº 232/2014.</w:t>
            </w:r>
          </w:p>
        </w:tc>
      </w:tr>
    </w:tbl>
    <w:p w14:paraId="29EBA483"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012F1D5" w14:textId="77777777" w:rsidR="00BF7ACA" w:rsidRPr="00BF7ACA" w:rsidRDefault="00BF7ACA" w:rsidP="00BF7ACA">
      <w:r w:rsidRPr="00BF7ACA">
        <w:rPr>
          <w:rStyle w:val="HideTWBExt"/>
        </w:rPr>
        <w:t>&lt;/Amend&gt;</w:t>
      </w:r>
    </w:p>
    <w:p w14:paraId="22EFA86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324</w:t>
      </w:r>
      <w:r w:rsidRPr="00BF7ACA">
        <w:rPr>
          <w:rStyle w:val="HideTWBExt"/>
          <w:b w:val="0"/>
        </w:rPr>
        <w:t>&lt;/NumAm&gt;</w:t>
      </w:r>
    </w:p>
    <w:p w14:paraId="5F1CE038" w14:textId="77777777" w:rsidR="00BF7ACA" w:rsidRPr="00BF7ACA" w:rsidRDefault="00BF7ACA" w:rsidP="00BF7ACA">
      <w:pPr>
        <w:pStyle w:val="NormalBold"/>
      </w:pPr>
      <w:r w:rsidRPr="00BF7ACA">
        <w:rPr>
          <w:rStyle w:val="HideTWBExt"/>
          <w:b w:val="0"/>
        </w:rPr>
        <w:t>&lt;RepeatBlock-By&gt;&lt;Members&gt;</w:t>
      </w:r>
      <w:r w:rsidRPr="00BF7ACA">
        <w:t>Sabine Lösing</w:t>
      </w:r>
      <w:r w:rsidRPr="00BF7ACA">
        <w:rPr>
          <w:rStyle w:val="HideTWBExt"/>
          <w:b w:val="0"/>
        </w:rPr>
        <w:t>&lt;/Members&gt;</w:t>
      </w:r>
    </w:p>
    <w:p w14:paraId="71D2ABE4" w14:textId="77777777" w:rsidR="00BF7ACA" w:rsidRPr="00AF1321" w:rsidRDefault="00BF7ACA" w:rsidP="00BF7ACA">
      <w:r>
        <w:rPr>
          <w:rStyle w:val="HideTWBExt"/>
        </w:rPr>
        <w:t>&lt;/RepeatBlock-By&gt;</w:t>
      </w:r>
    </w:p>
    <w:p w14:paraId="3A194B15"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776224D7" w14:textId="77777777" w:rsidR="00BF7ACA" w:rsidRPr="00AF1321" w:rsidRDefault="00BF7ACA" w:rsidP="00BF7ACA">
      <w:pPr>
        <w:pStyle w:val="NormalBold"/>
      </w:pPr>
      <w:r>
        <w:rPr>
          <w:rStyle w:val="HideTWBExt"/>
          <w:b w:val="0"/>
        </w:rPr>
        <w:t>&lt;Article&gt;</w:t>
      </w:r>
      <w:r w:rsidRPr="00B0434F">
        <w:t>Article 12 – paragraphe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3B8CBA7D" w14:textId="77777777" w:rsidTr="007924BE">
        <w:trPr>
          <w:jc w:val="center"/>
        </w:trPr>
        <w:tc>
          <w:tcPr>
            <w:tcW w:w="9752" w:type="dxa"/>
            <w:gridSpan w:val="2"/>
          </w:tcPr>
          <w:p w14:paraId="0B2C3F80" w14:textId="77777777" w:rsidR="00BF7ACA" w:rsidRPr="00AF1321" w:rsidRDefault="00BF7ACA" w:rsidP="007924BE">
            <w:pPr>
              <w:keepNext/>
            </w:pPr>
          </w:p>
        </w:tc>
      </w:tr>
      <w:tr w:rsidR="00BF7ACA" w:rsidRPr="00AF1321" w14:paraId="3E228819" w14:textId="77777777" w:rsidTr="007924BE">
        <w:trPr>
          <w:jc w:val="center"/>
        </w:trPr>
        <w:tc>
          <w:tcPr>
            <w:tcW w:w="4876" w:type="dxa"/>
            <w:hideMark/>
          </w:tcPr>
          <w:p w14:paraId="20DB0E9A" w14:textId="77777777" w:rsidR="00BF7ACA" w:rsidRPr="00B0434F" w:rsidRDefault="00BF7ACA" w:rsidP="007924BE">
            <w:pPr>
              <w:pStyle w:val="ColumnHeading"/>
              <w:keepNext/>
            </w:pPr>
            <w:r w:rsidRPr="00B0434F">
              <w:t>Texte proposé par la Commission</w:t>
            </w:r>
          </w:p>
        </w:tc>
        <w:tc>
          <w:tcPr>
            <w:tcW w:w="4876" w:type="dxa"/>
            <w:hideMark/>
          </w:tcPr>
          <w:p w14:paraId="0ECBDE79" w14:textId="77777777" w:rsidR="00BF7ACA" w:rsidRPr="00B0434F" w:rsidRDefault="00BF7ACA" w:rsidP="007924BE">
            <w:pPr>
              <w:pStyle w:val="ColumnHeading"/>
              <w:keepNext/>
            </w:pPr>
            <w:r w:rsidRPr="00B0434F">
              <w:t>Amendement</w:t>
            </w:r>
          </w:p>
        </w:tc>
      </w:tr>
      <w:tr w:rsidR="00BF7ACA" w:rsidRPr="00AF1321" w14:paraId="1B264F0A" w14:textId="77777777" w:rsidTr="007924BE">
        <w:trPr>
          <w:jc w:val="center"/>
        </w:trPr>
        <w:tc>
          <w:tcPr>
            <w:tcW w:w="4876" w:type="dxa"/>
            <w:hideMark/>
          </w:tcPr>
          <w:p w14:paraId="4DCBED24" w14:textId="77777777" w:rsidR="00BF7ACA" w:rsidRPr="00B0434F" w:rsidRDefault="00BF7ACA" w:rsidP="007924BE">
            <w:pPr>
              <w:pStyle w:val="Normal6"/>
            </w:pPr>
            <w:r w:rsidRPr="00B0434F">
              <w:t>1.</w:t>
            </w:r>
            <w:r>
              <w:tab/>
            </w:r>
            <w:r w:rsidRPr="00B0434F">
              <w:t>La Commission, au nom de l</w:t>
            </w:r>
            <w:r>
              <w:t>’</w:t>
            </w:r>
            <w:r w:rsidRPr="00B0434F">
              <w:t>Union, conclut des accords de garantie FEDD avec les contreparties éligibles sélectionnées conformément à l</w:t>
            </w:r>
            <w:r>
              <w:t>’</w:t>
            </w:r>
            <w:r w:rsidRPr="00B0434F">
              <w:t>article 10 et au paragraphe 4, concernant l</w:t>
            </w:r>
            <w:r>
              <w:t>’</w:t>
            </w:r>
            <w:r w:rsidRPr="00B0434F">
              <w:t xml:space="preserve">octroi de la garantie FEDD, laquelle est </w:t>
            </w:r>
            <w:r w:rsidRPr="00B0434F">
              <w:rPr>
                <w:b/>
                <w:i/>
              </w:rPr>
              <w:t>inconditionnelle,</w:t>
            </w:r>
            <w:r w:rsidRPr="00B0434F">
              <w:t xml:space="preserve"> irrévocable et payable à première demande en faveur de la contrepartie éligible sélectionnée.</w:t>
            </w:r>
          </w:p>
        </w:tc>
        <w:tc>
          <w:tcPr>
            <w:tcW w:w="4876" w:type="dxa"/>
            <w:hideMark/>
          </w:tcPr>
          <w:p w14:paraId="2355518D" w14:textId="77777777" w:rsidR="00BF7ACA" w:rsidRPr="00B0434F" w:rsidRDefault="00BF7ACA" w:rsidP="007924BE">
            <w:pPr>
              <w:pStyle w:val="Normal6"/>
              <w:rPr>
                <w:szCs w:val="24"/>
              </w:rPr>
            </w:pPr>
            <w:r w:rsidRPr="00B0434F">
              <w:t>1.</w:t>
            </w:r>
            <w:r>
              <w:tab/>
            </w:r>
            <w:r w:rsidRPr="00B0434F">
              <w:t>La Commission, au nom de l</w:t>
            </w:r>
            <w:r>
              <w:t>’</w:t>
            </w:r>
            <w:r w:rsidRPr="00B0434F">
              <w:t>Union, conclut des accords de garantie FEDD avec les contreparties éligibles sélectionnées conformément à l</w:t>
            </w:r>
            <w:r>
              <w:t>’</w:t>
            </w:r>
            <w:r w:rsidRPr="00B0434F">
              <w:t>article 10 et au paragraphe 4, concernant l</w:t>
            </w:r>
            <w:r>
              <w:t>’</w:t>
            </w:r>
            <w:r w:rsidRPr="00B0434F">
              <w:t>octroi de la garantie FEDD, laquelle est irrévocable et payable à première demande en faveur de la contrepartie éligible sélectionnée.</w:t>
            </w:r>
          </w:p>
        </w:tc>
      </w:tr>
    </w:tbl>
    <w:p w14:paraId="27B2EAAE" w14:textId="77777777" w:rsidR="00BF7ACA" w:rsidRPr="00AF1321" w:rsidRDefault="00BF7ACA" w:rsidP="00BF7ACA">
      <w:pPr>
        <w:pStyle w:val="Olang"/>
        <w:rPr>
          <w:noProof w:val="0"/>
          <w:szCs w:val="24"/>
        </w:rPr>
      </w:pPr>
      <w:r w:rsidRPr="00B0434F">
        <w:rPr>
          <w:noProof w:val="0"/>
        </w:rPr>
        <w:t xml:space="preserve">Or. </w:t>
      </w:r>
      <w:r w:rsidRPr="004C208F">
        <w:rPr>
          <w:rStyle w:val="HideTWBExt"/>
          <w:noProof w:val="0"/>
        </w:rPr>
        <w:t>&lt;Original&gt;</w:t>
      </w:r>
      <w:r w:rsidRPr="004C208F">
        <w:rPr>
          <w:rStyle w:val="HideTWBInt"/>
          <w:noProof w:val="0"/>
        </w:rPr>
        <w:t>{EN}</w:t>
      </w:r>
      <w:r w:rsidRPr="00B0434F">
        <w:rPr>
          <w:noProof w:val="0"/>
        </w:rPr>
        <w:t>en</w:t>
      </w:r>
      <w:r w:rsidRPr="004C208F">
        <w:rPr>
          <w:rStyle w:val="HideTWBExt"/>
          <w:noProof w:val="0"/>
        </w:rPr>
        <w:t>&lt;/Original&gt;</w:t>
      </w:r>
    </w:p>
    <w:p w14:paraId="15E1E9F5" w14:textId="77777777" w:rsidR="00BF7ACA" w:rsidRPr="00AF1321" w:rsidRDefault="00BF7ACA" w:rsidP="00BF7ACA">
      <w:pPr>
        <w:pStyle w:val="JustificationTitle"/>
        <w:rPr>
          <w:noProof w:val="0"/>
        </w:rPr>
      </w:pPr>
      <w:r>
        <w:rPr>
          <w:rStyle w:val="HideTWBExt"/>
          <w:i w:val="0"/>
          <w:noProof w:val="0"/>
        </w:rPr>
        <w:t>&lt;TitreJust&gt;</w:t>
      </w:r>
      <w:r w:rsidRPr="00B0434F">
        <w:rPr>
          <w:noProof w:val="0"/>
        </w:rPr>
        <w:t>Justification</w:t>
      </w:r>
      <w:r>
        <w:rPr>
          <w:rStyle w:val="HideTWBExt"/>
          <w:i w:val="0"/>
          <w:noProof w:val="0"/>
        </w:rPr>
        <w:t>&lt;/TitreJust&gt;</w:t>
      </w:r>
    </w:p>
    <w:p w14:paraId="16D92031" w14:textId="77777777" w:rsidR="00BF7ACA" w:rsidRPr="00AF1321" w:rsidRDefault="00BF7ACA" w:rsidP="00BF7ACA">
      <w:pPr>
        <w:pStyle w:val="Normal12Italic"/>
        <w:rPr>
          <w:noProof w:val="0"/>
        </w:rPr>
      </w:pPr>
      <w:r>
        <w:rPr>
          <w:noProof w:val="0"/>
        </w:rPr>
        <w:t>Les accords sont conclus sous réserve que l’investissement/la mesure contribue à l’objectif visant à soutenir un développement durable et inclusif sur les plans économique, social et environnemental dans les pays partenaires.</w:t>
      </w:r>
    </w:p>
    <w:p w14:paraId="22B4B685" w14:textId="77777777" w:rsidR="00BF7ACA" w:rsidRPr="00BF7ACA" w:rsidRDefault="00BF7ACA" w:rsidP="00BF7ACA">
      <w:r w:rsidRPr="00BF7ACA">
        <w:rPr>
          <w:rStyle w:val="HideTWBExt"/>
        </w:rPr>
        <w:t>&lt;/Amend&gt;</w:t>
      </w:r>
    </w:p>
    <w:p w14:paraId="56801DA9"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325</w:t>
      </w:r>
      <w:r w:rsidRPr="00BF7ACA">
        <w:rPr>
          <w:rStyle w:val="HideTWBExt"/>
          <w:b w:val="0"/>
        </w:rPr>
        <w:t>&lt;/NumAm&gt;</w:t>
      </w:r>
    </w:p>
    <w:p w14:paraId="0BFEB902" w14:textId="77777777"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Jozo Radoš, Hilde Vautmans, Ilhan Kyuchyuk, Nedzhmi Ali</w:t>
      </w:r>
      <w:r w:rsidRPr="00BF7ACA">
        <w:rPr>
          <w:rStyle w:val="HideTWBExt"/>
          <w:b w:val="0"/>
        </w:rPr>
        <w:t>&lt;/Members&gt;</w:t>
      </w:r>
    </w:p>
    <w:p w14:paraId="460C48AF" w14:textId="77777777" w:rsidR="00BF7ACA" w:rsidRPr="00AF1321" w:rsidRDefault="00BF7ACA" w:rsidP="00BF7ACA">
      <w:r>
        <w:rPr>
          <w:rStyle w:val="HideTWBExt"/>
        </w:rPr>
        <w:t>&lt;/RepeatBlock-By&gt;</w:t>
      </w:r>
    </w:p>
    <w:p w14:paraId="604D3BF0"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0E014247" w14:textId="77777777" w:rsidR="00BF7ACA" w:rsidRPr="00AF1321" w:rsidRDefault="00BF7ACA" w:rsidP="00BF7ACA">
      <w:pPr>
        <w:pStyle w:val="NormalBold"/>
      </w:pPr>
      <w:r>
        <w:rPr>
          <w:rStyle w:val="HideTWBExt"/>
          <w:b w:val="0"/>
        </w:rPr>
        <w:t>&lt;Article&gt;</w:t>
      </w:r>
      <w:r w:rsidRPr="00B0434F">
        <w:t>Article 12 – paragraphe 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158E6618" w14:textId="77777777" w:rsidTr="007924BE">
        <w:trPr>
          <w:jc w:val="center"/>
        </w:trPr>
        <w:tc>
          <w:tcPr>
            <w:tcW w:w="9752" w:type="dxa"/>
            <w:gridSpan w:val="2"/>
          </w:tcPr>
          <w:p w14:paraId="61585A55" w14:textId="77777777" w:rsidR="00BF7ACA" w:rsidRPr="00AF1321" w:rsidRDefault="00BF7ACA" w:rsidP="007924BE">
            <w:pPr>
              <w:keepNext/>
            </w:pPr>
          </w:p>
        </w:tc>
      </w:tr>
      <w:tr w:rsidR="00BF7ACA" w:rsidRPr="00AF1321" w14:paraId="074736AF" w14:textId="77777777" w:rsidTr="007924BE">
        <w:trPr>
          <w:jc w:val="center"/>
        </w:trPr>
        <w:tc>
          <w:tcPr>
            <w:tcW w:w="4876" w:type="dxa"/>
            <w:hideMark/>
          </w:tcPr>
          <w:p w14:paraId="12EF59D3" w14:textId="77777777" w:rsidR="00BF7ACA" w:rsidRPr="00B0434F" w:rsidRDefault="00BF7ACA" w:rsidP="007924BE">
            <w:pPr>
              <w:pStyle w:val="ColumnHeading"/>
              <w:keepNext/>
            </w:pPr>
            <w:r w:rsidRPr="00B0434F">
              <w:t>Texte proposé par la Commission</w:t>
            </w:r>
          </w:p>
        </w:tc>
        <w:tc>
          <w:tcPr>
            <w:tcW w:w="4876" w:type="dxa"/>
            <w:hideMark/>
          </w:tcPr>
          <w:p w14:paraId="0355A27D" w14:textId="77777777" w:rsidR="00BF7ACA" w:rsidRPr="00B0434F" w:rsidRDefault="00BF7ACA" w:rsidP="007924BE">
            <w:pPr>
              <w:pStyle w:val="ColumnHeading"/>
              <w:keepNext/>
            </w:pPr>
            <w:r w:rsidRPr="00B0434F">
              <w:t>Amendement</w:t>
            </w:r>
          </w:p>
        </w:tc>
      </w:tr>
      <w:tr w:rsidR="00BF7ACA" w:rsidRPr="00AF1321" w14:paraId="412BDEC3" w14:textId="77777777" w:rsidTr="007924BE">
        <w:trPr>
          <w:jc w:val="center"/>
        </w:trPr>
        <w:tc>
          <w:tcPr>
            <w:tcW w:w="4876" w:type="dxa"/>
          </w:tcPr>
          <w:p w14:paraId="52097D90" w14:textId="77777777" w:rsidR="00BF7ACA" w:rsidRPr="00B0434F" w:rsidRDefault="00BF7ACA" w:rsidP="007924BE">
            <w:pPr>
              <w:pStyle w:val="Normal6"/>
            </w:pPr>
          </w:p>
        </w:tc>
        <w:tc>
          <w:tcPr>
            <w:tcW w:w="4876" w:type="dxa"/>
            <w:hideMark/>
          </w:tcPr>
          <w:p w14:paraId="5122DAAC" w14:textId="77777777" w:rsidR="00BF7ACA" w:rsidRPr="00B0434F" w:rsidRDefault="00BF7ACA" w:rsidP="007924BE">
            <w:pPr>
              <w:pStyle w:val="Normal6"/>
              <w:rPr>
                <w:szCs w:val="24"/>
              </w:rPr>
            </w:pPr>
            <w:r w:rsidRPr="00B0434F">
              <w:rPr>
                <w:b/>
                <w:i/>
              </w:rPr>
              <w:t>2 bis.</w:t>
            </w:r>
            <w:r>
              <w:tab/>
            </w:r>
            <w:r w:rsidRPr="00B0434F">
              <w:rPr>
                <w:b/>
                <w:i/>
              </w:rPr>
              <w:t>les accords de garantie sont rendus publics et sont assortis d</w:t>
            </w:r>
            <w:r>
              <w:rPr>
                <w:b/>
                <w:i/>
              </w:rPr>
              <w:t>’</w:t>
            </w:r>
            <w:r w:rsidRPr="00B0434F">
              <w:rPr>
                <w:b/>
                <w:i/>
              </w:rPr>
              <w:t>un régime d</w:t>
            </w:r>
            <w:r>
              <w:rPr>
                <w:b/>
                <w:i/>
              </w:rPr>
              <w:t>’</w:t>
            </w:r>
            <w:r w:rsidRPr="00B0434F">
              <w:rPr>
                <w:b/>
                <w:i/>
              </w:rPr>
              <w:t>exceptions restreint.</w:t>
            </w:r>
          </w:p>
        </w:tc>
      </w:tr>
    </w:tbl>
    <w:p w14:paraId="4B0DB65B"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819A0E4" w14:textId="77777777" w:rsidR="00BF7ACA" w:rsidRPr="00BF7ACA" w:rsidRDefault="00BF7ACA" w:rsidP="00BF7ACA">
      <w:r w:rsidRPr="00BF7ACA">
        <w:rPr>
          <w:rStyle w:val="HideTWBExt"/>
        </w:rPr>
        <w:t>&lt;/Amend&gt;</w:t>
      </w:r>
    </w:p>
    <w:p w14:paraId="73DC9732"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326</w:t>
      </w:r>
      <w:r w:rsidRPr="00BF7ACA">
        <w:rPr>
          <w:rStyle w:val="HideTWBExt"/>
          <w:b w:val="0"/>
        </w:rPr>
        <w:t>&lt;/NumAm&gt;</w:t>
      </w:r>
    </w:p>
    <w:p w14:paraId="70A158D7"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78DA1DB9" w14:textId="77777777" w:rsidR="00BF7ACA" w:rsidRPr="00AF1321" w:rsidRDefault="00BF7ACA" w:rsidP="00BF7ACA">
      <w:r>
        <w:rPr>
          <w:rStyle w:val="HideTWBExt"/>
        </w:rPr>
        <w:t>&lt;/RepeatBlock-By&gt;</w:t>
      </w:r>
    </w:p>
    <w:p w14:paraId="62B33884"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108C18F7" w14:textId="77777777" w:rsidR="00BF7ACA" w:rsidRPr="00AF1321" w:rsidRDefault="00BF7ACA" w:rsidP="00BF7ACA">
      <w:pPr>
        <w:pStyle w:val="NormalBold"/>
      </w:pPr>
      <w:r>
        <w:rPr>
          <w:rStyle w:val="HideTWBExt"/>
          <w:b w:val="0"/>
        </w:rPr>
        <w:t>&lt;Article&gt;</w:t>
      </w:r>
      <w:r w:rsidRPr="00B0434F">
        <w:t>Article 12 – paragraphe 3 – partie introductive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33079EC7" w14:textId="77777777" w:rsidTr="007924BE">
        <w:trPr>
          <w:jc w:val="center"/>
        </w:trPr>
        <w:tc>
          <w:tcPr>
            <w:tcW w:w="9752" w:type="dxa"/>
            <w:gridSpan w:val="2"/>
          </w:tcPr>
          <w:p w14:paraId="69A67C9E" w14:textId="77777777" w:rsidR="00BF7ACA" w:rsidRPr="00AF1321" w:rsidRDefault="00BF7ACA" w:rsidP="007924BE">
            <w:pPr>
              <w:keepNext/>
            </w:pPr>
          </w:p>
        </w:tc>
      </w:tr>
      <w:tr w:rsidR="00BF7ACA" w:rsidRPr="00AF1321" w14:paraId="738A0304" w14:textId="77777777" w:rsidTr="007924BE">
        <w:trPr>
          <w:jc w:val="center"/>
        </w:trPr>
        <w:tc>
          <w:tcPr>
            <w:tcW w:w="4876" w:type="dxa"/>
            <w:hideMark/>
          </w:tcPr>
          <w:p w14:paraId="466308EA" w14:textId="77777777" w:rsidR="00BF7ACA" w:rsidRPr="00B0434F" w:rsidRDefault="00BF7ACA" w:rsidP="007924BE">
            <w:pPr>
              <w:pStyle w:val="ColumnHeading"/>
              <w:keepNext/>
            </w:pPr>
            <w:r w:rsidRPr="00B0434F">
              <w:t>Texte proposé par la Commission</w:t>
            </w:r>
          </w:p>
        </w:tc>
        <w:tc>
          <w:tcPr>
            <w:tcW w:w="4876" w:type="dxa"/>
            <w:hideMark/>
          </w:tcPr>
          <w:p w14:paraId="6059E3EE" w14:textId="77777777" w:rsidR="00BF7ACA" w:rsidRPr="00B0434F" w:rsidRDefault="00BF7ACA" w:rsidP="007924BE">
            <w:pPr>
              <w:pStyle w:val="ColumnHeading"/>
              <w:keepNext/>
            </w:pPr>
            <w:r w:rsidRPr="00B0434F">
              <w:t>Amendement</w:t>
            </w:r>
          </w:p>
        </w:tc>
      </w:tr>
      <w:tr w:rsidR="00BF7ACA" w:rsidRPr="00AF1321" w14:paraId="746170DB" w14:textId="77777777" w:rsidTr="007924BE">
        <w:trPr>
          <w:jc w:val="center"/>
        </w:trPr>
        <w:tc>
          <w:tcPr>
            <w:tcW w:w="4876" w:type="dxa"/>
            <w:hideMark/>
          </w:tcPr>
          <w:p w14:paraId="10A29D54" w14:textId="77777777" w:rsidR="00BF7ACA" w:rsidRPr="00B0434F" w:rsidRDefault="00BF7ACA" w:rsidP="007924BE">
            <w:pPr>
              <w:pStyle w:val="Normal6"/>
            </w:pPr>
            <w:r w:rsidRPr="00B0434F">
              <w:t>3.</w:t>
            </w:r>
            <w:r>
              <w:tab/>
            </w:r>
            <w:r w:rsidRPr="00B0434F">
              <w:t>Les accords de garantie contiennent notamment des dispositions concernant les aspects suivants:</w:t>
            </w:r>
          </w:p>
        </w:tc>
        <w:tc>
          <w:tcPr>
            <w:tcW w:w="4876" w:type="dxa"/>
            <w:hideMark/>
          </w:tcPr>
          <w:p w14:paraId="497A5025" w14:textId="77777777" w:rsidR="00BF7ACA" w:rsidRPr="00B0434F" w:rsidRDefault="00BF7ACA" w:rsidP="007924BE">
            <w:pPr>
              <w:pStyle w:val="Normal6"/>
              <w:rPr>
                <w:szCs w:val="24"/>
              </w:rPr>
            </w:pPr>
            <w:r w:rsidRPr="00B0434F">
              <w:t>3.</w:t>
            </w:r>
            <w:r>
              <w:tab/>
            </w:r>
            <w:r w:rsidRPr="00B0434F">
              <w:t xml:space="preserve">Les accords de garantie </w:t>
            </w:r>
            <w:r w:rsidRPr="00B0434F">
              <w:rPr>
                <w:b/>
                <w:i/>
              </w:rPr>
              <w:t>sont rendus publics, sont assortis d</w:t>
            </w:r>
            <w:r>
              <w:rPr>
                <w:b/>
                <w:i/>
              </w:rPr>
              <w:t>’</w:t>
            </w:r>
            <w:r w:rsidRPr="00B0434F">
              <w:rPr>
                <w:b/>
                <w:i/>
              </w:rPr>
              <w:t>un régime d</w:t>
            </w:r>
            <w:r>
              <w:rPr>
                <w:b/>
                <w:i/>
              </w:rPr>
              <w:t>’</w:t>
            </w:r>
            <w:r w:rsidRPr="00B0434F">
              <w:rPr>
                <w:b/>
                <w:i/>
              </w:rPr>
              <w:t>exceptions restreint et</w:t>
            </w:r>
            <w:r w:rsidRPr="00B0434F">
              <w:t xml:space="preserve"> contiennent notamment des dispositions concernant les aspects suivants:</w:t>
            </w:r>
          </w:p>
        </w:tc>
      </w:tr>
    </w:tbl>
    <w:p w14:paraId="5933847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86D62EF" w14:textId="77777777" w:rsidR="00BF7ACA" w:rsidRPr="00BF7ACA" w:rsidRDefault="00BF7ACA" w:rsidP="00BF7ACA">
      <w:r w:rsidRPr="00BF7ACA">
        <w:rPr>
          <w:rStyle w:val="HideTWBExt"/>
        </w:rPr>
        <w:t>&lt;/Amend&gt;</w:t>
      </w:r>
    </w:p>
    <w:p w14:paraId="30EAB964"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327</w:t>
      </w:r>
      <w:r w:rsidRPr="00BF7ACA">
        <w:rPr>
          <w:rStyle w:val="HideTWBExt"/>
          <w:b w:val="0"/>
        </w:rPr>
        <w:t>&lt;/NumAm&gt;</w:t>
      </w:r>
    </w:p>
    <w:p w14:paraId="37D6EC13" w14:textId="77777777"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14:paraId="4B2B57F6" w14:textId="77777777" w:rsidR="00BF7ACA" w:rsidRPr="00AF1321" w:rsidRDefault="00BF7ACA" w:rsidP="00BF7ACA">
      <w:r>
        <w:rPr>
          <w:rStyle w:val="HideTWBExt"/>
        </w:rPr>
        <w:t>&lt;/RepeatBlock-By&gt;</w:t>
      </w:r>
    </w:p>
    <w:p w14:paraId="58DA6802"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4DD5074B" w14:textId="77777777" w:rsidR="00BF7ACA" w:rsidRPr="00AF1321" w:rsidRDefault="00BF7ACA" w:rsidP="00BF7ACA">
      <w:pPr>
        <w:pStyle w:val="NormalBold"/>
      </w:pPr>
      <w:r>
        <w:rPr>
          <w:rStyle w:val="HideTWBExt"/>
          <w:b w:val="0"/>
        </w:rPr>
        <w:t>&lt;Article&gt;</w:t>
      </w:r>
      <w:r w:rsidRPr="00B0434F">
        <w:t>Article 12 – paragraphe 3 – point a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201869A5" w14:textId="77777777" w:rsidTr="007924BE">
        <w:trPr>
          <w:jc w:val="center"/>
        </w:trPr>
        <w:tc>
          <w:tcPr>
            <w:tcW w:w="9752" w:type="dxa"/>
            <w:gridSpan w:val="2"/>
          </w:tcPr>
          <w:p w14:paraId="008597AD" w14:textId="77777777" w:rsidR="00BF7ACA" w:rsidRPr="00AF1321" w:rsidRDefault="00BF7ACA" w:rsidP="007924BE">
            <w:pPr>
              <w:keepNext/>
            </w:pPr>
          </w:p>
        </w:tc>
      </w:tr>
      <w:tr w:rsidR="00BF7ACA" w:rsidRPr="00AF1321" w14:paraId="17C8C88F" w14:textId="77777777" w:rsidTr="007924BE">
        <w:trPr>
          <w:jc w:val="center"/>
        </w:trPr>
        <w:tc>
          <w:tcPr>
            <w:tcW w:w="4876" w:type="dxa"/>
            <w:hideMark/>
          </w:tcPr>
          <w:p w14:paraId="63998F58" w14:textId="77777777" w:rsidR="00BF7ACA" w:rsidRPr="00B0434F" w:rsidRDefault="00BF7ACA" w:rsidP="007924BE">
            <w:pPr>
              <w:pStyle w:val="ColumnHeading"/>
              <w:keepNext/>
            </w:pPr>
            <w:r w:rsidRPr="00B0434F">
              <w:t>Texte proposé par la Commission</w:t>
            </w:r>
          </w:p>
        </w:tc>
        <w:tc>
          <w:tcPr>
            <w:tcW w:w="4876" w:type="dxa"/>
            <w:hideMark/>
          </w:tcPr>
          <w:p w14:paraId="151D155A" w14:textId="77777777" w:rsidR="00BF7ACA" w:rsidRPr="00B0434F" w:rsidRDefault="00BF7ACA" w:rsidP="007924BE">
            <w:pPr>
              <w:pStyle w:val="ColumnHeading"/>
              <w:keepNext/>
            </w:pPr>
            <w:r w:rsidRPr="00B0434F">
              <w:t>Amendement</w:t>
            </w:r>
          </w:p>
        </w:tc>
      </w:tr>
      <w:tr w:rsidR="00BF7ACA" w:rsidRPr="00AF1321" w14:paraId="2C7FAA25" w14:textId="77777777" w:rsidTr="007924BE">
        <w:trPr>
          <w:jc w:val="center"/>
        </w:trPr>
        <w:tc>
          <w:tcPr>
            <w:tcW w:w="4876" w:type="dxa"/>
          </w:tcPr>
          <w:p w14:paraId="0CC2C588" w14:textId="77777777" w:rsidR="00BF7ACA" w:rsidRPr="00B0434F" w:rsidRDefault="00BF7ACA" w:rsidP="007924BE">
            <w:pPr>
              <w:pStyle w:val="Normal6"/>
            </w:pPr>
          </w:p>
        </w:tc>
        <w:tc>
          <w:tcPr>
            <w:tcW w:w="4876" w:type="dxa"/>
            <w:hideMark/>
          </w:tcPr>
          <w:p w14:paraId="2720B2FF" w14:textId="77777777" w:rsidR="00BF7ACA" w:rsidRPr="00B0434F" w:rsidRDefault="00BF7ACA" w:rsidP="007924BE">
            <w:pPr>
              <w:pStyle w:val="Normal6"/>
              <w:rPr>
                <w:szCs w:val="24"/>
              </w:rPr>
            </w:pPr>
            <w:r w:rsidRPr="00B0434F">
              <w:rPr>
                <w:b/>
                <w:i/>
              </w:rPr>
              <w:t>(a bis)</w:t>
            </w:r>
            <w:r>
              <w:tab/>
            </w:r>
            <w:r w:rsidRPr="00B0434F">
              <w:rPr>
                <w:b/>
                <w:i/>
              </w:rPr>
              <w:t>les objectifs et la finalité du présent règlement, une évaluation des besoins et une indication des résultats attendus compte tenu de la promotion de la responsabilité sociale des entreprises, notamment par le respect de l</w:t>
            </w:r>
            <w:r>
              <w:rPr>
                <w:b/>
                <w:i/>
              </w:rPr>
              <w:t>’</w:t>
            </w:r>
            <w:r w:rsidRPr="00B0434F">
              <w:rPr>
                <w:b/>
                <w:i/>
              </w:rPr>
              <w:t>ensemble des lignes directrices, des principes et des instruments juridiques adoptés par l</w:t>
            </w:r>
            <w:r>
              <w:rPr>
                <w:b/>
                <w:i/>
              </w:rPr>
              <w:t>’</w:t>
            </w:r>
            <w:r w:rsidRPr="00B0434F">
              <w:rPr>
                <w:b/>
                <w:i/>
              </w:rPr>
              <w:t>Union au niveau international, en particulier ceux visés à l</w:t>
            </w:r>
            <w:r>
              <w:rPr>
                <w:b/>
                <w:i/>
              </w:rPr>
              <w:t>’</w:t>
            </w:r>
            <w:r w:rsidRPr="00B0434F">
              <w:rPr>
                <w:b/>
                <w:i/>
              </w:rPr>
              <w:t>annexe bis.</w:t>
            </w:r>
          </w:p>
        </w:tc>
      </w:tr>
    </w:tbl>
    <w:p w14:paraId="38AF083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DD9DC80" w14:textId="77777777" w:rsidR="00BF7ACA" w:rsidRPr="00BF7ACA" w:rsidRDefault="00BF7ACA" w:rsidP="00BF7ACA">
      <w:r w:rsidRPr="00BF7ACA">
        <w:rPr>
          <w:rStyle w:val="HideTWBExt"/>
        </w:rPr>
        <w:t>&lt;/Amend&gt;</w:t>
      </w:r>
    </w:p>
    <w:p w14:paraId="2F05BBC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328</w:t>
      </w:r>
      <w:r w:rsidRPr="00BF7ACA">
        <w:rPr>
          <w:rStyle w:val="HideTWBExt"/>
          <w:b w:val="0"/>
        </w:rPr>
        <w:t>&lt;/NumAm&gt;</w:t>
      </w:r>
    </w:p>
    <w:p w14:paraId="0A007AE3" w14:textId="77777777" w:rsidR="00BF7ACA" w:rsidRPr="00BF7ACA" w:rsidRDefault="00BF7ACA" w:rsidP="00BF7ACA">
      <w:pPr>
        <w:pStyle w:val="NormalBold"/>
      </w:pPr>
      <w:r w:rsidRPr="00BF7ACA">
        <w:rPr>
          <w:rStyle w:val="HideTWBExt"/>
          <w:b w:val="0"/>
        </w:rPr>
        <w:t>&lt;RepeatBlock-By&gt;&lt;Members&gt;</w:t>
      </w:r>
      <w:r w:rsidRPr="00BF7ACA">
        <w:t>György Hölvényi</w:t>
      </w:r>
      <w:r w:rsidRPr="00BF7ACA">
        <w:rPr>
          <w:rStyle w:val="HideTWBExt"/>
          <w:b w:val="0"/>
        </w:rPr>
        <w:t>&lt;/Members&gt;</w:t>
      </w:r>
    </w:p>
    <w:p w14:paraId="4F770A8A" w14:textId="77777777" w:rsidR="00BF7ACA" w:rsidRPr="00AF1321" w:rsidRDefault="00BF7ACA" w:rsidP="00BF7ACA">
      <w:r>
        <w:rPr>
          <w:rStyle w:val="HideTWBExt"/>
        </w:rPr>
        <w:t>&lt;/RepeatBlock-By&gt;</w:t>
      </w:r>
    </w:p>
    <w:p w14:paraId="24DC3331"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2EA49739" w14:textId="77777777" w:rsidR="00BF7ACA" w:rsidRPr="00AF1321" w:rsidRDefault="00BF7ACA" w:rsidP="00BF7ACA">
      <w:pPr>
        <w:pStyle w:val="NormalBold"/>
      </w:pPr>
      <w:r>
        <w:rPr>
          <w:rStyle w:val="HideTWBExt"/>
          <w:b w:val="0"/>
        </w:rPr>
        <w:t>&lt;Article&gt;</w:t>
      </w:r>
      <w:r w:rsidRPr="00B0434F">
        <w:t>Article 12 – paragraphe 3 – point e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692A1E67" w14:textId="77777777" w:rsidTr="007924BE">
        <w:trPr>
          <w:jc w:val="center"/>
        </w:trPr>
        <w:tc>
          <w:tcPr>
            <w:tcW w:w="9752" w:type="dxa"/>
            <w:gridSpan w:val="2"/>
          </w:tcPr>
          <w:p w14:paraId="7B4A36ED" w14:textId="77777777" w:rsidR="00BF7ACA" w:rsidRPr="00AF1321" w:rsidRDefault="00BF7ACA" w:rsidP="007924BE">
            <w:pPr>
              <w:keepNext/>
            </w:pPr>
          </w:p>
        </w:tc>
      </w:tr>
      <w:tr w:rsidR="00BF7ACA" w:rsidRPr="00AF1321" w14:paraId="73092E73" w14:textId="77777777" w:rsidTr="007924BE">
        <w:trPr>
          <w:jc w:val="center"/>
        </w:trPr>
        <w:tc>
          <w:tcPr>
            <w:tcW w:w="4876" w:type="dxa"/>
            <w:hideMark/>
          </w:tcPr>
          <w:p w14:paraId="0FDD3C73" w14:textId="77777777" w:rsidR="00BF7ACA" w:rsidRPr="00B0434F" w:rsidRDefault="00BF7ACA" w:rsidP="007924BE">
            <w:pPr>
              <w:pStyle w:val="ColumnHeading"/>
              <w:keepNext/>
            </w:pPr>
            <w:r w:rsidRPr="00B0434F">
              <w:t>Texte proposé par la Commission</w:t>
            </w:r>
          </w:p>
        </w:tc>
        <w:tc>
          <w:tcPr>
            <w:tcW w:w="4876" w:type="dxa"/>
            <w:hideMark/>
          </w:tcPr>
          <w:p w14:paraId="3564B1E3" w14:textId="77777777" w:rsidR="00BF7ACA" w:rsidRPr="00B0434F" w:rsidRDefault="00BF7ACA" w:rsidP="007924BE">
            <w:pPr>
              <w:pStyle w:val="ColumnHeading"/>
              <w:keepNext/>
            </w:pPr>
            <w:r w:rsidRPr="00B0434F">
              <w:t>Amendement</w:t>
            </w:r>
          </w:p>
        </w:tc>
      </w:tr>
      <w:tr w:rsidR="00BF7ACA" w:rsidRPr="00AF1321" w14:paraId="22FF2CA4" w14:textId="77777777" w:rsidTr="007924BE">
        <w:trPr>
          <w:jc w:val="center"/>
        </w:trPr>
        <w:tc>
          <w:tcPr>
            <w:tcW w:w="4876" w:type="dxa"/>
          </w:tcPr>
          <w:p w14:paraId="4247DB94" w14:textId="77777777" w:rsidR="00BF7ACA" w:rsidRPr="00B0434F" w:rsidRDefault="00BF7ACA" w:rsidP="007924BE">
            <w:pPr>
              <w:pStyle w:val="Normal6"/>
            </w:pPr>
          </w:p>
        </w:tc>
        <w:tc>
          <w:tcPr>
            <w:tcW w:w="4876" w:type="dxa"/>
            <w:hideMark/>
          </w:tcPr>
          <w:p w14:paraId="59BF8286" w14:textId="77777777" w:rsidR="00BF7ACA" w:rsidRPr="00B0434F" w:rsidRDefault="00BF7ACA" w:rsidP="007924BE">
            <w:pPr>
              <w:pStyle w:val="Normal6"/>
              <w:rPr>
                <w:szCs w:val="24"/>
              </w:rPr>
            </w:pPr>
            <w:r w:rsidRPr="00B0434F">
              <w:rPr>
                <w:b/>
                <w:i/>
              </w:rPr>
              <w:t>(e bis)</w:t>
            </w:r>
            <w:r>
              <w:tab/>
            </w:r>
            <w:r w:rsidRPr="00B0434F">
              <w:rPr>
                <w:b/>
                <w:i/>
              </w:rPr>
              <w:t>des dispositions pour une procédure de plainte fiable, sûre et accessible pour les personnes physiques, les communautés, la société civile et les organisations religieuses qui pourraient subir un préjudice du fait des opérations de contreparties éligibles ou des investissem</w:t>
            </w:r>
            <w:r>
              <w:rPr>
                <w:b/>
                <w:i/>
              </w:rPr>
              <w:t>ents ayant obtenu le soutien du </w:t>
            </w:r>
            <w:r w:rsidRPr="00B0434F">
              <w:rPr>
                <w:b/>
                <w:i/>
              </w:rPr>
              <w:t>FEDD.</w:t>
            </w:r>
          </w:p>
        </w:tc>
      </w:tr>
    </w:tbl>
    <w:p w14:paraId="326060E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6714E49" w14:textId="77777777" w:rsidR="00BF7ACA" w:rsidRPr="00BF7ACA" w:rsidRDefault="00BF7ACA" w:rsidP="00BF7ACA">
      <w:r w:rsidRPr="00BF7ACA">
        <w:rPr>
          <w:rStyle w:val="HideTWBExt"/>
        </w:rPr>
        <w:t>&lt;/Amend&gt;</w:t>
      </w:r>
    </w:p>
    <w:p w14:paraId="16495C8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329</w:t>
      </w:r>
      <w:r w:rsidRPr="00BF7ACA">
        <w:rPr>
          <w:rStyle w:val="HideTWBExt"/>
          <w:b w:val="0"/>
        </w:rPr>
        <w:t>&lt;/NumAm&gt;</w:t>
      </w:r>
    </w:p>
    <w:p w14:paraId="176FF792" w14:textId="77777777"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14:paraId="3D7962EC" w14:textId="77777777" w:rsidR="00BF7ACA" w:rsidRPr="00AF1321" w:rsidRDefault="00BF7ACA" w:rsidP="00BF7ACA">
      <w:r>
        <w:rPr>
          <w:rStyle w:val="HideTWBExt"/>
        </w:rPr>
        <w:t>&lt;/RepeatBlock-By&gt;</w:t>
      </w:r>
    </w:p>
    <w:p w14:paraId="74D4CB20"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22819133" w14:textId="77777777" w:rsidR="00BF7ACA" w:rsidRPr="00AF1321" w:rsidRDefault="00BF7ACA" w:rsidP="00BF7ACA">
      <w:pPr>
        <w:pStyle w:val="NormalBold"/>
      </w:pPr>
      <w:r>
        <w:rPr>
          <w:rStyle w:val="HideTWBExt"/>
          <w:b w:val="0"/>
        </w:rPr>
        <w:t>&lt;Article&gt;</w:t>
      </w:r>
      <w:r w:rsidRPr="00B0434F">
        <w:t>Article 12 – paragraphe 4 – point c</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66963A08" w14:textId="77777777" w:rsidTr="007924BE">
        <w:trPr>
          <w:jc w:val="center"/>
        </w:trPr>
        <w:tc>
          <w:tcPr>
            <w:tcW w:w="9752" w:type="dxa"/>
            <w:gridSpan w:val="2"/>
          </w:tcPr>
          <w:p w14:paraId="5FAC0DB1" w14:textId="77777777" w:rsidR="00BF7ACA" w:rsidRPr="00AF1321" w:rsidRDefault="00BF7ACA" w:rsidP="007924BE">
            <w:pPr>
              <w:keepNext/>
            </w:pPr>
          </w:p>
        </w:tc>
      </w:tr>
      <w:tr w:rsidR="00BF7ACA" w:rsidRPr="00AF1321" w14:paraId="2B496252" w14:textId="77777777" w:rsidTr="007924BE">
        <w:trPr>
          <w:jc w:val="center"/>
        </w:trPr>
        <w:tc>
          <w:tcPr>
            <w:tcW w:w="4876" w:type="dxa"/>
            <w:hideMark/>
          </w:tcPr>
          <w:p w14:paraId="2C3D32FA" w14:textId="77777777" w:rsidR="00BF7ACA" w:rsidRPr="00B0434F" w:rsidRDefault="00BF7ACA" w:rsidP="007924BE">
            <w:pPr>
              <w:pStyle w:val="ColumnHeading"/>
              <w:keepNext/>
            </w:pPr>
            <w:r w:rsidRPr="00B0434F">
              <w:t>Texte proposé par la Commission</w:t>
            </w:r>
          </w:p>
        </w:tc>
        <w:tc>
          <w:tcPr>
            <w:tcW w:w="4876" w:type="dxa"/>
            <w:hideMark/>
          </w:tcPr>
          <w:p w14:paraId="42D97424" w14:textId="77777777" w:rsidR="00BF7ACA" w:rsidRPr="00B0434F" w:rsidRDefault="00BF7ACA" w:rsidP="007924BE">
            <w:pPr>
              <w:pStyle w:val="ColumnHeading"/>
              <w:keepNext/>
            </w:pPr>
            <w:r w:rsidRPr="00B0434F">
              <w:t>Amendement</w:t>
            </w:r>
          </w:p>
        </w:tc>
      </w:tr>
      <w:tr w:rsidR="00BF7ACA" w:rsidRPr="00AF1321" w14:paraId="75324091" w14:textId="77777777" w:rsidTr="007924BE">
        <w:trPr>
          <w:jc w:val="center"/>
        </w:trPr>
        <w:tc>
          <w:tcPr>
            <w:tcW w:w="4876" w:type="dxa"/>
            <w:hideMark/>
          </w:tcPr>
          <w:p w14:paraId="394DA414" w14:textId="77777777" w:rsidR="00BF7ACA" w:rsidRPr="00B0434F" w:rsidRDefault="00BF7ACA" w:rsidP="007924BE">
            <w:pPr>
              <w:pStyle w:val="Normal6"/>
            </w:pPr>
            <w:r w:rsidRPr="00B0434F">
              <w:t>(c)</w:t>
            </w:r>
            <w:r>
              <w:tab/>
            </w:r>
            <w:r w:rsidRPr="00B0434F">
              <w:t>du montant des ressources propres que la contrepartie est disposée à mobiliser pour le volet d</w:t>
            </w:r>
            <w:r>
              <w:t>’</w:t>
            </w:r>
            <w:r w:rsidRPr="00B0434F">
              <w:t>investissement.</w:t>
            </w:r>
          </w:p>
        </w:tc>
        <w:tc>
          <w:tcPr>
            <w:tcW w:w="4876" w:type="dxa"/>
            <w:hideMark/>
          </w:tcPr>
          <w:p w14:paraId="729C6742" w14:textId="77777777" w:rsidR="00BF7ACA" w:rsidRPr="00B0434F" w:rsidRDefault="00BF7ACA" w:rsidP="007924BE">
            <w:pPr>
              <w:pStyle w:val="Normal6"/>
              <w:rPr>
                <w:szCs w:val="24"/>
              </w:rPr>
            </w:pPr>
            <w:r w:rsidRPr="00B0434F">
              <w:t>(c)</w:t>
            </w:r>
            <w:r>
              <w:tab/>
            </w:r>
            <w:r w:rsidRPr="00B0434F">
              <w:t xml:space="preserve">du montant des ressources propres </w:t>
            </w:r>
            <w:r w:rsidRPr="00B0434F">
              <w:rPr>
                <w:b/>
                <w:i/>
              </w:rPr>
              <w:t>et du cofinancement du secteur privé</w:t>
            </w:r>
            <w:r w:rsidRPr="00B0434F">
              <w:t xml:space="preserve"> que la contrepartie est disposée à mobiliser pour le volet d</w:t>
            </w:r>
            <w:r>
              <w:t>’</w:t>
            </w:r>
            <w:r w:rsidRPr="00B0434F">
              <w:t>investissement.</w:t>
            </w:r>
          </w:p>
        </w:tc>
      </w:tr>
    </w:tbl>
    <w:p w14:paraId="23E3E29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8790562" w14:textId="77777777" w:rsidR="00BF7ACA" w:rsidRPr="00BF7ACA" w:rsidRDefault="00BF7ACA" w:rsidP="00BF7ACA">
      <w:r w:rsidRPr="00BF7ACA">
        <w:rPr>
          <w:rStyle w:val="HideTWBExt"/>
        </w:rPr>
        <w:t>&lt;/Amend&gt;</w:t>
      </w:r>
    </w:p>
    <w:p w14:paraId="236DBD86"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330</w:t>
      </w:r>
      <w:r w:rsidRPr="00BF7ACA">
        <w:rPr>
          <w:rStyle w:val="HideTWBExt"/>
          <w:b w:val="0"/>
        </w:rPr>
        <w:t>&lt;/NumAm&gt;</w:t>
      </w:r>
    </w:p>
    <w:p w14:paraId="440C7ABF" w14:textId="77777777" w:rsidR="00BF7ACA" w:rsidRPr="00BF7ACA" w:rsidRDefault="00BF7ACA" w:rsidP="00BF7ACA">
      <w:pPr>
        <w:pStyle w:val="NormalBold"/>
      </w:pPr>
      <w:r w:rsidRPr="00BF7ACA">
        <w:rPr>
          <w:rStyle w:val="HideTWBExt"/>
          <w:b w:val="0"/>
        </w:rPr>
        <w:t>&lt;RepeatBlock-By&gt;&lt;Members&gt;</w:t>
      </w:r>
      <w:r w:rsidRPr="00BF7ACA">
        <w:t>Eduard Kukan</w:t>
      </w:r>
      <w:r w:rsidRPr="00BF7ACA">
        <w:rPr>
          <w:rStyle w:val="HideTWBExt"/>
          <w:b w:val="0"/>
        </w:rPr>
        <w:t>&lt;/Members&gt;</w:t>
      </w:r>
    </w:p>
    <w:p w14:paraId="2DCDCCA7" w14:textId="77777777" w:rsidR="00BF7ACA" w:rsidRPr="00AF1321" w:rsidRDefault="00BF7ACA" w:rsidP="00BF7ACA">
      <w:r>
        <w:rPr>
          <w:rStyle w:val="HideTWBExt"/>
        </w:rPr>
        <w:t>&lt;/RepeatBlock-By&gt;</w:t>
      </w:r>
    </w:p>
    <w:p w14:paraId="4B30DF49"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2CF2CB56" w14:textId="77777777" w:rsidR="00BF7ACA" w:rsidRPr="00AF1321" w:rsidRDefault="00BF7ACA" w:rsidP="00BF7ACA">
      <w:pPr>
        <w:pStyle w:val="NormalBold"/>
      </w:pPr>
      <w:r>
        <w:rPr>
          <w:rStyle w:val="HideTWBExt"/>
          <w:b w:val="0"/>
        </w:rPr>
        <w:t>&lt;Article&gt;</w:t>
      </w:r>
      <w:r w:rsidRPr="00B0434F">
        <w:t>Article 12 – paragraphe 4 – point c</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444B8B0F" w14:textId="77777777" w:rsidTr="007924BE">
        <w:trPr>
          <w:jc w:val="center"/>
        </w:trPr>
        <w:tc>
          <w:tcPr>
            <w:tcW w:w="9752" w:type="dxa"/>
            <w:gridSpan w:val="2"/>
          </w:tcPr>
          <w:p w14:paraId="796F7795" w14:textId="77777777" w:rsidR="00BF7ACA" w:rsidRPr="00AF1321" w:rsidRDefault="00BF7ACA" w:rsidP="007924BE">
            <w:pPr>
              <w:keepNext/>
            </w:pPr>
          </w:p>
        </w:tc>
      </w:tr>
      <w:tr w:rsidR="00BF7ACA" w:rsidRPr="00AF1321" w14:paraId="733F687B" w14:textId="77777777" w:rsidTr="007924BE">
        <w:trPr>
          <w:jc w:val="center"/>
        </w:trPr>
        <w:tc>
          <w:tcPr>
            <w:tcW w:w="4876" w:type="dxa"/>
            <w:hideMark/>
          </w:tcPr>
          <w:p w14:paraId="2122A913" w14:textId="77777777" w:rsidR="00BF7ACA" w:rsidRPr="00B0434F" w:rsidRDefault="00BF7ACA" w:rsidP="007924BE">
            <w:pPr>
              <w:pStyle w:val="ColumnHeading"/>
              <w:keepNext/>
            </w:pPr>
            <w:r w:rsidRPr="00B0434F">
              <w:t>Texte proposé par la Commission</w:t>
            </w:r>
          </w:p>
        </w:tc>
        <w:tc>
          <w:tcPr>
            <w:tcW w:w="4876" w:type="dxa"/>
            <w:hideMark/>
          </w:tcPr>
          <w:p w14:paraId="49BD0396" w14:textId="77777777" w:rsidR="00BF7ACA" w:rsidRPr="00B0434F" w:rsidRDefault="00BF7ACA" w:rsidP="007924BE">
            <w:pPr>
              <w:pStyle w:val="ColumnHeading"/>
              <w:keepNext/>
            </w:pPr>
            <w:r w:rsidRPr="00B0434F">
              <w:t>Amendement</w:t>
            </w:r>
          </w:p>
        </w:tc>
      </w:tr>
      <w:tr w:rsidR="00BF7ACA" w:rsidRPr="00AF1321" w14:paraId="17FFD48F" w14:textId="77777777" w:rsidTr="007924BE">
        <w:trPr>
          <w:jc w:val="center"/>
        </w:trPr>
        <w:tc>
          <w:tcPr>
            <w:tcW w:w="4876" w:type="dxa"/>
            <w:hideMark/>
          </w:tcPr>
          <w:p w14:paraId="62983277" w14:textId="77777777" w:rsidR="00BF7ACA" w:rsidRPr="00B0434F" w:rsidRDefault="00BF7ACA" w:rsidP="007924BE">
            <w:pPr>
              <w:pStyle w:val="Normal6"/>
            </w:pPr>
            <w:r w:rsidRPr="00B0434F">
              <w:t>(c)</w:t>
            </w:r>
            <w:r>
              <w:tab/>
            </w:r>
            <w:r w:rsidRPr="00B0434F">
              <w:t>du montant des ressources propres que la contrepartie est disposée à mobiliser pour le volet d</w:t>
            </w:r>
            <w:r>
              <w:t>’</w:t>
            </w:r>
            <w:r w:rsidRPr="00B0434F">
              <w:t>investissement.</w:t>
            </w:r>
          </w:p>
        </w:tc>
        <w:tc>
          <w:tcPr>
            <w:tcW w:w="4876" w:type="dxa"/>
            <w:hideMark/>
          </w:tcPr>
          <w:p w14:paraId="03D4DBC5" w14:textId="77777777" w:rsidR="00BF7ACA" w:rsidRPr="00B0434F" w:rsidRDefault="00BF7ACA" w:rsidP="007924BE">
            <w:pPr>
              <w:pStyle w:val="Normal6"/>
              <w:rPr>
                <w:szCs w:val="24"/>
              </w:rPr>
            </w:pPr>
            <w:r w:rsidRPr="00B0434F">
              <w:t>(c)</w:t>
            </w:r>
            <w:r>
              <w:tab/>
            </w:r>
            <w:r w:rsidRPr="00B0434F">
              <w:t xml:space="preserve">du montant des ressources propres </w:t>
            </w:r>
            <w:r w:rsidRPr="00B0434F">
              <w:rPr>
                <w:b/>
                <w:i/>
              </w:rPr>
              <w:t>et du cofinancement du secteur privé</w:t>
            </w:r>
            <w:r w:rsidRPr="00B0434F">
              <w:t xml:space="preserve"> que la contrepartie est disposée à mobiliser pour le volet d</w:t>
            </w:r>
            <w:r>
              <w:t>’</w:t>
            </w:r>
            <w:r w:rsidRPr="00B0434F">
              <w:t>investissement.</w:t>
            </w:r>
          </w:p>
        </w:tc>
      </w:tr>
    </w:tbl>
    <w:p w14:paraId="4C8A2A12"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B7CD040" w14:textId="77777777" w:rsidR="00BF7ACA" w:rsidRPr="00BF7ACA" w:rsidRDefault="00BF7ACA" w:rsidP="00BF7ACA">
      <w:r w:rsidRPr="00BF7ACA">
        <w:rPr>
          <w:rStyle w:val="HideTWBExt"/>
        </w:rPr>
        <w:t>&lt;/Amend&gt;</w:t>
      </w:r>
    </w:p>
    <w:p w14:paraId="3AA710B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331</w:t>
      </w:r>
      <w:r w:rsidRPr="00BF7ACA">
        <w:rPr>
          <w:rStyle w:val="HideTWBExt"/>
          <w:b w:val="0"/>
        </w:rPr>
        <w:t>&lt;/NumAm&gt;</w:t>
      </w:r>
    </w:p>
    <w:p w14:paraId="363931AB" w14:textId="77777777"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14:paraId="4B334A42" w14:textId="77777777" w:rsidR="00BF7ACA" w:rsidRPr="00AF1321" w:rsidRDefault="00BF7ACA" w:rsidP="00BF7ACA">
      <w:r>
        <w:rPr>
          <w:rStyle w:val="HideTWBExt"/>
        </w:rPr>
        <w:t>&lt;/RepeatBlock-By&gt;</w:t>
      </w:r>
    </w:p>
    <w:p w14:paraId="09B4975A"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701F1535" w14:textId="77777777" w:rsidR="00BF7ACA" w:rsidRPr="00AF1321" w:rsidRDefault="00BF7ACA" w:rsidP="00BF7ACA">
      <w:pPr>
        <w:pStyle w:val="NormalBold"/>
      </w:pPr>
      <w:r>
        <w:rPr>
          <w:rStyle w:val="HideTWBExt"/>
          <w:b w:val="0"/>
        </w:rPr>
        <w:t>&lt;Article&gt;</w:t>
      </w:r>
      <w:r w:rsidRPr="00B0434F">
        <w:t>Article 12 – paragraphe 4 – point c</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34233BC5" w14:textId="77777777" w:rsidTr="007924BE">
        <w:trPr>
          <w:jc w:val="center"/>
        </w:trPr>
        <w:tc>
          <w:tcPr>
            <w:tcW w:w="9752" w:type="dxa"/>
            <w:gridSpan w:val="2"/>
          </w:tcPr>
          <w:p w14:paraId="737D9753" w14:textId="77777777" w:rsidR="00BF7ACA" w:rsidRPr="00AF1321" w:rsidRDefault="00BF7ACA" w:rsidP="007924BE">
            <w:pPr>
              <w:keepNext/>
            </w:pPr>
          </w:p>
        </w:tc>
      </w:tr>
      <w:tr w:rsidR="00BF7ACA" w:rsidRPr="00AF1321" w14:paraId="0E030C19" w14:textId="77777777" w:rsidTr="007924BE">
        <w:trPr>
          <w:jc w:val="center"/>
        </w:trPr>
        <w:tc>
          <w:tcPr>
            <w:tcW w:w="4876" w:type="dxa"/>
            <w:hideMark/>
          </w:tcPr>
          <w:p w14:paraId="46B8CEB4" w14:textId="77777777" w:rsidR="00BF7ACA" w:rsidRPr="00B0434F" w:rsidRDefault="00BF7ACA" w:rsidP="007924BE">
            <w:pPr>
              <w:pStyle w:val="ColumnHeading"/>
              <w:keepNext/>
            </w:pPr>
            <w:r w:rsidRPr="00B0434F">
              <w:t>Texte proposé par la Commission</w:t>
            </w:r>
          </w:p>
        </w:tc>
        <w:tc>
          <w:tcPr>
            <w:tcW w:w="4876" w:type="dxa"/>
            <w:hideMark/>
          </w:tcPr>
          <w:p w14:paraId="3ADEBCF0" w14:textId="77777777" w:rsidR="00BF7ACA" w:rsidRPr="00B0434F" w:rsidRDefault="00BF7ACA" w:rsidP="007924BE">
            <w:pPr>
              <w:pStyle w:val="ColumnHeading"/>
              <w:keepNext/>
            </w:pPr>
            <w:r w:rsidRPr="00B0434F">
              <w:t>Amendement</w:t>
            </w:r>
          </w:p>
        </w:tc>
      </w:tr>
      <w:tr w:rsidR="00BF7ACA" w:rsidRPr="00AF1321" w14:paraId="625076E9" w14:textId="77777777" w:rsidTr="007924BE">
        <w:trPr>
          <w:jc w:val="center"/>
        </w:trPr>
        <w:tc>
          <w:tcPr>
            <w:tcW w:w="4876" w:type="dxa"/>
            <w:hideMark/>
          </w:tcPr>
          <w:p w14:paraId="25F3C472" w14:textId="77777777" w:rsidR="00BF7ACA" w:rsidRPr="00B0434F" w:rsidRDefault="00BF7ACA" w:rsidP="007924BE">
            <w:pPr>
              <w:pStyle w:val="Normal6"/>
            </w:pPr>
            <w:r w:rsidRPr="00B0434F">
              <w:t>(c)</w:t>
            </w:r>
            <w:r>
              <w:tab/>
            </w:r>
            <w:r w:rsidRPr="00B0434F">
              <w:t>du montant des ressources propres que la contrepartie est disposée à mobiliser pour le volet d</w:t>
            </w:r>
            <w:r>
              <w:t>’</w:t>
            </w:r>
            <w:r w:rsidRPr="00B0434F">
              <w:t>investissement.</w:t>
            </w:r>
          </w:p>
        </w:tc>
        <w:tc>
          <w:tcPr>
            <w:tcW w:w="4876" w:type="dxa"/>
            <w:hideMark/>
          </w:tcPr>
          <w:p w14:paraId="13C40715" w14:textId="77777777" w:rsidR="00BF7ACA" w:rsidRPr="00B0434F" w:rsidRDefault="00BF7ACA" w:rsidP="007924BE">
            <w:pPr>
              <w:pStyle w:val="Normal6"/>
              <w:rPr>
                <w:szCs w:val="24"/>
              </w:rPr>
            </w:pPr>
            <w:r w:rsidRPr="00B0434F">
              <w:t>(c)</w:t>
            </w:r>
            <w:r>
              <w:tab/>
            </w:r>
            <w:r w:rsidRPr="00B0434F">
              <w:t xml:space="preserve">du montant des ressources propres que la </w:t>
            </w:r>
            <w:r w:rsidRPr="00B0434F">
              <w:rPr>
                <w:b/>
                <w:i/>
              </w:rPr>
              <w:t>ou les</w:t>
            </w:r>
            <w:r w:rsidRPr="00B0434F">
              <w:t xml:space="preserve"> contreparties </w:t>
            </w:r>
            <w:r w:rsidRPr="00B0434F">
              <w:rPr>
                <w:b/>
                <w:i/>
              </w:rPr>
              <w:t>sont disposées</w:t>
            </w:r>
            <w:r w:rsidRPr="00B0434F">
              <w:t xml:space="preserve"> à mobiliser pour le volet d</w:t>
            </w:r>
            <w:r>
              <w:t>’</w:t>
            </w:r>
            <w:r w:rsidRPr="00B0434F">
              <w:t>investissement.</w:t>
            </w:r>
          </w:p>
        </w:tc>
      </w:tr>
    </w:tbl>
    <w:p w14:paraId="43EEB10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709E7A1" w14:textId="77777777" w:rsidR="00BF7ACA" w:rsidRPr="00BF7ACA" w:rsidRDefault="00BF7ACA" w:rsidP="00BF7ACA">
      <w:r w:rsidRPr="00BF7ACA">
        <w:rPr>
          <w:rStyle w:val="HideTWBExt"/>
        </w:rPr>
        <w:t>&lt;/Amend&gt;</w:t>
      </w:r>
    </w:p>
    <w:p w14:paraId="4667F90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332</w:t>
      </w:r>
      <w:r w:rsidRPr="00BF7ACA">
        <w:rPr>
          <w:rStyle w:val="HideTWBExt"/>
          <w:b w:val="0"/>
        </w:rPr>
        <w:t>&lt;/NumAm&gt;</w:t>
      </w:r>
    </w:p>
    <w:p w14:paraId="1DC9E9E6"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661EDA4B" w14:textId="77777777" w:rsidR="00BF7ACA" w:rsidRPr="00AF1321" w:rsidRDefault="00BF7ACA" w:rsidP="00BF7ACA">
      <w:r>
        <w:rPr>
          <w:rStyle w:val="HideTWBExt"/>
        </w:rPr>
        <w:t>&lt;/RepeatBlock-By&gt;</w:t>
      </w:r>
    </w:p>
    <w:p w14:paraId="48A962DC"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2542762E" w14:textId="77777777" w:rsidR="00BF7ACA" w:rsidRPr="00AF1321" w:rsidRDefault="00BF7ACA" w:rsidP="00BF7ACA">
      <w:pPr>
        <w:pStyle w:val="NormalBold"/>
      </w:pPr>
      <w:r>
        <w:rPr>
          <w:rStyle w:val="HideTWBExt"/>
          <w:b w:val="0"/>
        </w:rPr>
        <w:t>&lt;Article&gt;</w:t>
      </w:r>
      <w:r w:rsidRPr="00B0434F">
        <w:t>Article 12 – paragraphe 6 – point a</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36429EC8" w14:textId="77777777" w:rsidTr="007924BE">
        <w:trPr>
          <w:jc w:val="center"/>
        </w:trPr>
        <w:tc>
          <w:tcPr>
            <w:tcW w:w="9752" w:type="dxa"/>
            <w:gridSpan w:val="2"/>
          </w:tcPr>
          <w:p w14:paraId="01BC778A" w14:textId="77777777" w:rsidR="00BF7ACA" w:rsidRPr="00AF1321" w:rsidRDefault="00BF7ACA" w:rsidP="007924BE">
            <w:pPr>
              <w:keepNext/>
            </w:pPr>
          </w:p>
        </w:tc>
      </w:tr>
      <w:tr w:rsidR="00BF7ACA" w:rsidRPr="00AF1321" w14:paraId="377FB8D3" w14:textId="77777777" w:rsidTr="007924BE">
        <w:trPr>
          <w:jc w:val="center"/>
        </w:trPr>
        <w:tc>
          <w:tcPr>
            <w:tcW w:w="4876" w:type="dxa"/>
            <w:hideMark/>
          </w:tcPr>
          <w:p w14:paraId="34D23A99" w14:textId="77777777" w:rsidR="00BF7ACA" w:rsidRPr="00B0434F" w:rsidRDefault="00BF7ACA" w:rsidP="007924BE">
            <w:pPr>
              <w:pStyle w:val="ColumnHeading"/>
              <w:keepNext/>
            </w:pPr>
            <w:r w:rsidRPr="00B0434F">
              <w:t>Texte proposé par la Commission</w:t>
            </w:r>
          </w:p>
        </w:tc>
        <w:tc>
          <w:tcPr>
            <w:tcW w:w="4876" w:type="dxa"/>
            <w:hideMark/>
          </w:tcPr>
          <w:p w14:paraId="001EC532" w14:textId="77777777" w:rsidR="00BF7ACA" w:rsidRPr="00B0434F" w:rsidRDefault="00BF7ACA" w:rsidP="007924BE">
            <w:pPr>
              <w:pStyle w:val="ColumnHeading"/>
              <w:keepNext/>
            </w:pPr>
            <w:r w:rsidRPr="00B0434F">
              <w:t>Amendement</w:t>
            </w:r>
          </w:p>
        </w:tc>
      </w:tr>
      <w:tr w:rsidR="00BF7ACA" w:rsidRPr="00AF1321" w14:paraId="2B030569" w14:textId="77777777" w:rsidTr="007924BE">
        <w:trPr>
          <w:jc w:val="center"/>
        </w:trPr>
        <w:tc>
          <w:tcPr>
            <w:tcW w:w="4876" w:type="dxa"/>
            <w:hideMark/>
          </w:tcPr>
          <w:p w14:paraId="39E25032" w14:textId="77777777" w:rsidR="00BF7ACA" w:rsidRPr="00B0434F" w:rsidRDefault="00BF7ACA" w:rsidP="007924BE">
            <w:pPr>
              <w:pStyle w:val="Normal6"/>
            </w:pPr>
            <w:r w:rsidRPr="00B0434F">
              <w:t>(a)</w:t>
            </w:r>
            <w:r>
              <w:tab/>
            </w:r>
            <w:r w:rsidRPr="00B0434F">
              <w:t xml:space="preserve">en ce qui concerne les titres de dette, le principal et tous les intérêts ainsi que les montants dus à la contrepartie éligible sélectionnée mais non reçus, conformément aux modalités des opérations de financement, </w:t>
            </w:r>
            <w:r w:rsidRPr="00B0434F">
              <w:rPr>
                <w:b/>
                <w:i/>
              </w:rPr>
              <w:t>après qu</w:t>
            </w:r>
            <w:r>
              <w:rPr>
                <w:b/>
                <w:i/>
              </w:rPr>
              <w:t>’</w:t>
            </w:r>
            <w:r w:rsidRPr="00B0434F">
              <w:t xml:space="preserve">un événement de défaut </w:t>
            </w:r>
            <w:r w:rsidRPr="00B0434F">
              <w:rPr>
                <w:b/>
                <w:i/>
              </w:rPr>
              <w:t>s</w:t>
            </w:r>
            <w:r>
              <w:rPr>
                <w:b/>
                <w:i/>
              </w:rPr>
              <w:t>’</w:t>
            </w:r>
            <w:r w:rsidRPr="00B0434F">
              <w:rPr>
                <w:b/>
                <w:i/>
              </w:rPr>
              <w:t>est</w:t>
            </w:r>
            <w:r w:rsidRPr="00B0434F">
              <w:rPr>
                <w:b/>
              </w:rPr>
              <w:t xml:space="preserve"> </w:t>
            </w:r>
            <w:r w:rsidRPr="00B0434F">
              <w:t>produit;</w:t>
            </w:r>
          </w:p>
        </w:tc>
        <w:tc>
          <w:tcPr>
            <w:tcW w:w="4876" w:type="dxa"/>
            <w:hideMark/>
          </w:tcPr>
          <w:p w14:paraId="3A2B5259" w14:textId="77777777" w:rsidR="00BF7ACA" w:rsidRPr="00B0434F" w:rsidRDefault="00BF7ACA" w:rsidP="007924BE">
            <w:pPr>
              <w:pStyle w:val="Normal6"/>
              <w:rPr>
                <w:szCs w:val="24"/>
              </w:rPr>
            </w:pPr>
            <w:r w:rsidRPr="00B0434F">
              <w:t>(a)</w:t>
            </w:r>
            <w:r>
              <w:tab/>
            </w:r>
            <w:r w:rsidRPr="00B0434F">
              <w:t xml:space="preserve">en ce qui concerne les titres de dette, le principal et tous les intérêts ainsi que les montants dus à la contrepartie éligible sélectionnée mais non reçus, conformément aux modalités des opérations de financement, </w:t>
            </w:r>
            <w:r w:rsidRPr="00B0434F">
              <w:rPr>
                <w:b/>
                <w:i/>
              </w:rPr>
              <w:t xml:space="preserve">au moment où </w:t>
            </w:r>
            <w:r w:rsidRPr="00B0434F">
              <w:t xml:space="preserve">un événement de défaut </w:t>
            </w:r>
            <w:r w:rsidRPr="00B0434F">
              <w:rPr>
                <w:b/>
                <w:i/>
              </w:rPr>
              <w:t>se</w:t>
            </w:r>
            <w:r w:rsidRPr="00B0434F">
              <w:t xml:space="preserve"> produit;</w:t>
            </w:r>
          </w:p>
        </w:tc>
      </w:tr>
    </w:tbl>
    <w:p w14:paraId="2DF36842"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DF38105" w14:textId="77777777" w:rsidR="00BF7ACA" w:rsidRPr="00BF7ACA" w:rsidRDefault="00BF7ACA" w:rsidP="00BF7ACA">
      <w:r w:rsidRPr="00BF7ACA">
        <w:rPr>
          <w:rStyle w:val="HideTWBExt"/>
        </w:rPr>
        <w:t>&lt;/Amend&gt;</w:t>
      </w:r>
    </w:p>
    <w:p w14:paraId="37CFB16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333</w:t>
      </w:r>
      <w:r w:rsidRPr="00BF7ACA">
        <w:rPr>
          <w:rStyle w:val="HideTWBExt"/>
          <w:b w:val="0"/>
        </w:rPr>
        <w:t>&lt;/NumAm&gt;</w:t>
      </w:r>
    </w:p>
    <w:p w14:paraId="35D48CDD"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362CBDB9" w14:textId="77777777" w:rsidR="00BF7ACA" w:rsidRPr="00AF1321" w:rsidRDefault="00BF7ACA" w:rsidP="00BF7ACA">
      <w:r>
        <w:rPr>
          <w:rStyle w:val="HideTWBExt"/>
        </w:rPr>
        <w:t>&lt;/RepeatBlock-By&gt;</w:t>
      </w:r>
    </w:p>
    <w:p w14:paraId="6D7727F6"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0F450CB2" w14:textId="77777777" w:rsidR="00BF7ACA" w:rsidRPr="00AF1321" w:rsidRDefault="00BF7ACA" w:rsidP="00BF7ACA">
      <w:pPr>
        <w:pStyle w:val="NormalBold"/>
      </w:pPr>
      <w:r>
        <w:rPr>
          <w:rStyle w:val="HideTWBExt"/>
          <w:b w:val="0"/>
        </w:rPr>
        <w:t>&lt;Article&gt;</w:t>
      </w:r>
      <w:r w:rsidRPr="00B0434F">
        <w:t>Article 12 – paragraphe 6 – point b</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3A70913C" w14:textId="77777777" w:rsidTr="007924BE">
        <w:trPr>
          <w:jc w:val="center"/>
        </w:trPr>
        <w:tc>
          <w:tcPr>
            <w:tcW w:w="9752" w:type="dxa"/>
            <w:gridSpan w:val="2"/>
          </w:tcPr>
          <w:p w14:paraId="6704B3BF" w14:textId="77777777" w:rsidR="00BF7ACA" w:rsidRPr="00AF1321" w:rsidRDefault="00BF7ACA" w:rsidP="007924BE">
            <w:pPr>
              <w:keepNext/>
            </w:pPr>
          </w:p>
        </w:tc>
      </w:tr>
      <w:tr w:rsidR="00BF7ACA" w:rsidRPr="00AF1321" w14:paraId="33062AC3" w14:textId="77777777" w:rsidTr="007924BE">
        <w:trPr>
          <w:jc w:val="center"/>
        </w:trPr>
        <w:tc>
          <w:tcPr>
            <w:tcW w:w="4876" w:type="dxa"/>
            <w:hideMark/>
          </w:tcPr>
          <w:p w14:paraId="0B808564" w14:textId="77777777" w:rsidR="00BF7ACA" w:rsidRPr="00B0434F" w:rsidRDefault="00BF7ACA" w:rsidP="007924BE">
            <w:pPr>
              <w:pStyle w:val="ColumnHeading"/>
              <w:keepNext/>
            </w:pPr>
            <w:r w:rsidRPr="00B0434F">
              <w:t>Texte proposé par la Commission</w:t>
            </w:r>
          </w:p>
        </w:tc>
        <w:tc>
          <w:tcPr>
            <w:tcW w:w="4876" w:type="dxa"/>
            <w:hideMark/>
          </w:tcPr>
          <w:p w14:paraId="5C89F198" w14:textId="77777777" w:rsidR="00BF7ACA" w:rsidRPr="00B0434F" w:rsidRDefault="00BF7ACA" w:rsidP="007924BE">
            <w:pPr>
              <w:pStyle w:val="ColumnHeading"/>
              <w:keepNext/>
            </w:pPr>
            <w:r w:rsidRPr="00B0434F">
              <w:t>Amendement</w:t>
            </w:r>
          </w:p>
        </w:tc>
      </w:tr>
      <w:tr w:rsidR="00BF7ACA" w:rsidRPr="00AF1321" w14:paraId="428710F9" w14:textId="77777777" w:rsidTr="007924BE">
        <w:trPr>
          <w:jc w:val="center"/>
        </w:trPr>
        <w:tc>
          <w:tcPr>
            <w:tcW w:w="4876" w:type="dxa"/>
            <w:hideMark/>
          </w:tcPr>
          <w:p w14:paraId="0EA34CD1" w14:textId="77777777" w:rsidR="00BF7ACA" w:rsidRPr="00B0434F" w:rsidRDefault="00BF7ACA" w:rsidP="007924BE">
            <w:pPr>
              <w:pStyle w:val="Normal6"/>
            </w:pPr>
            <w:r w:rsidRPr="00B0434F">
              <w:t>(b)</w:t>
            </w:r>
            <w:r>
              <w:tab/>
            </w:r>
            <w:r w:rsidRPr="00B0434F">
              <w:t xml:space="preserve">en ce qui concerne les investissements sous la forme de fonds propres, les montants investis </w:t>
            </w:r>
            <w:r w:rsidRPr="00B0434F">
              <w:rPr>
                <w:b/>
                <w:i/>
              </w:rPr>
              <w:t>et les coûts de financement y afférents</w:t>
            </w:r>
            <w:r w:rsidRPr="00B0434F">
              <w:t>;</w:t>
            </w:r>
          </w:p>
        </w:tc>
        <w:tc>
          <w:tcPr>
            <w:tcW w:w="4876" w:type="dxa"/>
            <w:hideMark/>
          </w:tcPr>
          <w:p w14:paraId="29C69677" w14:textId="77777777" w:rsidR="00BF7ACA" w:rsidRPr="00B0434F" w:rsidRDefault="00BF7ACA" w:rsidP="007924BE">
            <w:pPr>
              <w:pStyle w:val="Normal6"/>
              <w:rPr>
                <w:szCs w:val="24"/>
              </w:rPr>
            </w:pPr>
            <w:r w:rsidRPr="00B0434F">
              <w:t>(b)</w:t>
            </w:r>
            <w:r>
              <w:tab/>
            </w:r>
            <w:r w:rsidRPr="00B0434F">
              <w:t>en ce qui concerne les investissements sous la forme de fonds propres, les montants investis;</w:t>
            </w:r>
          </w:p>
        </w:tc>
      </w:tr>
    </w:tbl>
    <w:p w14:paraId="52A2EDB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F861D02" w14:textId="77777777" w:rsidR="00BF7ACA" w:rsidRPr="00BF7ACA" w:rsidRDefault="00BF7ACA" w:rsidP="00BF7ACA">
      <w:r w:rsidRPr="00BF7ACA">
        <w:rPr>
          <w:rStyle w:val="HideTWBExt"/>
        </w:rPr>
        <w:t>&lt;/Amend&gt;</w:t>
      </w:r>
    </w:p>
    <w:p w14:paraId="4FF896E7"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334</w:t>
      </w:r>
      <w:r w:rsidRPr="00BF7ACA">
        <w:rPr>
          <w:rStyle w:val="HideTWBExt"/>
          <w:b w:val="0"/>
        </w:rPr>
        <w:t>&lt;/NumAm&gt;</w:t>
      </w:r>
    </w:p>
    <w:p w14:paraId="0EC1F383"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41A7A907" w14:textId="77777777" w:rsidR="00BF7ACA" w:rsidRPr="00AF1321" w:rsidRDefault="00BF7ACA" w:rsidP="00BF7ACA">
      <w:r>
        <w:rPr>
          <w:rStyle w:val="HideTWBExt"/>
        </w:rPr>
        <w:t>&lt;/RepeatBlock-By&gt;</w:t>
      </w:r>
    </w:p>
    <w:p w14:paraId="580C5379"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6BEB324E" w14:textId="77777777" w:rsidR="00BF7ACA" w:rsidRPr="00AF1321" w:rsidRDefault="00BF7ACA" w:rsidP="00BF7ACA">
      <w:pPr>
        <w:pStyle w:val="NormalBold"/>
      </w:pPr>
      <w:r>
        <w:rPr>
          <w:rStyle w:val="HideTWBExt"/>
          <w:b w:val="0"/>
        </w:rPr>
        <w:t>&lt;Article&gt;</w:t>
      </w:r>
      <w:r w:rsidRPr="00B0434F">
        <w:t>Article 12 – paragraphe 6 – point c</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47471A7D" w14:textId="77777777" w:rsidTr="007924BE">
        <w:trPr>
          <w:jc w:val="center"/>
        </w:trPr>
        <w:tc>
          <w:tcPr>
            <w:tcW w:w="9752" w:type="dxa"/>
            <w:gridSpan w:val="2"/>
          </w:tcPr>
          <w:p w14:paraId="38F5C303" w14:textId="77777777" w:rsidR="00BF7ACA" w:rsidRPr="00AF1321" w:rsidRDefault="00BF7ACA" w:rsidP="007924BE">
            <w:pPr>
              <w:keepNext/>
            </w:pPr>
          </w:p>
        </w:tc>
      </w:tr>
      <w:tr w:rsidR="00BF7ACA" w:rsidRPr="00AF1321" w14:paraId="743D65B2" w14:textId="77777777" w:rsidTr="007924BE">
        <w:trPr>
          <w:jc w:val="center"/>
        </w:trPr>
        <w:tc>
          <w:tcPr>
            <w:tcW w:w="4876" w:type="dxa"/>
            <w:hideMark/>
          </w:tcPr>
          <w:p w14:paraId="0DD0036E" w14:textId="77777777" w:rsidR="00BF7ACA" w:rsidRPr="00B0434F" w:rsidRDefault="00BF7ACA" w:rsidP="007924BE">
            <w:pPr>
              <w:pStyle w:val="ColumnHeading"/>
              <w:keepNext/>
            </w:pPr>
            <w:r w:rsidRPr="00B0434F">
              <w:t>Texte proposé par la Commission</w:t>
            </w:r>
          </w:p>
        </w:tc>
        <w:tc>
          <w:tcPr>
            <w:tcW w:w="4876" w:type="dxa"/>
            <w:hideMark/>
          </w:tcPr>
          <w:p w14:paraId="00205A86" w14:textId="77777777" w:rsidR="00BF7ACA" w:rsidRPr="00B0434F" w:rsidRDefault="00BF7ACA" w:rsidP="007924BE">
            <w:pPr>
              <w:pStyle w:val="ColumnHeading"/>
              <w:keepNext/>
            </w:pPr>
            <w:r w:rsidRPr="00B0434F">
              <w:t>Amendement</w:t>
            </w:r>
          </w:p>
        </w:tc>
      </w:tr>
      <w:tr w:rsidR="00BF7ACA" w:rsidRPr="00AF1321" w14:paraId="2F911E24" w14:textId="77777777" w:rsidTr="007924BE">
        <w:trPr>
          <w:jc w:val="center"/>
        </w:trPr>
        <w:tc>
          <w:tcPr>
            <w:tcW w:w="4876" w:type="dxa"/>
            <w:hideMark/>
          </w:tcPr>
          <w:p w14:paraId="72736582" w14:textId="77777777" w:rsidR="00BF7ACA" w:rsidRPr="00B0434F" w:rsidRDefault="00BF7ACA" w:rsidP="007924BE">
            <w:pPr>
              <w:pStyle w:val="Normal6"/>
            </w:pPr>
            <w:r w:rsidRPr="00B0434F">
              <w:t>(c)</w:t>
            </w:r>
            <w:r>
              <w:tab/>
            </w:r>
            <w:r w:rsidRPr="00B0434F">
              <w:t>en ce qui concerne les autres opérations de financement et d</w:t>
            </w:r>
            <w:r>
              <w:t>’</w:t>
            </w:r>
            <w:r w:rsidRPr="00B0434F">
              <w:t>investissement visées à l</w:t>
            </w:r>
            <w:r>
              <w:t>’</w:t>
            </w:r>
            <w:r w:rsidRPr="00B0434F">
              <w:t>article 8, paragraphe 2, les montants utilisés</w:t>
            </w:r>
            <w:r w:rsidRPr="00B0434F">
              <w:rPr>
                <w:b/>
                <w:i/>
              </w:rPr>
              <w:t xml:space="preserve"> et les coûts de financement y afférents</w:t>
            </w:r>
            <w:r w:rsidRPr="00B0434F">
              <w:t>;</w:t>
            </w:r>
          </w:p>
        </w:tc>
        <w:tc>
          <w:tcPr>
            <w:tcW w:w="4876" w:type="dxa"/>
            <w:hideMark/>
          </w:tcPr>
          <w:p w14:paraId="500A2097" w14:textId="77777777" w:rsidR="00BF7ACA" w:rsidRPr="00B0434F" w:rsidRDefault="00BF7ACA" w:rsidP="007924BE">
            <w:pPr>
              <w:pStyle w:val="Normal6"/>
              <w:rPr>
                <w:szCs w:val="24"/>
              </w:rPr>
            </w:pPr>
            <w:r w:rsidRPr="00B0434F">
              <w:t>(c)</w:t>
            </w:r>
            <w:r>
              <w:tab/>
            </w:r>
            <w:r w:rsidRPr="00B0434F">
              <w:t>en ce qui concerne les autres opérations de financement et d</w:t>
            </w:r>
            <w:r>
              <w:t>’</w:t>
            </w:r>
            <w:r w:rsidRPr="00B0434F">
              <w:t>investissement visées à l</w:t>
            </w:r>
            <w:r>
              <w:t>’</w:t>
            </w:r>
            <w:r w:rsidRPr="00B0434F">
              <w:t>article 8, paragraphe 2, les montants utilisés;</w:t>
            </w:r>
          </w:p>
        </w:tc>
      </w:tr>
    </w:tbl>
    <w:p w14:paraId="6D3E2A62"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4ECF39B" w14:textId="77777777" w:rsidR="00BF7ACA" w:rsidRPr="00BF7ACA" w:rsidRDefault="00BF7ACA" w:rsidP="00BF7ACA">
      <w:r w:rsidRPr="00BF7ACA">
        <w:rPr>
          <w:rStyle w:val="HideTWBExt"/>
        </w:rPr>
        <w:t>&lt;/Amend&gt;</w:t>
      </w:r>
    </w:p>
    <w:p w14:paraId="76D6880A"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335</w:t>
      </w:r>
      <w:r w:rsidRPr="00BF7ACA">
        <w:rPr>
          <w:rStyle w:val="HideTWBExt"/>
          <w:b w:val="0"/>
        </w:rPr>
        <w:t>&lt;/NumAm&gt;</w:t>
      </w:r>
    </w:p>
    <w:p w14:paraId="1F2DDE79"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3DBC7EBB" w14:textId="77777777" w:rsidR="00BF7ACA" w:rsidRPr="00AF1321" w:rsidRDefault="00BF7ACA" w:rsidP="00BF7ACA">
      <w:r>
        <w:rPr>
          <w:rStyle w:val="HideTWBExt"/>
        </w:rPr>
        <w:t>&lt;/RepeatBlock-By&gt;</w:t>
      </w:r>
    </w:p>
    <w:p w14:paraId="03569D4F"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2CDD9D38" w14:textId="77777777" w:rsidR="00BF7ACA" w:rsidRPr="00AF1321" w:rsidRDefault="00BF7ACA" w:rsidP="00BF7ACA">
      <w:pPr>
        <w:pStyle w:val="NormalBold"/>
      </w:pPr>
      <w:r>
        <w:rPr>
          <w:rStyle w:val="HideTWBExt"/>
          <w:b w:val="0"/>
        </w:rPr>
        <w:t>&lt;Article&gt;</w:t>
      </w:r>
      <w:r w:rsidRPr="00B0434F">
        <w:t>Article 12 – paragraphe 6 – point d</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0DE3C18F" w14:textId="77777777" w:rsidTr="007924BE">
        <w:trPr>
          <w:jc w:val="center"/>
        </w:trPr>
        <w:tc>
          <w:tcPr>
            <w:tcW w:w="9752" w:type="dxa"/>
            <w:gridSpan w:val="2"/>
          </w:tcPr>
          <w:p w14:paraId="4CE525B0" w14:textId="77777777" w:rsidR="00BF7ACA" w:rsidRPr="00AF1321" w:rsidRDefault="00BF7ACA" w:rsidP="007924BE">
            <w:pPr>
              <w:keepNext/>
            </w:pPr>
          </w:p>
        </w:tc>
      </w:tr>
      <w:tr w:rsidR="00BF7ACA" w:rsidRPr="00AF1321" w14:paraId="79AF4733" w14:textId="77777777" w:rsidTr="007924BE">
        <w:trPr>
          <w:jc w:val="center"/>
        </w:trPr>
        <w:tc>
          <w:tcPr>
            <w:tcW w:w="4876" w:type="dxa"/>
            <w:hideMark/>
          </w:tcPr>
          <w:p w14:paraId="75853EA6" w14:textId="77777777" w:rsidR="00BF7ACA" w:rsidRPr="00B0434F" w:rsidRDefault="00BF7ACA" w:rsidP="007924BE">
            <w:pPr>
              <w:pStyle w:val="ColumnHeading"/>
              <w:keepNext/>
            </w:pPr>
            <w:r w:rsidRPr="00B0434F">
              <w:t>Texte proposé par la Commission</w:t>
            </w:r>
          </w:p>
        </w:tc>
        <w:tc>
          <w:tcPr>
            <w:tcW w:w="4876" w:type="dxa"/>
            <w:hideMark/>
          </w:tcPr>
          <w:p w14:paraId="13C14CE2" w14:textId="77777777" w:rsidR="00BF7ACA" w:rsidRPr="00B0434F" w:rsidRDefault="00BF7ACA" w:rsidP="007924BE">
            <w:pPr>
              <w:pStyle w:val="ColumnHeading"/>
              <w:keepNext/>
            </w:pPr>
            <w:r w:rsidRPr="00B0434F">
              <w:t>Amendement</w:t>
            </w:r>
          </w:p>
        </w:tc>
      </w:tr>
      <w:tr w:rsidR="00BF7ACA" w:rsidRPr="00AF1321" w14:paraId="7B23E4D5" w14:textId="77777777" w:rsidTr="007924BE">
        <w:trPr>
          <w:jc w:val="center"/>
        </w:trPr>
        <w:tc>
          <w:tcPr>
            <w:tcW w:w="4876" w:type="dxa"/>
            <w:hideMark/>
          </w:tcPr>
          <w:p w14:paraId="544B6C35" w14:textId="77777777" w:rsidR="00BF7ACA" w:rsidRPr="00B0434F" w:rsidRDefault="00BF7ACA" w:rsidP="007924BE">
            <w:pPr>
              <w:pStyle w:val="Normal6"/>
            </w:pPr>
            <w:r w:rsidRPr="00B0434F">
              <w:rPr>
                <w:b/>
                <w:i/>
              </w:rPr>
              <w:t>(d)</w:t>
            </w:r>
            <w:r>
              <w:tab/>
            </w:r>
            <w:r w:rsidRPr="00B0434F">
              <w:rPr>
                <w:b/>
                <w:i/>
              </w:rPr>
              <w:t>l</w:t>
            </w:r>
            <w:r>
              <w:rPr>
                <w:b/>
                <w:i/>
              </w:rPr>
              <w:t>’</w:t>
            </w:r>
            <w:r w:rsidRPr="00B0434F">
              <w:rPr>
                <w:b/>
                <w:i/>
              </w:rPr>
              <w:t>ensemble des dépenses et des coûts de recouvrement pertinents liés à un événement de défaut, à moins que les sommes correspondantes ne soient déduites du produit du recouvrement.</w:t>
            </w:r>
          </w:p>
        </w:tc>
        <w:tc>
          <w:tcPr>
            <w:tcW w:w="4876" w:type="dxa"/>
            <w:hideMark/>
          </w:tcPr>
          <w:p w14:paraId="6C8310AE" w14:textId="77777777" w:rsidR="00BF7ACA" w:rsidRPr="00B0434F" w:rsidRDefault="00BF7ACA" w:rsidP="007924BE">
            <w:pPr>
              <w:pStyle w:val="Normal6"/>
              <w:rPr>
                <w:szCs w:val="24"/>
              </w:rPr>
            </w:pPr>
            <w:r w:rsidRPr="00B0434F">
              <w:rPr>
                <w:b/>
                <w:i/>
              </w:rPr>
              <w:t>supprimé</w:t>
            </w:r>
          </w:p>
        </w:tc>
      </w:tr>
    </w:tbl>
    <w:p w14:paraId="2B0EC8E0" w14:textId="77777777" w:rsidR="00BF7ACA" w:rsidRPr="00AF1321" w:rsidRDefault="00BF7ACA" w:rsidP="00BF7ACA">
      <w:pPr>
        <w:pStyle w:val="Olang"/>
        <w:rPr>
          <w:noProof w:val="0"/>
          <w:szCs w:val="24"/>
        </w:rPr>
      </w:pPr>
      <w:r w:rsidRPr="00B0434F">
        <w:rPr>
          <w:noProof w:val="0"/>
        </w:rPr>
        <w:t xml:space="preserve">Or. </w:t>
      </w:r>
      <w:r w:rsidRPr="004C208F">
        <w:rPr>
          <w:rStyle w:val="HideTWBExt"/>
          <w:noProof w:val="0"/>
        </w:rPr>
        <w:t>&lt;Original&gt;</w:t>
      </w:r>
      <w:r w:rsidRPr="004C208F">
        <w:rPr>
          <w:rStyle w:val="HideTWBInt"/>
          <w:noProof w:val="0"/>
        </w:rPr>
        <w:t>{EN}</w:t>
      </w:r>
      <w:r w:rsidRPr="00B0434F">
        <w:rPr>
          <w:noProof w:val="0"/>
        </w:rPr>
        <w:t>en</w:t>
      </w:r>
      <w:r w:rsidRPr="004C208F">
        <w:rPr>
          <w:rStyle w:val="HideTWBExt"/>
          <w:noProof w:val="0"/>
        </w:rPr>
        <w:t>&lt;/Original&gt;</w:t>
      </w:r>
    </w:p>
    <w:p w14:paraId="713CF8D6" w14:textId="77777777" w:rsidR="00BF7ACA" w:rsidRPr="00AF1321" w:rsidRDefault="00BF7ACA" w:rsidP="00BF7ACA">
      <w:r>
        <w:rPr>
          <w:rStyle w:val="HideTWBExt"/>
        </w:rPr>
        <w:t>&lt;/Amend&gt;</w:t>
      </w:r>
    </w:p>
    <w:p w14:paraId="2FFCAE55" w14:textId="77777777" w:rsidR="00BF7ACA" w:rsidRPr="00AF1321" w:rsidRDefault="00BF7ACA" w:rsidP="00BF7ACA">
      <w:pPr>
        <w:pStyle w:val="AMNumberTabs"/>
        <w:keepNext/>
      </w:pPr>
      <w:r>
        <w:rPr>
          <w:rStyle w:val="HideTWBExt"/>
          <w:b w:val="0"/>
        </w:rPr>
        <w:t>&lt;Amend&gt;</w:t>
      </w:r>
      <w:r w:rsidRPr="00B0434F">
        <w:t>Amendement</w:t>
      </w:r>
      <w:r>
        <w:tab/>
      </w:r>
      <w:r>
        <w:tab/>
      </w:r>
      <w:r>
        <w:rPr>
          <w:rStyle w:val="HideTWBExt"/>
          <w:b w:val="0"/>
        </w:rPr>
        <w:t>&lt;NumAm&gt;</w:t>
      </w:r>
      <w:r w:rsidRPr="00B0434F">
        <w:t>336</w:t>
      </w:r>
      <w:r>
        <w:rPr>
          <w:rStyle w:val="HideTWBExt"/>
          <w:b w:val="0"/>
        </w:rPr>
        <w:t>&lt;/NumAm&gt;</w:t>
      </w:r>
    </w:p>
    <w:p w14:paraId="0BB8BF3C" w14:textId="77777777" w:rsidR="00BF7ACA" w:rsidRPr="00CC49E1" w:rsidRDefault="00BF7ACA" w:rsidP="00BF7ACA">
      <w:pPr>
        <w:pStyle w:val="NormalBold"/>
        <w:rPr>
          <w:lang w:val="en-GB"/>
        </w:rPr>
      </w:pPr>
      <w:r w:rsidRPr="00CC49E1">
        <w:rPr>
          <w:rStyle w:val="HideTWBExt"/>
          <w:b w:val="0"/>
          <w:lang w:val="en-GB"/>
        </w:rPr>
        <w:t>&lt;RepeatBlock-By&gt;&lt;Members&gt;</w:t>
      </w:r>
      <w:r w:rsidRPr="00CC49E1">
        <w:rPr>
          <w:lang w:val="en-GB"/>
        </w:rPr>
        <w:t>Marietje Schaake</w:t>
      </w:r>
      <w:r w:rsidRPr="00CC49E1">
        <w:rPr>
          <w:rStyle w:val="HideTWBExt"/>
          <w:b w:val="0"/>
          <w:lang w:val="en-GB"/>
        </w:rPr>
        <w:t>&lt;/Members&gt;</w:t>
      </w:r>
    </w:p>
    <w:p w14:paraId="498D17CB" w14:textId="77777777" w:rsidR="00BF7ACA" w:rsidRPr="00AF1321" w:rsidRDefault="00BF7ACA" w:rsidP="00BF7ACA">
      <w:r>
        <w:rPr>
          <w:rStyle w:val="HideTWBExt"/>
        </w:rPr>
        <w:t>&lt;/RepeatBlock-By&gt;</w:t>
      </w:r>
    </w:p>
    <w:p w14:paraId="44D6AD06"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7AB896B1" w14:textId="77777777" w:rsidR="00BF7ACA" w:rsidRPr="00AF1321" w:rsidRDefault="00BF7ACA" w:rsidP="00BF7ACA">
      <w:pPr>
        <w:pStyle w:val="NormalBold"/>
      </w:pPr>
      <w:r>
        <w:rPr>
          <w:rStyle w:val="HideTWBExt"/>
          <w:b w:val="0"/>
        </w:rPr>
        <w:t>&lt;Article&gt;</w:t>
      </w:r>
      <w:r w:rsidRPr="00B0434F">
        <w:t>Article 13 – paragraphe 2 – point a</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62F19043" w14:textId="77777777" w:rsidTr="007924BE">
        <w:trPr>
          <w:jc w:val="center"/>
        </w:trPr>
        <w:tc>
          <w:tcPr>
            <w:tcW w:w="9752" w:type="dxa"/>
            <w:gridSpan w:val="2"/>
          </w:tcPr>
          <w:p w14:paraId="167A0A80" w14:textId="77777777" w:rsidR="00BF7ACA" w:rsidRPr="00AF1321" w:rsidRDefault="00BF7ACA" w:rsidP="007924BE">
            <w:pPr>
              <w:keepNext/>
            </w:pPr>
          </w:p>
        </w:tc>
      </w:tr>
      <w:tr w:rsidR="00BF7ACA" w:rsidRPr="00AF1321" w14:paraId="0FF180BD" w14:textId="77777777" w:rsidTr="007924BE">
        <w:trPr>
          <w:jc w:val="center"/>
        </w:trPr>
        <w:tc>
          <w:tcPr>
            <w:tcW w:w="4876" w:type="dxa"/>
            <w:hideMark/>
          </w:tcPr>
          <w:p w14:paraId="68384A48" w14:textId="77777777" w:rsidR="00BF7ACA" w:rsidRPr="00B0434F" w:rsidRDefault="00BF7ACA" w:rsidP="007924BE">
            <w:pPr>
              <w:pStyle w:val="ColumnHeading"/>
              <w:keepNext/>
            </w:pPr>
            <w:r w:rsidRPr="00B0434F">
              <w:t>Texte proposé par la Commission</w:t>
            </w:r>
          </w:p>
        </w:tc>
        <w:tc>
          <w:tcPr>
            <w:tcW w:w="4876" w:type="dxa"/>
            <w:hideMark/>
          </w:tcPr>
          <w:p w14:paraId="5286943B" w14:textId="77777777" w:rsidR="00BF7ACA" w:rsidRPr="00B0434F" w:rsidRDefault="00BF7ACA" w:rsidP="007924BE">
            <w:pPr>
              <w:pStyle w:val="ColumnHeading"/>
              <w:keepNext/>
            </w:pPr>
            <w:r w:rsidRPr="00B0434F">
              <w:t>Amendement</w:t>
            </w:r>
          </w:p>
        </w:tc>
      </w:tr>
      <w:tr w:rsidR="00BF7ACA" w:rsidRPr="00AF1321" w14:paraId="32D124FE" w14:textId="77777777" w:rsidTr="007924BE">
        <w:trPr>
          <w:jc w:val="center"/>
        </w:trPr>
        <w:tc>
          <w:tcPr>
            <w:tcW w:w="4876" w:type="dxa"/>
            <w:hideMark/>
          </w:tcPr>
          <w:p w14:paraId="3EE49C51" w14:textId="77777777" w:rsidR="00BF7ACA" w:rsidRPr="00B0434F" w:rsidRDefault="00BF7ACA" w:rsidP="007924BE">
            <w:pPr>
              <w:pStyle w:val="Normal6"/>
            </w:pPr>
            <w:r w:rsidRPr="00B0434F">
              <w:t>(a)</w:t>
            </w:r>
            <w:r>
              <w:tab/>
            </w:r>
            <w:r w:rsidRPr="00B0434F">
              <w:t>les contributions du budget général de l</w:t>
            </w:r>
            <w:r>
              <w:t>’</w:t>
            </w:r>
            <w:r w:rsidRPr="00B0434F">
              <w:t xml:space="preserve">Union </w:t>
            </w:r>
            <w:r w:rsidRPr="00B0434F">
              <w:rPr>
                <w:b/>
                <w:i/>
              </w:rPr>
              <w:t>et</w:t>
            </w:r>
            <w:r w:rsidRPr="00B0434F">
              <w:t xml:space="preserve"> d</w:t>
            </w:r>
            <w:r>
              <w:t>’</w:t>
            </w:r>
            <w:r w:rsidRPr="00B0434F">
              <w:t>autres sources;</w:t>
            </w:r>
          </w:p>
        </w:tc>
        <w:tc>
          <w:tcPr>
            <w:tcW w:w="4876" w:type="dxa"/>
            <w:hideMark/>
          </w:tcPr>
          <w:p w14:paraId="634D981B" w14:textId="77777777" w:rsidR="00BF7ACA" w:rsidRPr="00B0434F" w:rsidRDefault="00BF7ACA" w:rsidP="007924BE">
            <w:pPr>
              <w:pStyle w:val="Normal6"/>
              <w:rPr>
                <w:szCs w:val="24"/>
              </w:rPr>
            </w:pPr>
            <w:r w:rsidRPr="00B0434F">
              <w:t>(a)</w:t>
            </w:r>
            <w:r>
              <w:tab/>
            </w:r>
            <w:r w:rsidRPr="00B0434F">
              <w:t>les contributions du budget général de l</w:t>
            </w:r>
            <w:r>
              <w:t>’</w:t>
            </w:r>
            <w:r w:rsidRPr="00B0434F">
              <w:t>Union</w:t>
            </w:r>
            <w:r w:rsidRPr="00B0434F">
              <w:rPr>
                <w:b/>
                <w:i/>
              </w:rPr>
              <w:t>, lorsque cela est compatible avec les objectifs fixés dans le cadre des différentes lignes budgétaires et des différents instruments de financement extérieur,</w:t>
            </w:r>
            <w:r w:rsidRPr="00B0434F">
              <w:t xml:space="preserve"> </w:t>
            </w:r>
            <w:r w:rsidRPr="00B0434F">
              <w:rPr>
                <w:b/>
                <w:i/>
              </w:rPr>
              <w:t>ainsi que par</w:t>
            </w:r>
            <w:r w:rsidRPr="00B0434F">
              <w:t xml:space="preserve"> d</w:t>
            </w:r>
            <w:r>
              <w:t>’</w:t>
            </w:r>
            <w:r w:rsidRPr="00B0434F">
              <w:t>autres sources;</w:t>
            </w:r>
          </w:p>
        </w:tc>
      </w:tr>
    </w:tbl>
    <w:p w14:paraId="1C84EE4E"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2B6EB7F" w14:textId="77777777" w:rsidR="00BF7ACA" w:rsidRPr="00BF7ACA" w:rsidRDefault="00BF7ACA" w:rsidP="00BF7ACA">
      <w:r w:rsidRPr="00BF7ACA">
        <w:rPr>
          <w:rStyle w:val="HideTWBExt"/>
        </w:rPr>
        <w:t>&lt;/Amend&gt;</w:t>
      </w:r>
    </w:p>
    <w:p w14:paraId="422E94A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337</w:t>
      </w:r>
      <w:r w:rsidRPr="00BF7ACA">
        <w:rPr>
          <w:rStyle w:val="HideTWBExt"/>
          <w:b w:val="0"/>
        </w:rPr>
        <w:t>&lt;/NumAm&gt;</w:t>
      </w:r>
    </w:p>
    <w:p w14:paraId="10090DE8"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466724D8" w14:textId="77777777" w:rsidR="00BF7ACA" w:rsidRPr="00AF1321" w:rsidRDefault="00BF7ACA" w:rsidP="00BF7ACA">
      <w:r>
        <w:rPr>
          <w:rStyle w:val="HideTWBExt"/>
        </w:rPr>
        <w:t>&lt;/RepeatBlock-By&gt;</w:t>
      </w:r>
    </w:p>
    <w:p w14:paraId="7DFD48B5"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78DB4A93" w14:textId="77777777" w:rsidR="00BF7ACA" w:rsidRPr="00AF1321" w:rsidRDefault="00BF7ACA" w:rsidP="00BF7ACA">
      <w:pPr>
        <w:pStyle w:val="NormalBold"/>
      </w:pPr>
      <w:r>
        <w:rPr>
          <w:rStyle w:val="HideTWBExt"/>
          <w:b w:val="0"/>
        </w:rPr>
        <w:t>&lt;Article&gt;</w:t>
      </w:r>
      <w:r w:rsidRPr="00B0434F">
        <w:t>Article 13 – paragraphe 2 – point b</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2A91273A" w14:textId="77777777" w:rsidTr="007924BE">
        <w:trPr>
          <w:jc w:val="center"/>
        </w:trPr>
        <w:tc>
          <w:tcPr>
            <w:tcW w:w="9752" w:type="dxa"/>
            <w:gridSpan w:val="2"/>
          </w:tcPr>
          <w:p w14:paraId="0FC8EF4D" w14:textId="77777777" w:rsidR="00BF7ACA" w:rsidRPr="00AF1321" w:rsidRDefault="00BF7ACA" w:rsidP="007924BE">
            <w:pPr>
              <w:keepNext/>
            </w:pPr>
          </w:p>
        </w:tc>
      </w:tr>
      <w:tr w:rsidR="00BF7ACA" w:rsidRPr="00AF1321" w14:paraId="5D44A37C" w14:textId="77777777" w:rsidTr="007924BE">
        <w:trPr>
          <w:jc w:val="center"/>
        </w:trPr>
        <w:tc>
          <w:tcPr>
            <w:tcW w:w="4876" w:type="dxa"/>
            <w:hideMark/>
          </w:tcPr>
          <w:p w14:paraId="1D9AB623" w14:textId="77777777" w:rsidR="00BF7ACA" w:rsidRPr="00B0434F" w:rsidRDefault="00BF7ACA" w:rsidP="007924BE">
            <w:pPr>
              <w:pStyle w:val="ColumnHeading"/>
              <w:keepNext/>
            </w:pPr>
            <w:r w:rsidRPr="00B0434F">
              <w:t>Texte proposé par la Commission</w:t>
            </w:r>
          </w:p>
        </w:tc>
        <w:tc>
          <w:tcPr>
            <w:tcW w:w="4876" w:type="dxa"/>
            <w:hideMark/>
          </w:tcPr>
          <w:p w14:paraId="534A1CED" w14:textId="77777777" w:rsidR="00BF7ACA" w:rsidRPr="00B0434F" w:rsidRDefault="00BF7ACA" w:rsidP="007924BE">
            <w:pPr>
              <w:pStyle w:val="ColumnHeading"/>
              <w:keepNext/>
            </w:pPr>
            <w:r w:rsidRPr="00B0434F">
              <w:t>Amendement</w:t>
            </w:r>
          </w:p>
        </w:tc>
      </w:tr>
      <w:tr w:rsidR="00BF7ACA" w:rsidRPr="00AF1321" w14:paraId="09BE426F" w14:textId="77777777" w:rsidTr="007924BE">
        <w:trPr>
          <w:jc w:val="center"/>
        </w:trPr>
        <w:tc>
          <w:tcPr>
            <w:tcW w:w="4876" w:type="dxa"/>
            <w:hideMark/>
          </w:tcPr>
          <w:p w14:paraId="2D40C1C3" w14:textId="77777777" w:rsidR="00BF7ACA" w:rsidRPr="00B0434F" w:rsidRDefault="00BF7ACA" w:rsidP="007924BE">
            <w:pPr>
              <w:pStyle w:val="Normal6"/>
            </w:pPr>
            <w:r w:rsidRPr="00B0434F">
              <w:t>(b)</w:t>
            </w:r>
            <w:r>
              <w:tab/>
              <w:t xml:space="preserve">les contributions </w:t>
            </w:r>
            <w:r>
              <w:rPr>
                <w:b/>
                <w:i/>
              </w:rPr>
              <w:t>éventuelles</w:t>
            </w:r>
            <w:r>
              <w:t xml:space="preserve"> des États membres </w:t>
            </w:r>
            <w:r>
              <w:rPr>
                <w:b/>
                <w:i/>
              </w:rPr>
              <w:t>et d’autres contributeurs</w:t>
            </w:r>
            <w:r>
              <w:t>;</w:t>
            </w:r>
          </w:p>
        </w:tc>
        <w:tc>
          <w:tcPr>
            <w:tcW w:w="4876" w:type="dxa"/>
            <w:hideMark/>
          </w:tcPr>
          <w:p w14:paraId="28561707" w14:textId="77777777" w:rsidR="00BF7ACA" w:rsidRPr="00B0434F" w:rsidRDefault="00BF7ACA" w:rsidP="007924BE">
            <w:pPr>
              <w:pStyle w:val="Normal6"/>
              <w:rPr>
                <w:szCs w:val="24"/>
              </w:rPr>
            </w:pPr>
            <w:r w:rsidRPr="00B0434F">
              <w:t>(b)</w:t>
            </w:r>
            <w:r>
              <w:tab/>
            </w:r>
            <w:r w:rsidRPr="00B0434F">
              <w:t xml:space="preserve">les contributions des États membres </w:t>
            </w:r>
            <w:r w:rsidRPr="00B0434F">
              <w:rPr>
                <w:b/>
                <w:i/>
              </w:rPr>
              <w:t>représentant au moins un tiers des con</w:t>
            </w:r>
            <w:r>
              <w:rPr>
                <w:b/>
                <w:i/>
              </w:rPr>
              <w:t>tributions du budget général de </w:t>
            </w:r>
            <w:r w:rsidRPr="00B0434F">
              <w:rPr>
                <w:b/>
                <w:i/>
              </w:rPr>
              <w:t>l</w:t>
            </w:r>
            <w:r>
              <w:rPr>
                <w:b/>
                <w:i/>
              </w:rPr>
              <w:t>’</w:t>
            </w:r>
            <w:r w:rsidRPr="00B0434F">
              <w:rPr>
                <w:b/>
                <w:i/>
              </w:rPr>
              <w:t>Union</w:t>
            </w:r>
            <w:r w:rsidRPr="00B0434F">
              <w:t>;</w:t>
            </w:r>
          </w:p>
        </w:tc>
      </w:tr>
    </w:tbl>
    <w:p w14:paraId="63075C7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C73074A" w14:textId="77777777" w:rsidR="00BF7ACA" w:rsidRPr="00BF7ACA" w:rsidRDefault="00BF7ACA" w:rsidP="00BF7ACA">
      <w:r w:rsidRPr="00BF7ACA">
        <w:rPr>
          <w:rStyle w:val="HideTWBExt"/>
        </w:rPr>
        <w:t>&lt;/Amend&gt;</w:t>
      </w:r>
    </w:p>
    <w:p w14:paraId="77973946"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338</w:t>
      </w:r>
      <w:r w:rsidRPr="00BF7ACA">
        <w:rPr>
          <w:rStyle w:val="HideTWBExt"/>
          <w:b w:val="0"/>
        </w:rPr>
        <w:t>&lt;/NumAm&gt;</w:t>
      </w:r>
    </w:p>
    <w:p w14:paraId="7F7D3507" w14:textId="77777777"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14:paraId="01683E77" w14:textId="77777777" w:rsidR="00BF7ACA" w:rsidRPr="00AF1321" w:rsidRDefault="00BF7ACA" w:rsidP="00BF7ACA">
      <w:r>
        <w:rPr>
          <w:rStyle w:val="HideTWBExt"/>
        </w:rPr>
        <w:t>&lt;/RepeatBlock-By&gt;</w:t>
      </w:r>
    </w:p>
    <w:p w14:paraId="17310485"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4E871904" w14:textId="77777777" w:rsidR="00BF7ACA" w:rsidRPr="00AF1321" w:rsidRDefault="00BF7ACA" w:rsidP="00BF7ACA">
      <w:pPr>
        <w:pStyle w:val="NormalBold"/>
      </w:pPr>
      <w:r>
        <w:rPr>
          <w:rStyle w:val="HideTWBExt"/>
          <w:b w:val="0"/>
        </w:rPr>
        <w:t>&lt;Article&gt;</w:t>
      </w:r>
      <w:r w:rsidRPr="00B0434F">
        <w:t>Article 13 – paragraphe 2 – point b</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79FD8DBE" w14:textId="77777777" w:rsidTr="007924BE">
        <w:trPr>
          <w:jc w:val="center"/>
        </w:trPr>
        <w:tc>
          <w:tcPr>
            <w:tcW w:w="9752" w:type="dxa"/>
            <w:gridSpan w:val="2"/>
          </w:tcPr>
          <w:p w14:paraId="2FD7845C" w14:textId="77777777" w:rsidR="00BF7ACA" w:rsidRPr="00AF1321" w:rsidRDefault="00BF7ACA" w:rsidP="007924BE">
            <w:pPr>
              <w:keepNext/>
            </w:pPr>
          </w:p>
        </w:tc>
      </w:tr>
      <w:tr w:rsidR="00BF7ACA" w:rsidRPr="00AF1321" w14:paraId="03AD9E08" w14:textId="77777777" w:rsidTr="007924BE">
        <w:trPr>
          <w:jc w:val="center"/>
        </w:trPr>
        <w:tc>
          <w:tcPr>
            <w:tcW w:w="4876" w:type="dxa"/>
            <w:hideMark/>
          </w:tcPr>
          <w:p w14:paraId="0F33A770" w14:textId="77777777" w:rsidR="00BF7ACA" w:rsidRPr="00B0434F" w:rsidRDefault="00BF7ACA" w:rsidP="007924BE">
            <w:pPr>
              <w:pStyle w:val="ColumnHeading"/>
              <w:keepNext/>
            </w:pPr>
            <w:r w:rsidRPr="00B0434F">
              <w:t>Texte proposé par la Commission</w:t>
            </w:r>
          </w:p>
        </w:tc>
        <w:tc>
          <w:tcPr>
            <w:tcW w:w="4876" w:type="dxa"/>
            <w:hideMark/>
          </w:tcPr>
          <w:p w14:paraId="4BAB3F71" w14:textId="77777777" w:rsidR="00BF7ACA" w:rsidRPr="00B0434F" w:rsidRDefault="00BF7ACA" w:rsidP="007924BE">
            <w:pPr>
              <w:pStyle w:val="ColumnHeading"/>
              <w:keepNext/>
            </w:pPr>
            <w:r w:rsidRPr="00B0434F">
              <w:t>Amendement</w:t>
            </w:r>
          </w:p>
        </w:tc>
      </w:tr>
      <w:tr w:rsidR="00BF7ACA" w:rsidRPr="00AF1321" w14:paraId="11A1C18B" w14:textId="77777777" w:rsidTr="007924BE">
        <w:trPr>
          <w:jc w:val="center"/>
        </w:trPr>
        <w:tc>
          <w:tcPr>
            <w:tcW w:w="4876" w:type="dxa"/>
            <w:hideMark/>
          </w:tcPr>
          <w:p w14:paraId="3694536D" w14:textId="77777777" w:rsidR="00BF7ACA" w:rsidRPr="00B0434F" w:rsidRDefault="00BF7ACA" w:rsidP="007924BE">
            <w:pPr>
              <w:pStyle w:val="Normal6"/>
            </w:pPr>
            <w:r w:rsidRPr="00B0434F">
              <w:t>(b)</w:t>
            </w:r>
            <w:r>
              <w:tab/>
            </w:r>
            <w:r w:rsidRPr="00B0434F">
              <w:t>les contributions éventuelles des États membres et d</w:t>
            </w:r>
            <w:r>
              <w:t>’</w:t>
            </w:r>
            <w:r w:rsidRPr="00B0434F">
              <w:t>autres contributeurs;</w:t>
            </w:r>
          </w:p>
        </w:tc>
        <w:tc>
          <w:tcPr>
            <w:tcW w:w="4876" w:type="dxa"/>
            <w:hideMark/>
          </w:tcPr>
          <w:p w14:paraId="7351511D" w14:textId="77777777" w:rsidR="00BF7ACA" w:rsidRPr="00B0434F" w:rsidRDefault="00BF7ACA" w:rsidP="007924BE">
            <w:pPr>
              <w:pStyle w:val="Normal6"/>
              <w:rPr>
                <w:szCs w:val="24"/>
              </w:rPr>
            </w:pPr>
            <w:r w:rsidRPr="00B0434F">
              <w:t>(b)</w:t>
            </w:r>
            <w:r>
              <w:tab/>
            </w:r>
            <w:r w:rsidRPr="00B0434F">
              <w:t>les contributions éventuelles des États membres</w:t>
            </w:r>
            <w:r w:rsidRPr="00B0434F">
              <w:rPr>
                <w:b/>
                <w:i/>
              </w:rPr>
              <w:t>, des pays de l</w:t>
            </w:r>
            <w:r>
              <w:rPr>
                <w:b/>
                <w:i/>
              </w:rPr>
              <w:t>’</w:t>
            </w:r>
            <w:r w:rsidRPr="00B0434F">
              <w:rPr>
                <w:b/>
                <w:i/>
              </w:rPr>
              <w:t>AELE</w:t>
            </w:r>
            <w:r w:rsidRPr="00B0434F">
              <w:t xml:space="preserve"> et d</w:t>
            </w:r>
            <w:r>
              <w:t>’</w:t>
            </w:r>
            <w:r w:rsidRPr="00B0434F">
              <w:t>autres contributeurs;</w:t>
            </w:r>
          </w:p>
        </w:tc>
      </w:tr>
    </w:tbl>
    <w:p w14:paraId="058ABCA7"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6740D43" w14:textId="77777777" w:rsidR="00BF7ACA" w:rsidRPr="00BF7ACA" w:rsidRDefault="00BF7ACA" w:rsidP="00BF7ACA">
      <w:r w:rsidRPr="00BF7ACA">
        <w:rPr>
          <w:rStyle w:val="HideTWBExt"/>
        </w:rPr>
        <w:t>&lt;/Amend&gt;</w:t>
      </w:r>
    </w:p>
    <w:p w14:paraId="0BBE9615"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339</w:t>
      </w:r>
      <w:r w:rsidRPr="00BF7ACA">
        <w:rPr>
          <w:rStyle w:val="HideTWBExt"/>
          <w:b w:val="0"/>
        </w:rPr>
        <w:t>&lt;/NumAm&gt;</w:t>
      </w:r>
    </w:p>
    <w:p w14:paraId="29905C20"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222B0FD1" w14:textId="77777777" w:rsidR="00BF7ACA" w:rsidRPr="00AF1321" w:rsidRDefault="00BF7ACA" w:rsidP="00BF7ACA">
      <w:r>
        <w:rPr>
          <w:rStyle w:val="HideTWBExt"/>
        </w:rPr>
        <w:t>&lt;/RepeatBlock-By&gt;</w:t>
      </w:r>
    </w:p>
    <w:p w14:paraId="690A96BF"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564604B6" w14:textId="77777777" w:rsidR="00BF7ACA" w:rsidRPr="00AF1321" w:rsidRDefault="00BF7ACA" w:rsidP="00BF7ACA">
      <w:pPr>
        <w:pStyle w:val="NormalBold"/>
      </w:pPr>
      <w:r>
        <w:rPr>
          <w:rStyle w:val="HideTWBExt"/>
          <w:b w:val="0"/>
        </w:rPr>
        <w:t>&lt;Article&gt;</w:t>
      </w:r>
      <w:r w:rsidRPr="00B0434F">
        <w:t>Article 13 – paragraphe 2 – point b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5A11EFBB" w14:textId="77777777" w:rsidTr="007924BE">
        <w:trPr>
          <w:jc w:val="center"/>
        </w:trPr>
        <w:tc>
          <w:tcPr>
            <w:tcW w:w="9752" w:type="dxa"/>
            <w:gridSpan w:val="2"/>
          </w:tcPr>
          <w:p w14:paraId="572FA676" w14:textId="77777777" w:rsidR="00BF7ACA" w:rsidRPr="00AF1321" w:rsidRDefault="00BF7ACA" w:rsidP="007924BE">
            <w:pPr>
              <w:keepNext/>
            </w:pPr>
          </w:p>
        </w:tc>
      </w:tr>
      <w:tr w:rsidR="00BF7ACA" w:rsidRPr="00AF1321" w14:paraId="490378EF" w14:textId="77777777" w:rsidTr="007924BE">
        <w:trPr>
          <w:jc w:val="center"/>
        </w:trPr>
        <w:tc>
          <w:tcPr>
            <w:tcW w:w="4876" w:type="dxa"/>
            <w:hideMark/>
          </w:tcPr>
          <w:p w14:paraId="7D26C43A" w14:textId="77777777" w:rsidR="00BF7ACA" w:rsidRPr="00B0434F" w:rsidRDefault="00BF7ACA" w:rsidP="007924BE">
            <w:pPr>
              <w:pStyle w:val="ColumnHeading"/>
              <w:keepNext/>
            </w:pPr>
            <w:r w:rsidRPr="00B0434F">
              <w:t>Texte proposé par la Commission</w:t>
            </w:r>
          </w:p>
        </w:tc>
        <w:tc>
          <w:tcPr>
            <w:tcW w:w="4876" w:type="dxa"/>
            <w:hideMark/>
          </w:tcPr>
          <w:p w14:paraId="5342E978" w14:textId="77777777" w:rsidR="00BF7ACA" w:rsidRPr="00B0434F" w:rsidRDefault="00BF7ACA" w:rsidP="007924BE">
            <w:pPr>
              <w:pStyle w:val="ColumnHeading"/>
              <w:keepNext/>
            </w:pPr>
            <w:r w:rsidRPr="00B0434F">
              <w:t>Amendement</w:t>
            </w:r>
          </w:p>
        </w:tc>
      </w:tr>
      <w:tr w:rsidR="00BF7ACA" w:rsidRPr="00AF1321" w14:paraId="566C13B6" w14:textId="77777777" w:rsidTr="007924BE">
        <w:trPr>
          <w:jc w:val="center"/>
        </w:trPr>
        <w:tc>
          <w:tcPr>
            <w:tcW w:w="4876" w:type="dxa"/>
          </w:tcPr>
          <w:p w14:paraId="25434896" w14:textId="77777777" w:rsidR="00BF7ACA" w:rsidRPr="00B0434F" w:rsidRDefault="00BF7ACA" w:rsidP="007924BE">
            <w:pPr>
              <w:pStyle w:val="Normal6"/>
            </w:pPr>
          </w:p>
        </w:tc>
        <w:tc>
          <w:tcPr>
            <w:tcW w:w="4876" w:type="dxa"/>
            <w:hideMark/>
          </w:tcPr>
          <w:p w14:paraId="21445B37" w14:textId="77777777" w:rsidR="00BF7ACA" w:rsidRPr="00B0434F" w:rsidRDefault="00BF7ACA" w:rsidP="007924BE">
            <w:pPr>
              <w:pStyle w:val="Normal6"/>
              <w:rPr>
                <w:szCs w:val="24"/>
              </w:rPr>
            </w:pPr>
            <w:r w:rsidRPr="00B0434F">
              <w:rPr>
                <w:b/>
                <w:i/>
              </w:rPr>
              <w:t>(b bis)</w:t>
            </w:r>
            <w:r>
              <w:tab/>
            </w:r>
            <w:r w:rsidRPr="00B0434F">
              <w:rPr>
                <w:b/>
                <w:i/>
              </w:rPr>
              <w:t>les contributions éventuelles d</w:t>
            </w:r>
            <w:r>
              <w:rPr>
                <w:b/>
                <w:i/>
              </w:rPr>
              <w:t>’</w:t>
            </w:r>
            <w:r w:rsidRPr="00B0434F">
              <w:rPr>
                <w:b/>
                <w:i/>
              </w:rPr>
              <w:t>autres contributeurs;</w:t>
            </w:r>
          </w:p>
        </w:tc>
      </w:tr>
    </w:tbl>
    <w:p w14:paraId="0B3D18F1"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1F297A3" w14:textId="77777777" w:rsidR="00BF7ACA" w:rsidRPr="00BF7ACA" w:rsidRDefault="00BF7ACA" w:rsidP="00BF7ACA">
      <w:r w:rsidRPr="00BF7ACA">
        <w:rPr>
          <w:rStyle w:val="HideTWBExt"/>
        </w:rPr>
        <w:t>&lt;/Amend&gt;</w:t>
      </w:r>
    </w:p>
    <w:p w14:paraId="24B05CF2"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340</w:t>
      </w:r>
      <w:r w:rsidRPr="00BF7ACA">
        <w:rPr>
          <w:rStyle w:val="HideTWBExt"/>
          <w:b w:val="0"/>
        </w:rPr>
        <w:t>&lt;/NumAm&gt;</w:t>
      </w:r>
    </w:p>
    <w:p w14:paraId="1CEA8017"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Nedzhmi Ali</w:t>
      </w:r>
      <w:r w:rsidRPr="00BF7ACA">
        <w:rPr>
          <w:rStyle w:val="HideTWBExt"/>
          <w:b w:val="0"/>
        </w:rPr>
        <w:t>&lt;/Members&gt;</w:t>
      </w:r>
    </w:p>
    <w:p w14:paraId="6B40B377" w14:textId="77777777" w:rsidR="00BF7ACA" w:rsidRPr="00AF1321" w:rsidRDefault="00BF7ACA" w:rsidP="00BF7ACA">
      <w:r>
        <w:rPr>
          <w:rStyle w:val="HideTWBExt"/>
        </w:rPr>
        <w:t>&lt;/RepeatBlock-By&gt;</w:t>
      </w:r>
    </w:p>
    <w:p w14:paraId="2C31D684"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0EFF4A37" w14:textId="77777777" w:rsidR="00BF7ACA" w:rsidRPr="00AF1321" w:rsidRDefault="00BF7ACA" w:rsidP="00BF7ACA">
      <w:pPr>
        <w:pStyle w:val="NormalBold"/>
      </w:pPr>
      <w:r>
        <w:rPr>
          <w:rStyle w:val="HideTWBExt"/>
          <w:b w:val="0"/>
        </w:rPr>
        <w:t>&lt;Article&gt;</w:t>
      </w:r>
      <w:r w:rsidRPr="00B0434F">
        <w:t>Article 13 – paragraphe 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064D81C1" w14:textId="77777777" w:rsidTr="007924BE">
        <w:trPr>
          <w:jc w:val="center"/>
        </w:trPr>
        <w:tc>
          <w:tcPr>
            <w:tcW w:w="9752" w:type="dxa"/>
            <w:gridSpan w:val="2"/>
          </w:tcPr>
          <w:p w14:paraId="72CEE5A9" w14:textId="77777777" w:rsidR="00BF7ACA" w:rsidRPr="00AF1321" w:rsidRDefault="00BF7ACA" w:rsidP="007924BE">
            <w:pPr>
              <w:keepNext/>
            </w:pPr>
          </w:p>
        </w:tc>
      </w:tr>
      <w:tr w:rsidR="00BF7ACA" w:rsidRPr="00AF1321" w14:paraId="6C55DCC6" w14:textId="77777777" w:rsidTr="007924BE">
        <w:trPr>
          <w:jc w:val="center"/>
        </w:trPr>
        <w:tc>
          <w:tcPr>
            <w:tcW w:w="4876" w:type="dxa"/>
            <w:hideMark/>
          </w:tcPr>
          <w:p w14:paraId="6677783E" w14:textId="77777777" w:rsidR="00BF7ACA" w:rsidRPr="00B0434F" w:rsidRDefault="00BF7ACA" w:rsidP="007924BE">
            <w:pPr>
              <w:pStyle w:val="ColumnHeading"/>
              <w:keepNext/>
            </w:pPr>
            <w:r w:rsidRPr="00B0434F">
              <w:t>Texte proposé par la Commission</w:t>
            </w:r>
          </w:p>
        </w:tc>
        <w:tc>
          <w:tcPr>
            <w:tcW w:w="4876" w:type="dxa"/>
            <w:hideMark/>
          </w:tcPr>
          <w:p w14:paraId="104CC608" w14:textId="77777777" w:rsidR="00BF7ACA" w:rsidRPr="00B0434F" w:rsidRDefault="00BF7ACA" w:rsidP="007924BE">
            <w:pPr>
              <w:pStyle w:val="ColumnHeading"/>
              <w:keepNext/>
            </w:pPr>
            <w:r w:rsidRPr="00B0434F">
              <w:t>Amendement</w:t>
            </w:r>
          </w:p>
        </w:tc>
      </w:tr>
      <w:tr w:rsidR="00BF7ACA" w:rsidRPr="00AF1321" w14:paraId="17F5C7F8" w14:textId="77777777" w:rsidTr="007924BE">
        <w:trPr>
          <w:jc w:val="center"/>
        </w:trPr>
        <w:tc>
          <w:tcPr>
            <w:tcW w:w="4876" w:type="dxa"/>
            <w:hideMark/>
          </w:tcPr>
          <w:p w14:paraId="350376CA" w14:textId="77777777" w:rsidR="00BF7ACA" w:rsidRPr="00B0434F" w:rsidRDefault="00BF7ACA" w:rsidP="007924BE">
            <w:pPr>
              <w:pStyle w:val="Normal6"/>
            </w:pPr>
            <w:r w:rsidRPr="00B0434F">
              <w:t>4.</w:t>
            </w:r>
            <w:r>
              <w:tab/>
            </w:r>
            <w:r w:rsidRPr="00B0434F">
              <w:rPr>
                <w:b/>
                <w:i/>
              </w:rPr>
              <w:t>Les</w:t>
            </w:r>
            <w:r w:rsidRPr="00B0434F">
              <w:t xml:space="preserve"> ressources du fonds de garantie FEDD visées au paragraphe 2 </w:t>
            </w:r>
            <w:r w:rsidRPr="00B0434F">
              <w:rPr>
                <w:b/>
                <w:i/>
              </w:rPr>
              <w:t>sont gérées directement par la Commission</w:t>
            </w:r>
            <w:r w:rsidRPr="00B0434F">
              <w:t xml:space="preserve"> et placées conformément au principe de bonne gestion financière et dans le respect des règles prudentielles appropriées.</w:t>
            </w:r>
          </w:p>
        </w:tc>
        <w:tc>
          <w:tcPr>
            <w:tcW w:w="4876" w:type="dxa"/>
            <w:hideMark/>
          </w:tcPr>
          <w:p w14:paraId="60F0FBB9" w14:textId="77777777" w:rsidR="00BF7ACA" w:rsidRPr="00B0434F" w:rsidRDefault="00BF7ACA" w:rsidP="007924BE">
            <w:pPr>
              <w:pStyle w:val="Normal6"/>
              <w:rPr>
                <w:szCs w:val="24"/>
              </w:rPr>
            </w:pPr>
            <w:r w:rsidRPr="00B0434F">
              <w:t>4.</w:t>
            </w:r>
            <w:r>
              <w:tab/>
            </w:r>
            <w:r>
              <w:rPr>
                <w:b/>
                <w:i/>
              </w:rPr>
              <w:t>La gestion des</w:t>
            </w:r>
            <w:r>
              <w:rPr>
                <w:b/>
              </w:rPr>
              <w:t xml:space="preserve"> </w:t>
            </w:r>
            <w:r>
              <w:t xml:space="preserve">ressources du fonds de garantie FEDD visées au paragraphe 2 </w:t>
            </w:r>
            <w:r>
              <w:rPr>
                <w:b/>
                <w:i/>
              </w:rPr>
              <w:t>est confiée à la BEI dans le cadre d’un mandat au nom de l’Union.</w:t>
            </w:r>
            <w:r w:rsidRPr="00B0434F">
              <w:rPr>
                <w:b/>
                <w:i/>
              </w:rPr>
              <w:t xml:space="preserve"> Ces ressources sont gérées</w:t>
            </w:r>
            <w:r w:rsidRPr="00B0434F">
              <w:t xml:space="preserve"> et placées conformément au principe de bonne gestion financière et dans le respect des règles prudentielles appropriées. </w:t>
            </w:r>
            <w:r w:rsidRPr="00B0434F">
              <w:rPr>
                <w:b/>
                <w:i/>
              </w:rPr>
              <w:t>Le 30 juin 2018, la Commission présente au Parlement européen et au Conseil un rapport évaluant l</w:t>
            </w:r>
            <w:r>
              <w:rPr>
                <w:b/>
                <w:i/>
              </w:rPr>
              <w:t>’</w:t>
            </w:r>
            <w:r w:rsidRPr="00B0434F">
              <w:rPr>
                <w:b/>
                <w:i/>
              </w:rPr>
              <w:t>application du présent paragraphe, qui sert de contribution en vue d</w:t>
            </w:r>
            <w:r>
              <w:rPr>
                <w:b/>
                <w:i/>
              </w:rPr>
              <w:t>’</w:t>
            </w:r>
            <w:r w:rsidRPr="00B0434F">
              <w:rPr>
                <w:b/>
                <w:i/>
              </w:rPr>
              <w:t>une éventuelle modification.</w:t>
            </w:r>
          </w:p>
        </w:tc>
      </w:tr>
    </w:tbl>
    <w:p w14:paraId="4B052DD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0BB71A9" w14:textId="77777777" w:rsidR="00BF7ACA" w:rsidRPr="00BF7ACA" w:rsidRDefault="00BF7ACA" w:rsidP="00BF7ACA">
      <w:r w:rsidRPr="00BF7ACA">
        <w:rPr>
          <w:rStyle w:val="HideTWBExt"/>
        </w:rPr>
        <w:t>&lt;/Amend&gt;</w:t>
      </w:r>
    </w:p>
    <w:p w14:paraId="76E602E2"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341</w:t>
      </w:r>
      <w:r w:rsidRPr="00BF7ACA">
        <w:rPr>
          <w:rStyle w:val="HideTWBExt"/>
          <w:b w:val="0"/>
        </w:rPr>
        <w:t>&lt;/NumAm&gt;</w:t>
      </w:r>
    </w:p>
    <w:p w14:paraId="71098EB6" w14:textId="77777777" w:rsidR="00BF7ACA" w:rsidRPr="00BF7ACA" w:rsidRDefault="00BF7ACA" w:rsidP="00BF7ACA">
      <w:pPr>
        <w:pStyle w:val="NormalBold"/>
      </w:pPr>
      <w:r w:rsidRPr="00BF7ACA">
        <w:rPr>
          <w:rStyle w:val="HideTWBExt"/>
          <w:b w:val="0"/>
        </w:rPr>
        <w:t>&lt;RepeatBlock-By&gt;&lt;Members&gt;</w:t>
      </w:r>
      <w:r w:rsidRPr="00BF7ACA">
        <w:t>Lorenzo Cesa</w:t>
      </w:r>
      <w:r w:rsidRPr="00BF7ACA">
        <w:rPr>
          <w:rStyle w:val="HideTWBExt"/>
          <w:b w:val="0"/>
        </w:rPr>
        <w:t>&lt;/Members&gt;</w:t>
      </w:r>
    </w:p>
    <w:p w14:paraId="16B4CAA4" w14:textId="77777777" w:rsidR="00BF7ACA" w:rsidRPr="00AF1321" w:rsidRDefault="00BF7ACA" w:rsidP="00BF7ACA">
      <w:r>
        <w:rPr>
          <w:rStyle w:val="HideTWBExt"/>
        </w:rPr>
        <w:t>&lt;/RepeatBlock-By&gt;</w:t>
      </w:r>
    </w:p>
    <w:p w14:paraId="30CEA60F"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02C554EF" w14:textId="77777777" w:rsidR="00BF7ACA" w:rsidRPr="00AF1321" w:rsidRDefault="00BF7ACA" w:rsidP="00BF7ACA">
      <w:pPr>
        <w:pStyle w:val="NormalBold"/>
      </w:pPr>
      <w:r>
        <w:rPr>
          <w:rStyle w:val="HideTWBExt"/>
          <w:b w:val="0"/>
        </w:rPr>
        <w:t>&lt;Article&gt;</w:t>
      </w:r>
      <w:r w:rsidRPr="00B0434F">
        <w:t>Article 13 – paragraphe 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38E6F0C4" w14:textId="77777777" w:rsidTr="007924BE">
        <w:trPr>
          <w:jc w:val="center"/>
        </w:trPr>
        <w:tc>
          <w:tcPr>
            <w:tcW w:w="9752" w:type="dxa"/>
            <w:gridSpan w:val="2"/>
          </w:tcPr>
          <w:p w14:paraId="6758133D" w14:textId="77777777" w:rsidR="00BF7ACA" w:rsidRPr="00AF1321" w:rsidRDefault="00BF7ACA" w:rsidP="007924BE">
            <w:pPr>
              <w:keepNext/>
            </w:pPr>
          </w:p>
        </w:tc>
      </w:tr>
      <w:tr w:rsidR="00BF7ACA" w:rsidRPr="00AF1321" w14:paraId="58D5E0DE" w14:textId="77777777" w:rsidTr="007924BE">
        <w:trPr>
          <w:jc w:val="center"/>
        </w:trPr>
        <w:tc>
          <w:tcPr>
            <w:tcW w:w="4876" w:type="dxa"/>
            <w:hideMark/>
          </w:tcPr>
          <w:p w14:paraId="0EAF6560" w14:textId="77777777" w:rsidR="00BF7ACA" w:rsidRPr="00B0434F" w:rsidRDefault="00BF7ACA" w:rsidP="007924BE">
            <w:pPr>
              <w:pStyle w:val="ColumnHeading"/>
              <w:keepNext/>
            </w:pPr>
            <w:r w:rsidRPr="00B0434F">
              <w:t>Texte proposé par la Commission</w:t>
            </w:r>
          </w:p>
        </w:tc>
        <w:tc>
          <w:tcPr>
            <w:tcW w:w="4876" w:type="dxa"/>
            <w:hideMark/>
          </w:tcPr>
          <w:p w14:paraId="79D0C300" w14:textId="77777777" w:rsidR="00BF7ACA" w:rsidRPr="00B0434F" w:rsidRDefault="00BF7ACA" w:rsidP="007924BE">
            <w:pPr>
              <w:pStyle w:val="ColumnHeading"/>
              <w:keepNext/>
            </w:pPr>
            <w:r w:rsidRPr="00B0434F">
              <w:t>Amendement</w:t>
            </w:r>
          </w:p>
        </w:tc>
      </w:tr>
      <w:tr w:rsidR="00BF7ACA" w:rsidRPr="00AF1321" w14:paraId="1BCB79C6" w14:textId="77777777" w:rsidTr="007924BE">
        <w:trPr>
          <w:jc w:val="center"/>
        </w:trPr>
        <w:tc>
          <w:tcPr>
            <w:tcW w:w="4876" w:type="dxa"/>
            <w:hideMark/>
          </w:tcPr>
          <w:p w14:paraId="202086E2" w14:textId="77777777" w:rsidR="00BF7ACA" w:rsidRPr="00B0434F" w:rsidRDefault="00BF7ACA" w:rsidP="007924BE">
            <w:pPr>
              <w:pStyle w:val="Normal6"/>
            </w:pPr>
            <w:r w:rsidRPr="00B0434F">
              <w:t>4.</w:t>
            </w:r>
            <w:r>
              <w:tab/>
            </w:r>
            <w:r w:rsidRPr="00B0434F">
              <w:t xml:space="preserve">Les ressources du fonds de garantie FEDD visées au paragraphe 2 sont gérées directement par la </w:t>
            </w:r>
            <w:r w:rsidRPr="00B0434F">
              <w:rPr>
                <w:b/>
                <w:i/>
              </w:rPr>
              <w:t>Commission</w:t>
            </w:r>
            <w:r w:rsidRPr="00B0434F">
              <w:t xml:space="preserve"> et placées conformément au principe de bonne gestion financière et dans le respect des règles prudentielles appropriées.</w:t>
            </w:r>
          </w:p>
        </w:tc>
        <w:tc>
          <w:tcPr>
            <w:tcW w:w="4876" w:type="dxa"/>
            <w:hideMark/>
          </w:tcPr>
          <w:p w14:paraId="1AE3449A" w14:textId="77777777" w:rsidR="00BF7ACA" w:rsidRPr="00B0434F" w:rsidRDefault="00BF7ACA" w:rsidP="007924BE">
            <w:pPr>
              <w:pStyle w:val="Normal6"/>
              <w:rPr>
                <w:szCs w:val="24"/>
              </w:rPr>
            </w:pPr>
            <w:r w:rsidRPr="00B0434F">
              <w:t>4.</w:t>
            </w:r>
            <w:r>
              <w:tab/>
            </w:r>
            <w:r w:rsidRPr="00B0434F">
              <w:t xml:space="preserve">Les ressources du fonds de garantie FEDD visées au paragraphe 2 sont gérées directement par la </w:t>
            </w:r>
            <w:r w:rsidRPr="00B0434F">
              <w:rPr>
                <w:b/>
                <w:i/>
              </w:rPr>
              <w:t>BEI dans le cadre d</w:t>
            </w:r>
            <w:r>
              <w:rPr>
                <w:b/>
                <w:i/>
              </w:rPr>
              <w:t>’</w:t>
            </w:r>
            <w:r w:rsidRPr="00B0434F">
              <w:rPr>
                <w:b/>
                <w:i/>
              </w:rPr>
              <w:t>un mandat au nom de l</w:t>
            </w:r>
            <w:r>
              <w:rPr>
                <w:b/>
                <w:i/>
              </w:rPr>
              <w:t>’</w:t>
            </w:r>
            <w:r w:rsidRPr="00B0434F">
              <w:rPr>
                <w:b/>
                <w:i/>
              </w:rPr>
              <w:t>Union</w:t>
            </w:r>
            <w:r w:rsidRPr="00B0434F">
              <w:rPr>
                <w:i/>
              </w:rPr>
              <w:t xml:space="preserve"> </w:t>
            </w:r>
            <w:r w:rsidRPr="00B0434F">
              <w:t>et placées conformément au principe de bonne gestion financière et dans le respect des règles prudentielles appropriées.</w:t>
            </w:r>
          </w:p>
        </w:tc>
      </w:tr>
    </w:tbl>
    <w:p w14:paraId="680B72C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A3E1714" w14:textId="77777777" w:rsidR="00BF7ACA" w:rsidRPr="00BF7ACA" w:rsidRDefault="00BF7ACA" w:rsidP="00BF7ACA">
      <w:r w:rsidRPr="00BF7ACA">
        <w:rPr>
          <w:rStyle w:val="HideTWBExt"/>
        </w:rPr>
        <w:t>&lt;/Amend&gt;</w:t>
      </w:r>
    </w:p>
    <w:p w14:paraId="491CE39E"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342</w:t>
      </w:r>
      <w:r w:rsidRPr="00BF7ACA">
        <w:rPr>
          <w:rStyle w:val="HideTWBExt"/>
          <w:b w:val="0"/>
        </w:rPr>
        <w:t>&lt;/NumAm&gt;</w:t>
      </w:r>
    </w:p>
    <w:p w14:paraId="7455019B"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7C2B9602" w14:textId="77777777" w:rsidR="00BF7ACA" w:rsidRPr="00AF1321" w:rsidRDefault="00BF7ACA" w:rsidP="00BF7ACA">
      <w:r>
        <w:rPr>
          <w:rStyle w:val="HideTWBExt"/>
        </w:rPr>
        <w:t>&lt;/RepeatBlock-By&gt;</w:t>
      </w:r>
    </w:p>
    <w:p w14:paraId="2F26D0ED"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7F29D3DC" w14:textId="77777777" w:rsidR="00BF7ACA" w:rsidRPr="00AF1321" w:rsidRDefault="00BF7ACA" w:rsidP="00BF7ACA">
      <w:pPr>
        <w:pStyle w:val="NormalBold"/>
      </w:pPr>
      <w:r>
        <w:rPr>
          <w:rStyle w:val="HideTWBExt"/>
          <w:b w:val="0"/>
        </w:rPr>
        <w:t>&lt;Article&gt;</w:t>
      </w:r>
      <w:r w:rsidRPr="00B0434F">
        <w:t>Article 15 – paragraphe 1 – partie introductive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70C29C82" w14:textId="77777777" w:rsidTr="007924BE">
        <w:trPr>
          <w:jc w:val="center"/>
        </w:trPr>
        <w:tc>
          <w:tcPr>
            <w:tcW w:w="9752" w:type="dxa"/>
            <w:gridSpan w:val="2"/>
          </w:tcPr>
          <w:p w14:paraId="02B18EDE" w14:textId="77777777" w:rsidR="00BF7ACA" w:rsidRPr="00AF1321" w:rsidRDefault="00BF7ACA" w:rsidP="007924BE">
            <w:pPr>
              <w:keepNext/>
            </w:pPr>
          </w:p>
        </w:tc>
      </w:tr>
      <w:tr w:rsidR="00BF7ACA" w:rsidRPr="00AF1321" w14:paraId="2A148167" w14:textId="77777777" w:rsidTr="007924BE">
        <w:trPr>
          <w:jc w:val="center"/>
        </w:trPr>
        <w:tc>
          <w:tcPr>
            <w:tcW w:w="4876" w:type="dxa"/>
            <w:hideMark/>
          </w:tcPr>
          <w:p w14:paraId="74FB1A77" w14:textId="77777777" w:rsidR="00BF7ACA" w:rsidRPr="00B0434F" w:rsidRDefault="00BF7ACA" w:rsidP="007924BE">
            <w:pPr>
              <w:pStyle w:val="ColumnHeading"/>
              <w:keepNext/>
            </w:pPr>
            <w:r w:rsidRPr="00B0434F">
              <w:t>Texte proposé par la Commission</w:t>
            </w:r>
          </w:p>
        </w:tc>
        <w:tc>
          <w:tcPr>
            <w:tcW w:w="4876" w:type="dxa"/>
            <w:hideMark/>
          </w:tcPr>
          <w:p w14:paraId="60334615" w14:textId="77777777" w:rsidR="00BF7ACA" w:rsidRPr="00B0434F" w:rsidRDefault="00BF7ACA" w:rsidP="007924BE">
            <w:pPr>
              <w:pStyle w:val="ColumnHeading"/>
              <w:keepNext/>
            </w:pPr>
            <w:r w:rsidRPr="00B0434F">
              <w:t>Amendement</w:t>
            </w:r>
          </w:p>
        </w:tc>
      </w:tr>
      <w:tr w:rsidR="00BF7ACA" w:rsidRPr="00AF1321" w14:paraId="654C74F4" w14:textId="77777777" w:rsidTr="007924BE">
        <w:trPr>
          <w:jc w:val="center"/>
        </w:trPr>
        <w:tc>
          <w:tcPr>
            <w:tcW w:w="4876" w:type="dxa"/>
            <w:hideMark/>
          </w:tcPr>
          <w:p w14:paraId="6FB503DD" w14:textId="77777777" w:rsidR="00BF7ACA" w:rsidRPr="00B0434F" w:rsidRDefault="00BF7ACA" w:rsidP="007924BE">
            <w:pPr>
              <w:pStyle w:val="Normal6"/>
            </w:pPr>
            <w:r w:rsidRPr="00B0434F">
              <w:t>1.</w:t>
            </w:r>
            <w:r>
              <w:tab/>
            </w:r>
            <w:r w:rsidRPr="00B0434F">
              <w:t>La Commission présente au Parlement européen et au Conseil un rapport annuel sur les opérations de financement et d</w:t>
            </w:r>
            <w:r>
              <w:t>’</w:t>
            </w:r>
            <w:r w:rsidRPr="00B0434F">
              <w:t>investissement couvertes par la garantie FEDD. Ce rapport est rendu public. Il comprend entre autres les éléments suivants:</w:t>
            </w:r>
          </w:p>
        </w:tc>
        <w:tc>
          <w:tcPr>
            <w:tcW w:w="4876" w:type="dxa"/>
            <w:hideMark/>
          </w:tcPr>
          <w:p w14:paraId="0E621F03" w14:textId="77777777" w:rsidR="00BF7ACA" w:rsidRPr="00B0434F" w:rsidRDefault="00BF7ACA" w:rsidP="007924BE">
            <w:pPr>
              <w:pStyle w:val="Normal6"/>
              <w:rPr>
                <w:szCs w:val="24"/>
              </w:rPr>
            </w:pPr>
            <w:r w:rsidRPr="00B0434F">
              <w:t>1.</w:t>
            </w:r>
            <w:r>
              <w:tab/>
            </w:r>
            <w:r w:rsidRPr="00B0434F">
              <w:t>La Commission présente au Parlement européen et au Conseil un rapport annuel sur les opérations de financement et d</w:t>
            </w:r>
            <w:r>
              <w:t>’</w:t>
            </w:r>
            <w:r w:rsidRPr="00B0434F">
              <w:t xml:space="preserve">investissement couvertes par la garantie FEDD. Ce rapport est rendu public </w:t>
            </w:r>
            <w:r w:rsidRPr="00B0434F">
              <w:rPr>
                <w:b/>
                <w:i/>
              </w:rPr>
              <w:t>et il est présenté à un large éventail de parties prenantes et examiné avec celles-ci au sein des commissions compétentes du Parlement européen</w:t>
            </w:r>
            <w:r w:rsidRPr="00B0434F">
              <w:t>. Il comprend entre autres les éléments suivants</w:t>
            </w:r>
            <w:r w:rsidRPr="00B0434F">
              <w:rPr>
                <w:b/>
                <w:i/>
              </w:rPr>
              <w:t>, présentés pays par pays</w:t>
            </w:r>
            <w:r w:rsidRPr="00B0434F">
              <w:t>:</w:t>
            </w:r>
          </w:p>
        </w:tc>
      </w:tr>
    </w:tbl>
    <w:p w14:paraId="412F9DB1"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AC15C1A" w14:textId="77777777" w:rsidR="00BF7ACA" w:rsidRPr="00BF7ACA" w:rsidRDefault="00BF7ACA" w:rsidP="00BF7ACA">
      <w:r w:rsidRPr="00BF7ACA">
        <w:rPr>
          <w:rStyle w:val="HideTWBExt"/>
        </w:rPr>
        <w:t>&lt;/Amend&gt;</w:t>
      </w:r>
    </w:p>
    <w:p w14:paraId="490B6AE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343</w:t>
      </w:r>
      <w:r w:rsidRPr="00BF7ACA">
        <w:rPr>
          <w:rStyle w:val="HideTWBExt"/>
          <w:b w:val="0"/>
        </w:rPr>
        <w:t>&lt;/NumAm&gt;</w:t>
      </w:r>
    </w:p>
    <w:p w14:paraId="561011B4" w14:textId="77777777" w:rsidR="00BF7ACA" w:rsidRPr="00BF7ACA" w:rsidRDefault="00BF7ACA" w:rsidP="00BF7ACA">
      <w:pPr>
        <w:pStyle w:val="NormalBold"/>
      </w:pPr>
      <w:r w:rsidRPr="00BF7ACA">
        <w:rPr>
          <w:rStyle w:val="HideTWBExt"/>
          <w:b w:val="0"/>
        </w:rPr>
        <w:t>&lt;RepeatBlock-By&gt;&lt;Members&gt;</w:t>
      </w:r>
      <w:r w:rsidRPr="00BF7ACA">
        <w:t>Anders Primdahl Vistisen</w:t>
      </w:r>
      <w:r w:rsidRPr="00BF7ACA">
        <w:rPr>
          <w:rStyle w:val="HideTWBExt"/>
          <w:b w:val="0"/>
        </w:rPr>
        <w:t>&lt;/Members&gt;</w:t>
      </w:r>
    </w:p>
    <w:p w14:paraId="418409AC" w14:textId="77777777" w:rsidR="00BF7ACA" w:rsidRPr="00AF1321" w:rsidRDefault="00BF7ACA" w:rsidP="00BF7ACA">
      <w:r>
        <w:rPr>
          <w:rStyle w:val="HideTWBExt"/>
        </w:rPr>
        <w:t>&lt;/RepeatBlock-By&gt;</w:t>
      </w:r>
    </w:p>
    <w:p w14:paraId="0173D8D1"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5451686C" w14:textId="77777777" w:rsidR="00BF7ACA" w:rsidRPr="00AF1321" w:rsidRDefault="00BF7ACA" w:rsidP="00BF7ACA">
      <w:pPr>
        <w:pStyle w:val="NormalBold"/>
      </w:pPr>
      <w:r>
        <w:rPr>
          <w:rStyle w:val="HideTWBExt"/>
          <w:b w:val="0"/>
        </w:rPr>
        <w:t>&lt;Article&gt;</w:t>
      </w:r>
      <w:r w:rsidRPr="00B0434F">
        <w:t>Article 15 – paragraphe 1 – partie introductive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293A47D3" w14:textId="77777777" w:rsidTr="007924BE">
        <w:trPr>
          <w:jc w:val="center"/>
        </w:trPr>
        <w:tc>
          <w:tcPr>
            <w:tcW w:w="9752" w:type="dxa"/>
            <w:gridSpan w:val="2"/>
          </w:tcPr>
          <w:p w14:paraId="521FCE4D" w14:textId="77777777" w:rsidR="00BF7ACA" w:rsidRPr="00AF1321" w:rsidRDefault="00BF7ACA" w:rsidP="007924BE">
            <w:pPr>
              <w:keepNext/>
            </w:pPr>
          </w:p>
        </w:tc>
      </w:tr>
      <w:tr w:rsidR="00BF7ACA" w:rsidRPr="00AF1321" w14:paraId="70A97294" w14:textId="77777777" w:rsidTr="007924BE">
        <w:trPr>
          <w:jc w:val="center"/>
        </w:trPr>
        <w:tc>
          <w:tcPr>
            <w:tcW w:w="4876" w:type="dxa"/>
            <w:hideMark/>
          </w:tcPr>
          <w:p w14:paraId="3BE23A0D" w14:textId="77777777" w:rsidR="00BF7ACA" w:rsidRPr="00B0434F" w:rsidRDefault="00BF7ACA" w:rsidP="007924BE">
            <w:pPr>
              <w:pStyle w:val="ColumnHeading"/>
              <w:keepNext/>
            </w:pPr>
            <w:r w:rsidRPr="00B0434F">
              <w:t>Texte proposé par la Commission</w:t>
            </w:r>
          </w:p>
        </w:tc>
        <w:tc>
          <w:tcPr>
            <w:tcW w:w="4876" w:type="dxa"/>
            <w:hideMark/>
          </w:tcPr>
          <w:p w14:paraId="70D9DABD" w14:textId="77777777" w:rsidR="00BF7ACA" w:rsidRPr="00B0434F" w:rsidRDefault="00BF7ACA" w:rsidP="007924BE">
            <w:pPr>
              <w:pStyle w:val="ColumnHeading"/>
              <w:keepNext/>
            </w:pPr>
            <w:r w:rsidRPr="00B0434F">
              <w:t>Amendement</w:t>
            </w:r>
          </w:p>
        </w:tc>
      </w:tr>
      <w:tr w:rsidR="00BF7ACA" w:rsidRPr="00AF1321" w14:paraId="20FD5435" w14:textId="77777777" w:rsidTr="007924BE">
        <w:trPr>
          <w:jc w:val="center"/>
        </w:trPr>
        <w:tc>
          <w:tcPr>
            <w:tcW w:w="4876" w:type="dxa"/>
            <w:hideMark/>
          </w:tcPr>
          <w:p w14:paraId="2F9D8397" w14:textId="77777777" w:rsidR="00BF7ACA" w:rsidRPr="00B0434F" w:rsidRDefault="00BF7ACA" w:rsidP="007924BE">
            <w:pPr>
              <w:pStyle w:val="Normal6"/>
            </w:pPr>
            <w:r w:rsidRPr="00B0434F">
              <w:t>1.</w:t>
            </w:r>
            <w:r>
              <w:tab/>
            </w:r>
            <w:r w:rsidRPr="00B0434F">
              <w:t xml:space="preserve">La Commission présente au Parlement européen </w:t>
            </w:r>
            <w:r w:rsidRPr="00B0434F">
              <w:rPr>
                <w:b/>
                <w:i/>
              </w:rPr>
              <w:t>et</w:t>
            </w:r>
            <w:r w:rsidRPr="00B0434F">
              <w:t xml:space="preserve"> au Conseil un rapport annuel sur les opérations de financement et d</w:t>
            </w:r>
            <w:r>
              <w:t>’</w:t>
            </w:r>
            <w:r w:rsidRPr="00B0434F">
              <w:t>investissement couvertes par la garantie FEDD. Ce rapport est rendu public. Il comprend entre autres les éléments suivants:</w:t>
            </w:r>
          </w:p>
        </w:tc>
        <w:tc>
          <w:tcPr>
            <w:tcW w:w="4876" w:type="dxa"/>
            <w:hideMark/>
          </w:tcPr>
          <w:p w14:paraId="48CDFA04" w14:textId="77777777" w:rsidR="00BF7ACA" w:rsidRPr="00B0434F" w:rsidRDefault="00BF7ACA" w:rsidP="007924BE">
            <w:pPr>
              <w:pStyle w:val="Normal6"/>
              <w:rPr>
                <w:szCs w:val="24"/>
              </w:rPr>
            </w:pPr>
            <w:r w:rsidRPr="00B0434F">
              <w:t>1.</w:t>
            </w:r>
            <w:r>
              <w:tab/>
            </w:r>
            <w:r w:rsidRPr="00B0434F">
              <w:t>La Commission présente au Parlement européen</w:t>
            </w:r>
            <w:r w:rsidRPr="00B0434F">
              <w:rPr>
                <w:b/>
                <w:i/>
              </w:rPr>
              <w:t>,</w:t>
            </w:r>
            <w:r w:rsidRPr="00B0434F">
              <w:t xml:space="preserve"> au Conseil </w:t>
            </w:r>
            <w:r w:rsidRPr="00B0434F">
              <w:rPr>
                <w:b/>
                <w:i/>
              </w:rPr>
              <w:t>et, le cas échéant, aux États membres contributeurs</w:t>
            </w:r>
            <w:r w:rsidRPr="00B0434F">
              <w:t xml:space="preserve"> un rapport annuel sur les opérations de financement et d</w:t>
            </w:r>
            <w:r>
              <w:t>’</w:t>
            </w:r>
            <w:r w:rsidRPr="00B0434F">
              <w:t>investissement couvertes par la garantie FEDD. Ce rapport est rendu public. Il comprend entre autres les éléments suivants:</w:t>
            </w:r>
          </w:p>
        </w:tc>
      </w:tr>
    </w:tbl>
    <w:p w14:paraId="3194262F" w14:textId="77777777"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14:paraId="1B89A401" w14:textId="77777777" w:rsidR="00BF7ACA" w:rsidRPr="00BF7ACA" w:rsidRDefault="00BF7ACA" w:rsidP="00BF7ACA">
      <w:pPr>
        <w:rPr>
          <w:lang w:val="nl-NL"/>
        </w:rPr>
      </w:pPr>
      <w:r w:rsidRPr="00BF7ACA">
        <w:rPr>
          <w:rStyle w:val="HideTWBExt"/>
          <w:lang w:val="nl-NL"/>
        </w:rPr>
        <w:t>&lt;/Amend&gt;</w:t>
      </w:r>
    </w:p>
    <w:p w14:paraId="54C937C6" w14:textId="77777777"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344</w:t>
      </w:r>
      <w:r w:rsidRPr="00BF7ACA">
        <w:rPr>
          <w:rStyle w:val="HideTWBExt"/>
          <w:b w:val="0"/>
          <w:lang w:val="nl-NL"/>
        </w:rPr>
        <w:t>&lt;/NumAm&gt;</w:t>
      </w:r>
    </w:p>
    <w:p w14:paraId="466D91ED" w14:textId="77777777"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14:paraId="7484199F" w14:textId="77777777" w:rsidR="00BF7ACA" w:rsidRPr="00BF7ACA" w:rsidRDefault="00BF7ACA" w:rsidP="00BF7ACA">
      <w:pPr>
        <w:rPr>
          <w:lang w:val="nl-NL"/>
        </w:rPr>
      </w:pPr>
      <w:r w:rsidRPr="00BF7ACA">
        <w:rPr>
          <w:rStyle w:val="HideTWBExt"/>
          <w:lang w:val="nl-NL"/>
        </w:rPr>
        <w:t>&lt;/RepeatBlock-By&gt;</w:t>
      </w:r>
    </w:p>
    <w:p w14:paraId="0AD7D184"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148D6609" w14:textId="77777777" w:rsidR="00BF7ACA" w:rsidRPr="00AF1321" w:rsidRDefault="00BF7ACA" w:rsidP="00BF7ACA">
      <w:pPr>
        <w:pStyle w:val="NormalBold"/>
      </w:pPr>
      <w:r>
        <w:rPr>
          <w:rStyle w:val="HideTWBExt"/>
          <w:b w:val="0"/>
        </w:rPr>
        <w:t>&lt;Article&gt;</w:t>
      </w:r>
      <w:r w:rsidRPr="00B0434F">
        <w:t>Article 15 – paragraphe 1 – partie introductive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263984BE" w14:textId="77777777" w:rsidTr="007924BE">
        <w:trPr>
          <w:jc w:val="center"/>
        </w:trPr>
        <w:tc>
          <w:tcPr>
            <w:tcW w:w="9752" w:type="dxa"/>
            <w:gridSpan w:val="2"/>
          </w:tcPr>
          <w:p w14:paraId="0F9019C6" w14:textId="77777777" w:rsidR="00BF7ACA" w:rsidRPr="00AF1321" w:rsidRDefault="00BF7ACA" w:rsidP="007924BE">
            <w:pPr>
              <w:keepNext/>
            </w:pPr>
          </w:p>
        </w:tc>
      </w:tr>
      <w:tr w:rsidR="00BF7ACA" w:rsidRPr="00AF1321" w14:paraId="18F20DD6" w14:textId="77777777" w:rsidTr="007924BE">
        <w:trPr>
          <w:jc w:val="center"/>
        </w:trPr>
        <w:tc>
          <w:tcPr>
            <w:tcW w:w="4876" w:type="dxa"/>
            <w:hideMark/>
          </w:tcPr>
          <w:p w14:paraId="07A62F44" w14:textId="77777777" w:rsidR="00BF7ACA" w:rsidRPr="00B0434F" w:rsidRDefault="00BF7ACA" w:rsidP="007924BE">
            <w:pPr>
              <w:pStyle w:val="ColumnHeading"/>
              <w:keepNext/>
            </w:pPr>
            <w:r w:rsidRPr="00B0434F">
              <w:t>Texte proposé par la Commission</w:t>
            </w:r>
          </w:p>
        </w:tc>
        <w:tc>
          <w:tcPr>
            <w:tcW w:w="4876" w:type="dxa"/>
            <w:hideMark/>
          </w:tcPr>
          <w:p w14:paraId="0D6FE6B3" w14:textId="77777777" w:rsidR="00BF7ACA" w:rsidRPr="00B0434F" w:rsidRDefault="00BF7ACA" w:rsidP="007924BE">
            <w:pPr>
              <w:pStyle w:val="ColumnHeading"/>
              <w:keepNext/>
            </w:pPr>
            <w:r w:rsidRPr="00B0434F">
              <w:t>Amendement</w:t>
            </w:r>
          </w:p>
        </w:tc>
      </w:tr>
      <w:tr w:rsidR="00BF7ACA" w:rsidRPr="00AF1321" w14:paraId="3FB78813" w14:textId="77777777" w:rsidTr="007924BE">
        <w:trPr>
          <w:jc w:val="center"/>
        </w:trPr>
        <w:tc>
          <w:tcPr>
            <w:tcW w:w="4876" w:type="dxa"/>
            <w:hideMark/>
          </w:tcPr>
          <w:p w14:paraId="1909960C" w14:textId="77777777" w:rsidR="00BF7ACA" w:rsidRPr="00B0434F" w:rsidRDefault="00BF7ACA" w:rsidP="007924BE">
            <w:pPr>
              <w:pStyle w:val="Normal6"/>
            </w:pPr>
            <w:r w:rsidRPr="00B0434F">
              <w:t>1.</w:t>
            </w:r>
            <w:r>
              <w:tab/>
            </w:r>
            <w:r w:rsidRPr="00B0434F">
              <w:t>La Commission présente au Parlement européen et au Conseil un rapport annuel sur les opérations de financement et d</w:t>
            </w:r>
            <w:r>
              <w:t>’</w:t>
            </w:r>
            <w:r w:rsidRPr="00B0434F">
              <w:t>investissement couvertes par la garantie FEDD. Ce rapport est rendu public. Il comprend entre autres les éléments suivants:</w:t>
            </w:r>
          </w:p>
        </w:tc>
        <w:tc>
          <w:tcPr>
            <w:tcW w:w="4876" w:type="dxa"/>
            <w:hideMark/>
          </w:tcPr>
          <w:p w14:paraId="1FCE12E4" w14:textId="77777777" w:rsidR="00BF7ACA" w:rsidRPr="00B0434F" w:rsidRDefault="00BF7ACA" w:rsidP="007924BE">
            <w:pPr>
              <w:pStyle w:val="Normal6"/>
              <w:rPr>
                <w:szCs w:val="24"/>
              </w:rPr>
            </w:pPr>
            <w:r w:rsidRPr="00B0434F">
              <w:t>1.</w:t>
            </w:r>
            <w:r>
              <w:tab/>
            </w:r>
            <w:r w:rsidRPr="00B0434F">
              <w:t xml:space="preserve">La Commission présente au Parlement européen et au Conseil un rapport annuel sur </w:t>
            </w:r>
            <w:r w:rsidRPr="00B0434F">
              <w:rPr>
                <w:b/>
                <w:i/>
              </w:rPr>
              <w:t>l</w:t>
            </w:r>
            <w:r>
              <w:rPr>
                <w:b/>
                <w:i/>
              </w:rPr>
              <w:t>’</w:t>
            </w:r>
            <w:r w:rsidRPr="00B0434F">
              <w:rPr>
                <w:b/>
                <w:i/>
              </w:rPr>
              <w:t>efficacité et le succès des projets financés par</w:t>
            </w:r>
            <w:r w:rsidRPr="00B0434F">
              <w:t xml:space="preserve"> la garantie FEDD </w:t>
            </w:r>
            <w:r w:rsidRPr="00B0434F">
              <w:rPr>
                <w:b/>
                <w:i/>
              </w:rPr>
              <w:t>et des investissements réalisés au titre de celle-ci</w:t>
            </w:r>
            <w:r w:rsidRPr="00B0434F">
              <w:t>. Ce rapport est rendu public. Il comprend entre autres les éléments suivants:</w:t>
            </w:r>
          </w:p>
        </w:tc>
      </w:tr>
    </w:tbl>
    <w:p w14:paraId="7EEC132C"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1A869C2" w14:textId="77777777" w:rsidR="00BF7ACA" w:rsidRPr="00BF7ACA" w:rsidRDefault="00BF7ACA" w:rsidP="00BF7ACA">
      <w:r w:rsidRPr="00BF7ACA">
        <w:rPr>
          <w:rStyle w:val="HideTWBExt"/>
        </w:rPr>
        <w:t>&lt;/Amend&gt;</w:t>
      </w:r>
    </w:p>
    <w:p w14:paraId="2433CF55" w14:textId="77777777" w:rsidR="00BF7ACA" w:rsidRPr="00E502E5" w:rsidRDefault="00BF7ACA" w:rsidP="00BF7ACA">
      <w:pPr>
        <w:pStyle w:val="AMNumberTabs"/>
        <w:keepNext/>
      </w:pPr>
      <w:r>
        <w:rPr>
          <w:rStyle w:val="HideTWBExt"/>
          <w:b w:val="0"/>
        </w:rPr>
        <w:t>&lt;Amend&gt;</w:t>
      </w:r>
      <w:r w:rsidRPr="00936017">
        <w:t>Amendement</w:t>
      </w:r>
      <w:r>
        <w:tab/>
      </w:r>
      <w:r>
        <w:tab/>
      </w:r>
      <w:r>
        <w:rPr>
          <w:rStyle w:val="HideTWBExt"/>
          <w:b w:val="0"/>
        </w:rPr>
        <w:t>&lt;NumAm&gt;</w:t>
      </w:r>
      <w:r w:rsidRPr="00936017">
        <w:t>345</w:t>
      </w:r>
      <w:r>
        <w:rPr>
          <w:rStyle w:val="HideTWBExt"/>
          <w:b w:val="0"/>
        </w:rPr>
        <w:t>&lt;/NumAm&gt;</w:t>
      </w:r>
    </w:p>
    <w:p w14:paraId="72A5C272" w14:textId="77777777" w:rsidR="00BF7ACA" w:rsidRPr="00E502E5" w:rsidRDefault="00BF7ACA" w:rsidP="00BF7ACA">
      <w:pPr>
        <w:pStyle w:val="NormalBold"/>
      </w:pPr>
      <w:r>
        <w:rPr>
          <w:rStyle w:val="HideTWBExt"/>
          <w:b w:val="0"/>
        </w:rPr>
        <w:t>&lt;RepeatBlock-By&gt;&lt;Members&gt;</w:t>
      </w:r>
      <w:r w:rsidRPr="00936017">
        <w:t>Bernd Kölmel</w:t>
      </w:r>
      <w:r>
        <w:rPr>
          <w:rStyle w:val="HideTWBExt"/>
          <w:b w:val="0"/>
        </w:rPr>
        <w:t>&lt;/Members&gt;</w:t>
      </w:r>
    </w:p>
    <w:p w14:paraId="5C21960F" w14:textId="77777777" w:rsidR="00BF7ACA" w:rsidRPr="00E502E5" w:rsidRDefault="00BF7ACA" w:rsidP="00BF7ACA">
      <w:r>
        <w:rPr>
          <w:rStyle w:val="HideTWBExt"/>
        </w:rPr>
        <w:t>&lt;/RepeatBlock-By&gt;</w:t>
      </w:r>
    </w:p>
    <w:p w14:paraId="0F86A707" w14:textId="77777777" w:rsidR="00BF7ACA" w:rsidRPr="00E502E5" w:rsidRDefault="00BF7ACA" w:rsidP="00BF7ACA">
      <w:pPr>
        <w:pStyle w:val="NormalBold"/>
        <w:keepNext/>
      </w:pPr>
      <w:r>
        <w:rPr>
          <w:rStyle w:val="HideTWBExt"/>
          <w:b w:val="0"/>
        </w:rPr>
        <w:t>&lt;DocAmend&gt;</w:t>
      </w:r>
      <w:r w:rsidRPr="00936017">
        <w:t>Proposition de règlement</w:t>
      </w:r>
      <w:r>
        <w:rPr>
          <w:rStyle w:val="HideTWBExt"/>
          <w:b w:val="0"/>
        </w:rPr>
        <w:t>&lt;/DocAmend&gt;</w:t>
      </w:r>
    </w:p>
    <w:p w14:paraId="3BC26866" w14:textId="77777777" w:rsidR="00BF7ACA" w:rsidRPr="00E502E5" w:rsidRDefault="00BF7ACA" w:rsidP="00BF7ACA">
      <w:pPr>
        <w:pStyle w:val="NormalBold"/>
      </w:pPr>
      <w:r>
        <w:rPr>
          <w:rStyle w:val="HideTWBExt"/>
          <w:b w:val="0"/>
        </w:rPr>
        <w:t>&lt;Article&gt;</w:t>
      </w:r>
      <w:r w:rsidRPr="00936017">
        <w:t>Article 15 – paragraphe 1 – partie introductive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2897CAA1" w14:textId="77777777" w:rsidTr="007924BE">
        <w:trPr>
          <w:jc w:val="center"/>
        </w:trPr>
        <w:tc>
          <w:tcPr>
            <w:tcW w:w="9752" w:type="dxa"/>
            <w:gridSpan w:val="2"/>
          </w:tcPr>
          <w:p w14:paraId="2C2BD504" w14:textId="77777777" w:rsidR="00BF7ACA" w:rsidRPr="00E502E5" w:rsidRDefault="00BF7ACA" w:rsidP="007924BE">
            <w:pPr>
              <w:keepNext/>
            </w:pPr>
          </w:p>
        </w:tc>
      </w:tr>
      <w:tr w:rsidR="00BF7ACA" w:rsidRPr="00E502E5" w14:paraId="135B8EE9" w14:textId="77777777" w:rsidTr="007924BE">
        <w:trPr>
          <w:jc w:val="center"/>
        </w:trPr>
        <w:tc>
          <w:tcPr>
            <w:tcW w:w="4876" w:type="dxa"/>
            <w:hideMark/>
          </w:tcPr>
          <w:p w14:paraId="62454399" w14:textId="77777777" w:rsidR="00BF7ACA" w:rsidRPr="00936017" w:rsidRDefault="00BF7ACA" w:rsidP="007924BE">
            <w:pPr>
              <w:pStyle w:val="ColumnHeading"/>
              <w:keepNext/>
            </w:pPr>
            <w:r w:rsidRPr="00936017">
              <w:t>Texte proposé par la Commission</w:t>
            </w:r>
          </w:p>
        </w:tc>
        <w:tc>
          <w:tcPr>
            <w:tcW w:w="4876" w:type="dxa"/>
            <w:hideMark/>
          </w:tcPr>
          <w:p w14:paraId="163F3EDE" w14:textId="77777777" w:rsidR="00BF7ACA" w:rsidRPr="00936017" w:rsidRDefault="00BF7ACA" w:rsidP="007924BE">
            <w:pPr>
              <w:pStyle w:val="ColumnHeading"/>
              <w:keepNext/>
            </w:pPr>
            <w:r w:rsidRPr="00936017">
              <w:t>Amendement</w:t>
            </w:r>
          </w:p>
        </w:tc>
      </w:tr>
      <w:tr w:rsidR="00BF7ACA" w:rsidRPr="00E502E5" w14:paraId="08A5DFA6" w14:textId="77777777" w:rsidTr="007924BE">
        <w:trPr>
          <w:jc w:val="center"/>
        </w:trPr>
        <w:tc>
          <w:tcPr>
            <w:tcW w:w="4876" w:type="dxa"/>
            <w:hideMark/>
          </w:tcPr>
          <w:p w14:paraId="3A864654" w14:textId="77777777" w:rsidR="00BF7ACA" w:rsidRPr="00936017" w:rsidRDefault="00BF7ACA" w:rsidP="007924BE">
            <w:pPr>
              <w:pStyle w:val="Normal6"/>
            </w:pPr>
            <w:r w:rsidRPr="00936017">
              <w:t>1.</w:t>
            </w:r>
            <w:r>
              <w:tab/>
            </w:r>
            <w:r w:rsidRPr="00936017">
              <w:t>La Commission présente au Parlement européen et au Conseil un rapport annuel sur les opérations de financement et d</w:t>
            </w:r>
            <w:r>
              <w:t>’</w:t>
            </w:r>
            <w:r w:rsidRPr="00936017">
              <w:t>investissement couvertes par la garantie FEDD. Ce rapport est rendu public. Il comprend entre autres les éléments suivants:</w:t>
            </w:r>
          </w:p>
        </w:tc>
        <w:tc>
          <w:tcPr>
            <w:tcW w:w="4876" w:type="dxa"/>
            <w:hideMark/>
          </w:tcPr>
          <w:p w14:paraId="4C44DB82" w14:textId="77777777" w:rsidR="00BF7ACA" w:rsidRPr="00936017" w:rsidRDefault="00BF7ACA" w:rsidP="007924BE">
            <w:pPr>
              <w:pStyle w:val="Normal6"/>
              <w:rPr>
                <w:szCs w:val="24"/>
              </w:rPr>
            </w:pPr>
            <w:r w:rsidRPr="00936017">
              <w:t>1.</w:t>
            </w:r>
            <w:r>
              <w:tab/>
            </w:r>
            <w:r w:rsidRPr="00936017">
              <w:t>La Commission présente au Parlement européen et au Conseil un rapport annuel sur les opérations de financement et d</w:t>
            </w:r>
            <w:r>
              <w:t>’</w:t>
            </w:r>
            <w:r w:rsidRPr="00936017">
              <w:t xml:space="preserve">investissement couvertes par la garantie FEDD. Ce rapport est rendu public. Il comprend entre autres les éléments </w:t>
            </w:r>
            <w:r w:rsidRPr="00936017">
              <w:rPr>
                <w:b/>
                <w:i/>
              </w:rPr>
              <w:t xml:space="preserve">mesurables </w:t>
            </w:r>
            <w:r w:rsidRPr="00936017">
              <w:t>suivants:</w:t>
            </w:r>
          </w:p>
        </w:tc>
      </w:tr>
    </w:tbl>
    <w:p w14:paraId="5E81997A" w14:textId="77777777" w:rsidR="00BF7ACA" w:rsidRPr="00E502E5" w:rsidRDefault="00BF7ACA" w:rsidP="00BF7ACA">
      <w:pPr>
        <w:pStyle w:val="Olang"/>
        <w:rPr>
          <w:noProof w:val="0"/>
          <w:szCs w:val="24"/>
        </w:rPr>
      </w:pPr>
      <w:r w:rsidRPr="00936017">
        <w:rPr>
          <w:noProof w:val="0"/>
        </w:rPr>
        <w:t xml:space="preserve">Or. </w:t>
      </w:r>
      <w:r w:rsidRPr="009857D1">
        <w:rPr>
          <w:rStyle w:val="HideTWBExt"/>
          <w:noProof w:val="0"/>
        </w:rPr>
        <w:t>&lt;Original&gt;</w:t>
      </w:r>
      <w:r w:rsidRPr="009857D1">
        <w:rPr>
          <w:rStyle w:val="HideTWBInt"/>
          <w:noProof w:val="0"/>
        </w:rPr>
        <w:t>{DE}</w:t>
      </w:r>
      <w:r w:rsidRPr="00936017">
        <w:rPr>
          <w:noProof w:val="0"/>
        </w:rPr>
        <w:t>de</w:t>
      </w:r>
      <w:r w:rsidRPr="009857D1">
        <w:rPr>
          <w:rStyle w:val="HideTWBExt"/>
          <w:noProof w:val="0"/>
        </w:rPr>
        <w:t>&lt;/Original&gt;</w:t>
      </w:r>
    </w:p>
    <w:p w14:paraId="2CE9C3AD" w14:textId="77777777" w:rsidR="00BF7ACA" w:rsidRPr="00E502E5" w:rsidRDefault="00BF7ACA" w:rsidP="00BF7ACA">
      <w:r>
        <w:rPr>
          <w:rStyle w:val="HideTWBExt"/>
        </w:rPr>
        <w:t>&lt;/Amend&gt;</w:t>
      </w:r>
    </w:p>
    <w:p w14:paraId="3B906D04"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346</w:t>
      </w:r>
      <w:r w:rsidRPr="00BF7ACA">
        <w:rPr>
          <w:rStyle w:val="HideTWBExt"/>
          <w:b w:val="0"/>
        </w:rPr>
        <w:t>&lt;/NumAm&gt;</w:t>
      </w:r>
    </w:p>
    <w:p w14:paraId="2EB2F524"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227332E2" w14:textId="77777777" w:rsidR="00BF7ACA" w:rsidRPr="00AF1321" w:rsidRDefault="00BF7ACA" w:rsidP="00BF7ACA">
      <w:r>
        <w:rPr>
          <w:rStyle w:val="HideTWBExt"/>
        </w:rPr>
        <w:t>&lt;/RepeatBlock-By&gt;</w:t>
      </w:r>
    </w:p>
    <w:p w14:paraId="3873C28C"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4BFB4269" w14:textId="77777777" w:rsidR="00BF7ACA" w:rsidRPr="00AF1321" w:rsidRDefault="00BF7ACA" w:rsidP="00BF7ACA">
      <w:pPr>
        <w:pStyle w:val="NormalBold"/>
      </w:pPr>
      <w:r>
        <w:rPr>
          <w:rStyle w:val="HideTWBExt"/>
          <w:b w:val="0"/>
        </w:rPr>
        <w:t>&lt;Article&gt;</w:t>
      </w:r>
      <w:r w:rsidRPr="00B0434F">
        <w:t>Article 15 – paragraphe 1 – point -a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18B0A85A" w14:textId="77777777" w:rsidTr="007924BE">
        <w:trPr>
          <w:jc w:val="center"/>
        </w:trPr>
        <w:tc>
          <w:tcPr>
            <w:tcW w:w="9752" w:type="dxa"/>
            <w:gridSpan w:val="2"/>
          </w:tcPr>
          <w:p w14:paraId="012F8FEA" w14:textId="77777777" w:rsidR="00BF7ACA" w:rsidRPr="00AF1321" w:rsidRDefault="00BF7ACA" w:rsidP="007924BE">
            <w:pPr>
              <w:keepNext/>
            </w:pPr>
          </w:p>
        </w:tc>
      </w:tr>
      <w:tr w:rsidR="00BF7ACA" w:rsidRPr="00AF1321" w14:paraId="53AFA440" w14:textId="77777777" w:rsidTr="007924BE">
        <w:trPr>
          <w:jc w:val="center"/>
        </w:trPr>
        <w:tc>
          <w:tcPr>
            <w:tcW w:w="4876" w:type="dxa"/>
            <w:hideMark/>
          </w:tcPr>
          <w:p w14:paraId="4C373BD8" w14:textId="77777777" w:rsidR="00BF7ACA" w:rsidRPr="00B0434F" w:rsidRDefault="00BF7ACA" w:rsidP="007924BE">
            <w:pPr>
              <w:pStyle w:val="ColumnHeading"/>
              <w:keepNext/>
            </w:pPr>
            <w:r w:rsidRPr="00B0434F">
              <w:t>Texte proposé par la Commission</w:t>
            </w:r>
          </w:p>
        </w:tc>
        <w:tc>
          <w:tcPr>
            <w:tcW w:w="4876" w:type="dxa"/>
            <w:hideMark/>
          </w:tcPr>
          <w:p w14:paraId="7DFFA6D1" w14:textId="77777777" w:rsidR="00BF7ACA" w:rsidRPr="00B0434F" w:rsidRDefault="00BF7ACA" w:rsidP="007924BE">
            <w:pPr>
              <w:pStyle w:val="ColumnHeading"/>
              <w:keepNext/>
            </w:pPr>
            <w:r w:rsidRPr="00B0434F">
              <w:t>Amendement</w:t>
            </w:r>
          </w:p>
        </w:tc>
      </w:tr>
      <w:tr w:rsidR="00BF7ACA" w:rsidRPr="00AF1321" w14:paraId="46DA332E" w14:textId="77777777" w:rsidTr="007924BE">
        <w:trPr>
          <w:jc w:val="center"/>
        </w:trPr>
        <w:tc>
          <w:tcPr>
            <w:tcW w:w="4876" w:type="dxa"/>
          </w:tcPr>
          <w:p w14:paraId="143CFCB3" w14:textId="77777777" w:rsidR="00BF7ACA" w:rsidRPr="00B0434F" w:rsidRDefault="00BF7ACA" w:rsidP="007924BE">
            <w:pPr>
              <w:pStyle w:val="Normal6"/>
            </w:pPr>
          </w:p>
        </w:tc>
        <w:tc>
          <w:tcPr>
            <w:tcW w:w="4876" w:type="dxa"/>
            <w:hideMark/>
          </w:tcPr>
          <w:p w14:paraId="02B72384" w14:textId="77777777" w:rsidR="00BF7ACA" w:rsidRPr="00B0434F" w:rsidRDefault="00BF7ACA" w:rsidP="007924BE">
            <w:pPr>
              <w:pStyle w:val="Normal6"/>
              <w:rPr>
                <w:szCs w:val="24"/>
              </w:rPr>
            </w:pPr>
            <w:r w:rsidRPr="00B0434F">
              <w:rPr>
                <w:b/>
                <w:i/>
              </w:rPr>
              <w:t>(-a)</w:t>
            </w:r>
            <w:r>
              <w:tab/>
            </w:r>
            <w:r w:rsidRPr="00B0434F">
              <w:rPr>
                <w:b/>
                <w:i/>
              </w:rPr>
              <w:t>une évaluation de la contribution globale aux objectifs de développement durable fixés dans le programme de développement durable à l</w:t>
            </w:r>
            <w:r>
              <w:rPr>
                <w:b/>
                <w:i/>
              </w:rPr>
              <w:t>’</w:t>
            </w:r>
            <w:r w:rsidRPr="00B0434F">
              <w:rPr>
                <w:b/>
                <w:i/>
              </w:rPr>
              <w:t>horizon 2030, en particulier en ce qui concerne la lutte contre la pauvreté;</w:t>
            </w:r>
          </w:p>
        </w:tc>
      </w:tr>
    </w:tbl>
    <w:p w14:paraId="3BEA3658"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3339527" w14:textId="77777777" w:rsidR="00BF7ACA" w:rsidRPr="00BF7ACA" w:rsidRDefault="00BF7ACA" w:rsidP="00BF7ACA">
      <w:r w:rsidRPr="00BF7ACA">
        <w:rPr>
          <w:rStyle w:val="HideTWBExt"/>
        </w:rPr>
        <w:t>&lt;/Amend&gt;</w:t>
      </w:r>
    </w:p>
    <w:p w14:paraId="7AA8A4CA"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347</w:t>
      </w:r>
      <w:r w:rsidRPr="00BF7ACA">
        <w:rPr>
          <w:rStyle w:val="HideTWBExt"/>
          <w:b w:val="0"/>
        </w:rPr>
        <w:t>&lt;/NumAm&gt;</w:t>
      </w:r>
    </w:p>
    <w:p w14:paraId="32C6DFCE"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1284B695" w14:textId="77777777" w:rsidR="00BF7ACA" w:rsidRPr="00AF1321" w:rsidRDefault="00BF7ACA" w:rsidP="00BF7ACA">
      <w:r>
        <w:rPr>
          <w:rStyle w:val="HideTWBExt"/>
        </w:rPr>
        <w:t>&lt;/RepeatBlock-By&gt;</w:t>
      </w:r>
    </w:p>
    <w:p w14:paraId="085D3651"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7AF98023" w14:textId="77777777" w:rsidR="00BF7ACA" w:rsidRPr="00AF1321" w:rsidRDefault="00BF7ACA" w:rsidP="00BF7ACA">
      <w:pPr>
        <w:pStyle w:val="NormalBold"/>
      </w:pPr>
      <w:r>
        <w:rPr>
          <w:rStyle w:val="HideTWBExt"/>
          <w:b w:val="0"/>
        </w:rPr>
        <w:t>&lt;Article&gt;</w:t>
      </w:r>
      <w:r w:rsidRPr="00B0434F">
        <w:t>Article 15 – paragraphe 1 – point -a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679AECD8" w14:textId="77777777" w:rsidTr="007924BE">
        <w:trPr>
          <w:jc w:val="center"/>
        </w:trPr>
        <w:tc>
          <w:tcPr>
            <w:tcW w:w="9752" w:type="dxa"/>
            <w:gridSpan w:val="2"/>
          </w:tcPr>
          <w:p w14:paraId="50B5C031" w14:textId="77777777" w:rsidR="00BF7ACA" w:rsidRPr="00AF1321" w:rsidRDefault="00BF7ACA" w:rsidP="007924BE">
            <w:pPr>
              <w:keepNext/>
            </w:pPr>
          </w:p>
        </w:tc>
      </w:tr>
      <w:tr w:rsidR="00BF7ACA" w:rsidRPr="00AF1321" w14:paraId="701406D3" w14:textId="77777777" w:rsidTr="007924BE">
        <w:trPr>
          <w:jc w:val="center"/>
        </w:trPr>
        <w:tc>
          <w:tcPr>
            <w:tcW w:w="4876" w:type="dxa"/>
            <w:hideMark/>
          </w:tcPr>
          <w:p w14:paraId="3D7CFA87" w14:textId="77777777" w:rsidR="00BF7ACA" w:rsidRPr="00B0434F" w:rsidRDefault="00BF7ACA" w:rsidP="007924BE">
            <w:pPr>
              <w:pStyle w:val="ColumnHeading"/>
              <w:keepNext/>
            </w:pPr>
            <w:r w:rsidRPr="00B0434F">
              <w:t>Texte proposé par la Commission</w:t>
            </w:r>
          </w:p>
        </w:tc>
        <w:tc>
          <w:tcPr>
            <w:tcW w:w="4876" w:type="dxa"/>
            <w:hideMark/>
          </w:tcPr>
          <w:p w14:paraId="7EA3E1A2" w14:textId="77777777" w:rsidR="00BF7ACA" w:rsidRPr="00B0434F" w:rsidRDefault="00BF7ACA" w:rsidP="007924BE">
            <w:pPr>
              <w:pStyle w:val="ColumnHeading"/>
              <w:keepNext/>
            </w:pPr>
            <w:r w:rsidRPr="00B0434F">
              <w:t>Amendement</w:t>
            </w:r>
          </w:p>
        </w:tc>
      </w:tr>
      <w:tr w:rsidR="00BF7ACA" w:rsidRPr="00AF1321" w14:paraId="2350B740" w14:textId="77777777" w:rsidTr="007924BE">
        <w:trPr>
          <w:jc w:val="center"/>
        </w:trPr>
        <w:tc>
          <w:tcPr>
            <w:tcW w:w="4876" w:type="dxa"/>
          </w:tcPr>
          <w:p w14:paraId="4B56B9F9" w14:textId="77777777" w:rsidR="00BF7ACA" w:rsidRPr="00B0434F" w:rsidRDefault="00BF7ACA" w:rsidP="007924BE">
            <w:pPr>
              <w:pStyle w:val="Normal6"/>
            </w:pPr>
          </w:p>
        </w:tc>
        <w:tc>
          <w:tcPr>
            <w:tcW w:w="4876" w:type="dxa"/>
            <w:hideMark/>
          </w:tcPr>
          <w:p w14:paraId="59295FE5" w14:textId="77777777" w:rsidR="00BF7ACA" w:rsidRPr="00B0434F" w:rsidRDefault="00BF7ACA" w:rsidP="007924BE">
            <w:pPr>
              <w:pStyle w:val="Normal6"/>
              <w:rPr>
                <w:szCs w:val="24"/>
              </w:rPr>
            </w:pPr>
            <w:r w:rsidRPr="00B0434F">
              <w:rPr>
                <w:b/>
                <w:i/>
              </w:rPr>
              <w:t>(-a bis)</w:t>
            </w:r>
            <w:r>
              <w:tab/>
            </w:r>
            <w:r w:rsidRPr="00B0434F">
              <w:rPr>
                <w:b/>
                <w:i/>
              </w:rPr>
              <w:t>une évaluation de la part du financement consacrée aux opérations de financement et d</w:t>
            </w:r>
            <w:r>
              <w:rPr>
                <w:b/>
                <w:i/>
              </w:rPr>
              <w:t>’</w:t>
            </w:r>
            <w:r w:rsidRPr="00B0434F">
              <w:rPr>
                <w:b/>
                <w:i/>
              </w:rPr>
              <w:t>investissement pertinentes pour les engagements politiques de l</w:t>
            </w:r>
            <w:r>
              <w:rPr>
                <w:b/>
                <w:i/>
              </w:rPr>
              <w:t>’</w:t>
            </w:r>
            <w:r w:rsidRPr="00B0434F">
              <w:rPr>
                <w:b/>
                <w:i/>
              </w:rPr>
              <w:t>Union en matière d</w:t>
            </w:r>
            <w:r>
              <w:rPr>
                <w:b/>
                <w:i/>
              </w:rPr>
              <w:t>’</w:t>
            </w:r>
            <w:r w:rsidRPr="00B0434F">
              <w:rPr>
                <w:b/>
                <w:i/>
              </w:rPr>
              <w:t>énergie renouvelable, d</w:t>
            </w:r>
            <w:r>
              <w:rPr>
                <w:b/>
                <w:i/>
              </w:rPr>
              <w:t>’</w:t>
            </w:r>
            <w:r w:rsidRPr="00B0434F">
              <w:rPr>
                <w:b/>
                <w:i/>
              </w:rPr>
              <w:t>efficacité énergétique et de changement climatique;</w:t>
            </w:r>
          </w:p>
        </w:tc>
      </w:tr>
    </w:tbl>
    <w:p w14:paraId="6A92CAAB"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C75F9B6" w14:textId="77777777" w:rsidR="00BF7ACA" w:rsidRPr="00BF7ACA" w:rsidRDefault="00BF7ACA" w:rsidP="00BF7ACA">
      <w:r w:rsidRPr="00BF7ACA">
        <w:rPr>
          <w:rStyle w:val="HideTWBExt"/>
        </w:rPr>
        <w:t>&lt;/Amend&gt;</w:t>
      </w:r>
    </w:p>
    <w:p w14:paraId="7CC9614E"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348</w:t>
      </w:r>
      <w:r w:rsidRPr="00BF7ACA">
        <w:rPr>
          <w:rStyle w:val="HideTWBExt"/>
          <w:b w:val="0"/>
        </w:rPr>
        <w:t>&lt;/NumAm&gt;</w:t>
      </w:r>
    </w:p>
    <w:p w14:paraId="54A6E884" w14:textId="77777777"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Hilde Vautmans, Ilhan Kyuchyuk, Nedzhmi Ali</w:t>
      </w:r>
      <w:r w:rsidRPr="00BF7ACA">
        <w:rPr>
          <w:rStyle w:val="HideTWBExt"/>
          <w:b w:val="0"/>
        </w:rPr>
        <w:t>&lt;/Members&gt;</w:t>
      </w:r>
    </w:p>
    <w:p w14:paraId="22330179" w14:textId="77777777" w:rsidR="00BF7ACA" w:rsidRPr="00AF1321" w:rsidRDefault="00BF7ACA" w:rsidP="00BF7ACA">
      <w:r>
        <w:rPr>
          <w:rStyle w:val="HideTWBExt"/>
        </w:rPr>
        <w:t>&lt;/RepeatBlock-By&gt;</w:t>
      </w:r>
    </w:p>
    <w:p w14:paraId="19CC398E"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4AC8B1B6" w14:textId="77777777" w:rsidR="00BF7ACA" w:rsidRPr="00AF1321" w:rsidRDefault="00BF7ACA" w:rsidP="00BF7ACA">
      <w:pPr>
        <w:pStyle w:val="NormalBold"/>
      </w:pPr>
      <w:r>
        <w:rPr>
          <w:rStyle w:val="HideTWBExt"/>
          <w:b w:val="0"/>
        </w:rPr>
        <w:t>&lt;Article&gt;</w:t>
      </w:r>
      <w:r w:rsidRPr="00B0434F">
        <w:t>Article 15 – paragraphe 1 – point a</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5D5FB308" w14:textId="77777777" w:rsidTr="007924BE">
        <w:trPr>
          <w:jc w:val="center"/>
        </w:trPr>
        <w:tc>
          <w:tcPr>
            <w:tcW w:w="9752" w:type="dxa"/>
            <w:gridSpan w:val="2"/>
          </w:tcPr>
          <w:p w14:paraId="105664A4" w14:textId="77777777" w:rsidR="00BF7ACA" w:rsidRPr="00AF1321" w:rsidRDefault="00BF7ACA" w:rsidP="007924BE">
            <w:pPr>
              <w:keepNext/>
            </w:pPr>
          </w:p>
        </w:tc>
      </w:tr>
      <w:tr w:rsidR="00BF7ACA" w:rsidRPr="00AF1321" w14:paraId="6E1C73C2" w14:textId="77777777" w:rsidTr="007924BE">
        <w:trPr>
          <w:jc w:val="center"/>
        </w:trPr>
        <w:tc>
          <w:tcPr>
            <w:tcW w:w="4876" w:type="dxa"/>
            <w:hideMark/>
          </w:tcPr>
          <w:p w14:paraId="3B641060" w14:textId="77777777" w:rsidR="00BF7ACA" w:rsidRPr="00B0434F" w:rsidRDefault="00BF7ACA" w:rsidP="007924BE">
            <w:pPr>
              <w:pStyle w:val="ColumnHeading"/>
              <w:keepNext/>
            </w:pPr>
            <w:r w:rsidRPr="00B0434F">
              <w:t>Texte proposé par la Commission</w:t>
            </w:r>
          </w:p>
        </w:tc>
        <w:tc>
          <w:tcPr>
            <w:tcW w:w="4876" w:type="dxa"/>
            <w:hideMark/>
          </w:tcPr>
          <w:p w14:paraId="08D4FDE2" w14:textId="77777777" w:rsidR="00BF7ACA" w:rsidRPr="00B0434F" w:rsidRDefault="00BF7ACA" w:rsidP="007924BE">
            <w:pPr>
              <w:pStyle w:val="ColumnHeading"/>
              <w:keepNext/>
            </w:pPr>
            <w:r w:rsidRPr="00B0434F">
              <w:t>Amendement</w:t>
            </w:r>
          </w:p>
        </w:tc>
      </w:tr>
      <w:tr w:rsidR="00BF7ACA" w:rsidRPr="00AF1321" w14:paraId="085D9DEA" w14:textId="77777777" w:rsidTr="007924BE">
        <w:trPr>
          <w:jc w:val="center"/>
        </w:trPr>
        <w:tc>
          <w:tcPr>
            <w:tcW w:w="4876" w:type="dxa"/>
            <w:hideMark/>
          </w:tcPr>
          <w:p w14:paraId="5491BD35" w14:textId="77777777" w:rsidR="00BF7ACA" w:rsidRPr="00B0434F" w:rsidRDefault="00BF7ACA" w:rsidP="007924BE">
            <w:pPr>
              <w:pStyle w:val="Normal6"/>
            </w:pPr>
            <w:r w:rsidRPr="00B0434F">
              <w:t>(a)</w:t>
            </w:r>
            <w:r>
              <w:tab/>
            </w:r>
            <w:r w:rsidRPr="00B0434F">
              <w:t>une évaluation des opérations de financement et d</w:t>
            </w:r>
            <w:r>
              <w:t>’</w:t>
            </w:r>
            <w:r w:rsidRPr="00B0434F">
              <w:t>investissement couvertes par la garantie FEDD, par opération, secteur, pays et région, et de leur conformité avec le présent règlement;</w:t>
            </w:r>
          </w:p>
        </w:tc>
        <w:tc>
          <w:tcPr>
            <w:tcW w:w="4876" w:type="dxa"/>
            <w:hideMark/>
          </w:tcPr>
          <w:p w14:paraId="76146B19" w14:textId="77777777" w:rsidR="00BF7ACA" w:rsidRPr="00B0434F" w:rsidRDefault="00BF7ACA" w:rsidP="007924BE">
            <w:pPr>
              <w:pStyle w:val="Normal6"/>
              <w:rPr>
                <w:szCs w:val="24"/>
              </w:rPr>
            </w:pPr>
            <w:r w:rsidRPr="00B0434F">
              <w:t>(a)</w:t>
            </w:r>
            <w:r>
              <w:tab/>
            </w:r>
            <w:r w:rsidRPr="00B0434F">
              <w:t>une évaluation des opérations de financement et d</w:t>
            </w:r>
            <w:r>
              <w:t>’</w:t>
            </w:r>
            <w:r w:rsidRPr="00B0434F">
              <w:t>investissement couvertes par la garantie FEDD, par opération, secteur, pays et région, et de leur conformité avec le présent règlement</w:t>
            </w:r>
            <w:r w:rsidRPr="00B0434F">
              <w:rPr>
                <w:b/>
                <w:i/>
              </w:rPr>
              <w:t>, notamment avec l</w:t>
            </w:r>
            <w:r>
              <w:rPr>
                <w:b/>
                <w:i/>
              </w:rPr>
              <w:t>’</w:t>
            </w:r>
            <w:r w:rsidRPr="00B0434F">
              <w:rPr>
                <w:b/>
                <w:i/>
              </w:rPr>
              <w:t>objectif de 35 % de dépenses consacrées à la lutte contre la changement climatique</w:t>
            </w:r>
            <w:r w:rsidRPr="00B0434F">
              <w:t>;</w:t>
            </w:r>
          </w:p>
        </w:tc>
      </w:tr>
    </w:tbl>
    <w:p w14:paraId="0A7FC8FE" w14:textId="77777777" w:rsidR="00BF7ACA" w:rsidRPr="00AF1321" w:rsidRDefault="00BF7ACA" w:rsidP="00BF7ACA">
      <w:pPr>
        <w:pStyle w:val="Olang"/>
        <w:rPr>
          <w:noProof w:val="0"/>
          <w:szCs w:val="24"/>
        </w:rPr>
      </w:pPr>
      <w:r w:rsidRPr="00B0434F">
        <w:rPr>
          <w:noProof w:val="0"/>
        </w:rPr>
        <w:t xml:space="preserve">Or. </w:t>
      </w:r>
      <w:r w:rsidRPr="004C208F">
        <w:rPr>
          <w:rStyle w:val="HideTWBExt"/>
          <w:noProof w:val="0"/>
        </w:rPr>
        <w:t>&lt;Original&gt;</w:t>
      </w:r>
      <w:r w:rsidRPr="004C208F">
        <w:rPr>
          <w:rStyle w:val="HideTWBInt"/>
          <w:noProof w:val="0"/>
        </w:rPr>
        <w:t>{EN}</w:t>
      </w:r>
      <w:r w:rsidRPr="00B0434F">
        <w:rPr>
          <w:noProof w:val="0"/>
        </w:rPr>
        <w:t>en</w:t>
      </w:r>
      <w:r w:rsidRPr="004C208F">
        <w:rPr>
          <w:rStyle w:val="HideTWBExt"/>
          <w:noProof w:val="0"/>
        </w:rPr>
        <w:t>&lt;/Original&gt;</w:t>
      </w:r>
    </w:p>
    <w:p w14:paraId="634E677A" w14:textId="77777777" w:rsidR="00BF7ACA" w:rsidRPr="00AF1321" w:rsidRDefault="00BF7ACA" w:rsidP="00BF7ACA">
      <w:pPr>
        <w:pStyle w:val="JustificationTitle"/>
        <w:rPr>
          <w:noProof w:val="0"/>
        </w:rPr>
      </w:pPr>
      <w:r>
        <w:rPr>
          <w:rStyle w:val="HideTWBExt"/>
          <w:i w:val="0"/>
          <w:noProof w:val="0"/>
        </w:rPr>
        <w:t>&lt;TitreJust&gt;</w:t>
      </w:r>
      <w:r w:rsidRPr="00B0434F">
        <w:rPr>
          <w:noProof w:val="0"/>
        </w:rPr>
        <w:t>Justification</w:t>
      </w:r>
      <w:r>
        <w:rPr>
          <w:rStyle w:val="HideTWBExt"/>
          <w:i w:val="0"/>
          <w:noProof w:val="0"/>
        </w:rPr>
        <w:t>&lt;/TitreJust&gt;</w:t>
      </w:r>
    </w:p>
    <w:p w14:paraId="51E49DCB" w14:textId="77777777" w:rsidR="00BF7ACA" w:rsidRPr="00AF1321" w:rsidRDefault="00BF7ACA" w:rsidP="00BF7ACA">
      <w:pPr>
        <w:pStyle w:val="Normal12Italic"/>
        <w:rPr>
          <w:noProof w:val="0"/>
        </w:rPr>
      </w:pPr>
      <w:r>
        <w:rPr>
          <w:noProof w:val="0"/>
        </w:rPr>
        <w:t>En 2015, la BEI a fixé l’objectif visant à consacrer 35 % de ses prêts à l’action en faveur du climat dans les pays en développement. Nous devrions nous aligner sur cette position, de manière à ce qu’au moins 35 % du financement du FEDD contribue à la lutte contre le changement climatique.</w:t>
      </w:r>
    </w:p>
    <w:p w14:paraId="4A8652DB" w14:textId="77777777" w:rsidR="00BF7ACA" w:rsidRPr="00BF7ACA" w:rsidRDefault="00BF7ACA" w:rsidP="00BF7ACA">
      <w:r w:rsidRPr="00BF7ACA">
        <w:rPr>
          <w:rStyle w:val="HideTWBExt"/>
        </w:rPr>
        <w:t>&lt;/Amend&gt;</w:t>
      </w:r>
    </w:p>
    <w:p w14:paraId="595F2E74" w14:textId="77777777"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349</w:t>
      </w:r>
      <w:r w:rsidRPr="000C3237">
        <w:rPr>
          <w:rStyle w:val="HideTWBExt"/>
          <w:b w:val="0"/>
          <w:lang w:val="en-GB"/>
        </w:rPr>
        <w:t>&lt;/NumAm&gt;</w:t>
      </w:r>
    </w:p>
    <w:p w14:paraId="3386056D" w14:textId="77777777"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Fabio Massimo Castaldo, Ignazio Corrao, Marco Valli</w:t>
      </w:r>
      <w:r w:rsidRPr="000C3237">
        <w:rPr>
          <w:rStyle w:val="HideTWBExt"/>
          <w:b w:val="0"/>
          <w:lang w:val="en-GB"/>
        </w:rPr>
        <w:t>&lt;/Members&gt;</w:t>
      </w:r>
    </w:p>
    <w:p w14:paraId="378AEA55" w14:textId="77777777" w:rsidR="00BF7ACA" w:rsidRPr="000C3237" w:rsidRDefault="00BF7ACA" w:rsidP="00BF7ACA">
      <w:pPr>
        <w:rPr>
          <w:lang w:val="en-GB"/>
        </w:rPr>
      </w:pPr>
      <w:r w:rsidRPr="000C3237">
        <w:rPr>
          <w:rStyle w:val="HideTWBExt"/>
          <w:lang w:val="en-GB"/>
        </w:rPr>
        <w:t>&lt;/RepeatBlock-By&gt;</w:t>
      </w:r>
    </w:p>
    <w:p w14:paraId="674CA082" w14:textId="77777777" w:rsidR="00BF7ACA" w:rsidRPr="000C3237" w:rsidRDefault="00BF7ACA" w:rsidP="00BF7ACA">
      <w:pPr>
        <w:pStyle w:val="NormalBold"/>
        <w:keepNext/>
        <w:rPr>
          <w:lang w:val="en-GB"/>
        </w:rPr>
      </w:pPr>
      <w:r w:rsidRPr="000C3237">
        <w:rPr>
          <w:rStyle w:val="HideTWBExt"/>
          <w:b w:val="0"/>
          <w:lang w:val="en-GB"/>
        </w:rPr>
        <w:t>&lt;DocAmend&gt;</w:t>
      </w:r>
      <w:r w:rsidRPr="000C3237">
        <w:rPr>
          <w:lang w:val="en-GB"/>
        </w:rPr>
        <w:t>Proposition de règlement</w:t>
      </w:r>
      <w:r w:rsidRPr="000C3237">
        <w:rPr>
          <w:rStyle w:val="HideTWBExt"/>
          <w:b w:val="0"/>
          <w:lang w:val="en-GB"/>
        </w:rPr>
        <w:t>&lt;/DocAmend&gt;</w:t>
      </w:r>
    </w:p>
    <w:p w14:paraId="01B68F12" w14:textId="77777777" w:rsidR="00BF7ACA" w:rsidRPr="00E502E5" w:rsidRDefault="00BF7ACA" w:rsidP="00BF7ACA">
      <w:pPr>
        <w:pStyle w:val="NormalBold"/>
      </w:pPr>
      <w:r>
        <w:rPr>
          <w:rStyle w:val="HideTWBExt"/>
          <w:b w:val="0"/>
        </w:rPr>
        <w:t>&lt;Article&gt;</w:t>
      </w:r>
      <w:r w:rsidRPr="002E43F3">
        <w:t>Article 15 – paragraphe 1 – point a</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08A48C4A" w14:textId="77777777" w:rsidTr="007924BE">
        <w:trPr>
          <w:jc w:val="center"/>
        </w:trPr>
        <w:tc>
          <w:tcPr>
            <w:tcW w:w="9752" w:type="dxa"/>
            <w:gridSpan w:val="2"/>
          </w:tcPr>
          <w:p w14:paraId="539B51F8" w14:textId="77777777" w:rsidR="00BF7ACA" w:rsidRPr="00E502E5" w:rsidRDefault="00BF7ACA" w:rsidP="007924BE">
            <w:pPr>
              <w:keepNext/>
            </w:pPr>
          </w:p>
        </w:tc>
      </w:tr>
      <w:tr w:rsidR="00BF7ACA" w:rsidRPr="00E502E5" w14:paraId="34DA7EB6" w14:textId="77777777" w:rsidTr="007924BE">
        <w:trPr>
          <w:jc w:val="center"/>
        </w:trPr>
        <w:tc>
          <w:tcPr>
            <w:tcW w:w="4876" w:type="dxa"/>
            <w:hideMark/>
          </w:tcPr>
          <w:p w14:paraId="2BA69A4C" w14:textId="77777777" w:rsidR="00BF7ACA" w:rsidRPr="002E43F3" w:rsidRDefault="00BF7ACA" w:rsidP="007924BE">
            <w:pPr>
              <w:pStyle w:val="ColumnHeading"/>
              <w:keepNext/>
            </w:pPr>
            <w:r w:rsidRPr="002E43F3">
              <w:t>Texte proposé par la Commission</w:t>
            </w:r>
          </w:p>
        </w:tc>
        <w:tc>
          <w:tcPr>
            <w:tcW w:w="4876" w:type="dxa"/>
            <w:hideMark/>
          </w:tcPr>
          <w:p w14:paraId="317A1DEB" w14:textId="77777777" w:rsidR="00BF7ACA" w:rsidRPr="002E43F3" w:rsidRDefault="00BF7ACA" w:rsidP="007924BE">
            <w:pPr>
              <w:pStyle w:val="ColumnHeading"/>
              <w:keepNext/>
            </w:pPr>
            <w:r w:rsidRPr="002E43F3">
              <w:t>Amendement</w:t>
            </w:r>
          </w:p>
        </w:tc>
      </w:tr>
      <w:tr w:rsidR="00BF7ACA" w:rsidRPr="00E502E5" w14:paraId="0F07743E" w14:textId="77777777" w:rsidTr="007924BE">
        <w:trPr>
          <w:jc w:val="center"/>
        </w:trPr>
        <w:tc>
          <w:tcPr>
            <w:tcW w:w="4876" w:type="dxa"/>
            <w:hideMark/>
          </w:tcPr>
          <w:p w14:paraId="3D3BEAC1" w14:textId="77777777" w:rsidR="00BF7ACA" w:rsidRPr="002E43F3" w:rsidRDefault="00BF7ACA" w:rsidP="007924BE">
            <w:pPr>
              <w:pStyle w:val="Normal6"/>
            </w:pPr>
            <w:r w:rsidRPr="002E43F3">
              <w:t>(a)</w:t>
            </w:r>
            <w:r>
              <w:tab/>
            </w:r>
            <w:r w:rsidRPr="002E43F3">
              <w:t>une évaluation des opérations de financement et d</w:t>
            </w:r>
            <w:r>
              <w:t>’</w:t>
            </w:r>
            <w:r w:rsidRPr="002E43F3">
              <w:t>investissement couvertes par la garantie FEDD, par opération, secteur, pays et région, et de leur conformité avec le présent règlement;</w:t>
            </w:r>
          </w:p>
        </w:tc>
        <w:tc>
          <w:tcPr>
            <w:tcW w:w="4876" w:type="dxa"/>
            <w:hideMark/>
          </w:tcPr>
          <w:p w14:paraId="3EA9B166" w14:textId="77777777" w:rsidR="00BF7ACA" w:rsidRPr="002E43F3" w:rsidRDefault="00BF7ACA" w:rsidP="007924BE">
            <w:pPr>
              <w:pStyle w:val="Normal6"/>
              <w:rPr>
                <w:szCs w:val="24"/>
              </w:rPr>
            </w:pPr>
            <w:r w:rsidRPr="002E43F3">
              <w:t>(a)</w:t>
            </w:r>
            <w:r>
              <w:tab/>
            </w:r>
            <w:r w:rsidRPr="002E43F3">
              <w:t xml:space="preserve">une évaluation </w:t>
            </w:r>
            <w:r w:rsidRPr="002E43F3">
              <w:rPr>
                <w:b/>
                <w:i/>
              </w:rPr>
              <w:t xml:space="preserve">indépendante </w:t>
            </w:r>
            <w:r w:rsidRPr="002E43F3">
              <w:t>des opérations de financement et d</w:t>
            </w:r>
            <w:r>
              <w:t>’</w:t>
            </w:r>
            <w:r w:rsidRPr="002E43F3">
              <w:t>investissement couvertes par la garantie FEDD, par opération, secteur, pays et région, et de leur conformité avec le présent règlement;</w:t>
            </w:r>
          </w:p>
        </w:tc>
      </w:tr>
    </w:tbl>
    <w:p w14:paraId="2C032E5D"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{IT}</w:t>
      </w:r>
      <w:r w:rsidRPr="00BF7ACA">
        <w:rPr>
          <w:noProof w:val="0"/>
        </w:rPr>
        <w:t>it</w:t>
      </w:r>
      <w:r w:rsidRPr="00BF7ACA">
        <w:rPr>
          <w:rStyle w:val="HideTWBExt"/>
          <w:noProof w:val="0"/>
        </w:rPr>
        <w:t>&lt;/Original&gt;</w:t>
      </w:r>
    </w:p>
    <w:p w14:paraId="11167656" w14:textId="77777777" w:rsidR="00BF7ACA" w:rsidRPr="00BF7ACA" w:rsidRDefault="00BF7ACA" w:rsidP="00BF7ACA">
      <w:r w:rsidRPr="00BF7ACA">
        <w:rPr>
          <w:rStyle w:val="HideTWBExt"/>
        </w:rPr>
        <w:t>&lt;/Amend&gt;</w:t>
      </w:r>
    </w:p>
    <w:p w14:paraId="222C8E5A"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350</w:t>
      </w:r>
      <w:r w:rsidRPr="00BF7ACA">
        <w:rPr>
          <w:rStyle w:val="HideTWBExt"/>
          <w:b w:val="0"/>
        </w:rPr>
        <w:t>&lt;/NumAm&gt;</w:t>
      </w:r>
    </w:p>
    <w:p w14:paraId="225DCC78" w14:textId="77777777"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Nedzhmi Ali, Marielle de Sarnez</w:t>
      </w:r>
      <w:r w:rsidRPr="00BF7ACA">
        <w:rPr>
          <w:rStyle w:val="HideTWBExt"/>
          <w:b w:val="0"/>
        </w:rPr>
        <w:t>&lt;/Members&gt;</w:t>
      </w:r>
    </w:p>
    <w:p w14:paraId="0379CCCC" w14:textId="77777777" w:rsidR="00BF7ACA" w:rsidRPr="00AF1321" w:rsidRDefault="00BF7ACA" w:rsidP="00BF7ACA">
      <w:r>
        <w:rPr>
          <w:rStyle w:val="HideTWBExt"/>
        </w:rPr>
        <w:t>&lt;/RepeatBlock-By&gt;</w:t>
      </w:r>
    </w:p>
    <w:p w14:paraId="72B2603C"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4022CB7E" w14:textId="77777777" w:rsidR="00BF7ACA" w:rsidRPr="00AF1321" w:rsidRDefault="00BF7ACA" w:rsidP="00BF7ACA">
      <w:pPr>
        <w:pStyle w:val="NormalBold"/>
      </w:pPr>
      <w:r>
        <w:rPr>
          <w:rStyle w:val="HideTWBExt"/>
          <w:b w:val="0"/>
        </w:rPr>
        <w:t>&lt;Article&gt;</w:t>
      </w:r>
      <w:r w:rsidRPr="00B0434F">
        <w:t>Article 15 – paragraphe 1 – point a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2B2AAFE2" w14:textId="77777777" w:rsidTr="007924BE">
        <w:trPr>
          <w:jc w:val="center"/>
        </w:trPr>
        <w:tc>
          <w:tcPr>
            <w:tcW w:w="9752" w:type="dxa"/>
            <w:gridSpan w:val="2"/>
          </w:tcPr>
          <w:p w14:paraId="11E5779E" w14:textId="77777777" w:rsidR="00BF7ACA" w:rsidRPr="00AF1321" w:rsidRDefault="00BF7ACA" w:rsidP="007924BE">
            <w:pPr>
              <w:keepNext/>
            </w:pPr>
          </w:p>
        </w:tc>
      </w:tr>
      <w:tr w:rsidR="00BF7ACA" w:rsidRPr="00AF1321" w14:paraId="6200ED1D" w14:textId="77777777" w:rsidTr="007924BE">
        <w:trPr>
          <w:jc w:val="center"/>
        </w:trPr>
        <w:tc>
          <w:tcPr>
            <w:tcW w:w="4876" w:type="dxa"/>
            <w:hideMark/>
          </w:tcPr>
          <w:p w14:paraId="1FAA2F85" w14:textId="77777777" w:rsidR="00BF7ACA" w:rsidRPr="00B0434F" w:rsidRDefault="00BF7ACA" w:rsidP="007924BE">
            <w:pPr>
              <w:pStyle w:val="ColumnHeading"/>
              <w:keepNext/>
            </w:pPr>
            <w:r w:rsidRPr="00B0434F">
              <w:t>Texte proposé par la Commission</w:t>
            </w:r>
          </w:p>
        </w:tc>
        <w:tc>
          <w:tcPr>
            <w:tcW w:w="4876" w:type="dxa"/>
            <w:hideMark/>
          </w:tcPr>
          <w:p w14:paraId="5EEDC08E" w14:textId="77777777" w:rsidR="00BF7ACA" w:rsidRPr="00B0434F" w:rsidRDefault="00BF7ACA" w:rsidP="007924BE">
            <w:pPr>
              <w:pStyle w:val="ColumnHeading"/>
              <w:keepNext/>
            </w:pPr>
            <w:r w:rsidRPr="00B0434F">
              <w:t>Amendement</w:t>
            </w:r>
          </w:p>
        </w:tc>
      </w:tr>
      <w:tr w:rsidR="00BF7ACA" w:rsidRPr="00AF1321" w14:paraId="5BA6AA5C" w14:textId="77777777" w:rsidTr="007924BE">
        <w:trPr>
          <w:jc w:val="center"/>
        </w:trPr>
        <w:tc>
          <w:tcPr>
            <w:tcW w:w="4876" w:type="dxa"/>
          </w:tcPr>
          <w:p w14:paraId="58955018" w14:textId="77777777" w:rsidR="00BF7ACA" w:rsidRPr="00B0434F" w:rsidRDefault="00BF7ACA" w:rsidP="007924BE">
            <w:pPr>
              <w:pStyle w:val="Normal6"/>
            </w:pPr>
          </w:p>
        </w:tc>
        <w:tc>
          <w:tcPr>
            <w:tcW w:w="4876" w:type="dxa"/>
            <w:hideMark/>
          </w:tcPr>
          <w:p w14:paraId="732E8B66" w14:textId="77777777" w:rsidR="00BF7ACA" w:rsidRPr="00B0434F" w:rsidRDefault="00BF7ACA" w:rsidP="007924BE">
            <w:pPr>
              <w:pStyle w:val="Normal6"/>
              <w:rPr>
                <w:szCs w:val="24"/>
              </w:rPr>
            </w:pPr>
            <w:r w:rsidRPr="00B0434F">
              <w:rPr>
                <w:b/>
                <w:i/>
              </w:rPr>
              <w:t>(a bis)</w:t>
            </w:r>
            <w:r>
              <w:tab/>
            </w:r>
            <w:r w:rsidRPr="00B0434F">
              <w:rPr>
                <w:b/>
                <w:i/>
              </w:rPr>
              <w:t>une évaluation de la contribution globale aux objectifs de développement durable fixés dans le programme de développement durable à l</w:t>
            </w:r>
            <w:r>
              <w:rPr>
                <w:b/>
                <w:i/>
              </w:rPr>
              <w:t>’</w:t>
            </w:r>
            <w:r w:rsidRPr="00B0434F">
              <w:rPr>
                <w:b/>
                <w:i/>
              </w:rPr>
              <w:t>horizon 2030 et de la mise en œuvre de l</w:t>
            </w:r>
            <w:r>
              <w:rPr>
                <w:b/>
                <w:i/>
              </w:rPr>
              <w:t>’accord de </w:t>
            </w:r>
            <w:r w:rsidRPr="00B0434F">
              <w:rPr>
                <w:b/>
                <w:i/>
              </w:rPr>
              <w:t>Paris;</w:t>
            </w:r>
          </w:p>
        </w:tc>
      </w:tr>
    </w:tbl>
    <w:p w14:paraId="23E27140"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11F7852" w14:textId="77777777" w:rsidR="00BF7ACA" w:rsidRPr="00BF7ACA" w:rsidRDefault="00BF7ACA" w:rsidP="00BF7ACA">
      <w:r w:rsidRPr="00BF7ACA">
        <w:rPr>
          <w:rStyle w:val="HideTWBExt"/>
        </w:rPr>
        <w:t>&lt;/Amend&gt;</w:t>
      </w:r>
    </w:p>
    <w:p w14:paraId="545E650C"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351</w:t>
      </w:r>
      <w:r w:rsidRPr="00BF7ACA">
        <w:rPr>
          <w:rStyle w:val="HideTWBExt"/>
          <w:b w:val="0"/>
        </w:rPr>
        <w:t>&lt;/NumAm&gt;</w:t>
      </w:r>
    </w:p>
    <w:p w14:paraId="44575E8B" w14:textId="77777777"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14:paraId="66D2C486" w14:textId="77777777" w:rsidR="00BF7ACA" w:rsidRPr="00AF1321" w:rsidRDefault="00BF7ACA" w:rsidP="00BF7ACA">
      <w:r>
        <w:rPr>
          <w:rStyle w:val="HideTWBExt"/>
        </w:rPr>
        <w:t>&lt;/RepeatBlock-By&gt;</w:t>
      </w:r>
    </w:p>
    <w:p w14:paraId="3ECA3434"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6E417B77" w14:textId="77777777" w:rsidR="00BF7ACA" w:rsidRPr="00AF1321" w:rsidRDefault="00BF7ACA" w:rsidP="00BF7ACA">
      <w:pPr>
        <w:pStyle w:val="NormalBold"/>
      </w:pPr>
      <w:r>
        <w:rPr>
          <w:rStyle w:val="HideTWBExt"/>
          <w:b w:val="0"/>
        </w:rPr>
        <w:t>&lt;Article&gt;</w:t>
      </w:r>
      <w:r w:rsidRPr="00B0434F">
        <w:t>Article 15 – paragraphe 1 – point b</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3510C020" w14:textId="77777777" w:rsidTr="007924BE">
        <w:trPr>
          <w:jc w:val="center"/>
        </w:trPr>
        <w:tc>
          <w:tcPr>
            <w:tcW w:w="9752" w:type="dxa"/>
            <w:gridSpan w:val="2"/>
          </w:tcPr>
          <w:p w14:paraId="612A767F" w14:textId="77777777" w:rsidR="00BF7ACA" w:rsidRPr="00AF1321" w:rsidRDefault="00BF7ACA" w:rsidP="007924BE">
            <w:pPr>
              <w:keepNext/>
            </w:pPr>
          </w:p>
        </w:tc>
      </w:tr>
      <w:tr w:rsidR="00BF7ACA" w:rsidRPr="00AF1321" w14:paraId="6F22EBE3" w14:textId="77777777" w:rsidTr="007924BE">
        <w:trPr>
          <w:jc w:val="center"/>
        </w:trPr>
        <w:tc>
          <w:tcPr>
            <w:tcW w:w="4876" w:type="dxa"/>
            <w:hideMark/>
          </w:tcPr>
          <w:p w14:paraId="5EA76B3B" w14:textId="77777777" w:rsidR="00BF7ACA" w:rsidRPr="00B0434F" w:rsidRDefault="00BF7ACA" w:rsidP="007924BE">
            <w:pPr>
              <w:pStyle w:val="ColumnHeading"/>
              <w:keepNext/>
            </w:pPr>
            <w:r w:rsidRPr="00B0434F">
              <w:t>Texte proposé par la Commission</w:t>
            </w:r>
          </w:p>
        </w:tc>
        <w:tc>
          <w:tcPr>
            <w:tcW w:w="4876" w:type="dxa"/>
            <w:hideMark/>
          </w:tcPr>
          <w:p w14:paraId="57C9ADF1" w14:textId="77777777" w:rsidR="00BF7ACA" w:rsidRPr="00B0434F" w:rsidRDefault="00BF7ACA" w:rsidP="007924BE">
            <w:pPr>
              <w:pStyle w:val="ColumnHeading"/>
              <w:keepNext/>
            </w:pPr>
            <w:r w:rsidRPr="00B0434F">
              <w:t>Amendement</w:t>
            </w:r>
          </w:p>
        </w:tc>
      </w:tr>
      <w:tr w:rsidR="00BF7ACA" w:rsidRPr="00AF1321" w14:paraId="617F47D6" w14:textId="77777777" w:rsidTr="007924BE">
        <w:trPr>
          <w:jc w:val="center"/>
        </w:trPr>
        <w:tc>
          <w:tcPr>
            <w:tcW w:w="4876" w:type="dxa"/>
            <w:hideMark/>
          </w:tcPr>
          <w:p w14:paraId="29C04E8A" w14:textId="77777777" w:rsidR="00BF7ACA" w:rsidRPr="00B0434F" w:rsidRDefault="00BF7ACA" w:rsidP="007924BE">
            <w:pPr>
              <w:pStyle w:val="Normal6"/>
            </w:pPr>
            <w:r w:rsidRPr="00B0434F">
              <w:t>(b)</w:t>
            </w:r>
            <w:r>
              <w:tab/>
            </w:r>
            <w:r w:rsidRPr="00B0434F">
              <w:t>une évaluation, sous forme agrégée, de la valeur ajoutée des opérations de financement et d</w:t>
            </w:r>
            <w:r>
              <w:t>’</w:t>
            </w:r>
            <w:r w:rsidRPr="00B0434F">
              <w:t>investissement couvertes par la garantie FEDD, de la mobilisation de ressources privées ainsi que des réalisations estimatives et effectives qu</w:t>
            </w:r>
            <w:r>
              <w:t>’</w:t>
            </w:r>
            <w:r w:rsidRPr="00B0434F">
              <w:t>elles ont permises, de leurs résultats et de leur impact</w:t>
            </w:r>
            <w:r w:rsidRPr="00B0434F">
              <w:rPr>
                <w:b/>
                <w:i/>
              </w:rPr>
              <w:t>, y compris sur la création d</w:t>
            </w:r>
            <w:r>
              <w:rPr>
                <w:b/>
                <w:i/>
              </w:rPr>
              <w:t>’</w:t>
            </w:r>
            <w:r w:rsidRPr="00B0434F">
              <w:rPr>
                <w:b/>
                <w:i/>
              </w:rPr>
              <w:t>emplois</w:t>
            </w:r>
            <w:r w:rsidRPr="00B0434F">
              <w:t>;</w:t>
            </w:r>
          </w:p>
        </w:tc>
        <w:tc>
          <w:tcPr>
            <w:tcW w:w="4876" w:type="dxa"/>
            <w:hideMark/>
          </w:tcPr>
          <w:p w14:paraId="5191CD56" w14:textId="77777777" w:rsidR="00BF7ACA" w:rsidRPr="00B0434F" w:rsidRDefault="00BF7ACA" w:rsidP="007924BE">
            <w:pPr>
              <w:pStyle w:val="Normal6"/>
              <w:rPr>
                <w:szCs w:val="24"/>
              </w:rPr>
            </w:pPr>
            <w:r w:rsidRPr="00B0434F">
              <w:t>(b)</w:t>
            </w:r>
            <w:r>
              <w:tab/>
            </w:r>
            <w:r w:rsidRPr="00B0434F">
              <w:t>une évaluation, sous forme agrégée, de la valeur ajoutée des opérations de financement et d</w:t>
            </w:r>
            <w:r>
              <w:t>’</w:t>
            </w:r>
            <w:r w:rsidRPr="00B0434F">
              <w:t>investissement couvertes par la garantie FEDD, de la mobilisation de ressources privées ainsi que des réalisations estimatives et effectives qu</w:t>
            </w:r>
            <w:r>
              <w:t>’</w:t>
            </w:r>
            <w:r w:rsidRPr="00B0434F">
              <w:t>elles ont permises, de leurs résultats et de leur impact</w:t>
            </w:r>
            <w:r w:rsidRPr="00B0434F">
              <w:rPr>
                <w:b/>
                <w:i/>
              </w:rPr>
              <w:t>, au moyen d</w:t>
            </w:r>
            <w:r>
              <w:rPr>
                <w:b/>
                <w:i/>
              </w:rPr>
              <w:t>’</w:t>
            </w:r>
            <w:r w:rsidRPr="00B0434F">
              <w:rPr>
                <w:b/>
                <w:i/>
              </w:rPr>
              <w:t>une évaluation de l</w:t>
            </w:r>
            <w:r>
              <w:rPr>
                <w:b/>
                <w:i/>
              </w:rPr>
              <w:t>’</w:t>
            </w:r>
            <w:r w:rsidRPr="00B0434F">
              <w:rPr>
                <w:b/>
                <w:i/>
              </w:rPr>
              <w:t>impact et des réalisations effectuée selon un tableau de bord d</w:t>
            </w:r>
            <w:r>
              <w:rPr>
                <w:b/>
                <w:i/>
              </w:rPr>
              <w:t>’</w:t>
            </w:r>
            <w:r w:rsidRPr="00B0434F">
              <w:rPr>
                <w:b/>
                <w:i/>
              </w:rPr>
              <w:t>indicateurs prédéfini visant à mesurer le taux de réalisation des objectifs du FEED, en tenant compte des indicateurs relatifs aux objectifs de développement durable et des mécanismes</w:t>
            </w:r>
            <w:r>
              <w:rPr>
                <w:b/>
                <w:i/>
              </w:rPr>
              <w:t xml:space="preserve"> utilisés en vue de mesurer ces </w:t>
            </w:r>
            <w:r w:rsidRPr="00B0434F">
              <w:rPr>
                <w:b/>
                <w:i/>
              </w:rPr>
              <w:t>derniers</w:t>
            </w:r>
            <w:r w:rsidRPr="00B0434F">
              <w:t>;</w:t>
            </w:r>
          </w:p>
        </w:tc>
      </w:tr>
    </w:tbl>
    <w:p w14:paraId="6AF3D6A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77E8C73" w14:textId="77777777" w:rsidR="00BF7ACA" w:rsidRPr="00BF7ACA" w:rsidRDefault="00BF7ACA" w:rsidP="00BF7ACA">
      <w:r w:rsidRPr="00BF7ACA">
        <w:rPr>
          <w:rStyle w:val="HideTWBExt"/>
        </w:rPr>
        <w:t>&lt;/Amend&gt;</w:t>
      </w:r>
    </w:p>
    <w:p w14:paraId="5C5685CC"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352</w:t>
      </w:r>
      <w:r w:rsidRPr="00BF7ACA">
        <w:rPr>
          <w:rStyle w:val="HideTWBExt"/>
          <w:b w:val="0"/>
        </w:rPr>
        <w:t>&lt;/NumAm&gt;</w:t>
      </w:r>
    </w:p>
    <w:p w14:paraId="7E57C856" w14:textId="77777777"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14:paraId="08AD81EF" w14:textId="77777777" w:rsidR="00BF7ACA" w:rsidRPr="00AF1321" w:rsidRDefault="00BF7ACA" w:rsidP="00BF7ACA">
      <w:r>
        <w:rPr>
          <w:rStyle w:val="HideTWBExt"/>
        </w:rPr>
        <w:t>&lt;/RepeatBlock-By&gt;</w:t>
      </w:r>
    </w:p>
    <w:p w14:paraId="035E5684"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5529AB44" w14:textId="77777777" w:rsidR="00BF7ACA" w:rsidRPr="00AF1321" w:rsidRDefault="00BF7ACA" w:rsidP="00BF7ACA">
      <w:pPr>
        <w:pStyle w:val="NormalBold"/>
      </w:pPr>
      <w:r>
        <w:rPr>
          <w:rStyle w:val="HideTWBExt"/>
          <w:b w:val="0"/>
        </w:rPr>
        <w:t>&lt;Article&gt;</w:t>
      </w:r>
      <w:r w:rsidRPr="00B0434F">
        <w:t>Article 15 – paragraphe 1 – point b</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16932CE9" w14:textId="77777777" w:rsidTr="007924BE">
        <w:trPr>
          <w:jc w:val="center"/>
        </w:trPr>
        <w:tc>
          <w:tcPr>
            <w:tcW w:w="9752" w:type="dxa"/>
            <w:gridSpan w:val="2"/>
          </w:tcPr>
          <w:p w14:paraId="3A9C3B13" w14:textId="77777777" w:rsidR="00BF7ACA" w:rsidRPr="00AF1321" w:rsidRDefault="00BF7ACA" w:rsidP="007924BE">
            <w:pPr>
              <w:keepNext/>
            </w:pPr>
          </w:p>
        </w:tc>
      </w:tr>
      <w:tr w:rsidR="00BF7ACA" w:rsidRPr="00AF1321" w14:paraId="5C6E0286" w14:textId="77777777" w:rsidTr="007924BE">
        <w:trPr>
          <w:jc w:val="center"/>
        </w:trPr>
        <w:tc>
          <w:tcPr>
            <w:tcW w:w="4876" w:type="dxa"/>
            <w:hideMark/>
          </w:tcPr>
          <w:p w14:paraId="272E946D" w14:textId="77777777" w:rsidR="00BF7ACA" w:rsidRPr="00B0434F" w:rsidRDefault="00BF7ACA" w:rsidP="007924BE">
            <w:pPr>
              <w:pStyle w:val="ColumnHeading"/>
              <w:keepNext/>
            </w:pPr>
            <w:r w:rsidRPr="00B0434F">
              <w:t>Texte proposé par la Commission</w:t>
            </w:r>
          </w:p>
        </w:tc>
        <w:tc>
          <w:tcPr>
            <w:tcW w:w="4876" w:type="dxa"/>
            <w:hideMark/>
          </w:tcPr>
          <w:p w14:paraId="4100F2C3" w14:textId="77777777" w:rsidR="00BF7ACA" w:rsidRPr="00B0434F" w:rsidRDefault="00BF7ACA" w:rsidP="007924BE">
            <w:pPr>
              <w:pStyle w:val="ColumnHeading"/>
              <w:keepNext/>
            </w:pPr>
            <w:r w:rsidRPr="00B0434F">
              <w:t>Amendement</w:t>
            </w:r>
          </w:p>
        </w:tc>
      </w:tr>
      <w:tr w:rsidR="00BF7ACA" w:rsidRPr="00AF1321" w14:paraId="7E658AD0" w14:textId="77777777" w:rsidTr="007924BE">
        <w:trPr>
          <w:jc w:val="center"/>
        </w:trPr>
        <w:tc>
          <w:tcPr>
            <w:tcW w:w="4876" w:type="dxa"/>
            <w:hideMark/>
          </w:tcPr>
          <w:p w14:paraId="0363A6CD" w14:textId="77777777" w:rsidR="00BF7ACA" w:rsidRPr="00B0434F" w:rsidRDefault="00BF7ACA" w:rsidP="007924BE">
            <w:pPr>
              <w:pStyle w:val="Normal6"/>
            </w:pPr>
            <w:r w:rsidRPr="00B0434F">
              <w:t>(b)</w:t>
            </w:r>
            <w:r>
              <w:tab/>
            </w:r>
            <w:r w:rsidRPr="00B0434F">
              <w:t>une évaluation, sous forme agrégée, de la valeur ajoutée des opérations de financement et d</w:t>
            </w:r>
            <w:r>
              <w:t>’</w:t>
            </w:r>
            <w:r w:rsidRPr="00B0434F">
              <w:t>investissement couvertes par la garantie FEDD, de la mobilisation de ressources privées ainsi que des réalisations estimatives et effectives qu</w:t>
            </w:r>
            <w:r>
              <w:t>’</w:t>
            </w:r>
            <w:r w:rsidRPr="00B0434F">
              <w:t>elles ont permises, de leurs résultats et de leur impact, y compris sur la création d</w:t>
            </w:r>
            <w:r>
              <w:t>’</w:t>
            </w:r>
            <w:r w:rsidRPr="00B0434F">
              <w:t>emplois;</w:t>
            </w:r>
          </w:p>
        </w:tc>
        <w:tc>
          <w:tcPr>
            <w:tcW w:w="4876" w:type="dxa"/>
            <w:hideMark/>
          </w:tcPr>
          <w:p w14:paraId="2102AAF7" w14:textId="77777777" w:rsidR="00BF7ACA" w:rsidRPr="00B0434F" w:rsidRDefault="00BF7ACA" w:rsidP="007924BE">
            <w:pPr>
              <w:pStyle w:val="Normal6"/>
              <w:rPr>
                <w:szCs w:val="24"/>
              </w:rPr>
            </w:pPr>
            <w:r w:rsidRPr="00B0434F">
              <w:t>(b)</w:t>
            </w:r>
            <w:r>
              <w:tab/>
            </w:r>
            <w:r w:rsidRPr="00B0434F">
              <w:t xml:space="preserve">une évaluation, sous forme agrégée, </w:t>
            </w:r>
            <w:r w:rsidRPr="00B0434F">
              <w:rPr>
                <w:b/>
                <w:i/>
              </w:rPr>
              <w:t>de l</w:t>
            </w:r>
            <w:r>
              <w:rPr>
                <w:b/>
                <w:i/>
              </w:rPr>
              <w:t>’</w:t>
            </w:r>
            <w:r w:rsidRPr="00B0434F">
              <w:rPr>
                <w:b/>
                <w:i/>
              </w:rPr>
              <w:t>additionnalité</w:t>
            </w:r>
            <w:r w:rsidRPr="00B0434F">
              <w:t xml:space="preserve"> </w:t>
            </w:r>
            <w:r w:rsidRPr="00B0434F">
              <w:rPr>
                <w:b/>
                <w:i/>
              </w:rPr>
              <w:t>et</w:t>
            </w:r>
            <w:r w:rsidRPr="00B0434F">
              <w:t xml:space="preserve"> de la valeur ajoutée des opérations de financement et d</w:t>
            </w:r>
            <w:r>
              <w:t>’</w:t>
            </w:r>
            <w:r w:rsidRPr="00B0434F">
              <w:t>investissement couvertes par la garantie FEDD, de la mobilisation de ressources privées ainsi que des réalisations estimatives et effectives qu</w:t>
            </w:r>
            <w:r>
              <w:t>’</w:t>
            </w:r>
            <w:r w:rsidRPr="00B0434F">
              <w:t>elles ont permises, de leurs résultats et de leur impact, y compris sur la création d</w:t>
            </w:r>
            <w:r>
              <w:t>’</w:t>
            </w:r>
            <w:r w:rsidRPr="00B0434F">
              <w:t xml:space="preserve">emplois </w:t>
            </w:r>
            <w:r w:rsidRPr="00B0434F">
              <w:rPr>
                <w:b/>
                <w:i/>
              </w:rPr>
              <w:t>décents, sur le changement climatique, sur l</w:t>
            </w:r>
            <w:r>
              <w:rPr>
                <w:b/>
                <w:i/>
              </w:rPr>
              <w:t>’</w:t>
            </w:r>
            <w:r w:rsidRPr="00B0434F">
              <w:rPr>
                <w:b/>
                <w:i/>
              </w:rPr>
              <w:t>éradication de la pauvreté et sur la manière de lutter contre les causes profondes de la migration</w:t>
            </w:r>
            <w:r w:rsidRPr="00B0434F">
              <w:t>;</w:t>
            </w:r>
          </w:p>
        </w:tc>
      </w:tr>
    </w:tbl>
    <w:p w14:paraId="188B398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02B0CDF" w14:textId="77777777" w:rsidR="00BF7ACA" w:rsidRPr="00BF7ACA" w:rsidRDefault="00BF7ACA" w:rsidP="00BF7ACA">
      <w:r w:rsidRPr="00BF7ACA">
        <w:rPr>
          <w:rStyle w:val="HideTWBExt"/>
        </w:rPr>
        <w:t>&lt;/Amend&gt;</w:t>
      </w:r>
    </w:p>
    <w:p w14:paraId="0C8F791D"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353</w:t>
      </w:r>
      <w:r w:rsidRPr="00BF7ACA">
        <w:rPr>
          <w:rStyle w:val="HideTWBExt"/>
          <w:b w:val="0"/>
        </w:rPr>
        <w:t>&lt;/NumAm&gt;</w:t>
      </w:r>
    </w:p>
    <w:p w14:paraId="77260820"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0912B57B" w14:textId="77777777" w:rsidR="00BF7ACA" w:rsidRPr="00AF1321" w:rsidRDefault="00BF7ACA" w:rsidP="00BF7ACA">
      <w:r>
        <w:rPr>
          <w:rStyle w:val="HideTWBExt"/>
        </w:rPr>
        <w:t>&lt;/RepeatBlock-By&gt;</w:t>
      </w:r>
    </w:p>
    <w:p w14:paraId="2DC8DAEB"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0D833BCC" w14:textId="77777777" w:rsidR="00BF7ACA" w:rsidRPr="00AF1321" w:rsidRDefault="00BF7ACA" w:rsidP="00BF7ACA">
      <w:pPr>
        <w:pStyle w:val="NormalBold"/>
      </w:pPr>
      <w:r>
        <w:rPr>
          <w:rStyle w:val="HideTWBExt"/>
          <w:b w:val="0"/>
        </w:rPr>
        <w:t>&lt;Article&gt;</w:t>
      </w:r>
      <w:r w:rsidRPr="00B0434F">
        <w:t>Article 15 – paragraphe 1 – point 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68923D18" w14:textId="77777777" w:rsidTr="007924BE">
        <w:trPr>
          <w:jc w:val="center"/>
        </w:trPr>
        <w:tc>
          <w:tcPr>
            <w:tcW w:w="9752" w:type="dxa"/>
            <w:gridSpan w:val="2"/>
          </w:tcPr>
          <w:p w14:paraId="7E99AD17" w14:textId="77777777" w:rsidR="00BF7ACA" w:rsidRPr="00AF1321" w:rsidRDefault="00BF7ACA" w:rsidP="007924BE">
            <w:pPr>
              <w:keepNext/>
            </w:pPr>
          </w:p>
        </w:tc>
      </w:tr>
      <w:tr w:rsidR="00BF7ACA" w:rsidRPr="00AF1321" w14:paraId="06F1CA0B" w14:textId="77777777" w:rsidTr="007924BE">
        <w:trPr>
          <w:jc w:val="center"/>
        </w:trPr>
        <w:tc>
          <w:tcPr>
            <w:tcW w:w="4876" w:type="dxa"/>
            <w:hideMark/>
          </w:tcPr>
          <w:p w14:paraId="4D3EB7BB" w14:textId="77777777" w:rsidR="00BF7ACA" w:rsidRPr="00B0434F" w:rsidRDefault="00BF7ACA" w:rsidP="007924BE">
            <w:pPr>
              <w:pStyle w:val="ColumnHeading"/>
              <w:keepNext/>
            </w:pPr>
            <w:r w:rsidRPr="00B0434F">
              <w:t>Texte proposé par la Commission</w:t>
            </w:r>
          </w:p>
        </w:tc>
        <w:tc>
          <w:tcPr>
            <w:tcW w:w="4876" w:type="dxa"/>
            <w:hideMark/>
          </w:tcPr>
          <w:p w14:paraId="7A1B5DFE" w14:textId="77777777" w:rsidR="00BF7ACA" w:rsidRPr="00B0434F" w:rsidRDefault="00BF7ACA" w:rsidP="007924BE">
            <w:pPr>
              <w:pStyle w:val="ColumnHeading"/>
              <w:keepNext/>
            </w:pPr>
            <w:r w:rsidRPr="00B0434F">
              <w:t>Amendement</w:t>
            </w:r>
          </w:p>
        </w:tc>
      </w:tr>
      <w:tr w:rsidR="00BF7ACA" w:rsidRPr="00AF1321" w14:paraId="2939AB1B" w14:textId="77777777" w:rsidTr="007924BE">
        <w:trPr>
          <w:jc w:val="center"/>
        </w:trPr>
        <w:tc>
          <w:tcPr>
            <w:tcW w:w="4876" w:type="dxa"/>
            <w:hideMark/>
          </w:tcPr>
          <w:p w14:paraId="04E0C9B6" w14:textId="77777777" w:rsidR="00BF7ACA" w:rsidRPr="00B0434F" w:rsidRDefault="00BF7ACA" w:rsidP="007924BE">
            <w:pPr>
              <w:pStyle w:val="Normal6"/>
            </w:pPr>
            <w:r w:rsidRPr="00B0434F">
              <w:t>(e)</w:t>
            </w:r>
            <w:r>
              <w:tab/>
            </w:r>
            <w:r w:rsidRPr="00B0434F">
              <w:t>le montant financier transféré aux bénéficiaires et une évaluation des opérations de financement et d</w:t>
            </w:r>
            <w:r>
              <w:t>’</w:t>
            </w:r>
            <w:r w:rsidRPr="00B0434F">
              <w:t>investissement, pour chaque contrepartie, sous forme agrégée;</w:t>
            </w:r>
          </w:p>
        </w:tc>
        <w:tc>
          <w:tcPr>
            <w:tcW w:w="4876" w:type="dxa"/>
            <w:hideMark/>
          </w:tcPr>
          <w:p w14:paraId="3EA70A0F" w14:textId="77777777" w:rsidR="00BF7ACA" w:rsidRPr="00B0434F" w:rsidRDefault="00BF7ACA" w:rsidP="007924BE">
            <w:pPr>
              <w:pStyle w:val="Normal6"/>
              <w:rPr>
                <w:szCs w:val="24"/>
              </w:rPr>
            </w:pPr>
            <w:r w:rsidRPr="00B0434F">
              <w:t>(e)</w:t>
            </w:r>
            <w:r>
              <w:tab/>
            </w:r>
            <w:r w:rsidRPr="00B0434F">
              <w:t>le montant financier transféré aux bénéficiaires et une évaluation des opérations de financement et d</w:t>
            </w:r>
            <w:r>
              <w:t>’</w:t>
            </w:r>
            <w:r w:rsidRPr="00B0434F">
              <w:t>investissement, pour chaque contrepartie, sous forme agrégée</w:t>
            </w:r>
            <w:r w:rsidRPr="00B0434F">
              <w:rPr>
                <w:b/>
                <w:i/>
              </w:rPr>
              <w:t>, y compris une analyse selon le genre des opérations couvertes qui s</w:t>
            </w:r>
            <w:r>
              <w:rPr>
                <w:b/>
                <w:i/>
              </w:rPr>
              <w:t>’</w:t>
            </w:r>
            <w:r w:rsidRPr="00B0434F">
              <w:rPr>
                <w:b/>
                <w:i/>
              </w:rPr>
              <w:t>appuie sur des preuves et sur des données ventilées par sexe</w:t>
            </w:r>
            <w:r w:rsidRPr="00B0434F">
              <w:t>;</w:t>
            </w:r>
          </w:p>
        </w:tc>
      </w:tr>
    </w:tbl>
    <w:p w14:paraId="2465F37E"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63AE397" w14:textId="77777777" w:rsidR="00BF7ACA" w:rsidRPr="00BF7ACA" w:rsidRDefault="00BF7ACA" w:rsidP="00BF7ACA">
      <w:r w:rsidRPr="00BF7ACA">
        <w:rPr>
          <w:rStyle w:val="HideTWBExt"/>
        </w:rPr>
        <w:t>&lt;/Amend&gt;</w:t>
      </w:r>
    </w:p>
    <w:p w14:paraId="45DC59E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354</w:t>
      </w:r>
      <w:r w:rsidRPr="00BF7ACA">
        <w:rPr>
          <w:rStyle w:val="HideTWBExt"/>
          <w:b w:val="0"/>
        </w:rPr>
        <w:t>&lt;/NumAm&gt;</w:t>
      </w:r>
    </w:p>
    <w:p w14:paraId="3171F179" w14:textId="77777777"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14:paraId="7B4980C7" w14:textId="77777777" w:rsidR="00BF7ACA" w:rsidRPr="00AF1321" w:rsidRDefault="00BF7ACA" w:rsidP="00BF7ACA">
      <w:r>
        <w:rPr>
          <w:rStyle w:val="HideTWBExt"/>
        </w:rPr>
        <w:t>&lt;/RepeatBlock-By&gt;</w:t>
      </w:r>
    </w:p>
    <w:p w14:paraId="4DDE399E"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61554ED1" w14:textId="77777777" w:rsidR="00BF7ACA" w:rsidRPr="00AF1321" w:rsidRDefault="00BF7ACA" w:rsidP="00BF7ACA">
      <w:pPr>
        <w:pStyle w:val="NormalBold"/>
      </w:pPr>
      <w:r>
        <w:rPr>
          <w:rStyle w:val="HideTWBExt"/>
          <w:b w:val="0"/>
        </w:rPr>
        <w:t>&lt;Article&gt;</w:t>
      </w:r>
      <w:r w:rsidRPr="00B0434F">
        <w:t>Article 15 – paragraphe 1 – point f</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25F376A8" w14:textId="77777777" w:rsidTr="007924BE">
        <w:trPr>
          <w:jc w:val="center"/>
        </w:trPr>
        <w:tc>
          <w:tcPr>
            <w:tcW w:w="9752" w:type="dxa"/>
            <w:gridSpan w:val="2"/>
          </w:tcPr>
          <w:p w14:paraId="20BDA1C3" w14:textId="77777777" w:rsidR="00BF7ACA" w:rsidRPr="00AF1321" w:rsidRDefault="00BF7ACA" w:rsidP="007924BE">
            <w:pPr>
              <w:keepNext/>
            </w:pPr>
          </w:p>
        </w:tc>
      </w:tr>
      <w:tr w:rsidR="00BF7ACA" w:rsidRPr="00AF1321" w14:paraId="23085647" w14:textId="77777777" w:rsidTr="007924BE">
        <w:trPr>
          <w:jc w:val="center"/>
        </w:trPr>
        <w:tc>
          <w:tcPr>
            <w:tcW w:w="4876" w:type="dxa"/>
            <w:hideMark/>
          </w:tcPr>
          <w:p w14:paraId="081BC315" w14:textId="77777777" w:rsidR="00BF7ACA" w:rsidRPr="00B0434F" w:rsidRDefault="00BF7ACA" w:rsidP="007924BE">
            <w:pPr>
              <w:pStyle w:val="ColumnHeading"/>
              <w:keepNext/>
            </w:pPr>
            <w:r w:rsidRPr="00B0434F">
              <w:t>Texte proposé par la Commission</w:t>
            </w:r>
          </w:p>
        </w:tc>
        <w:tc>
          <w:tcPr>
            <w:tcW w:w="4876" w:type="dxa"/>
            <w:hideMark/>
          </w:tcPr>
          <w:p w14:paraId="2C17AB03" w14:textId="77777777" w:rsidR="00BF7ACA" w:rsidRPr="00B0434F" w:rsidRDefault="00BF7ACA" w:rsidP="007924BE">
            <w:pPr>
              <w:pStyle w:val="ColumnHeading"/>
              <w:keepNext/>
            </w:pPr>
            <w:r w:rsidRPr="00B0434F">
              <w:t>Amendement</w:t>
            </w:r>
          </w:p>
        </w:tc>
      </w:tr>
      <w:tr w:rsidR="00BF7ACA" w:rsidRPr="00AF1321" w14:paraId="7DACBCA5" w14:textId="77777777" w:rsidTr="007924BE">
        <w:trPr>
          <w:jc w:val="center"/>
        </w:trPr>
        <w:tc>
          <w:tcPr>
            <w:tcW w:w="4876" w:type="dxa"/>
            <w:hideMark/>
          </w:tcPr>
          <w:p w14:paraId="11E2A083" w14:textId="77777777" w:rsidR="00BF7ACA" w:rsidRPr="00B0434F" w:rsidRDefault="00BF7ACA" w:rsidP="007924BE">
            <w:pPr>
              <w:pStyle w:val="Normal6"/>
            </w:pPr>
            <w:r w:rsidRPr="00B0434F">
              <w:t>(f)</w:t>
            </w:r>
            <w:r>
              <w:tab/>
            </w:r>
            <w:r w:rsidRPr="00B0434F">
              <w:t>une évaluation de la valeur ajoutée des opérations de financement et d</w:t>
            </w:r>
            <w:r>
              <w:t>’</w:t>
            </w:r>
            <w:r w:rsidRPr="00B0434F">
              <w:t>investissement des contreparties éligibles et du risque total lié à ces opérations;</w:t>
            </w:r>
          </w:p>
        </w:tc>
        <w:tc>
          <w:tcPr>
            <w:tcW w:w="4876" w:type="dxa"/>
            <w:hideMark/>
          </w:tcPr>
          <w:p w14:paraId="3E347657" w14:textId="77777777" w:rsidR="00BF7ACA" w:rsidRPr="00B0434F" w:rsidRDefault="00BF7ACA" w:rsidP="007924BE">
            <w:pPr>
              <w:pStyle w:val="Normal6"/>
              <w:rPr>
                <w:szCs w:val="24"/>
              </w:rPr>
            </w:pPr>
            <w:r w:rsidRPr="00B0434F">
              <w:t>(f)</w:t>
            </w:r>
            <w:r>
              <w:tab/>
            </w:r>
            <w:r w:rsidRPr="00B0434F">
              <w:t xml:space="preserve">une évaluation </w:t>
            </w:r>
            <w:r w:rsidRPr="00B0434F">
              <w:rPr>
                <w:b/>
                <w:i/>
              </w:rPr>
              <w:t>de l</w:t>
            </w:r>
            <w:r>
              <w:rPr>
                <w:b/>
                <w:i/>
              </w:rPr>
              <w:t>’</w:t>
            </w:r>
            <w:r w:rsidRPr="00B0434F">
              <w:rPr>
                <w:b/>
                <w:i/>
              </w:rPr>
              <w:t>additionnalité</w:t>
            </w:r>
            <w:r w:rsidRPr="00B0434F">
              <w:t xml:space="preserve"> </w:t>
            </w:r>
            <w:r w:rsidRPr="00B0434F">
              <w:rPr>
                <w:b/>
                <w:i/>
              </w:rPr>
              <w:t>et</w:t>
            </w:r>
            <w:r w:rsidRPr="00B0434F">
              <w:t xml:space="preserve"> de la valeur ajoutée des opérations de financement et d</w:t>
            </w:r>
            <w:r>
              <w:t>’</w:t>
            </w:r>
            <w:r w:rsidRPr="00B0434F">
              <w:t>investissement des contreparties éligibles et du risque total lié à ces opérations;</w:t>
            </w:r>
          </w:p>
        </w:tc>
      </w:tr>
    </w:tbl>
    <w:p w14:paraId="66CE0C5C"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9BD2088" w14:textId="77777777" w:rsidR="00BF7ACA" w:rsidRPr="00BF7ACA" w:rsidRDefault="00BF7ACA" w:rsidP="00BF7ACA">
      <w:r w:rsidRPr="00BF7ACA">
        <w:rPr>
          <w:rStyle w:val="HideTWBExt"/>
        </w:rPr>
        <w:t>&lt;/Amend&gt;</w:t>
      </w:r>
    </w:p>
    <w:p w14:paraId="2F69EA6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355</w:t>
      </w:r>
      <w:r w:rsidRPr="00BF7ACA">
        <w:rPr>
          <w:rStyle w:val="HideTWBExt"/>
          <w:b w:val="0"/>
        </w:rPr>
        <w:t>&lt;/NumAm&gt;</w:t>
      </w:r>
    </w:p>
    <w:p w14:paraId="0D51ACDD" w14:textId="77777777" w:rsidR="00BF7ACA" w:rsidRPr="00BF7ACA" w:rsidRDefault="00BF7ACA" w:rsidP="00BF7ACA">
      <w:pPr>
        <w:pStyle w:val="NormalBold"/>
      </w:pPr>
      <w:r w:rsidRPr="00BF7ACA">
        <w:rPr>
          <w:rStyle w:val="HideTWBExt"/>
          <w:b w:val="0"/>
        </w:rPr>
        <w:t>&lt;RepeatBlock-By&gt;&lt;Members&gt;</w:t>
      </w:r>
      <w:r w:rsidRPr="00BF7ACA">
        <w:t>Fabio Massimo Castaldo, Ignazio Corrao, Marco Valli</w:t>
      </w:r>
      <w:r w:rsidRPr="00BF7ACA">
        <w:rPr>
          <w:rStyle w:val="HideTWBExt"/>
          <w:b w:val="0"/>
        </w:rPr>
        <w:t>&lt;/Members&gt;</w:t>
      </w:r>
    </w:p>
    <w:p w14:paraId="1161460C" w14:textId="77777777" w:rsidR="00BF7ACA" w:rsidRPr="00BF7ACA" w:rsidRDefault="00BF7ACA" w:rsidP="00BF7ACA">
      <w:r w:rsidRPr="00BF7ACA">
        <w:rPr>
          <w:rStyle w:val="HideTWBExt"/>
        </w:rPr>
        <w:t>&lt;/RepeatBlock-By&gt;</w:t>
      </w:r>
    </w:p>
    <w:p w14:paraId="5BC8F0D5" w14:textId="77777777" w:rsidR="00BF7ACA" w:rsidRPr="00BF7ACA" w:rsidRDefault="00BF7ACA" w:rsidP="00BF7ACA">
      <w:pPr>
        <w:pStyle w:val="NormalBold"/>
        <w:keepNext/>
      </w:pPr>
      <w:r w:rsidRPr="00BF7ACA">
        <w:rPr>
          <w:rStyle w:val="HideTWBExt"/>
          <w:b w:val="0"/>
        </w:rPr>
        <w:t>&lt;DocAmend&gt;</w:t>
      </w:r>
      <w:r w:rsidRPr="00BF7ACA">
        <w:t>Proposition de règlement</w:t>
      </w:r>
      <w:r w:rsidRPr="00BF7ACA">
        <w:rPr>
          <w:rStyle w:val="HideTWBExt"/>
          <w:b w:val="0"/>
        </w:rPr>
        <w:t>&lt;/DocAmend&gt;</w:t>
      </w:r>
    </w:p>
    <w:p w14:paraId="46CBF73E" w14:textId="77777777" w:rsidR="00BF7ACA" w:rsidRPr="00E502E5" w:rsidRDefault="00BF7ACA" w:rsidP="00BF7ACA">
      <w:pPr>
        <w:pStyle w:val="NormalBold"/>
      </w:pPr>
      <w:r>
        <w:rPr>
          <w:rStyle w:val="HideTWBExt"/>
          <w:b w:val="0"/>
        </w:rPr>
        <w:t>&lt;Article&gt;</w:t>
      </w:r>
      <w:r w:rsidRPr="002E43F3">
        <w:t>Article 15 – paragraphe 1 – point f</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2E3798E4" w14:textId="77777777" w:rsidTr="007924BE">
        <w:trPr>
          <w:jc w:val="center"/>
        </w:trPr>
        <w:tc>
          <w:tcPr>
            <w:tcW w:w="9752" w:type="dxa"/>
            <w:gridSpan w:val="2"/>
          </w:tcPr>
          <w:p w14:paraId="19D8D387" w14:textId="77777777" w:rsidR="00BF7ACA" w:rsidRPr="00E502E5" w:rsidRDefault="00BF7ACA" w:rsidP="007924BE">
            <w:pPr>
              <w:keepNext/>
            </w:pPr>
          </w:p>
        </w:tc>
      </w:tr>
      <w:tr w:rsidR="00BF7ACA" w:rsidRPr="00E502E5" w14:paraId="371C2853" w14:textId="77777777" w:rsidTr="007924BE">
        <w:trPr>
          <w:jc w:val="center"/>
        </w:trPr>
        <w:tc>
          <w:tcPr>
            <w:tcW w:w="4876" w:type="dxa"/>
            <w:hideMark/>
          </w:tcPr>
          <w:p w14:paraId="25F13B2C" w14:textId="77777777" w:rsidR="00BF7ACA" w:rsidRPr="002E43F3" w:rsidRDefault="00BF7ACA" w:rsidP="007924BE">
            <w:pPr>
              <w:pStyle w:val="ColumnHeading"/>
              <w:keepNext/>
            </w:pPr>
            <w:r w:rsidRPr="002E43F3">
              <w:t>Texte proposé par la Commission</w:t>
            </w:r>
          </w:p>
        </w:tc>
        <w:tc>
          <w:tcPr>
            <w:tcW w:w="4876" w:type="dxa"/>
            <w:hideMark/>
          </w:tcPr>
          <w:p w14:paraId="3277C061" w14:textId="77777777" w:rsidR="00BF7ACA" w:rsidRPr="002E43F3" w:rsidRDefault="00BF7ACA" w:rsidP="007924BE">
            <w:pPr>
              <w:pStyle w:val="ColumnHeading"/>
              <w:keepNext/>
            </w:pPr>
            <w:r w:rsidRPr="002E43F3">
              <w:t>Amendement</w:t>
            </w:r>
          </w:p>
        </w:tc>
      </w:tr>
      <w:tr w:rsidR="00BF7ACA" w:rsidRPr="00E502E5" w14:paraId="257B7930" w14:textId="77777777" w:rsidTr="007924BE">
        <w:trPr>
          <w:jc w:val="center"/>
        </w:trPr>
        <w:tc>
          <w:tcPr>
            <w:tcW w:w="4876" w:type="dxa"/>
            <w:hideMark/>
          </w:tcPr>
          <w:p w14:paraId="4E43BEE2" w14:textId="77777777" w:rsidR="00BF7ACA" w:rsidRPr="002E43F3" w:rsidRDefault="00BF7ACA" w:rsidP="007924BE">
            <w:pPr>
              <w:pStyle w:val="Normal6"/>
            </w:pPr>
            <w:r w:rsidRPr="002E43F3">
              <w:t>(f)</w:t>
            </w:r>
            <w:r>
              <w:tab/>
            </w:r>
            <w:r w:rsidRPr="002E43F3">
              <w:t>une évaluation de la valeur ajoutée des opérations de financement et d</w:t>
            </w:r>
            <w:r>
              <w:t>’</w:t>
            </w:r>
            <w:r w:rsidRPr="002E43F3">
              <w:t>investissement des contreparties éligibles et du risque total lié à ces opérations;</w:t>
            </w:r>
          </w:p>
        </w:tc>
        <w:tc>
          <w:tcPr>
            <w:tcW w:w="4876" w:type="dxa"/>
            <w:hideMark/>
          </w:tcPr>
          <w:p w14:paraId="17FECFED" w14:textId="77777777" w:rsidR="00BF7ACA" w:rsidRPr="002E43F3" w:rsidRDefault="00BF7ACA" w:rsidP="007924BE">
            <w:pPr>
              <w:pStyle w:val="Normal6"/>
              <w:rPr>
                <w:szCs w:val="24"/>
              </w:rPr>
            </w:pPr>
            <w:r w:rsidRPr="002E43F3">
              <w:t>(f)</w:t>
            </w:r>
            <w:r>
              <w:tab/>
            </w:r>
            <w:r w:rsidRPr="002E43F3">
              <w:t xml:space="preserve">une évaluation </w:t>
            </w:r>
            <w:r w:rsidRPr="002E43F3">
              <w:rPr>
                <w:b/>
                <w:i/>
              </w:rPr>
              <w:t xml:space="preserve">indépendante </w:t>
            </w:r>
            <w:r w:rsidRPr="002E43F3">
              <w:t>de la valeur ajoutée des opérations de financement et d</w:t>
            </w:r>
            <w:r>
              <w:t>’</w:t>
            </w:r>
            <w:r w:rsidRPr="002E43F3">
              <w:t>investissement des contreparties éligibles et du risque total lié à ces opérations;</w:t>
            </w:r>
          </w:p>
        </w:tc>
      </w:tr>
    </w:tbl>
    <w:p w14:paraId="0CE4E1DC"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{IT}</w:t>
      </w:r>
      <w:r w:rsidRPr="00BF7ACA">
        <w:rPr>
          <w:noProof w:val="0"/>
        </w:rPr>
        <w:t>it</w:t>
      </w:r>
      <w:r w:rsidRPr="00BF7ACA">
        <w:rPr>
          <w:rStyle w:val="HideTWBExt"/>
          <w:noProof w:val="0"/>
        </w:rPr>
        <w:t>&lt;/Original&gt;</w:t>
      </w:r>
    </w:p>
    <w:p w14:paraId="7779C84B" w14:textId="629B7D68" w:rsidR="00BF7ACA" w:rsidRPr="00BF7ACA" w:rsidRDefault="00BF7ACA" w:rsidP="00BF7ACA">
      <w:pPr>
        <w:pStyle w:val="AMNumberTabs"/>
        <w:keepNext/>
      </w:pPr>
      <w:r w:rsidRPr="00BF7ACA">
        <w:rPr>
          <w:rStyle w:val="HideTWBExt"/>
        </w:rPr>
        <w:t>&lt;/Amend&gt;</w:t>
      </w:r>
      <w:r w:rsidRPr="00BF7ACA">
        <w:rPr>
          <w:rStyle w:val="HideTWBExt"/>
          <w:b w:val="0"/>
        </w:rPr>
        <w:t>&lt;Amend&gt;</w:t>
      </w:r>
      <w:r w:rsidRPr="00BF7ACA">
        <w:t>Amendement</w:t>
      </w:r>
      <w:r w:rsidRPr="00BF7ACA">
        <w:tab/>
      </w:r>
      <w:r w:rsidRPr="00BF7ACA">
        <w:tab/>
      </w:r>
      <w:r w:rsidRPr="00BF7ACA">
        <w:rPr>
          <w:rStyle w:val="HideTWBExt"/>
          <w:b w:val="0"/>
        </w:rPr>
        <w:t>&lt;NumAm&gt;</w:t>
      </w:r>
      <w:r w:rsidRPr="00BF7ACA">
        <w:t>356</w:t>
      </w:r>
      <w:r w:rsidRPr="00BF7ACA">
        <w:rPr>
          <w:rStyle w:val="HideTWBExt"/>
          <w:b w:val="0"/>
        </w:rPr>
        <w:t>&lt;/NumAm&gt;</w:t>
      </w:r>
    </w:p>
    <w:p w14:paraId="1605E620" w14:textId="77777777"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14:paraId="7B5A1D48" w14:textId="77777777" w:rsidR="00BF7ACA" w:rsidRPr="00AF1321" w:rsidRDefault="00BF7ACA" w:rsidP="00BF7ACA">
      <w:r>
        <w:rPr>
          <w:rStyle w:val="HideTWBExt"/>
        </w:rPr>
        <w:t>&lt;/RepeatBlock-By&gt;</w:t>
      </w:r>
    </w:p>
    <w:p w14:paraId="4B22542F"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7F0460D1" w14:textId="77777777" w:rsidR="00BF7ACA" w:rsidRPr="00AF1321" w:rsidRDefault="00BF7ACA" w:rsidP="00BF7ACA">
      <w:pPr>
        <w:pStyle w:val="NormalBold"/>
      </w:pPr>
      <w:r>
        <w:rPr>
          <w:rStyle w:val="HideTWBExt"/>
          <w:b w:val="0"/>
        </w:rPr>
        <w:t>&lt;Article&gt;</w:t>
      </w:r>
      <w:r w:rsidRPr="00B0434F">
        <w:t>Article 15 – paragraphe 1 – point h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24A10290" w14:textId="77777777" w:rsidTr="007924BE">
        <w:trPr>
          <w:jc w:val="center"/>
        </w:trPr>
        <w:tc>
          <w:tcPr>
            <w:tcW w:w="9752" w:type="dxa"/>
            <w:gridSpan w:val="2"/>
          </w:tcPr>
          <w:p w14:paraId="660338A5" w14:textId="77777777" w:rsidR="00BF7ACA" w:rsidRPr="00AF1321" w:rsidRDefault="00BF7ACA" w:rsidP="007924BE">
            <w:pPr>
              <w:keepNext/>
            </w:pPr>
          </w:p>
        </w:tc>
      </w:tr>
      <w:tr w:rsidR="00BF7ACA" w:rsidRPr="00AF1321" w14:paraId="65FD5425" w14:textId="77777777" w:rsidTr="007924BE">
        <w:trPr>
          <w:jc w:val="center"/>
        </w:trPr>
        <w:tc>
          <w:tcPr>
            <w:tcW w:w="4876" w:type="dxa"/>
            <w:hideMark/>
          </w:tcPr>
          <w:p w14:paraId="4FEC0203" w14:textId="77777777" w:rsidR="00BF7ACA" w:rsidRPr="00B0434F" w:rsidRDefault="00BF7ACA" w:rsidP="007924BE">
            <w:pPr>
              <w:pStyle w:val="ColumnHeading"/>
              <w:keepNext/>
            </w:pPr>
            <w:r w:rsidRPr="00B0434F">
              <w:t>Texte proposé par la Commission</w:t>
            </w:r>
          </w:p>
        </w:tc>
        <w:tc>
          <w:tcPr>
            <w:tcW w:w="4876" w:type="dxa"/>
            <w:hideMark/>
          </w:tcPr>
          <w:p w14:paraId="2C1613AB" w14:textId="77777777" w:rsidR="00BF7ACA" w:rsidRPr="00B0434F" w:rsidRDefault="00BF7ACA" w:rsidP="007924BE">
            <w:pPr>
              <w:pStyle w:val="ColumnHeading"/>
              <w:keepNext/>
            </w:pPr>
            <w:r w:rsidRPr="00B0434F">
              <w:t>Amendement</w:t>
            </w:r>
          </w:p>
        </w:tc>
      </w:tr>
      <w:tr w:rsidR="00BF7ACA" w:rsidRPr="00AF1321" w14:paraId="06A8BDBC" w14:textId="77777777" w:rsidTr="007924BE">
        <w:trPr>
          <w:jc w:val="center"/>
        </w:trPr>
        <w:tc>
          <w:tcPr>
            <w:tcW w:w="4876" w:type="dxa"/>
          </w:tcPr>
          <w:p w14:paraId="42920527" w14:textId="77777777" w:rsidR="00BF7ACA" w:rsidRPr="00B0434F" w:rsidRDefault="00BF7ACA" w:rsidP="007924BE">
            <w:pPr>
              <w:pStyle w:val="Normal6"/>
            </w:pPr>
          </w:p>
        </w:tc>
        <w:tc>
          <w:tcPr>
            <w:tcW w:w="4876" w:type="dxa"/>
            <w:hideMark/>
          </w:tcPr>
          <w:p w14:paraId="76DC90B7" w14:textId="77777777" w:rsidR="00BF7ACA" w:rsidRPr="00B0434F" w:rsidRDefault="00BF7ACA" w:rsidP="007924BE">
            <w:pPr>
              <w:pStyle w:val="Normal6"/>
              <w:rPr>
                <w:szCs w:val="24"/>
              </w:rPr>
            </w:pPr>
            <w:r w:rsidRPr="00B0434F">
              <w:rPr>
                <w:b/>
                <w:i/>
              </w:rPr>
              <w:t>(h bis)</w:t>
            </w:r>
            <w:r>
              <w:tab/>
            </w:r>
            <w:r w:rsidRPr="00B0434F">
              <w:rPr>
                <w:b/>
                <w:i/>
              </w:rPr>
              <w:t>une évaluation des actions élaborées dans le cadre du deuxième et du troisième piliers du PIE et des synergies entre celles-ci et les opérations couvertes par la garantie FEDD, avec une attention particulière accordée aux progrès réalisés en matière de lutte contre la corruption, la criminalité organisée et les flux financiers illicites, de bonne gouvernance, d</w:t>
            </w:r>
            <w:r>
              <w:rPr>
                <w:b/>
                <w:i/>
              </w:rPr>
              <w:t>’</w:t>
            </w:r>
            <w:r w:rsidRPr="00B0434F">
              <w:rPr>
                <w:b/>
                <w:i/>
              </w:rPr>
              <w:t>intégration des marchés locaux, de promotion de l</w:t>
            </w:r>
            <w:r>
              <w:rPr>
                <w:b/>
                <w:i/>
              </w:rPr>
              <w:t>’</w:t>
            </w:r>
            <w:r w:rsidRPr="00B0434F">
              <w:rPr>
                <w:b/>
                <w:i/>
              </w:rPr>
              <w:t>entrepreneuriat et des entreprises locales, de respect des droits de l</w:t>
            </w:r>
            <w:r>
              <w:rPr>
                <w:b/>
                <w:i/>
              </w:rPr>
              <w:t>’</w:t>
            </w:r>
            <w:r w:rsidRPr="00B0434F">
              <w:rPr>
                <w:b/>
                <w:i/>
              </w:rPr>
              <w:t>homme et de l</w:t>
            </w:r>
            <w:r>
              <w:rPr>
                <w:b/>
                <w:i/>
              </w:rPr>
              <w:t>’</w:t>
            </w:r>
            <w:r w:rsidRPr="00B0434F">
              <w:rPr>
                <w:b/>
                <w:i/>
              </w:rPr>
              <w:t>état de droit ainsi que de politiques qui tiennent compte de l</w:t>
            </w:r>
            <w:r>
              <w:rPr>
                <w:b/>
                <w:i/>
              </w:rPr>
              <w:t>’</w:t>
            </w:r>
            <w:r w:rsidRPr="00B0434F">
              <w:rPr>
                <w:b/>
                <w:i/>
              </w:rPr>
              <w:t>égalité entre les sexes.</w:t>
            </w:r>
          </w:p>
        </w:tc>
      </w:tr>
    </w:tbl>
    <w:p w14:paraId="12839583"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D0B8F9D" w14:textId="77777777" w:rsidR="00BF7ACA" w:rsidRPr="00BF7ACA" w:rsidRDefault="00BF7ACA" w:rsidP="00BF7ACA">
      <w:r w:rsidRPr="00BF7ACA">
        <w:rPr>
          <w:rStyle w:val="HideTWBExt"/>
        </w:rPr>
        <w:t>&lt;/Amend&gt;</w:t>
      </w:r>
    </w:p>
    <w:p w14:paraId="5F8F5986"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357</w:t>
      </w:r>
      <w:r w:rsidRPr="00BF7ACA">
        <w:rPr>
          <w:rStyle w:val="HideTWBExt"/>
          <w:b w:val="0"/>
        </w:rPr>
        <w:t>&lt;/NumAm&gt;</w:t>
      </w:r>
    </w:p>
    <w:p w14:paraId="196A4060"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1C345C6C" w14:textId="77777777" w:rsidR="00BF7ACA" w:rsidRPr="00AF1321" w:rsidRDefault="00BF7ACA" w:rsidP="00BF7ACA">
      <w:r>
        <w:rPr>
          <w:rStyle w:val="HideTWBExt"/>
        </w:rPr>
        <w:t>&lt;/RepeatBlock-By&gt;</w:t>
      </w:r>
    </w:p>
    <w:p w14:paraId="1FCA61E5"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321A4CAF" w14:textId="77777777" w:rsidR="00BF7ACA" w:rsidRPr="00AF1321" w:rsidRDefault="00BF7ACA" w:rsidP="00BF7ACA">
      <w:pPr>
        <w:pStyle w:val="NormalBold"/>
      </w:pPr>
      <w:r>
        <w:rPr>
          <w:rStyle w:val="HideTWBExt"/>
          <w:b w:val="0"/>
        </w:rPr>
        <w:t>&lt;Article&gt;</w:t>
      </w:r>
      <w:r w:rsidRPr="00B0434F">
        <w:t>Article 15 – paragraphe 1 – point h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36F12910" w14:textId="77777777" w:rsidTr="007924BE">
        <w:trPr>
          <w:jc w:val="center"/>
        </w:trPr>
        <w:tc>
          <w:tcPr>
            <w:tcW w:w="9752" w:type="dxa"/>
            <w:gridSpan w:val="2"/>
          </w:tcPr>
          <w:p w14:paraId="35FC9BC8" w14:textId="77777777" w:rsidR="00BF7ACA" w:rsidRPr="00AF1321" w:rsidRDefault="00BF7ACA" w:rsidP="007924BE">
            <w:pPr>
              <w:keepNext/>
            </w:pPr>
          </w:p>
        </w:tc>
      </w:tr>
      <w:tr w:rsidR="00BF7ACA" w:rsidRPr="00AF1321" w14:paraId="27D6BF90" w14:textId="77777777" w:rsidTr="007924BE">
        <w:trPr>
          <w:jc w:val="center"/>
        </w:trPr>
        <w:tc>
          <w:tcPr>
            <w:tcW w:w="4876" w:type="dxa"/>
            <w:hideMark/>
          </w:tcPr>
          <w:p w14:paraId="5CC129BF" w14:textId="77777777" w:rsidR="00BF7ACA" w:rsidRPr="00B0434F" w:rsidRDefault="00BF7ACA" w:rsidP="007924BE">
            <w:pPr>
              <w:pStyle w:val="ColumnHeading"/>
              <w:keepNext/>
            </w:pPr>
            <w:r w:rsidRPr="00B0434F">
              <w:t>Texte proposé par la Commission</w:t>
            </w:r>
          </w:p>
        </w:tc>
        <w:tc>
          <w:tcPr>
            <w:tcW w:w="4876" w:type="dxa"/>
            <w:hideMark/>
          </w:tcPr>
          <w:p w14:paraId="796B638B" w14:textId="77777777" w:rsidR="00BF7ACA" w:rsidRPr="00B0434F" w:rsidRDefault="00BF7ACA" w:rsidP="007924BE">
            <w:pPr>
              <w:pStyle w:val="ColumnHeading"/>
              <w:keepNext/>
            </w:pPr>
            <w:r w:rsidRPr="00B0434F">
              <w:t>Amendement</w:t>
            </w:r>
          </w:p>
        </w:tc>
      </w:tr>
      <w:tr w:rsidR="00BF7ACA" w:rsidRPr="00AF1321" w14:paraId="0D07B724" w14:textId="77777777" w:rsidTr="007924BE">
        <w:trPr>
          <w:jc w:val="center"/>
        </w:trPr>
        <w:tc>
          <w:tcPr>
            <w:tcW w:w="4876" w:type="dxa"/>
          </w:tcPr>
          <w:p w14:paraId="747FB8B9" w14:textId="77777777" w:rsidR="00BF7ACA" w:rsidRPr="00B0434F" w:rsidRDefault="00BF7ACA" w:rsidP="007924BE">
            <w:pPr>
              <w:pStyle w:val="Normal6"/>
            </w:pPr>
          </w:p>
        </w:tc>
        <w:tc>
          <w:tcPr>
            <w:tcW w:w="4876" w:type="dxa"/>
            <w:hideMark/>
          </w:tcPr>
          <w:p w14:paraId="62DE8100" w14:textId="77777777" w:rsidR="00BF7ACA" w:rsidRPr="00B0434F" w:rsidRDefault="00BF7ACA" w:rsidP="007924BE">
            <w:pPr>
              <w:pStyle w:val="Normal6"/>
              <w:rPr>
                <w:szCs w:val="24"/>
              </w:rPr>
            </w:pPr>
            <w:r w:rsidRPr="00B0434F">
              <w:rPr>
                <w:b/>
                <w:i/>
              </w:rPr>
              <w:t>(h bis)</w:t>
            </w:r>
            <w:r>
              <w:tab/>
            </w:r>
            <w:r w:rsidRPr="00B0434F">
              <w:rPr>
                <w:b/>
                <w:i/>
              </w:rPr>
              <w:t>une évaluation de la conformité des projets du FEDD avec les principes de l</w:t>
            </w:r>
            <w:r>
              <w:rPr>
                <w:b/>
                <w:i/>
              </w:rPr>
              <w:t>’</w:t>
            </w:r>
            <w:r w:rsidRPr="00B0434F">
              <w:rPr>
                <w:b/>
                <w:i/>
              </w:rPr>
              <w:t>action extérieure de l</w:t>
            </w:r>
            <w:r>
              <w:rPr>
                <w:b/>
                <w:i/>
              </w:rPr>
              <w:t>’</w:t>
            </w:r>
            <w:r w:rsidRPr="00B0434F">
              <w:rPr>
                <w:b/>
                <w:i/>
              </w:rPr>
              <w:t>Union, tels qu</w:t>
            </w:r>
            <w:r>
              <w:rPr>
                <w:b/>
                <w:i/>
              </w:rPr>
              <w:t>’</w:t>
            </w:r>
            <w:r w:rsidRPr="00B0434F">
              <w:rPr>
                <w:b/>
                <w:i/>
              </w:rPr>
              <w:t>énoncés à l</w:t>
            </w:r>
            <w:r>
              <w:rPr>
                <w:b/>
                <w:i/>
              </w:rPr>
              <w:t>’</w:t>
            </w:r>
            <w:r w:rsidRPr="00B0434F">
              <w:rPr>
                <w:b/>
                <w:i/>
              </w:rPr>
              <w:t>article 21 du traité sur l</w:t>
            </w:r>
            <w:r>
              <w:rPr>
                <w:b/>
                <w:i/>
              </w:rPr>
              <w:t>’</w:t>
            </w:r>
            <w:r w:rsidRPr="00B0434F">
              <w:rPr>
                <w:b/>
                <w:i/>
              </w:rPr>
              <w:t>Union européenne.</w:t>
            </w:r>
          </w:p>
        </w:tc>
      </w:tr>
    </w:tbl>
    <w:p w14:paraId="7C09A742"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9627E3F" w14:textId="77777777" w:rsidR="00BF7ACA" w:rsidRPr="00BF7ACA" w:rsidRDefault="00BF7ACA" w:rsidP="00BF7ACA">
      <w:r w:rsidRPr="00BF7ACA">
        <w:rPr>
          <w:rStyle w:val="HideTWBExt"/>
        </w:rPr>
        <w:t>&lt;/Amend&gt;</w:t>
      </w:r>
    </w:p>
    <w:p w14:paraId="49D070DC"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358</w:t>
      </w:r>
      <w:r w:rsidRPr="00E502E5">
        <w:rPr>
          <w:rStyle w:val="HideTWBExt"/>
          <w:b w:val="0"/>
        </w:rPr>
        <w:t>&lt;/NumAm&gt;</w:t>
      </w:r>
    </w:p>
    <w:p w14:paraId="5C867E63" w14:textId="77777777" w:rsidR="00BF7ACA" w:rsidRPr="00E502E5" w:rsidRDefault="00BF7ACA" w:rsidP="00BF7ACA">
      <w:pPr>
        <w:pStyle w:val="NormalBold"/>
      </w:pPr>
      <w:r w:rsidRPr="00E502E5">
        <w:rPr>
          <w:rStyle w:val="HideTWBExt"/>
          <w:b w:val="0"/>
        </w:rPr>
        <w:t>&lt;RepeatBlock-By&gt;&lt;Members&gt;</w:t>
      </w:r>
      <w:r w:rsidRPr="00E502E5">
        <w:t>Isabelle Thomas, Jean-Paul Denanot</w:t>
      </w:r>
      <w:r w:rsidRPr="00E502E5">
        <w:rPr>
          <w:rStyle w:val="HideTWBExt"/>
          <w:b w:val="0"/>
        </w:rPr>
        <w:t>&lt;/Members&gt;</w:t>
      </w:r>
    </w:p>
    <w:p w14:paraId="2EAB8D55" w14:textId="77777777" w:rsidR="00BF7ACA" w:rsidRPr="00E502E5" w:rsidRDefault="00BF7ACA" w:rsidP="00BF7ACA">
      <w:r w:rsidRPr="00E502E5">
        <w:rPr>
          <w:rStyle w:val="HideTWBExt"/>
        </w:rPr>
        <w:t>&lt;/RepeatBlock-By&gt;</w:t>
      </w:r>
    </w:p>
    <w:p w14:paraId="0659C8E7"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3D7D0349" w14:textId="77777777" w:rsidR="00BF7ACA" w:rsidRPr="00E502E5" w:rsidRDefault="00BF7ACA" w:rsidP="00BF7ACA">
      <w:pPr>
        <w:pStyle w:val="NormalBold"/>
      </w:pPr>
      <w:r w:rsidRPr="00E502E5">
        <w:rPr>
          <w:rStyle w:val="HideTWBExt"/>
          <w:b w:val="0"/>
        </w:rPr>
        <w:t>&lt;Article&gt;</w:t>
      </w:r>
      <w:r w:rsidRPr="00E502E5">
        <w:t>Article 15 – paragraphe 1 – point h bis (nouveau)</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48BD87BE" w14:textId="77777777" w:rsidTr="007924BE">
        <w:trPr>
          <w:jc w:val="center"/>
        </w:trPr>
        <w:tc>
          <w:tcPr>
            <w:tcW w:w="9752" w:type="dxa"/>
            <w:gridSpan w:val="2"/>
          </w:tcPr>
          <w:p w14:paraId="7FF3D84A" w14:textId="77777777" w:rsidR="00BF7ACA" w:rsidRPr="00E502E5" w:rsidRDefault="00BF7ACA" w:rsidP="007924BE">
            <w:pPr>
              <w:keepNext/>
            </w:pPr>
          </w:p>
        </w:tc>
      </w:tr>
      <w:tr w:rsidR="00BF7ACA" w:rsidRPr="00E502E5" w14:paraId="7BDBED0C" w14:textId="77777777" w:rsidTr="007924BE">
        <w:trPr>
          <w:jc w:val="center"/>
        </w:trPr>
        <w:tc>
          <w:tcPr>
            <w:tcW w:w="4876" w:type="dxa"/>
            <w:hideMark/>
          </w:tcPr>
          <w:p w14:paraId="2A0D5D6A" w14:textId="77777777" w:rsidR="00BF7ACA" w:rsidRPr="00E502E5" w:rsidRDefault="00BF7ACA" w:rsidP="007924BE">
            <w:pPr>
              <w:pStyle w:val="ColumnHeading"/>
              <w:keepNext/>
            </w:pPr>
            <w:r w:rsidRPr="00E502E5">
              <w:t>Texte proposé par la Commission</w:t>
            </w:r>
          </w:p>
        </w:tc>
        <w:tc>
          <w:tcPr>
            <w:tcW w:w="4876" w:type="dxa"/>
            <w:hideMark/>
          </w:tcPr>
          <w:p w14:paraId="5DC579BB" w14:textId="77777777" w:rsidR="00BF7ACA" w:rsidRPr="00E502E5" w:rsidRDefault="00BF7ACA" w:rsidP="007924BE">
            <w:pPr>
              <w:pStyle w:val="ColumnHeading"/>
              <w:keepNext/>
            </w:pPr>
            <w:r w:rsidRPr="00E502E5">
              <w:t>Amendement</w:t>
            </w:r>
          </w:p>
        </w:tc>
      </w:tr>
      <w:tr w:rsidR="00BF7ACA" w:rsidRPr="00E502E5" w14:paraId="538054E7" w14:textId="77777777" w:rsidTr="007924BE">
        <w:trPr>
          <w:jc w:val="center"/>
        </w:trPr>
        <w:tc>
          <w:tcPr>
            <w:tcW w:w="4876" w:type="dxa"/>
          </w:tcPr>
          <w:p w14:paraId="3F21D7B3" w14:textId="77777777" w:rsidR="00BF7ACA" w:rsidRPr="00E502E5" w:rsidRDefault="00BF7ACA" w:rsidP="007924BE">
            <w:pPr>
              <w:pStyle w:val="Normal6"/>
            </w:pPr>
          </w:p>
        </w:tc>
        <w:tc>
          <w:tcPr>
            <w:tcW w:w="4876" w:type="dxa"/>
            <w:hideMark/>
          </w:tcPr>
          <w:p w14:paraId="105CCF10" w14:textId="77777777" w:rsidR="00BF7ACA" w:rsidRPr="00E502E5" w:rsidRDefault="00BF7ACA" w:rsidP="007924BE">
            <w:pPr>
              <w:pStyle w:val="Normal6"/>
              <w:rPr>
                <w:szCs w:val="24"/>
              </w:rPr>
            </w:pPr>
            <w:r w:rsidRPr="00E502E5">
              <w:rPr>
                <w:b/>
                <w:i/>
              </w:rPr>
              <w:t>(h bis)</w:t>
            </w:r>
            <w:r w:rsidRPr="00E502E5">
              <w:tab/>
            </w:r>
            <w:r w:rsidRPr="00E502E5">
              <w:rPr>
                <w:b/>
                <w:i/>
              </w:rPr>
              <w:t>un tableau de bord d</w:t>
            </w:r>
            <w:r>
              <w:rPr>
                <w:b/>
                <w:i/>
              </w:rPr>
              <w:t>’</w:t>
            </w:r>
            <w:r w:rsidRPr="00E502E5">
              <w:rPr>
                <w:b/>
                <w:i/>
              </w:rPr>
              <w:t>indicateurs comme prévu à l</w:t>
            </w:r>
            <w:r>
              <w:rPr>
                <w:b/>
                <w:i/>
              </w:rPr>
              <w:t>’[article 8 – paragraphe 4 </w:t>
            </w:r>
            <w:r w:rsidRPr="00E502E5">
              <w:rPr>
                <w:b/>
                <w:i/>
              </w:rPr>
              <w:t>bis].</w:t>
            </w:r>
          </w:p>
        </w:tc>
      </w:tr>
    </w:tbl>
    <w:p w14:paraId="7D4615AE"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04BAA668" w14:textId="77777777" w:rsidR="00BF7ACA" w:rsidRPr="00E502E5" w:rsidRDefault="00BF7ACA" w:rsidP="00BF7ACA">
      <w:pPr>
        <w:pStyle w:val="JustificationTitle"/>
        <w:rPr>
          <w:noProof w:val="0"/>
        </w:rPr>
      </w:pPr>
      <w:r w:rsidRPr="00E502E5">
        <w:rPr>
          <w:rStyle w:val="HideTWBExt"/>
          <w:i w:val="0"/>
          <w:noProof w:val="0"/>
        </w:rPr>
        <w:t>&lt;TitreJust&gt;</w:t>
      </w:r>
      <w:r w:rsidRPr="00E502E5">
        <w:rPr>
          <w:noProof w:val="0"/>
        </w:rPr>
        <w:t>Justification</w:t>
      </w:r>
      <w:r w:rsidRPr="00E502E5">
        <w:rPr>
          <w:rStyle w:val="HideTWBExt"/>
          <w:i w:val="0"/>
          <w:noProof w:val="0"/>
        </w:rPr>
        <w:t>&lt;/TitreJust&gt;</w:t>
      </w:r>
    </w:p>
    <w:p w14:paraId="078E905E" w14:textId="77777777" w:rsidR="00BF7ACA" w:rsidRPr="00E502E5" w:rsidRDefault="00BF7ACA" w:rsidP="00BF7ACA">
      <w:pPr>
        <w:pStyle w:val="Normal12Italic"/>
        <w:rPr>
          <w:noProof w:val="0"/>
        </w:rPr>
      </w:pPr>
      <w:r w:rsidRPr="00E502E5">
        <w:rPr>
          <w:noProof w:val="0"/>
        </w:rPr>
        <w:t>Le présent amendement inscrit dans le rapport annuel de la Commission le tableau de bord d</w:t>
      </w:r>
      <w:r>
        <w:rPr>
          <w:noProof w:val="0"/>
        </w:rPr>
        <w:t>’</w:t>
      </w:r>
      <w:r w:rsidRPr="00E502E5">
        <w:rPr>
          <w:noProof w:val="0"/>
        </w:rPr>
        <w:t>indicateurs prévu à de l</w:t>
      </w:r>
      <w:r>
        <w:rPr>
          <w:noProof w:val="0"/>
        </w:rPr>
        <w:t>’</w:t>
      </w:r>
      <w:r w:rsidRPr="00E502E5">
        <w:rPr>
          <w:noProof w:val="0"/>
        </w:rPr>
        <w:t xml:space="preserve">amendement 48 (article 8 </w:t>
      </w:r>
      <w:r>
        <w:rPr>
          <w:noProof w:val="0"/>
        </w:rPr>
        <w:t>–</w:t>
      </w:r>
      <w:r w:rsidRPr="00E502E5">
        <w:rPr>
          <w:noProof w:val="0"/>
        </w:rPr>
        <w:t xml:space="preserve"> paragraphe 4 bis (nouveau)).</w:t>
      </w:r>
    </w:p>
    <w:p w14:paraId="03451C8D" w14:textId="77777777" w:rsidR="00BF7ACA" w:rsidRPr="00E502E5" w:rsidRDefault="00BF7ACA" w:rsidP="00BF7ACA">
      <w:r w:rsidRPr="00E502E5">
        <w:rPr>
          <w:rStyle w:val="HideTWBExt"/>
        </w:rPr>
        <w:t>&lt;/Amend&gt;</w:t>
      </w:r>
    </w:p>
    <w:p w14:paraId="2F32ABB5"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359</w:t>
      </w:r>
      <w:r w:rsidRPr="00BF7ACA">
        <w:rPr>
          <w:rStyle w:val="HideTWBExt"/>
          <w:b w:val="0"/>
        </w:rPr>
        <w:t>&lt;/NumAm&gt;</w:t>
      </w:r>
    </w:p>
    <w:p w14:paraId="45F21286"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72BD7B5D" w14:textId="77777777" w:rsidR="00BF7ACA" w:rsidRPr="00AF1321" w:rsidRDefault="00BF7ACA" w:rsidP="00BF7ACA">
      <w:r>
        <w:rPr>
          <w:rStyle w:val="HideTWBExt"/>
        </w:rPr>
        <w:t>&lt;/RepeatBlock-By&gt;</w:t>
      </w:r>
    </w:p>
    <w:p w14:paraId="6A329312"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31411625" w14:textId="77777777" w:rsidR="00BF7ACA" w:rsidRPr="00AF1321" w:rsidRDefault="00BF7ACA" w:rsidP="00BF7ACA">
      <w:pPr>
        <w:pStyle w:val="NormalBold"/>
      </w:pPr>
      <w:r>
        <w:rPr>
          <w:rStyle w:val="HideTWBExt"/>
          <w:b w:val="0"/>
        </w:rPr>
        <w:t>&lt;Article&gt;</w:t>
      </w:r>
      <w:r w:rsidRPr="00B0434F">
        <w:t>Article 15 – paragraphe 1 – point h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4F812E4D" w14:textId="77777777" w:rsidTr="007924BE">
        <w:trPr>
          <w:jc w:val="center"/>
        </w:trPr>
        <w:tc>
          <w:tcPr>
            <w:tcW w:w="9752" w:type="dxa"/>
            <w:gridSpan w:val="2"/>
          </w:tcPr>
          <w:p w14:paraId="28FB65E8" w14:textId="77777777" w:rsidR="00BF7ACA" w:rsidRPr="00AF1321" w:rsidRDefault="00BF7ACA" w:rsidP="007924BE">
            <w:pPr>
              <w:keepNext/>
            </w:pPr>
          </w:p>
        </w:tc>
      </w:tr>
      <w:tr w:rsidR="00BF7ACA" w:rsidRPr="00AF1321" w14:paraId="6F7FC664" w14:textId="77777777" w:rsidTr="007924BE">
        <w:trPr>
          <w:jc w:val="center"/>
        </w:trPr>
        <w:tc>
          <w:tcPr>
            <w:tcW w:w="4876" w:type="dxa"/>
            <w:hideMark/>
          </w:tcPr>
          <w:p w14:paraId="29DA2294" w14:textId="77777777" w:rsidR="00BF7ACA" w:rsidRPr="00B0434F" w:rsidRDefault="00BF7ACA" w:rsidP="007924BE">
            <w:pPr>
              <w:pStyle w:val="ColumnHeading"/>
              <w:keepNext/>
            </w:pPr>
            <w:r w:rsidRPr="00B0434F">
              <w:t>Texte proposé par la Commission</w:t>
            </w:r>
          </w:p>
        </w:tc>
        <w:tc>
          <w:tcPr>
            <w:tcW w:w="4876" w:type="dxa"/>
            <w:hideMark/>
          </w:tcPr>
          <w:p w14:paraId="306D631B" w14:textId="77777777" w:rsidR="00BF7ACA" w:rsidRPr="00B0434F" w:rsidRDefault="00BF7ACA" w:rsidP="007924BE">
            <w:pPr>
              <w:pStyle w:val="ColumnHeading"/>
              <w:keepNext/>
            </w:pPr>
            <w:r w:rsidRPr="00B0434F">
              <w:t>Amendement</w:t>
            </w:r>
          </w:p>
        </w:tc>
      </w:tr>
      <w:tr w:rsidR="00BF7ACA" w:rsidRPr="00AF1321" w14:paraId="395A0E7E" w14:textId="77777777" w:rsidTr="007924BE">
        <w:trPr>
          <w:jc w:val="center"/>
        </w:trPr>
        <w:tc>
          <w:tcPr>
            <w:tcW w:w="4876" w:type="dxa"/>
          </w:tcPr>
          <w:p w14:paraId="13EAE464" w14:textId="77777777" w:rsidR="00BF7ACA" w:rsidRPr="00B0434F" w:rsidRDefault="00BF7ACA" w:rsidP="007924BE">
            <w:pPr>
              <w:pStyle w:val="Normal6"/>
            </w:pPr>
          </w:p>
        </w:tc>
        <w:tc>
          <w:tcPr>
            <w:tcW w:w="4876" w:type="dxa"/>
            <w:hideMark/>
          </w:tcPr>
          <w:p w14:paraId="35487FC2" w14:textId="77777777" w:rsidR="00BF7ACA" w:rsidRPr="00B0434F" w:rsidRDefault="00BF7ACA" w:rsidP="007924BE">
            <w:pPr>
              <w:pStyle w:val="Normal6"/>
              <w:rPr>
                <w:szCs w:val="24"/>
              </w:rPr>
            </w:pPr>
            <w:r w:rsidRPr="00B0434F">
              <w:rPr>
                <w:b/>
                <w:i/>
              </w:rPr>
              <w:t>(h bis)</w:t>
            </w:r>
            <w:r>
              <w:tab/>
            </w:r>
            <w:r w:rsidRPr="00B0434F">
              <w:rPr>
                <w:b/>
                <w:i/>
              </w:rPr>
              <w:t>des objectifs et des plans détaillés pour l</w:t>
            </w:r>
            <w:r>
              <w:rPr>
                <w:b/>
                <w:i/>
              </w:rPr>
              <w:t>’</w:t>
            </w:r>
            <w:r w:rsidRPr="00B0434F">
              <w:rPr>
                <w:b/>
                <w:i/>
              </w:rPr>
              <w:t>année à venir.</w:t>
            </w:r>
          </w:p>
        </w:tc>
      </w:tr>
    </w:tbl>
    <w:p w14:paraId="4EEAC98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041D3AD" w14:textId="77777777" w:rsidR="00BF7ACA" w:rsidRPr="00BF7ACA" w:rsidRDefault="00BF7ACA" w:rsidP="00BF7ACA">
      <w:r w:rsidRPr="00BF7ACA">
        <w:rPr>
          <w:rStyle w:val="HideTWBExt"/>
        </w:rPr>
        <w:t>&lt;/Amend&gt;</w:t>
      </w:r>
    </w:p>
    <w:p w14:paraId="5E6BC700"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360</w:t>
      </w:r>
      <w:r w:rsidRPr="00BF7ACA">
        <w:rPr>
          <w:rStyle w:val="HideTWBExt"/>
          <w:b w:val="0"/>
        </w:rPr>
        <w:t>&lt;/NumAm&gt;</w:t>
      </w:r>
    </w:p>
    <w:p w14:paraId="67BE279C"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050278FF" w14:textId="77777777" w:rsidR="00BF7ACA" w:rsidRPr="00AF1321" w:rsidRDefault="00BF7ACA" w:rsidP="00BF7ACA">
      <w:r>
        <w:rPr>
          <w:rStyle w:val="HideTWBExt"/>
        </w:rPr>
        <w:t>&lt;/RepeatBlock-By&gt;</w:t>
      </w:r>
    </w:p>
    <w:p w14:paraId="4AE882A3"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54E8834D" w14:textId="77777777" w:rsidR="00BF7ACA" w:rsidRPr="00AF1321" w:rsidRDefault="00BF7ACA" w:rsidP="00BF7ACA">
      <w:pPr>
        <w:pStyle w:val="NormalBold"/>
      </w:pPr>
      <w:r>
        <w:rPr>
          <w:rStyle w:val="HideTWBExt"/>
          <w:b w:val="0"/>
        </w:rPr>
        <w:t>&lt;Article&gt;</w:t>
      </w:r>
      <w:r w:rsidRPr="00B0434F">
        <w:t>Article 15 – paragraphe 1 – point h ter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235B9F97" w14:textId="77777777" w:rsidTr="007924BE">
        <w:trPr>
          <w:jc w:val="center"/>
        </w:trPr>
        <w:tc>
          <w:tcPr>
            <w:tcW w:w="9752" w:type="dxa"/>
            <w:gridSpan w:val="2"/>
          </w:tcPr>
          <w:p w14:paraId="770203E0" w14:textId="77777777" w:rsidR="00BF7ACA" w:rsidRPr="00AF1321" w:rsidRDefault="00BF7ACA" w:rsidP="007924BE">
            <w:pPr>
              <w:keepNext/>
            </w:pPr>
          </w:p>
        </w:tc>
      </w:tr>
      <w:tr w:rsidR="00BF7ACA" w:rsidRPr="00AF1321" w14:paraId="6727F80C" w14:textId="77777777" w:rsidTr="007924BE">
        <w:trPr>
          <w:jc w:val="center"/>
        </w:trPr>
        <w:tc>
          <w:tcPr>
            <w:tcW w:w="4876" w:type="dxa"/>
            <w:hideMark/>
          </w:tcPr>
          <w:p w14:paraId="0D061709" w14:textId="77777777" w:rsidR="00BF7ACA" w:rsidRPr="00B0434F" w:rsidRDefault="00BF7ACA" w:rsidP="007924BE">
            <w:pPr>
              <w:pStyle w:val="ColumnHeading"/>
              <w:keepNext/>
            </w:pPr>
            <w:r w:rsidRPr="00B0434F">
              <w:t>Texte proposé par la Commission</w:t>
            </w:r>
          </w:p>
        </w:tc>
        <w:tc>
          <w:tcPr>
            <w:tcW w:w="4876" w:type="dxa"/>
            <w:hideMark/>
          </w:tcPr>
          <w:p w14:paraId="3DAE6A12" w14:textId="77777777" w:rsidR="00BF7ACA" w:rsidRPr="00B0434F" w:rsidRDefault="00BF7ACA" w:rsidP="007924BE">
            <w:pPr>
              <w:pStyle w:val="ColumnHeading"/>
              <w:keepNext/>
            </w:pPr>
            <w:r w:rsidRPr="00B0434F">
              <w:t>Amendement</w:t>
            </w:r>
          </w:p>
        </w:tc>
      </w:tr>
      <w:tr w:rsidR="00BF7ACA" w:rsidRPr="00AF1321" w14:paraId="344EEF12" w14:textId="77777777" w:rsidTr="007924BE">
        <w:trPr>
          <w:jc w:val="center"/>
        </w:trPr>
        <w:tc>
          <w:tcPr>
            <w:tcW w:w="4876" w:type="dxa"/>
          </w:tcPr>
          <w:p w14:paraId="0363D774" w14:textId="77777777" w:rsidR="00BF7ACA" w:rsidRPr="00B0434F" w:rsidRDefault="00BF7ACA" w:rsidP="007924BE">
            <w:pPr>
              <w:pStyle w:val="Normal6"/>
            </w:pPr>
          </w:p>
        </w:tc>
        <w:tc>
          <w:tcPr>
            <w:tcW w:w="4876" w:type="dxa"/>
            <w:hideMark/>
          </w:tcPr>
          <w:p w14:paraId="284D309E" w14:textId="77777777" w:rsidR="00BF7ACA" w:rsidRPr="00B0434F" w:rsidRDefault="00BF7ACA" w:rsidP="007924BE">
            <w:pPr>
              <w:pStyle w:val="Normal6"/>
              <w:rPr>
                <w:szCs w:val="24"/>
              </w:rPr>
            </w:pPr>
            <w:r w:rsidRPr="00B0434F">
              <w:rPr>
                <w:b/>
                <w:i/>
              </w:rPr>
              <w:t>(h ter)</w:t>
            </w:r>
            <w:r>
              <w:tab/>
            </w:r>
            <w:r w:rsidRPr="00B0434F">
              <w:rPr>
                <w:b/>
                <w:i/>
              </w:rPr>
              <w:t>une évaluation de la conformité des projets du FEDD avec les principes d</w:t>
            </w:r>
            <w:r>
              <w:rPr>
                <w:b/>
                <w:i/>
              </w:rPr>
              <w:t>’</w:t>
            </w:r>
            <w:r w:rsidRPr="00B0434F">
              <w:rPr>
                <w:b/>
                <w:i/>
              </w:rPr>
              <w:t>efficacité du développement convenus à l</w:t>
            </w:r>
            <w:r>
              <w:rPr>
                <w:b/>
                <w:i/>
              </w:rPr>
              <w:t>’</w:t>
            </w:r>
            <w:r w:rsidRPr="00B0434F">
              <w:rPr>
                <w:b/>
                <w:i/>
              </w:rPr>
              <w:t>échelle internationale.</w:t>
            </w:r>
          </w:p>
        </w:tc>
      </w:tr>
    </w:tbl>
    <w:p w14:paraId="53365EED"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7E49EAF" w14:textId="77777777" w:rsidR="00BF7ACA" w:rsidRPr="00BF7ACA" w:rsidRDefault="00BF7ACA" w:rsidP="00BF7ACA">
      <w:r w:rsidRPr="00BF7ACA">
        <w:rPr>
          <w:rStyle w:val="HideTWBExt"/>
        </w:rPr>
        <w:t>&lt;/Amend&gt;</w:t>
      </w:r>
    </w:p>
    <w:p w14:paraId="1A0FC7F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361</w:t>
      </w:r>
      <w:r w:rsidRPr="00BF7ACA">
        <w:rPr>
          <w:rStyle w:val="HideTWBExt"/>
          <w:b w:val="0"/>
        </w:rPr>
        <w:t>&lt;/NumAm&gt;</w:t>
      </w:r>
    </w:p>
    <w:p w14:paraId="6A7798BC" w14:textId="77777777"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14:paraId="092B591D" w14:textId="77777777" w:rsidR="00BF7ACA" w:rsidRPr="00AF1321" w:rsidRDefault="00BF7ACA" w:rsidP="00BF7ACA">
      <w:r>
        <w:rPr>
          <w:rStyle w:val="HideTWBExt"/>
        </w:rPr>
        <w:t>&lt;/RepeatBlock-By&gt;</w:t>
      </w:r>
    </w:p>
    <w:p w14:paraId="5F0667D4"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13CA15FF" w14:textId="77777777" w:rsidR="00BF7ACA" w:rsidRPr="00AF1321" w:rsidRDefault="00BF7ACA" w:rsidP="00BF7ACA">
      <w:pPr>
        <w:pStyle w:val="NormalBold"/>
      </w:pPr>
      <w:r>
        <w:rPr>
          <w:rStyle w:val="HideTWBExt"/>
          <w:b w:val="0"/>
        </w:rPr>
        <w:t>&lt;Article&gt;</w:t>
      </w:r>
      <w:r w:rsidRPr="00B0434F">
        <w:t>Article 16 – paragraphe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72B0FB1C" w14:textId="77777777" w:rsidTr="007924BE">
        <w:trPr>
          <w:jc w:val="center"/>
        </w:trPr>
        <w:tc>
          <w:tcPr>
            <w:tcW w:w="9752" w:type="dxa"/>
            <w:gridSpan w:val="2"/>
          </w:tcPr>
          <w:p w14:paraId="4ABA9348" w14:textId="77777777" w:rsidR="00BF7ACA" w:rsidRPr="00AF1321" w:rsidRDefault="00BF7ACA" w:rsidP="007924BE">
            <w:pPr>
              <w:keepNext/>
            </w:pPr>
          </w:p>
        </w:tc>
      </w:tr>
      <w:tr w:rsidR="00BF7ACA" w:rsidRPr="00AF1321" w14:paraId="2D39FF56" w14:textId="77777777" w:rsidTr="007924BE">
        <w:trPr>
          <w:jc w:val="center"/>
        </w:trPr>
        <w:tc>
          <w:tcPr>
            <w:tcW w:w="4876" w:type="dxa"/>
            <w:hideMark/>
          </w:tcPr>
          <w:p w14:paraId="0A9E45BB" w14:textId="77777777" w:rsidR="00BF7ACA" w:rsidRPr="00B0434F" w:rsidRDefault="00BF7ACA" w:rsidP="007924BE">
            <w:pPr>
              <w:pStyle w:val="ColumnHeading"/>
              <w:keepNext/>
            </w:pPr>
            <w:r w:rsidRPr="00B0434F">
              <w:t>Texte proposé par la Commission</w:t>
            </w:r>
          </w:p>
        </w:tc>
        <w:tc>
          <w:tcPr>
            <w:tcW w:w="4876" w:type="dxa"/>
            <w:hideMark/>
          </w:tcPr>
          <w:p w14:paraId="74E5C16A" w14:textId="77777777" w:rsidR="00BF7ACA" w:rsidRPr="00B0434F" w:rsidRDefault="00BF7ACA" w:rsidP="007924BE">
            <w:pPr>
              <w:pStyle w:val="ColumnHeading"/>
              <w:keepNext/>
            </w:pPr>
            <w:r w:rsidRPr="00B0434F">
              <w:t>Amendement</w:t>
            </w:r>
          </w:p>
        </w:tc>
      </w:tr>
      <w:tr w:rsidR="00BF7ACA" w:rsidRPr="00AF1321" w14:paraId="1F26ACED" w14:textId="77777777" w:rsidTr="007924BE">
        <w:trPr>
          <w:jc w:val="center"/>
        </w:trPr>
        <w:tc>
          <w:tcPr>
            <w:tcW w:w="4876" w:type="dxa"/>
            <w:hideMark/>
          </w:tcPr>
          <w:p w14:paraId="25055B96" w14:textId="77777777" w:rsidR="00BF7ACA" w:rsidRPr="00B0434F" w:rsidRDefault="00BF7ACA" w:rsidP="007924BE">
            <w:pPr>
              <w:pStyle w:val="Normal6"/>
            </w:pPr>
            <w:r w:rsidRPr="00B0434F">
              <w:t>1.</w:t>
            </w:r>
            <w:r>
              <w:tab/>
            </w:r>
            <w:r w:rsidRPr="00B0434F">
              <w:t>Au plus tard le 31 décembre </w:t>
            </w:r>
            <w:r w:rsidRPr="00B0434F">
              <w:rPr>
                <w:b/>
                <w:i/>
              </w:rPr>
              <w:t>2020</w:t>
            </w:r>
            <w:r w:rsidRPr="00B0434F">
              <w:t>, la Commission procède à une évaluation du fonctionnement du FEDD. Elle présente au Parlement européen et au Conseil son rapport d</w:t>
            </w:r>
            <w:r>
              <w:t>’</w:t>
            </w:r>
            <w:r w:rsidRPr="00B0434F">
              <w:t>évaluation, qui contient une évaluation indépendante de l</w:t>
            </w:r>
            <w:r>
              <w:t>’</w:t>
            </w:r>
            <w:r w:rsidRPr="00B0434F">
              <w:t>application du présent règlement.</w:t>
            </w:r>
            <w:r w:rsidRPr="00B0434F">
              <w:rPr>
                <w:b/>
                <w:i/>
              </w:rPr>
              <w:t xml:space="preserve"> </w:t>
            </w:r>
            <w:r w:rsidRPr="00B0434F">
              <w:t xml:space="preserve">Ce rapport est </w:t>
            </w:r>
            <w:r w:rsidRPr="00B0434F">
              <w:rPr>
                <w:b/>
                <w:i/>
              </w:rPr>
              <w:t>soumis sans tarder par la Commission dans l</w:t>
            </w:r>
            <w:r>
              <w:rPr>
                <w:b/>
                <w:i/>
              </w:rPr>
              <w:t>’</w:t>
            </w:r>
            <w:r w:rsidRPr="00B0434F">
              <w:rPr>
                <w:b/>
                <w:i/>
              </w:rPr>
              <w:t>éventualité où les opérations de financement et d</w:t>
            </w:r>
            <w:r>
              <w:rPr>
                <w:b/>
                <w:i/>
              </w:rPr>
              <w:t>’</w:t>
            </w:r>
            <w:r w:rsidRPr="00B0434F">
              <w:rPr>
                <w:b/>
                <w:i/>
              </w:rPr>
              <w:t>investissement approuvées absorberaient entièrement le montant de la garantie FEDD disponible avant le 30 juin 2020</w:t>
            </w:r>
            <w:r w:rsidRPr="00B0434F">
              <w:t>.</w:t>
            </w:r>
          </w:p>
        </w:tc>
        <w:tc>
          <w:tcPr>
            <w:tcW w:w="4876" w:type="dxa"/>
            <w:hideMark/>
          </w:tcPr>
          <w:p w14:paraId="59975F0F" w14:textId="77777777" w:rsidR="00BF7ACA" w:rsidRPr="00B0434F" w:rsidRDefault="00BF7ACA" w:rsidP="007924BE">
            <w:pPr>
              <w:pStyle w:val="Normal6"/>
              <w:rPr>
                <w:szCs w:val="24"/>
              </w:rPr>
            </w:pPr>
            <w:r w:rsidRPr="00B0434F">
              <w:t>1.</w:t>
            </w:r>
            <w:r>
              <w:tab/>
            </w:r>
            <w:r w:rsidRPr="00B0434F">
              <w:t>Au plus tard le 31 décembre </w:t>
            </w:r>
            <w:r w:rsidRPr="00B0434F">
              <w:rPr>
                <w:b/>
                <w:i/>
              </w:rPr>
              <w:t>2019</w:t>
            </w:r>
            <w:r w:rsidRPr="00B0434F">
              <w:t>, la Commission procède à une évaluation du fonctionnement du FEDD</w:t>
            </w:r>
            <w:r w:rsidRPr="00B0434F">
              <w:rPr>
                <w:b/>
                <w:i/>
              </w:rPr>
              <w:t>, de sa gestion</w:t>
            </w:r>
            <w:r w:rsidRPr="00B0434F">
              <w:t xml:space="preserve"> </w:t>
            </w:r>
            <w:r w:rsidRPr="00B0434F">
              <w:rPr>
                <w:b/>
                <w:i/>
              </w:rPr>
              <w:t>et de sa contribution réelle à l</w:t>
            </w:r>
            <w:r>
              <w:rPr>
                <w:b/>
                <w:i/>
              </w:rPr>
              <w:t>’</w:t>
            </w:r>
            <w:r w:rsidRPr="00B0434F">
              <w:rPr>
                <w:b/>
                <w:i/>
              </w:rPr>
              <w:t>objet et aux objectifs du présent règlement</w:t>
            </w:r>
            <w:r w:rsidRPr="00B0434F">
              <w:t>. Elle présente au Parlement européen et au Conseil son rapport d</w:t>
            </w:r>
            <w:r>
              <w:t>’</w:t>
            </w:r>
            <w:r w:rsidRPr="00B0434F">
              <w:t>évaluation, qui contient une évaluation indépendante de l</w:t>
            </w:r>
            <w:r>
              <w:t>’</w:t>
            </w:r>
            <w:r w:rsidRPr="00B0434F">
              <w:t>application du présent règlement</w:t>
            </w:r>
            <w:r w:rsidRPr="00B0434F">
              <w:rPr>
                <w:b/>
                <w:i/>
              </w:rPr>
              <w:t>, accompagné d</w:t>
            </w:r>
            <w:r>
              <w:rPr>
                <w:b/>
                <w:i/>
              </w:rPr>
              <w:t>’</w:t>
            </w:r>
            <w:r w:rsidRPr="00B0434F">
              <w:rPr>
                <w:b/>
                <w:i/>
              </w:rPr>
              <w:t>une proposition motivée visant à réviser ou à modifier le présent règlement, s</w:t>
            </w:r>
            <w:r>
              <w:rPr>
                <w:b/>
                <w:i/>
              </w:rPr>
              <w:t>’</w:t>
            </w:r>
            <w:r w:rsidRPr="00B0434F">
              <w:rPr>
                <w:b/>
                <w:i/>
              </w:rPr>
              <w:t>il y a lieu, notamment en vue d</w:t>
            </w:r>
            <w:r>
              <w:rPr>
                <w:b/>
                <w:i/>
              </w:rPr>
              <w:t>’</w:t>
            </w:r>
            <w:r w:rsidRPr="00B0434F">
              <w:rPr>
                <w:b/>
                <w:i/>
              </w:rPr>
              <w:t>étendre la période d</w:t>
            </w:r>
            <w:r>
              <w:rPr>
                <w:b/>
                <w:i/>
              </w:rPr>
              <w:t>’</w:t>
            </w:r>
            <w:r w:rsidRPr="00B0434F">
              <w:rPr>
                <w:b/>
                <w:i/>
              </w:rPr>
              <w:t>investissement initiale visée à l</w:t>
            </w:r>
            <w:r>
              <w:rPr>
                <w:b/>
                <w:i/>
              </w:rPr>
              <w:t>’</w:t>
            </w:r>
            <w:r w:rsidRPr="00B0434F">
              <w:rPr>
                <w:b/>
                <w:i/>
              </w:rPr>
              <w:t>article 7, paragraphe 2</w:t>
            </w:r>
            <w:r w:rsidRPr="00B0434F">
              <w:t>.</w:t>
            </w:r>
            <w:r w:rsidRPr="00B0434F">
              <w:rPr>
                <w:b/>
                <w:i/>
              </w:rPr>
              <w:t xml:space="preserve"> </w:t>
            </w:r>
            <w:r w:rsidRPr="00B0434F">
              <w:t xml:space="preserve">Ce rapport </w:t>
            </w:r>
            <w:r w:rsidRPr="00B0434F">
              <w:rPr>
                <w:b/>
                <w:i/>
              </w:rPr>
              <w:t>d</w:t>
            </w:r>
            <w:r>
              <w:rPr>
                <w:b/>
                <w:i/>
              </w:rPr>
              <w:t>’</w:t>
            </w:r>
            <w:r w:rsidRPr="00B0434F">
              <w:rPr>
                <w:b/>
                <w:i/>
              </w:rPr>
              <w:t>évaluation</w:t>
            </w:r>
            <w:r w:rsidRPr="00B0434F">
              <w:t xml:space="preserve"> est </w:t>
            </w:r>
            <w:r w:rsidRPr="00B0434F">
              <w:rPr>
                <w:b/>
                <w:i/>
              </w:rPr>
              <w:t>assorti d</w:t>
            </w:r>
            <w:r>
              <w:rPr>
                <w:b/>
                <w:i/>
              </w:rPr>
              <w:t>’</w:t>
            </w:r>
            <w:r w:rsidRPr="00B0434F">
              <w:rPr>
                <w:b/>
                <w:i/>
              </w:rPr>
              <w:t>un avis de la Cour des comptes</w:t>
            </w:r>
            <w:r w:rsidRPr="00B0434F">
              <w:t>.</w:t>
            </w:r>
          </w:p>
        </w:tc>
      </w:tr>
    </w:tbl>
    <w:p w14:paraId="29C4B7D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ACDB8B3" w14:textId="77777777" w:rsidR="00BF7ACA" w:rsidRPr="00BF7ACA" w:rsidRDefault="00BF7ACA" w:rsidP="00BF7ACA">
      <w:r w:rsidRPr="00BF7ACA">
        <w:rPr>
          <w:rStyle w:val="HideTWBExt"/>
        </w:rPr>
        <w:t>&lt;/Amend&gt;</w:t>
      </w:r>
    </w:p>
    <w:p w14:paraId="093FC39F"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362</w:t>
      </w:r>
      <w:r w:rsidRPr="00BF7ACA">
        <w:rPr>
          <w:rStyle w:val="HideTWBExt"/>
          <w:b w:val="0"/>
        </w:rPr>
        <w:t>&lt;/NumAm&gt;</w:t>
      </w:r>
    </w:p>
    <w:p w14:paraId="6E406714" w14:textId="77777777"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14:paraId="37BF4C93" w14:textId="77777777" w:rsidR="00BF7ACA" w:rsidRPr="00AF1321" w:rsidRDefault="00BF7ACA" w:rsidP="00BF7ACA">
      <w:r>
        <w:rPr>
          <w:rStyle w:val="HideTWBExt"/>
        </w:rPr>
        <w:t>&lt;/RepeatBlock-By&gt;</w:t>
      </w:r>
    </w:p>
    <w:p w14:paraId="40E962DE"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5482B2B8" w14:textId="77777777" w:rsidR="00BF7ACA" w:rsidRPr="00AF1321" w:rsidRDefault="00BF7ACA" w:rsidP="00BF7ACA">
      <w:pPr>
        <w:pStyle w:val="NormalBold"/>
      </w:pPr>
      <w:r>
        <w:rPr>
          <w:rStyle w:val="HideTWBExt"/>
          <w:b w:val="0"/>
        </w:rPr>
        <w:t>&lt;Article&gt;</w:t>
      </w:r>
      <w:r w:rsidRPr="00B0434F">
        <w:t>Article 16 – paragraphe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1DC0D671" w14:textId="77777777" w:rsidTr="007924BE">
        <w:trPr>
          <w:jc w:val="center"/>
        </w:trPr>
        <w:tc>
          <w:tcPr>
            <w:tcW w:w="9752" w:type="dxa"/>
            <w:gridSpan w:val="2"/>
          </w:tcPr>
          <w:p w14:paraId="350F0F0B" w14:textId="77777777" w:rsidR="00BF7ACA" w:rsidRPr="00AF1321" w:rsidRDefault="00BF7ACA" w:rsidP="007924BE">
            <w:pPr>
              <w:keepNext/>
            </w:pPr>
          </w:p>
        </w:tc>
      </w:tr>
      <w:tr w:rsidR="00BF7ACA" w:rsidRPr="00AF1321" w14:paraId="75106CEE" w14:textId="77777777" w:rsidTr="007924BE">
        <w:trPr>
          <w:jc w:val="center"/>
        </w:trPr>
        <w:tc>
          <w:tcPr>
            <w:tcW w:w="4876" w:type="dxa"/>
            <w:hideMark/>
          </w:tcPr>
          <w:p w14:paraId="09EF5E6F" w14:textId="77777777" w:rsidR="00BF7ACA" w:rsidRPr="00B0434F" w:rsidRDefault="00BF7ACA" w:rsidP="007924BE">
            <w:pPr>
              <w:pStyle w:val="ColumnHeading"/>
              <w:keepNext/>
            </w:pPr>
            <w:r w:rsidRPr="00B0434F">
              <w:t>Texte proposé par la Commission</w:t>
            </w:r>
          </w:p>
        </w:tc>
        <w:tc>
          <w:tcPr>
            <w:tcW w:w="4876" w:type="dxa"/>
            <w:hideMark/>
          </w:tcPr>
          <w:p w14:paraId="3F067056" w14:textId="77777777" w:rsidR="00BF7ACA" w:rsidRPr="00B0434F" w:rsidRDefault="00BF7ACA" w:rsidP="007924BE">
            <w:pPr>
              <w:pStyle w:val="ColumnHeading"/>
              <w:keepNext/>
            </w:pPr>
            <w:r w:rsidRPr="00B0434F">
              <w:t>Amendement</w:t>
            </w:r>
          </w:p>
        </w:tc>
      </w:tr>
      <w:tr w:rsidR="00BF7ACA" w:rsidRPr="00AF1321" w14:paraId="526E249B" w14:textId="77777777" w:rsidTr="007924BE">
        <w:trPr>
          <w:jc w:val="center"/>
        </w:trPr>
        <w:tc>
          <w:tcPr>
            <w:tcW w:w="4876" w:type="dxa"/>
            <w:hideMark/>
          </w:tcPr>
          <w:p w14:paraId="122FD090" w14:textId="77777777" w:rsidR="00BF7ACA" w:rsidRPr="00B0434F" w:rsidRDefault="00BF7ACA" w:rsidP="007924BE">
            <w:pPr>
              <w:pStyle w:val="Normal6"/>
            </w:pPr>
            <w:r w:rsidRPr="00B0434F">
              <w:t>1.</w:t>
            </w:r>
            <w:r>
              <w:tab/>
            </w:r>
            <w:r w:rsidRPr="00B0434F">
              <w:t>Au plus tard le 31 décembre </w:t>
            </w:r>
            <w:r w:rsidRPr="00B0434F">
              <w:rPr>
                <w:b/>
                <w:i/>
              </w:rPr>
              <w:t>2020</w:t>
            </w:r>
            <w:r w:rsidRPr="00B0434F">
              <w:t>, la Commission procède à une évaluation du fonctionnement du FEDD. Elle présente au Parlement européen et au Conseil son rapport d</w:t>
            </w:r>
            <w:r>
              <w:t>’</w:t>
            </w:r>
            <w:r w:rsidRPr="00B0434F">
              <w:t xml:space="preserve">évaluation, qui contient une évaluation </w:t>
            </w:r>
            <w:r w:rsidRPr="00B0434F">
              <w:rPr>
                <w:b/>
                <w:i/>
              </w:rPr>
              <w:t>indépendante</w:t>
            </w:r>
            <w:r w:rsidRPr="00B0434F">
              <w:t xml:space="preserve"> de l</w:t>
            </w:r>
            <w:r>
              <w:t>’</w:t>
            </w:r>
            <w:r w:rsidRPr="00B0434F">
              <w:t>application du présent règlement.</w:t>
            </w:r>
            <w:r w:rsidRPr="00B0434F">
              <w:rPr>
                <w:b/>
                <w:i/>
              </w:rPr>
              <w:t xml:space="preserve"> Ce rapport est soumis sans tarder par la Commission dans l</w:t>
            </w:r>
            <w:r>
              <w:rPr>
                <w:b/>
                <w:i/>
              </w:rPr>
              <w:t>’</w:t>
            </w:r>
            <w:r w:rsidRPr="00B0434F">
              <w:rPr>
                <w:b/>
                <w:i/>
              </w:rPr>
              <w:t>éventualité où les opérations de financement et d</w:t>
            </w:r>
            <w:r>
              <w:rPr>
                <w:b/>
                <w:i/>
              </w:rPr>
              <w:t>’</w:t>
            </w:r>
            <w:r w:rsidRPr="00B0434F">
              <w:rPr>
                <w:b/>
                <w:i/>
              </w:rPr>
              <w:t>investissement approuvées absorberaient entièrement le montant de la garantie FEDD disponible avant le 30 juin 2020.</w:t>
            </w:r>
          </w:p>
        </w:tc>
        <w:tc>
          <w:tcPr>
            <w:tcW w:w="4876" w:type="dxa"/>
            <w:hideMark/>
          </w:tcPr>
          <w:p w14:paraId="4F60DF95" w14:textId="77777777" w:rsidR="00BF7ACA" w:rsidRPr="00B0434F" w:rsidRDefault="00BF7ACA" w:rsidP="007924BE">
            <w:pPr>
              <w:pStyle w:val="Normal6"/>
              <w:rPr>
                <w:szCs w:val="24"/>
              </w:rPr>
            </w:pPr>
            <w:r w:rsidRPr="00B0434F">
              <w:t>1.</w:t>
            </w:r>
            <w:r>
              <w:tab/>
            </w:r>
            <w:r w:rsidRPr="00B0434F">
              <w:t>Au plus tard le 31 décembre </w:t>
            </w:r>
            <w:r w:rsidRPr="00B0434F">
              <w:rPr>
                <w:b/>
                <w:i/>
              </w:rPr>
              <w:t>2019</w:t>
            </w:r>
            <w:r w:rsidRPr="00B0434F">
              <w:t xml:space="preserve">, la Commission procède à une évaluation du fonctionnement du FEDD </w:t>
            </w:r>
            <w:r w:rsidRPr="00B0434F">
              <w:rPr>
                <w:b/>
                <w:i/>
              </w:rPr>
              <w:t>et de sa contribution réelle à l</w:t>
            </w:r>
            <w:r>
              <w:rPr>
                <w:b/>
                <w:i/>
              </w:rPr>
              <w:t>’</w:t>
            </w:r>
            <w:r w:rsidRPr="00B0434F">
              <w:rPr>
                <w:b/>
                <w:i/>
              </w:rPr>
              <w:t>objet et aux objectifs du présent règlement</w:t>
            </w:r>
            <w:r w:rsidRPr="00B0434F">
              <w:t>. Elle présente au Parlement européen et au Conseil son rapport d</w:t>
            </w:r>
            <w:r>
              <w:t>’</w:t>
            </w:r>
            <w:r w:rsidRPr="00B0434F">
              <w:t xml:space="preserve">évaluation, qui contient une évaluation </w:t>
            </w:r>
            <w:r w:rsidRPr="00B0434F">
              <w:rPr>
                <w:b/>
                <w:i/>
              </w:rPr>
              <w:t>externe</w:t>
            </w:r>
            <w:r w:rsidRPr="00B0434F">
              <w:rPr>
                <w:b/>
              </w:rPr>
              <w:t xml:space="preserve"> </w:t>
            </w:r>
            <w:r w:rsidRPr="00B0434F">
              <w:t>de l</w:t>
            </w:r>
            <w:r>
              <w:t>’</w:t>
            </w:r>
            <w:r w:rsidRPr="00B0434F">
              <w:t>application du présent règlement</w:t>
            </w:r>
            <w:r w:rsidRPr="00B0434F">
              <w:rPr>
                <w:b/>
                <w:i/>
              </w:rPr>
              <w:t>, accompagné d</w:t>
            </w:r>
            <w:r>
              <w:rPr>
                <w:b/>
                <w:i/>
              </w:rPr>
              <w:t>’</w:t>
            </w:r>
            <w:r w:rsidRPr="00B0434F">
              <w:rPr>
                <w:b/>
                <w:i/>
              </w:rPr>
              <w:t>une proposition motivée visant à réviser ou à modifier le présent règlement, s</w:t>
            </w:r>
            <w:r>
              <w:rPr>
                <w:b/>
                <w:i/>
              </w:rPr>
              <w:t>’</w:t>
            </w:r>
            <w:r w:rsidRPr="00B0434F">
              <w:rPr>
                <w:b/>
                <w:i/>
              </w:rPr>
              <w:t>il y a lieu, notamment en vue d</w:t>
            </w:r>
            <w:r>
              <w:rPr>
                <w:b/>
                <w:i/>
              </w:rPr>
              <w:t>’</w:t>
            </w:r>
            <w:r w:rsidRPr="00B0434F">
              <w:rPr>
                <w:b/>
                <w:i/>
              </w:rPr>
              <w:t>étendre la période d</w:t>
            </w:r>
            <w:r>
              <w:rPr>
                <w:b/>
                <w:i/>
              </w:rPr>
              <w:t>’</w:t>
            </w:r>
            <w:r w:rsidRPr="00B0434F">
              <w:rPr>
                <w:b/>
                <w:i/>
              </w:rPr>
              <w:t>investissement initiale visée à l</w:t>
            </w:r>
            <w:r>
              <w:rPr>
                <w:b/>
                <w:i/>
              </w:rPr>
              <w:t>’</w:t>
            </w:r>
            <w:r w:rsidRPr="00B0434F">
              <w:rPr>
                <w:b/>
                <w:i/>
              </w:rPr>
              <w:t>article 7, paragraphe 2</w:t>
            </w:r>
            <w:r w:rsidRPr="00B0434F">
              <w:t>.</w:t>
            </w:r>
          </w:p>
        </w:tc>
      </w:tr>
    </w:tbl>
    <w:p w14:paraId="667F211A" w14:textId="77777777"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14:paraId="3625D7A2" w14:textId="77777777" w:rsidR="00BF7ACA" w:rsidRPr="00BF7ACA" w:rsidRDefault="00BF7ACA" w:rsidP="00BF7ACA">
      <w:pPr>
        <w:rPr>
          <w:lang w:val="nl-NL"/>
        </w:rPr>
      </w:pPr>
      <w:r w:rsidRPr="00BF7ACA">
        <w:rPr>
          <w:rStyle w:val="HideTWBExt"/>
          <w:lang w:val="nl-NL"/>
        </w:rPr>
        <w:t>&lt;/Amend&gt;</w:t>
      </w:r>
    </w:p>
    <w:p w14:paraId="28BFE31D" w14:textId="77777777"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363</w:t>
      </w:r>
      <w:r w:rsidRPr="00BF7ACA">
        <w:rPr>
          <w:rStyle w:val="HideTWBExt"/>
          <w:b w:val="0"/>
          <w:lang w:val="nl-NL"/>
        </w:rPr>
        <w:t>&lt;/NumAm&gt;</w:t>
      </w:r>
    </w:p>
    <w:p w14:paraId="6478A7E0" w14:textId="77777777"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14:paraId="03CD1C23" w14:textId="77777777" w:rsidR="00BF7ACA" w:rsidRPr="00BF7ACA" w:rsidRDefault="00BF7ACA" w:rsidP="00BF7ACA">
      <w:pPr>
        <w:rPr>
          <w:lang w:val="nl-NL"/>
        </w:rPr>
      </w:pPr>
      <w:r w:rsidRPr="00BF7ACA">
        <w:rPr>
          <w:rStyle w:val="HideTWBExt"/>
          <w:lang w:val="nl-NL"/>
        </w:rPr>
        <w:t>&lt;/RepeatBlock-By&gt;</w:t>
      </w:r>
    </w:p>
    <w:p w14:paraId="6EBD236F"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6905466B" w14:textId="77777777" w:rsidR="00BF7ACA" w:rsidRPr="00AF1321" w:rsidRDefault="00BF7ACA" w:rsidP="00BF7ACA">
      <w:pPr>
        <w:pStyle w:val="NormalBold"/>
      </w:pPr>
      <w:r>
        <w:rPr>
          <w:rStyle w:val="HideTWBExt"/>
          <w:b w:val="0"/>
        </w:rPr>
        <w:t>&lt;Article&gt;</w:t>
      </w:r>
      <w:r w:rsidRPr="00B0434F">
        <w:t>Article 16 – paragraphe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54B608C0" w14:textId="77777777" w:rsidTr="007924BE">
        <w:trPr>
          <w:jc w:val="center"/>
        </w:trPr>
        <w:tc>
          <w:tcPr>
            <w:tcW w:w="9752" w:type="dxa"/>
            <w:gridSpan w:val="2"/>
          </w:tcPr>
          <w:p w14:paraId="0A6B62B2" w14:textId="77777777" w:rsidR="00BF7ACA" w:rsidRPr="00AF1321" w:rsidRDefault="00BF7ACA" w:rsidP="007924BE">
            <w:pPr>
              <w:keepNext/>
            </w:pPr>
          </w:p>
        </w:tc>
      </w:tr>
      <w:tr w:rsidR="00BF7ACA" w:rsidRPr="00AF1321" w14:paraId="07F455D9" w14:textId="77777777" w:rsidTr="007924BE">
        <w:trPr>
          <w:jc w:val="center"/>
        </w:trPr>
        <w:tc>
          <w:tcPr>
            <w:tcW w:w="4876" w:type="dxa"/>
            <w:hideMark/>
          </w:tcPr>
          <w:p w14:paraId="667A8F88" w14:textId="77777777" w:rsidR="00BF7ACA" w:rsidRPr="00B0434F" w:rsidRDefault="00BF7ACA" w:rsidP="007924BE">
            <w:pPr>
              <w:pStyle w:val="ColumnHeading"/>
              <w:keepNext/>
            </w:pPr>
            <w:r w:rsidRPr="00B0434F">
              <w:t>Texte proposé par la Commission</w:t>
            </w:r>
          </w:p>
        </w:tc>
        <w:tc>
          <w:tcPr>
            <w:tcW w:w="4876" w:type="dxa"/>
            <w:hideMark/>
          </w:tcPr>
          <w:p w14:paraId="06E12FD3" w14:textId="77777777" w:rsidR="00BF7ACA" w:rsidRPr="00B0434F" w:rsidRDefault="00BF7ACA" w:rsidP="007924BE">
            <w:pPr>
              <w:pStyle w:val="ColumnHeading"/>
              <w:keepNext/>
            </w:pPr>
            <w:r w:rsidRPr="00B0434F">
              <w:t>Amendement</w:t>
            </w:r>
          </w:p>
        </w:tc>
      </w:tr>
      <w:tr w:rsidR="00BF7ACA" w:rsidRPr="00AF1321" w14:paraId="325813E2" w14:textId="77777777" w:rsidTr="007924BE">
        <w:trPr>
          <w:jc w:val="center"/>
        </w:trPr>
        <w:tc>
          <w:tcPr>
            <w:tcW w:w="4876" w:type="dxa"/>
            <w:hideMark/>
          </w:tcPr>
          <w:p w14:paraId="438E0F0B" w14:textId="77777777" w:rsidR="00BF7ACA" w:rsidRPr="00B0434F" w:rsidRDefault="00BF7ACA" w:rsidP="007924BE">
            <w:pPr>
              <w:pStyle w:val="Normal6"/>
            </w:pPr>
            <w:r w:rsidRPr="00B0434F">
              <w:t>1.</w:t>
            </w:r>
            <w:r>
              <w:tab/>
            </w:r>
            <w:r w:rsidRPr="00B0434F">
              <w:t>Au plus tard le 31 décembre 2020, la Commission procède à une évaluation du fonctionnement du FEDD. Elle présente au Parlement européen et au Conseil son rapport d</w:t>
            </w:r>
            <w:r>
              <w:t>’</w:t>
            </w:r>
            <w:r w:rsidRPr="00B0434F">
              <w:t>évaluation, qui contient une évaluation indépendante de l</w:t>
            </w:r>
            <w:r>
              <w:t>’</w:t>
            </w:r>
            <w:r w:rsidRPr="00B0434F">
              <w:t>application du présent règlement. Ce rapport est soumis sans tarder par la Commission dans l</w:t>
            </w:r>
            <w:r>
              <w:t>’</w:t>
            </w:r>
            <w:r w:rsidRPr="00B0434F">
              <w:t>éventualité où les opérations de financement et d</w:t>
            </w:r>
            <w:r>
              <w:t>’</w:t>
            </w:r>
            <w:r w:rsidRPr="00B0434F">
              <w:t>investissement approuvées absorberaient entièrement le montant de la garantie FEDD disponible avant le 30 juin 2020.</w:t>
            </w:r>
          </w:p>
        </w:tc>
        <w:tc>
          <w:tcPr>
            <w:tcW w:w="4876" w:type="dxa"/>
            <w:hideMark/>
          </w:tcPr>
          <w:p w14:paraId="3BE3EF17" w14:textId="77777777" w:rsidR="00BF7ACA" w:rsidRPr="00B0434F" w:rsidRDefault="00BF7ACA" w:rsidP="007924BE">
            <w:pPr>
              <w:pStyle w:val="Normal6"/>
              <w:rPr>
                <w:szCs w:val="24"/>
              </w:rPr>
            </w:pPr>
            <w:r w:rsidRPr="00B0434F">
              <w:t>1.</w:t>
            </w:r>
            <w:r>
              <w:tab/>
            </w:r>
            <w:r w:rsidRPr="00B0434F">
              <w:t>Au plus tard le 31 décembre 2020, la Commission procède</w:t>
            </w:r>
            <w:r w:rsidRPr="00B0434F">
              <w:rPr>
                <w:b/>
                <w:i/>
              </w:rPr>
              <w:t>, en collaboration avec un évaluateur indépendant,</w:t>
            </w:r>
            <w:r w:rsidRPr="00B0434F">
              <w:t xml:space="preserve"> à une évaluation du fonctionnement du FEDD. Elle présente au Parlement européen et au Conseil son rapport d</w:t>
            </w:r>
            <w:r>
              <w:t>’</w:t>
            </w:r>
            <w:r w:rsidRPr="00B0434F">
              <w:t>évaluation, qui contient une évaluation indépendante de l</w:t>
            </w:r>
            <w:r>
              <w:t>’</w:t>
            </w:r>
            <w:r w:rsidRPr="00B0434F">
              <w:t>application du présent règlement. Ce rapport est soumis sans tarder par la Commission dans l</w:t>
            </w:r>
            <w:r>
              <w:t>’</w:t>
            </w:r>
            <w:r w:rsidRPr="00B0434F">
              <w:t>éventualité où les opérations de financement et d</w:t>
            </w:r>
            <w:r>
              <w:t>’</w:t>
            </w:r>
            <w:r w:rsidRPr="00B0434F">
              <w:t>investissement approuvées absorberaient entièrement le montant de la garantie FEDD disponible avant le 30 juin 2020.</w:t>
            </w:r>
          </w:p>
        </w:tc>
      </w:tr>
    </w:tbl>
    <w:p w14:paraId="77FF865C"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0D27FA5" w14:textId="77777777" w:rsidR="00BF7ACA" w:rsidRPr="00BF7ACA" w:rsidRDefault="00BF7ACA" w:rsidP="00BF7ACA">
      <w:r w:rsidRPr="00BF7ACA">
        <w:rPr>
          <w:rStyle w:val="HideTWBExt"/>
        </w:rPr>
        <w:t>&lt;/Amend&gt;</w:t>
      </w:r>
    </w:p>
    <w:p w14:paraId="6E860D8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364</w:t>
      </w:r>
      <w:r w:rsidRPr="00BF7ACA">
        <w:rPr>
          <w:rStyle w:val="HideTWBExt"/>
          <w:b w:val="0"/>
        </w:rPr>
        <w:t>&lt;/NumAm&gt;</w:t>
      </w:r>
    </w:p>
    <w:p w14:paraId="27C21B6F"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5CA34312" w14:textId="77777777" w:rsidR="00BF7ACA" w:rsidRPr="00AF1321" w:rsidRDefault="00BF7ACA" w:rsidP="00BF7ACA">
      <w:r>
        <w:rPr>
          <w:rStyle w:val="HideTWBExt"/>
        </w:rPr>
        <w:t>&lt;/RepeatBlock-By&gt;</w:t>
      </w:r>
    </w:p>
    <w:p w14:paraId="7E50E9E5"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0129E6AA" w14:textId="77777777" w:rsidR="00BF7ACA" w:rsidRPr="00AF1321" w:rsidRDefault="00BF7ACA" w:rsidP="00BF7ACA">
      <w:pPr>
        <w:pStyle w:val="NormalBold"/>
      </w:pPr>
      <w:r>
        <w:rPr>
          <w:rStyle w:val="HideTWBExt"/>
          <w:b w:val="0"/>
        </w:rPr>
        <w:t>&lt;Article&gt;</w:t>
      </w:r>
      <w:r w:rsidRPr="00B0434F">
        <w:t>Article 16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134A9603" w14:textId="77777777" w:rsidTr="007924BE">
        <w:trPr>
          <w:jc w:val="center"/>
        </w:trPr>
        <w:tc>
          <w:tcPr>
            <w:tcW w:w="9752" w:type="dxa"/>
            <w:gridSpan w:val="2"/>
          </w:tcPr>
          <w:p w14:paraId="3F82AD99" w14:textId="77777777" w:rsidR="00BF7ACA" w:rsidRPr="00AF1321" w:rsidRDefault="00BF7ACA" w:rsidP="007924BE">
            <w:pPr>
              <w:keepNext/>
            </w:pPr>
          </w:p>
        </w:tc>
      </w:tr>
      <w:tr w:rsidR="00BF7ACA" w:rsidRPr="00AF1321" w14:paraId="6AA07ACB" w14:textId="77777777" w:rsidTr="007924BE">
        <w:trPr>
          <w:jc w:val="center"/>
        </w:trPr>
        <w:tc>
          <w:tcPr>
            <w:tcW w:w="4876" w:type="dxa"/>
            <w:hideMark/>
          </w:tcPr>
          <w:p w14:paraId="2F699E59" w14:textId="77777777" w:rsidR="00BF7ACA" w:rsidRPr="00B0434F" w:rsidRDefault="00BF7ACA" w:rsidP="007924BE">
            <w:pPr>
              <w:pStyle w:val="ColumnHeading"/>
              <w:keepNext/>
            </w:pPr>
            <w:r w:rsidRPr="00B0434F">
              <w:t>Texte proposé par la Commission</w:t>
            </w:r>
          </w:p>
        </w:tc>
        <w:tc>
          <w:tcPr>
            <w:tcW w:w="4876" w:type="dxa"/>
            <w:hideMark/>
          </w:tcPr>
          <w:p w14:paraId="01EC8B16" w14:textId="77777777" w:rsidR="00BF7ACA" w:rsidRPr="00B0434F" w:rsidRDefault="00BF7ACA" w:rsidP="007924BE">
            <w:pPr>
              <w:pStyle w:val="ColumnHeading"/>
              <w:keepNext/>
            </w:pPr>
            <w:r w:rsidRPr="00B0434F">
              <w:t>Amendement</w:t>
            </w:r>
          </w:p>
        </w:tc>
      </w:tr>
      <w:tr w:rsidR="00BF7ACA" w:rsidRPr="00AF1321" w14:paraId="0CDC924F" w14:textId="77777777" w:rsidTr="007924BE">
        <w:trPr>
          <w:jc w:val="center"/>
        </w:trPr>
        <w:tc>
          <w:tcPr>
            <w:tcW w:w="4876" w:type="dxa"/>
            <w:hideMark/>
          </w:tcPr>
          <w:p w14:paraId="2993B99B" w14:textId="77777777" w:rsidR="00BF7ACA" w:rsidRPr="00B0434F" w:rsidRDefault="00BF7ACA" w:rsidP="007924BE">
            <w:pPr>
              <w:pStyle w:val="Normal6"/>
            </w:pPr>
            <w:r w:rsidRPr="00B0434F">
              <w:t>2.</w:t>
            </w:r>
            <w:r>
              <w:tab/>
            </w:r>
            <w:r w:rsidRPr="00B0434F">
              <w:t>Au plus tard le 31 décembre 2020 et tous les trois ans par la suite, la Commission procède à une évaluation de l</w:t>
            </w:r>
            <w:r>
              <w:t>’</w:t>
            </w:r>
            <w:r w:rsidRPr="00B0434F">
              <w:t>utilisation du fonds de garantie FEDD. Elle présente son rapport d</w:t>
            </w:r>
            <w:r>
              <w:t>’</w:t>
            </w:r>
            <w:r w:rsidRPr="00B0434F">
              <w:t>évaluation au Parlement européen et au Conseil. Ce rapport d</w:t>
            </w:r>
            <w:r>
              <w:t>’</w:t>
            </w:r>
            <w:r w:rsidRPr="00B0434F">
              <w:t>évaluation est assorti d</w:t>
            </w:r>
            <w:r>
              <w:t>’</w:t>
            </w:r>
            <w:r w:rsidRPr="00B0434F">
              <w:t>un avis de la Cour des comptes.</w:t>
            </w:r>
          </w:p>
        </w:tc>
        <w:tc>
          <w:tcPr>
            <w:tcW w:w="4876" w:type="dxa"/>
            <w:hideMark/>
          </w:tcPr>
          <w:p w14:paraId="23444375" w14:textId="77777777" w:rsidR="00BF7ACA" w:rsidRPr="00B0434F" w:rsidRDefault="00BF7ACA" w:rsidP="007924BE">
            <w:pPr>
              <w:pStyle w:val="Normal6"/>
              <w:rPr>
                <w:szCs w:val="24"/>
              </w:rPr>
            </w:pPr>
            <w:r w:rsidRPr="00B0434F">
              <w:t>2.</w:t>
            </w:r>
            <w:r>
              <w:tab/>
            </w:r>
            <w:r w:rsidRPr="00B0434F">
              <w:t>Au plus tard le 31 décembre 2020 et tous les trois ans par la suite, la Commission procède à une évaluation de l</w:t>
            </w:r>
            <w:r>
              <w:t>’</w:t>
            </w:r>
            <w:r w:rsidRPr="00B0434F">
              <w:t>utilisation du fonds de garantie FEDD. Elle présente son rapport d</w:t>
            </w:r>
            <w:r>
              <w:t>’</w:t>
            </w:r>
            <w:r w:rsidRPr="00B0434F">
              <w:t>évaluation au Parlement européen et au Conseil. Ce rapport d</w:t>
            </w:r>
            <w:r>
              <w:t>’</w:t>
            </w:r>
            <w:r w:rsidRPr="00B0434F">
              <w:t>évaluation est assorti d</w:t>
            </w:r>
            <w:r>
              <w:t>’</w:t>
            </w:r>
            <w:r w:rsidRPr="00B0434F">
              <w:t xml:space="preserve">un avis de la Cour des comptes </w:t>
            </w:r>
            <w:r w:rsidRPr="00B0434F">
              <w:rPr>
                <w:b/>
                <w:i/>
              </w:rPr>
              <w:t>sur la gestion du fonds de garantie FEDD et sur l</w:t>
            </w:r>
            <w:r>
              <w:rPr>
                <w:b/>
                <w:i/>
              </w:rPr>
              <w:t>’</w:t>
            </w:r>
            <w:r w:rsidRPr="00B0434F">
              <w:rPr>
                <w:b/>
                <w:i/>
              </w:rPr>
              <w:t>efficacité ainsi que l</w:t>
            </w:r>
            <w:r>
              <w:rPr>
                <w:b/>
                <w:i/>
              </w:rPr>
              <w:t>’</w:t>
            </w:r>
            <w:r w:rsidRPr="00B0434F">
              <w:rPr>
                <w:b/>
                <w:i/>
              </w:rPr>
              <w:t>additionnalité des opérations du FEDD</w:t>
            </w:r>
            <w:r w:rsidRPr="00B0434F">
              <w:t>.</w:t>
            </w:r>
          </w:p>
        </w:tc>
      </w:tr>
    </w:tbl>
    <w:p w14:paraId="04E59A0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75289EE" w14:textId="77777777" w:rsidR="00BF7ACA" w:rsidRPr="00BF7ACA" w:rsidRDefault="00BF7ACA" w:rsidP="00BF7ACA">
      <w:r w:rsidRPr="00BF7ACA">
        <w:rPr>
          <w:rStyle w:val="HideTWBExt"/>
        </w:rPr>
        <w:t>&lt;/Amend&gt;</w:t>
      </w:r>
    </w:p>
    <w:p w14:paraId="18FD11E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365</w:t>
      </w:r>
      <w:r w:rsidRPr="00BF7ACA">
        <w:rPr>
          <w:rStyle w:val="HideTWBExt"/>
          <w:b w:val="0"/>
        </w:rPr>
        <w:t>&lt;/NumAm&gt;</w:t>
      </w:r>
    </w:p>
    <w:p w14:paraId="3FA397FD" w14:textId="77777777"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14:paraId="020AA80B" w14:textId="77777777" w:rsidR="00BF7ACA" w:rsidRPr="00AF1321" w:rsidRDefault="00BF7ACA" w:rsidP="00BF7ACA">
      <w:r>
        <w:rPr>
          <w:rStyle w:val="HideTWBExt"/>
        </w:rPr>
        <w:t>&lt;/RepeatBlock-By&gt;</w:t>
      </w:r>
    </w:p>
    <w:p w14:paraId="6DDD6D62"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62BA3C11" w14:textId="77777777" w:rsidR="00BF7ACA" w:rsidRPr="00AF1321" w:rsidRDefault="00BF7ACA" w:rsidP="00BF7ACA">
      <w:pPr>
        <w:pStyle w:val="NormalBold"/>
      </w:pPr>
      <w:r>
        <w:rPr>
          <w:rStyle w:val="HideTWBExt"/>
          <w:b w:val="0"/>
        </w:rPr>
        <w:t>&lt;Article&gt;</w:t>
      </w:r>
      <w:r w:rsidRPr="00B0434F">
        <w:t>Article 16 – paragraphe 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0239F381" w14:textId="77777777" w:rsidTr="007924BE">
        <w:trPr>
          <w:jc w:val="center"/>
        </w:trPr>
        <w:tc>
          <w:tcPr>
            <w:tcW w:w="9752" w:type="dxa"/>
            <w:gridSpan w:val="2"/>
          </w:tcPr>
          <w:p w14:paraId="1D9F4580" w14:textId="77777777" w:rsidR="00BF7ACA" w:rsidRPr="00AF1321" w:rsidRDefault="00BF7ACA" w:rsidP="007924BE">
            <w:pPr>
              <w:keepNext/>
            </w:pPr>
          </w:p>
        </w:tc>
      </w:tr>
      <w:tr w:rsidR="00BF7ACA" w:rsidRPr="00AF1321" w14:paraId="3A4692E6" w14:textId="77777777" w:rsidTr="007924BE">
        <w:trPr>
          <w:jc w:val="center"/>
        </w:trPr>
        <w:tc>
          <w:tcPr>
            <w:tcW w:w="4876" w:type="dxa"/>
            <w:hideMark/>
          </w:tcPr>
          <w:p w14:paraId="043F5197" w14:textId="77777777" w:rsidR="00BF7ACA" w:rsidRPr="00B0434F" w:rsidRDefault="00BF7ACA" w:rsidP="007924BE">
            <w:pPr>
              <w:pStyle w:val="ColumnHeading"/>
              <w:keepNext/>
            </w:pPr>
            <w:r w:rsidRPr="00B0434F">
              <w:t>Texte proposé par la Commission</w:t>
            </w:r>
          </w:p>
        </w:tc>
        <w:tc>
          <w:tcPr>
            <w:tcW w:w="4876" w:type="dxa"/>
            <w:hideMark/>
          </w:tcPr>
          <w:p w14:paraId="0C29CA67" w14:textId="77777777" w:rsidR="00BF7ACA" w:rsidRPr="00B0434F" w:rsidRDefault="00BF7ACA" w:rsidP="007924BE">
            <w:pPr>
              <w:pStyle w:val="ColumnHeading"/>
              <w:keepNext/>
            </w:pPr>
            <w:r w:rsidRPr="00B0434F">
              <w:t>Amendement</w:t>
            </w:r>
          </w:p>
        </w:tc>
      </w:tr>
      <w:tr w:rsidR="00BF7ACA" w:rsidRPr="00AF1321" w14:paraId="6E7523F2" w14:textId="77777777" w:rsidTr="007924BE">
        <w:trPr>
          <w:jc w:val="center"/>
        </w:trPr>
        <w:tc>
          <w:tcPr>
            <w:tcW w:w="4876" w:type="dxa"/>
          </w:tcPr>
          <w:p w14:paraId="407E42B2" w14:textId="77777777" w:rsidR="00BF7ACA" w:rsidRPr="00B0434F" w:rsidRDefault="00BF7ACA" w:rsidP="007924BE">
            <w:pPr>
              <w:pStyle w:val="Normal6"/>
            </w:pPr>
          </w:p>
        </w:tc>
        <w:tc>
          <w:tcPr>
            <w:tcW w:w="4876" w:type="dxa"/>
            <w:hideMark/>
          </w:tcPr>
          <w:p w14:paraId="46D18200" w14:textId="77777777" w:rsidR="00BF7ACA" w:rsidRPr="00B0434F" w:rsidRDefault="00BF7ACA" w:rsidP="007924BE">
            <w:pPr>
              <w:pStyle w:val="Normal6"/>
              <w:rPr>
                <w:szCs w:val="24"/>
              </w:rPr>
            </w:pPr>
            <w:r w:rsidRPr="00B0434F">
              <w:rPr>
                <w:b/>
                <w:i/>
              </w:rPr>
              <w:t>2 bis.</w:t>
            </w:r>
            <w:r>
              <w:tab/>
            </w:r>
            <w:r w:rsidRPr="00B0434F">
              <w:rPr>
                <w:b/>
                <w:i/>
              </w:rPr>
              <w:t>au plus tard le 30 juin 2018, la Commission, en coopération avec le Service européen pour l</w:t>
            </w:r>
            <w:r>
              <w:rPr>
                <w:b/>
                <w:i/>
              </w:rPr>
              <w:t>’</w:t>
            </w:r>
            <w:r w:rsidRPr="00B0434F">
              <w:rPr>
                <w:b/>
                <w:i/>
              </w:rPr>
              <w:t>action extérieure (SEAE), définit un cadre et une méthode pour l</w:t>
            </w:r>
            <w:r>
              <w:rPr>
                <w:b/>
                <w:i/>
              </w:rPr>
              <w:t>’</w:t>
            </w:r>
            <w:r w:rsidRPr="00B0434F">
              <w:rPr>
                <w:b/>
                <w:i/>
              </w:rPr>
              <w:t>évaluation de la conformité avec l</w:t>
            </w:r>
            <w:r>
              <w:rPr>
                <w:b/>
                <w:i/>
              </w:rPr>
              <w:t>’</w:t>
            </w:r>
            <w:r w:rsidRPr="00B0434F">
              <w:rPr>
                <w:b/>
                <w:i/>
              </w:rPr>
              <w:t>article 21 du traité sur l</w:t>
            </w:r>
            <w:r>
              <w:rPr>
                <w:b/>
                <w:i/>
              </w:rPr>
              <w:t>’</w:t>
            </w:r>
            <w:r w:rsidRPr="00B0434F">
              <w:rPr>
                <w:b/>
                <w:i/>
              </w:rPr>
              <w:t>Union européenne.</w:t>
            </w:r>
          </w:p>
        </w:tc>
      </w:tr>
    </w:tbl>
    <w:p w14:paraId="1EF0F4F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CF2CA41" w14:textId="77777777" w:rsidR="00BF7ACA" w:rsidRPr="00BF7ACA" w:rsidRDefault="00BF7ACA" w:rsidP="00BF7ACA">
      <w:r w:rsidRPr="00BF7ACA">
        <w:rPr>
          <w:rStyle w:val="HideTWBExt"/>
        </w:rPr>
        <w:t>&lt;/Amend&gt;</w:t>
      </w:r>
    </w:p>
    <w:p w14:paraId="57AA7AC8"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366</w:t>
      </w:r>
      <w:r w:rsidRPr="00E502E5">
        <w:rPr>
          <w:rStyle w:val="HideTWBExt"/>
          <w:b w:val="0"/>
        </w:rPr>
        <w:t>&lt;/NumAm&gt;</w:t>
      </w:r>
    </w:p>
    <w:p w14:paraId="4235270B" w14:textId="77777777"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14:paraId="0C27A96A" w14:textId="77777777" w:rsidR="00BF7ACA" w:rsidRPr="00E502E5" w:rsidRDefault="00BF7ACA" w:rsidP="00BF7ACA">
      <w:r w:rsidRPr="00E502E5">
        <w:rPr>
          <w:rStyle w:val="HideTWBExt"/>
        </w:rPr>
        <w:t>&lt;/RepeatBlock-By&gt;</w:t>
      </w:r>
    </w:p>
    <w:p w14:paraId="689B07DE"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1E89D0FA" w14:textId="77777777" w:rsidR="00BF7ACA" w:rsidRPr="00E502E5" w:rsidRDefault="00BF7ACA" w:rsidP="00BF7ACA">
      <w:pPr>
        <w:pStyle w:val="NormalBold"/>
      </w:pPr>
      <w:r w:rsidRPr="00E502E5">
        <w:rPr>
          <w:rStyle w:val="HideTWBExt"/>
          <w:b w:val="0"/>
        </w:rPr>
        <w:t>&lt;Article&gt;</w:t>
      </w:r>
      <w:r w:rsidRPr="00E502E5">
        <w:t>Article 17 – titre</w:t>
      </w:r>
      <w:r w:rsidRPr="00E502E5">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5A42E566" w14:textId="77777777" w:rsidTr="007924BE">
        <w:trPr>
          <w:jc w:val="center"/>
        </w:trPr>
        <w:tc>
          <w:tcPr>
            <w:tcW w:w="9752" w:type="dxa"/>
            <w:gridSpan w:val="2"/>
          </w:tcPr>
          <w:p w14:paraId="2822CDEE" w14:textId="77777777" w:rsidR="00BF7ACA" w:rsidRPr="00E502E5" w:rsidRDefault="00BF7ACA" w:rsidP="007924BE">
            <w:pPr>
              <w:keepNext/>
            </w:pPr>
          </w:p>
        </w:tc>
      </w:tr>
      <w:tr w:rsidR="00BF7ACA" w:rsidRPr="00E502E5" w14:paraId="35BF656C" w14:textId="77777777" w:rsidTr="007924BE">
        <w:trPr>
          <w:jc w:val="center"/>
        </w:trPr>
        <w:tc>
          <w:tcPr>
            <w:tcW w:w="4876" w:type="dxa"/>
            <w:hideMark/>
          </w:tcPr>
          <w:p w14:paraId="53674DE6" w14:textId="77777777" w:rsidR="00BF7ACA" w:rsidRPr="00E502E5" w:rsidRDefault="00BF7ACA" w:rsidP="007924BE">
            <w:pPr>
              <w:pStyle w:val="ColumnHeading"/>
              <w:keepNext/>
            </w:pPr>
            <w:r w:rsidRPr="00E502E5">
              <w:t>Texte proposé par la Commission</w:t>
            </w:r>
          </w:p>
        </w:tc>
        <w:tc>
          <w:tcPr>
            <w:tcW w:w="4876" w:type="dxa"/>
            <w:hideMark/>
          </w:tcPr>
          <w:p w14:paraId="3D245436" w14:textId="77777777" w:rsidR="00BF7ACA" w:rsidRPr="00E502E5" w:rsidRDefault="00BF7ACA" w:rsidP="007924BE">
            <w:pPr>
              <w:pStyle w:val="ColumnHeading"/>
              <w:keepNext/>
            </w:pPr>
            <w:r w:rsidRPr="00E502E5">
              <w:t>Amendement</w:t>
            </w:r>
          </w:p>
        </w:tc>
      </w:tr>
      <w:tr w:rsidR="00BF7ACA" w:rsidRPr="00E502E5" w14:paraId="0051E37F" w14:textId="77777777" w:rsidTr="007924BE">
        <w:trPr>
          <w:jc w:val="center"/>
        </w:trPr>
        <w:tc>
          <w:tcPr>
            <w:tcW w:w="4876" w:type="dxa"/>
            <w:hideMark/>
          </w:tcPr>
          <w:p w14:paraId="0AA2B6DB" w14:textId="77777777" w:rsidR="00BF7ACA" w:rsidRPr="00E502E5" w:rsidRDefault="00BF7ACA" w:rsidP="007924BE">
            <w:pPr>
              <w:pStyle w:val="Normal6"/>
            </w:pPr>
            <w:r w:rsidRPr="00E502E5">
              <w:t>Transparence et publication des informations</w:t>
            </w:r>
          </w:p>
        </w:tc>
        <w:tc>
          <w:tcPr>
            <w:tcW w:w="4876" w:type="dxa"/>
            <w:hideMark/>
          </w:tcPr>
          <w:p w14:paraId="1F4DA223" w14:textId="77777777" w:rsidR="00BF7ACA" w:rsidRPr="00E502E5" w:rsidRDefault="00BF7ACA" w:rsidP="007924BE">
            <w:pPr>
              <w:pStyle w:val="Normal6"/>
              <w:rPr>
                <w:szCs w:val="24"/>
              </w:rPr>
            </w:pPr>
            <w:r w:rsidRPr="00E502E5">
              <w:t>Transparence</w:t>
            </w:r>
            <w:r w:rsidRPr="00E502E5">
              <w:rPr>
                <w:b/>
                <w:i/>
              </w:rPr>
              <w:t>, communication</w:t>
            </w:r>
            <w:r w:rsidRPr="00E502E5">
              <w:t xml:space="preserve"> et publication des informations</w:t>
            </w:r>
          </w:p>
        </w:tc>
      </w:tr>
    </w:tbl>
    <w:p w14:paraId="60913D40"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3EE7B058" w14:textId="77777777" w:rsidR="00BF7ACA" w:rsidRPr="00E502E5" w:rsidRDefault="00BF7ACA" w:rsidP="00BF7ACA">
      <w:r w:rsidRPr="00E502E5">
        <w:rPr>
          <w:rStyle w:val="HideTWBExt"/>
        </w:rPr>
        <w:t>&lt;/Amend&gt;</w:t>
      </w:r>
    </w:p>
    <w:p w14:paraId="6AFA8984" w14:textId="77777777" w:rsidR="00BF7ACA" w:rsidRPr="00E502E5" w:rsidRDefault="00BF7ACA" w:rsidP="00BF7ACA">
      <w:pPr>
        <w:pStyle w:val="AMNumberTabs"/>
        <w:keepNext/>
      </w:pPr>
      <w:r>
        <w:rPr>
          <w:rStyle w:val="HideTWBExt"/>
          <w:b w:val="0"/>
        </w:rPr>
        <w:t>&lt;Amend&gt;</w:t>
      </w:r>
      <w:r w:rsidRPr="00936017">
        <w:t>Amendement</w:t>
      </w:r>
      <w:r>
        <w:tab/>
      </w:r>
      <w:r>
        <w:tab/>
      </w:r>
      <w:r>
        <w:rPr>
          <w:rStyle w:val="HideTWBExt"/>
          <w:b w:val="0"/>
        </w:rPr>
        <w:t>&lt;NumAm&gt;</w:t>
      </w:r>
      <w:r w:rsidRPr="00936017">
        <w:t>367</w:t>
      </w:r>
      <w:r>
        <w:rPr>
          <w:rStyle w:val="HideTWBExt"/>
          <w:b w:val="0"/>
        </w:rPr>
        <w:t>&lt;/NumAm&gt;</w:t>
      </w:r>
    </w:p>
    <w:p w14:paraId="287A8298" w14:textId="77777777" w:rsidR="00BF7ACA" w:rsidRPr="00E502E5" w:rsidRDefault="00BF7ACA" w:rsidP="00BF7ACA">
      <w:pPr>
        <w:pStyle w:val="NormalBold"/>
      </w:pPr>
      <w:r>
        <w:rPr>
          <w:rStyle w:val="HideTWBExt"/>
          <w:b w:val="0"/>
        </w:rPr>
        <w:t>&lt;RepeatBlock-By&gt;&lt;Members&gt;</w:t>
      </w:r>
      <w:r w:rsidRPr="00936017">
        <w:t>Bernd Kölmel</w:t>
      </w:r>
      <w:r>
        <w:rPr>
          <w:rStyle w:val="HideTWBExt"/>
          <w:b w:val="0"/>
        </w:rPr>
        <w:t>&lt;/Members&gt;</w:t>
      </w:r>
    </w:p>
    <w:p w14:paraId="7EF0BB96" w14:textId="77777777" w:rsidR="00BF7ACA" w:rsidRPr="00E502E5" w:rsidRDefault="00BF7ACA" w:rsidP="00BF7ACA">
      <w:r>
        <w:rPr>
          <w:rStyle w:val="HideTWBExt"/>
        </w:rPr>
        <w:t>&lt;/RepeatBlock-By&gt;</w:t>
      </w:r>
    </w:p>
    <w:p w14:paraId="7459566F" w14:textId="77777777" w:rsidR="00BF7ACA" w:rsidRPr="00E502E5" w:rsidRDefault="00BF7ACA" w:rsidP="00BF7ACA">
      <w:pPr>
        <w:pStyle w:val="NormalBold"/>
        <w:keepNext/>
      </w:pPr>
      <w:r>
        <w:rPr>
          <w:rStyle w:val="HideTWBExt"/>
          <w:b w:val="0"/>
        </w:rPr>
        <w:t>&lt;DocAmend&gt;</w:t>
      </w:r>
      <w:r w:rsidRPr="00936017">
        <w:t>Proposition de règlement</w:t>
      </w:r>
      <w:r>
        <w:rPr>
          <w:rStyle w:val="HideTWBExt"/>
          <w:b w:val="0"/>
        </w:rPr>
        <w:t>&lt;/DocAmend&gt;</w:t>
      </w:r>
    </w:p>
    <w:p w14:paraId="2255E4BA" w14:textId="77777777" w:rsidR="00BF7ACA" w:rsidRPr="00E502E5" w:rsidRDefault="00BF7ACA" w:rsidP="00BF7ACA">
      <w:pPr>
        <w:pStyle w:val="NormalBold"/>
      </w:pPr>
      <w:r>
        <w:rPr>
          <w:rStyle w:val="HideTWBExt"/>
          <w:b w:val="0"/>
        </w:rPr>
        <w:t>&lt;Article&gt;</w:t>
      </w:r>
      <w:r w:rsidRPr="00936017">
        <w:t>Article 17 – alinéa unique</w:t>
      </w:r>
      <w:r>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79288B9D" w14:textId="77777777" w:rsidTr="007924BE">
        <w:trPr>
          <w:jc w:val="center"/>
        </w:trPr>
        <w:tc>
          <w:tcPr>
            <w:tcW w:w="9752" w:type="dxa"/>
            <w:gridSpan w:val="2"/>
          </w:tcPr>
          <w:p w14:paraId="5434658C" w14:textId="77777777" w:rsidR="00BF7ACA" w:rsidRPr="00E502E5" w:rsidRDefault="00BF7ACA" w:rsidP="007924BE">
            <w:pPr>
              <w:keepNext/>
            </w:pPr>
          </w:p>
        </w:tc>
      </w:tr>
      <w:tr w:rsidR="00BF7ACA" w:rsidRPr="00E502E5" w14:paraId="77844FFB" w14:textId="77777777" w:rsidTr="007924BE">
        <w:trPr>
          <w:jc w:val="center"/>
        </w:trPr>
        <w:tc>
          <w:tcPr>
            <w:tcW w:w="4876" w:type="dxa"/>
            <w:hideMark/>
          </w:tcPr>
          <w:p w14:paraId="23810B7C" w14:textId="77777777" w:rsidR="00BF7ACA" w:rsidRPr="00936017" w:rsidRDefault="00BF7ACA" w:rsidP="007924BE">
            <w:pPr>
              <w:pStyle w:val="ColumnHeading"/>
              <w:keepNext/>
            </w:pPr>
            <w:r w:rsidRPr="00936017">
              <w:t>Texte proposé par la Commission</w:t>
            </w:r>
          </w:p>
        </w:tc>
        <w:tc>
          <w:tcPr>
            <w:tcW w:w="4876" w:type="dxa"/>
            <w:hideMark/>
          </w:tcPr>
          <w:p w14:paraId="28A25ADB" w14:textId="77777777" w:rsidR="00BF7ACA" w:rsidRPr="00936017" w:rsidRDefault="00BF7ACA" w:rsidP="007924BE">
            <w:pPr>
              <w:pStyle w:val="ColumnHeading"/>
              <w:keepNext/>
            </w:pPr>
            <w:r w:rsidRPr="00936017">
              <w:t>Amendement</w:t>
            </w:r>
          </w:p>
        </w:tc>
      </w:tr>
      <w:tr w:rsidR="00BF7ACA" w:rsidRPr="00E502E5" w14:paraId="09738A2C" w14:textId="77777777" w:rsidTr="007924BE">
        <w:trPr>
          <w:jc w:val="center"/>
        </w:trPr>
        <w:tc>
          <w:tcPr>
            <w:tcW w:w="4876" w:type="dxa"/>
            <w:hideMark/>
          </w:tcPr>
          <w:p w14:paraId="29FD5AE1" w14:textId="77777777" w:rsidR="00BF7ACA" w:rsidRPr="00936017" w:rsidRDefault="00BF7ACA" w:rsidP="007924BE">
            <w:pPr>
              <w:pStyle w:val="Normal6"/>
            </w:pPr>
            <w:r w:rsidRPr="00936017">
              <w:t>Conformément à la politique de transparence de l</w:t>
            </w:r>
            <w:r>
              <w:t>’</w:t>
            </w:r>
            <w:r w:rsidRPr="00936017">
              <w:t>Union et à ses principes généraux en matière d</w:t>
            </w:r>
            <w:r>
              <w:t>’</w:t>
            </w:r>
            <w:r w:rsidRPr="00936017">
              <w:t>accès aux documents et à l</w:t>
            </w:r>
            <w:r>
              <w:t>’</w:t>
            </w:r>
            <w:r w:rsidRPr="00936017">
              <w:t>information, les contreparties éligibles mettent à la disposition du public, sur leur site internet, des informations sur toutes les opérations de financement et d</w:t>
            </w:r>
            <w:r>
              <w:t>’</w:t>
            </w:r>
            <w:r w:rsidRPr="00936017">
              <w:t>investissement couvertes par la garantie FEDD conformément au présent règlement, y compris sur la manière dont ces opérations contribuent aux exigences du présent règlement.</w:t>
            </w:r>
          </w:p>
        </w:tc>
        <w:tc>
          <w:tcPr>
            <w:tcW w:w="4876" w:type="dxa"/>
            <w:hideMark/>
          </w:tcPr>
          <w:p w14:paraId="7794259A" w14:textId="77777777" w:rsidR="00BF7ACA" w:rsidRPr="00936017" w:rsidRDefault="00BF7ACA" w:rsidP="007924BE">
            <w:pPr>
              <w:pStyle w:val="Normal6"/>
              <w:rPr>
                <w:szCs w:val="24"/>
              </w:rPr>
            </w:pPr>
            <w:r w:rsidRPr="00936017">
              <w:t>Conformément à la politique de transparence de l</w:t>
            </w:r>
            <w:r>
              <w:t>’</w:t>
            </w:r>
            <w:r w:rsidRPr="00936017">
              <w:t>Union et à ses principes généraux en matière d</w:t>
            </w:r>
            <w:r>
              <w:t>’</w:t>
            </w:r>
            <w:r w:rsidRPr="00936017">
              <w:t>accès aux documents et à l</w:t>
            </w:r>
            <w:r>
              <w:t>’</w:t>
            </w:r>
            <w:r w:rsidRPr="00936017">
              <w:t>information, les contreparties éligibles mettent à la disposition du public, sur leur site internet, des informations sur toutes les opérations de financement et d</w:t>
            </w:r>
            <w:r>
              <w:t>’</w:t>
            </w:r>
            <w:r w:rsidRPr="00936017">
              <w:t>investissement couvertes par la garantie FEDD conformément au présent règlement, y compris sur la manière dont ces opérations contribuent aux exigences du présent règlement.</w:t>
            </w:r>
            <w:r w:rsidRPr="00936017">
              <w:rPr>
                <w:b/>
                <w:i/>
              </w:rPr>
              <w:t xml:space="preserve"> Des données ouvertes sur l</w:t>
            </w:r>
            <w:r>
              <w:rPr>
                <w:b/>
                <w:i/>
              </w:rPr>
              <w:t>’</w:t>
            </w:r>
            <w:r w:rsidRPr="00936017">
              <w:rPr>
                <w:b/>
                <w:i/>
              </w:rPr>
              <w:t>ensemble du cycle d</w:t>
            </w:r>
            <w:r>
              <w:rPr>
                <w:b/>
                <w:i/>
              </w:rPr>
              <w:t>’</w:t>
            </w:r>
            <w:r w:rsidRPr="00936017">
              <w:rPr>
                <w:b/>
                <w:i/>
              </w:rPr>
              <w:t>attribution des marchés, de la planification jusqu</w:t>
            </w:r>
            <w:r>
              <w:rPr>
                <w:b/>
                <w:i/>
              </w:rPr>
              <w:t>’</w:t>
            </w:r>
            <w:r w:rsidRPr="00936017">
              <w:rPr>
                <w:b/>
                <w:i/>
              </w:rPr>
              <w:t>à l</w:t>
            </w:r>
            <w:r>
              <w:rPr>
                <w:b/>
                <w:i/>
              </w:rPr>
              <w:t>’</w:t>
            </w:r>
            <w:r w:rsidRPr="00936017">
              <w:rPr>
                <w:b/>
                <w:i/>
              </w:rPr>
              <w:t>exécution, sont une solution efficace présentant un vaste éventail de possibilités. Les données ouvertes permettent une meilleure analyse interne des données et offrent la possibilité de réduire les coûts et de rendre le processus de passation de marchés plus efficace. Elles permettent aux entreprises potentielles d</w:t>
            </w:r>
            <w:r>
              <w:rPr>
                <w:b/>
                <w:i/>
              </w:rPr>
              <w:t>’</w:t>
            </w:r>
            <w:r w:rsidRPr="00936017">
              <w:rPr>
                <w:b/>
                <w:i/>
              </w:rPr>
              <w:t>analyser les projets et d</w:t>
            </w:r>
            <w:r>
              <w:rPr>
                <w:b/>
                <w:i/>
              </w:rPr>
              <w:t>’</w:t>
            </w:r>
            <w:r w:rsidRPr="00936017">
              <w:rPr>
                <w:b/>
                <w:i/>
              </w:rPr>
              <w:t>ouvrir de nouveaux débouchés. Elles permettent de repérer et d</w:t>
            </w:r>
            <w:r>
              <w:rPr>
                <w:b/>
                <w:i/>
              </w:rPr>
              <w:t>’</w:t>
            </w:r>
            <w:r w:rsidRPr="00936017">
              <w:rPr>
                <w:b/>
                <w:i/>
              </w:rPr>
              <w:t>éviter la corruption. Enfin, il s</w:t>
            </w:r>
            <w:r>
              <w:rPr>
                <w:b/>
                <w:i/>
              </w:rPr>
              <w:t>’</w:t>
            </w:r>
            <w:r w:rsidRPr="00936017">
              <w:rPr>
                <w:b/>
                <w:i/>
              </w:rPr>
              <w:t>agit d</w:t>
            </w:r>
            <w:r>
              <w:rPr>
                <w:b/>
                <w:i/>
              </w:rPr>
              <w:t>’</w:t>
            </w:r>
            <w:r w:rsidRPr="00936017">
              <w:rPr>
                <w:b/>
                <w:i/>
              </w:rPr>
              <w:t>obtenir de meilleurs résultats pour les citoyens, d</w:t>
            </w:r>
            <w:r>
              <w:rPr>
                <w:b/>
                <w:i/>
              </w:rPr>
              <w:t>’</w:t>
            </w:r>
            <w:r w:rsidRPr="00936017">
              <w:rPr>
                <w:b/>
                <w:i/>
              </w:rPr>
              <w:t>avoir de meilleures écoles, de meilleurs hôpitaux, davantage de petites entreprises et plus d</w:t>
            </w:r>
            <w:r>
              <w:rPr>
                <w:b/>
                <w:i/>
              </w:rPr>
              <w:t>’</w:t>
            </w:r>
            <w:r w:rsidRPr="00936017">
              <w:rPr>
                <w:b/>
                <w:i/>
              </w:rPr>
              <w:t>emplois. Lorsque l</w:t>
            </w:r>
            <w:r>
              <w:rPr>
                <w:b/>
                <w:i/>
              </w:rPr>
              <w:t>’</w:t>
            </w:r>
            <w:r w:rsidRPr="00936017">
              <w:rPr>
                <w:b/>
                <w:i/>
              </w:rPr>
              <w:t>on promeut davantage d</w:t>
            </w:r>
            <w:r>
              <w:rPr>
                <w:b/>
                <w:i/>
              </w:rPr>
              <w:t>’</w:t>
            </w:r>
            <w:r w:rsidRPr="00936017">
              <w:rPr>
                <w:b/>
                <w:i/>
              </w:rPr>
              <w:t>investissements privés, la transparence doit être garantie, afin de ne pas favoriser le népotisme existant mais au contraire de mettre en place une concurrence ouverte.</w:t>
            </w:r>
          </w:p>
        </w:tc>
      </w:tr>
    </w:tbl>
    <w:p w14:paraId="30886BF6" w14:textId="77777777" w:rsidR="00BF7ACA" w:rsidRPr="00E502E5" w:rsidRDefault="00BF7ACA" w:rsidP="00BF7ACA">
      <w:pPr>
        <w:pStyle w:val="Olang"/>
        <w:rPr>
          <w:noProof w:val="0"/>
          <w:szCs w:val="24"/>
        </w:rPr>
      </w:pPr>
      <w:r w:rsidRPr="00936017">
        <w:rPr>
          <w:noProof w:val="0"/>
        </w:rPr>
        <w:t xml:space="preserve">Or. </w:t>
      </w:r>
      <w:r w:rsidRPr="009857D1">
        <w:rPr>
          <w:rStyle w:val="HideTWBExt"/>
          <w:noProof w:val="0"/>
        </w:rPr>
        <w:t>&lt;Original&gt;</w:t>
      </w:r>
      <w:r w:rsidRPr="009857D1">
        <w:rPr>
          <w:rStyle w:val="HideTWBInt"/>
          <w:noProof w:val="0"/>
        </w:rPr>
        <w:t>{DE}</w:t>
      </w:r>
      <w:r w:rsidRPr="00936017">
        <w:rPr>
          <w:noProof w:val="0"/>
        </w:rPr>
        <w:t>de</w:t>
      </w:r>
      <w:r w:rsidRPr="009857D1">
        <w:rPr>
          <w:rStyle w:val="HideTWBExt"/>
          <w:noProof w:val="0"/>
        </w:rPr>
        <w:t>&lt;/Original&gt;</w:t>
      </w:r>
    </w:p>
    <w:p w14:paraId="1EB7EBB3" w14:textId="0226F758" w:rsidR="00BF7ACA" w:rsidRPr="00BF7ACA" w:rsidRDefault="00BF7ACA" w:rsidP="00BF7ACA">
      <w:pPr>
        <w:pStyle w:val="AMNumberTabs"/>
        <w:keepNext/>
      </w:pPr>
      <w:r>
        <w:rPr>
          <w:rStyle w:val="HideTWBExt"/>
        </w:rPr>
        <w:t>&lt;/Amend&gt;</w:t>
      </w:r>
      <w:r w:rsidRPr="00BF7ACA">
        <w:rPr>
          <w:rStyle w:val="HideTWBExt"/>
          <w:b w:val="0"/>
        </w:rPr>
        <w:t>&lt;Amend&gt;</w:t>
      </w:r>
      <w:r w:rsidRPr="00BF7ACA">
        <w:t>Amendement</w:t>
      </w:r>
      <w:r w:rsidRPr="00BF7ACA">
        <w:tab/>
      </w:r>
      <w:r w:rsidRPr="00BF7ACA">
        <w:tab/>
      </w:r>
      <w:r w:rsidRPr="00BF7ACA">
        <w:rPr>
          <w:rStyle w:val="HideTWBExt"/>
          <w:b w:val="0"/>
        </w:rPr>
        <w:t>&lt;NumAm&gt;</w:t>
      </w:r>
      <w:r w:rsidRPr="00BF7ACA">
        <w:t>368</w:t>
      </w:r>
      <w:r w:rsidRPr="00BF7ACA">
        <w:rPr>
          <w:rStyle w:val="HideTWBExt"/>
          <w:b w:val="0"/>
        </w:rPr>
        <w:t>&lt;/NumAm&gt;</w:t>
      </w:r>
    </w:p>
    <w:p w14:paraId="10DA0547" w14:textId="77777777"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14:paraId="170920B4" w14:textId="77777777" w:rsidR="00BF7ACA" w:rsidRPr="00AF1321" w:rsidRDefault="00BF7ACA" w:rsidP="00BF7ACA">
      <w:r>
        <w:rPr>
          <w:rStyle w:val="HideTWBExt"/>
        </w:rPr>
        <w:t>&lt;/RepeatBlock-By&gt;</w:t>
      </w:r>
    </w:p>
    <w:p w14:paraId="54385DCD"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11735519" w14:textId="77777777" w:rsidR="00BF7ACA" w:rsidRPr="00AF1321" w:rsidRDefault="00BF7ACA" w:rsidP="00BF7ACA">
      <w:pPr>
        <w:pStyle w:val="NormalBold"/>
      </w:pPr>
      <w:r>
        <w:rPr>
          <w:rStyle w:val="HideTWBExt"/>
          <w:b w:val="0"/>
        </w:rPr>
        <w:t>&lt;Article&gt;</w:t>
      </w:r>
      <w:r w:rsidRPr="00B0434F">
        <w:t>Article 17 – alinéa unique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23ACF9C3" w14:textId="77777777" w:rsidTr="007924BE">
        <w:trPr>
          <w:jc w:val="center"/>
        </w:trPr>
        <w:tc>
          <w:tcPr>
            <w:tcW w:w="9752" w:type="dxa"/>
            <w:gridSpan w:val="2"/>
          </w:tcPr>
          <w:p w14:paraId="10944879" w14:textId="77777777" w:rsidR="00BF7ACA" w:rsidRPr="00AF1321" w:rsidRDefault="00BF7ACA" w:rsidP="007924BE">
            <w:pPr>
              <w:keepNext/>
            </w:pPr>
          </w:p>
        </w:tc>
      </w:tr>
      <w:tr w:rsidR="00BF7ACA" w:rsidRPr="00AF1321" w14:paraId="236E8CD6" w14:textId="77777777" w:rsidTr="007924BE">
        <w:trPr>
          <w:jc w:val="center"/>
        </w:trPr>
        <w:tc>
          <w:tcPr>
            <w:tcW w:w="4876" w:type="dxa"/>
            <w:hideMark/>
          </w:tcPr>
          <w:p w14:paraId="3DF68355" w14:textId="77777777" w:rsidR="00BF7ACA" w:rsidRPr="00B0434F" w:rsidRDefault="00BF7ACA" w:rsidP="007924BE">
            <w:pPr>
              <w:pStyle w:val="ColumnHeading"/>
              <w:keepNext/>
            </w:pPr>
            <w:r w:rsidRPr="00B0434F">
              <w:t>Texte proposé par la Commission</w:t>
            </w:r>
          </w:p>
        </w:tc>
        <w:tc>
          <w:tcPr>
            <w:tcW w:w="4876" w:type="dxa"/>
            <w:hideMark/>
          </w:tcPr>
          <w:p w14:paraId="35193762" w14:textId="77777777" w:rsidR="00BF7ACA" w:rsidRPr="00B0434F" w:rsidRDefault="00BF7ACA" w:rsidP="007924BE">
            <w:pPr>
              <w:pStyle w:val="ColumnHeading"/>
              <w:keepNext/>
            </w:pPr>
            <w:r w:rsidRPr="00B0434F">
              <w:t>Amendement</w:t>
            </w:r>
          </w:p>
        </w:tc>
      </w:tr>
      <w:tr w:rsidR="00BF7ACA" w:rsidRPr="00AF1321" w14:paraId="45543084" w14:textId="77777777" w:rsidTr="007924BE">
        <w:trPr>
          <w:jc w:val="center"/>
        </w:trPr>
        <w:tc>
          <w:tcPr>
            <w:tcW w:w="4876" w:type="dxa"/>
            <w:hideMark/>
          </w:tcPr>
          <w:p w14:paraId="631DA63C" w14:textId="77777777" w:rsidR="00BF7ACA" w:rsidRPr="00B0434F" w:rsidRDefault="00BF7ACA" w:rsidP="007924BE">
            <w:pPr>
              <w:pStyle w:val="Normal6"/>
            </w:pPr>
            <w:r w:rsidRPr="00B0434F">
              <w:t>Conformément à la politique de transparence de l</w:t>
            </w:r>
            <w:r>
              <w:t>’</w:t>
            </w:r>
            <w:r w:rsidRPr="00B0434F">
              <w:t xml:space="preserve">Union et à ses </w:t>
            </w:r>
            <w:r w:rsidRPr="00B0434F">
              <w:rPr>
                <w:b/>
                <w:i/>
              </w:rPr>
              <w:t>principes généraux</w:t>
            </w:r>
            <w:r w:rsidRPr="00B0434F">
              <w:t xml:space="preserve"> en matière d</w:t>
            </w:r>
            <w:r>
              <w:t>’</w:t>
            </w:r>
            <w:r w:rsidRPr="00B0434F">
              <w:t>accès aux documents et à l</w:t>
            </w:r>
            <w:r>
              <w:t>’</w:t>
            </w:r>
            <w:r w:rsidRPr="00B0434F">
              <w:t>information, les contreparties éligibles mettent à la disposition du public, sur leur site internet, des informations sur toutes les opérations de financement et d</w:t>
            </w:r>
            <w:r>
              <w:t>’</w:t>
            </w:r>
            <w:r w:rsidRPr="00B0434F">
              <w:t>investissement couvertes par la garantie FEDD conformément au présent règlement, y compris sur la manière dont ces opérations contribuent aux exigences du présent règlement.</w:t>
            </w:r>
          </w:p>
        </w:tc>
        <w:tc>
          <w:tcPr>
            <w:tcW w:w="4876" w:type="dxa"/>
            <w:hideMark/>
          </w:tcPr>
          <w:p w14:paraId="037F4A5B" w14:textId="77777777" w:rsidR="00BF7ACA" w:rsidRPr="00B0434F" w:rsidRDefault="00BF7ACA" w:rsidP="007924BE">
            <w:pPr>
              <w:pStyle w:val="Normal6"/>
              <w:rPr>
                <w:szCs w:val="24"/>
              </w:rPr>
            </w:pPr>
            <w:r w:rsidRPr="00B0434F">
              <w:t>Conformément à la politique de transparence de l</w:t>
            </w:r>
            <w:r>
              <w:t>’</w:t>
            </w:r>
            <w:r w:rsidRPr="00B0434F">
              <w:t xml:space="preserve">Union et à ses </w:t>
            </w:r>
            <w:r w:rsidRPr="00B0434F">
              <w:rPr>
                <w:b/>
                <w:i/>
              </w:rPr>
              <w:t>règles</w:t>
            </w:r>
            <w:r w:rsidRPr="00B0434F">
              <w:t xml:space="preserve"> </w:t>
            </w:r>
            <w:r w:rsidRPr="00B0434F">
              <w:rPr>
                <w:b/>
                <w:i/>
              </w:rPr>
              <w:t>générales</w:t>
            </w:r>
            <w:r w:rsidRPr="00B0434F">
              <w:rPr>
                <w:b/>
              </w:rPr>
              <w:t xml:space="preserve"> </w:t>
            </w:r>
            <w:r w:rsidRPr="00B0434F">
              <w:t>en matière d</w:t>
            </w:r>
            <w:r>
              <w:t>’</w:t>
            </w:r>
            <w:r w:rsidRPr="00B0434F">
              <w:t>accès aux documents et à l</w:t>
            </w:r>
            <w:r>
              <w:t>’</w:t>
            </w:r>
            <w:r w:rsidRPr="00B0434F">
              <w:t>information, les contreparties éligibles mettent à la disposition du public,</w:t>
            </w:r>
            <w:r w:rsidRPr="00B0434F">
              <w:rPr>
                <w:b/>
                <w:i/>
              </w:rPr>
              <w:t xml:space="preserve"> de façon anticipée et systématique,</w:t>
            </w:r>
            <w:r w:rsidRPr="00B0434F">
              <w:t xml:space="preserve"> sur leur site internet, des informations sur toutes les opérations de financement et d</w:t>
            </w:r>
            <w:r>
              <w:t>’</w:t>
            </w:r>
            <w:r w:rsidRPr="00B0434F">
              <w:t xml:space="preserve">investissement couvertes par la garantie FEDD conformément au présent règlement, y compris sur la manière dont ces opérations contribuent aux exigences du présent règlement. </w:t>
            </w:r>
            <w:r w:rsidRPr="00B0434F">
              <w:rPr>
                <w:b/>
                <w:i/>
              </w:rPr>
              <w:t>Dans la mesure du possible, ces informations sont ventilées au niveau du projet et portent notamment sur les bénéficiaires finaux, en tenant compte de la protection des informations confidentielles et des informations sensibles sur le plan commercial.</w:t>
            </w:r>
          </w:p>
        </w:tc>
      </w:tr>
    </w:tbl>
    <w:p w14:paraId="49D61F47"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67AD324" w14:textId="77777777" w:rsidR="00BF7ACA" w:rsidRPr="00BF7ACA" w:rsidRDefault="00BF7ACA" w:rsidP="00BF7ACA">
      <w:r w:rsidRPr="00BF7ACA">
        <w:rPr>
          <w:rStyle w:val="HideTWBExt"/>
        </w:rPr>
        <w:t>&lt;/Amend&gt;</w:t>
      </w:r>
    </w:p>
    <w:p w14:paraId="440D5506"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369</w:t>
      </w:r>
      <w:r w:rsidRPr="00BF7ACA">
        <w:rPr>
          <w:rStyle w:val="HideTWBExt"/>
          <w:b w:val="0"/>
        </w:rPr>
        <w:t>&lt;/NumAm&gt;</w:t>
      </w:r>
    </w:p>
    <w:p w14:paraId="4E83AAD5" w14:textId="77777777"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14:paraId="2C3D9D8C" w14:textId="77777777" w:rsidR="00BF7ACA" w:rsidRPr="00AF1321" w:rsidRDefault="00BF7ACA" w:rsidP="00BF7ACA">
      <w:r>
        <w:rPr>
          <w:rStyle w:val="HideTWBExt"/>
        </w:rPr>
        <w:t>&lt;/RepeatBlock-By&gt;</w:t>
      </w:r>
    </w:p>
    <w:p w14:paraId="52D1DA7A"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57B75342" w14:textId="77777777" w:rsidR="00BF7ACA" w:rsidRPr="00AF1321" w:rsidRDefault="00BF7ACA" w:rsidP="00BF7ACA">
      <w:pPr>
        <w:pStyle w:val="NormalBold"/>
      </w:pPr>
      <w:r>
        <w:rPr>
          <w:rStyle w:val="HideTWBExt"/>
          <w:b w:val="0"/>
        </w:rPr>
        <w:t>&lt;Article&gt;</w:t>
      </w:r>
      <w:r w:rsidRPr="00B0434F">
        <w:t>Article 17 – alinéa unique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7A31EF60" w14:textId="77777777" w:rsidTr="007924BE">
        <w:trPr>
          <w:jc w:val="center"/>
        </w:trPr>
        <w:tc>
          <w:tcPr>
            <w:tcW w:w="9752" w:type="dxa"/>
            <w:gridSpan w:val="2"/>
          </w:tcPr>
          <w:p w14:paraId="2F01FC1F" w14:textId="77777777" w:rsidR="00BF7ACA" w:rsidRPr="00AF1321" w:rsidRDefault="00BF7ACA" w:rsidP="007924BE">
            <w:pPr>
              <w:keepNext/>
            </w:pPr>
          </w:p>
        </w:tc>
      </w:tr>
      <w:tr w:rsidR="00BF7ACA" w:rsidRPr="00AF1321" w14:paraId="6BF5D815" w14:textId="77777777" w:rsidTr="007924BE">
        <w:trPr>
          <w:jc w:val="center"/>
        </w:trPr>
        <w:tc>
          <w:tcPr>
            <w:tcW w:w="4876" w:type="dxa"/>
            <w:hideMark/>
          </w:tcPr>
          <w:p w14:paraId="68B925F7" w14:textId="77777777" w:rsidR="00BF7ACA" w:rsidRPr="00B0434F" w:rsidRDefault="00BF7ACA" w:rsidP="007924BE">
            <w:pPr>
              <w:pStyle w:val="ColumnHeading"/>
              <w:keepNext/>
            </w:pPr>
            <w:r w:rsidRPr="00B0434F">
              <w:t>Texte proposé par la Commission</w:t>
            </w:r>
          </w:p>
        </w:tc>
        <w:tc>
          <w:tcPr>
            <w:tcW w:w="4876" w:type="dxa"/>
            <w:hideMark/>
          </w:tcPr>
          <w:p w14:paraId="21F26ABF" w14:textId="77777777" w:rsidR="00BF7ACA" w:rsidRPr="00B0434F" w:rsidRDefault="00BF7ACA" w:rsidP="007924BE">
            <w:pPr>
              <w:pStyle w:val="ColumnHeading"/>
              <w:keepNext/>
            </w:pPr>
            <w:r w:rsidRPr="00B0434F">
              <w:t>Amendement</w:t>
            </w:r>
          </w:p>
        </w:tc>
      </w:tr>
      <w:tr w:rsidR="00BF7ACA" w:rsidRPr="00AF1321" w14:paraId="5C426481" w14:textId="77777777" w:rsidTr="007924BE">
        <w:trPr>
          <w:jc w:val="center"/>
        </w:trPr>
        <w:tc>
          <w:tcPr>
            <w:tcW w:w="4876" w:type="dxa"/>
            <w:hideMark/>
          </w:tcPr>
          <w:p w14:paraId="516F8E65" w14:textId="77777777" w:rsidR="00BF7ACA" w:rsidRPr="00B0434F" w:rsidRDefault="00BF7ACA" w:rsidP="007924BE">
            <w:pPr>
              <w:pStyle w:val="Normal6"/>
            </w:pPr>
            <w:r w:rsidRPr="00B0434F">
              <w:t>Conformément à la politique de transparence de l</w:t>
            </w:r>
            <w:r>
              <w:t>’</w:t>
            </w:r>
            <w:r w:rsidRPr="00B0434F">
              <w:t>Union et à ses principes généraux en matière d</w:t>
            </w:r>
            <w:r>
              <w:t>’</w:t>
            </w:r>
            <w:r w:rsidRPr="00B0434F">
              <w:t>accès aux documents et à l</w:t>
            </w:r>
            <w:r>
              <w:t>’</w:t>
            </w:r>
            <w:r w:rsidRPr="00B0434F">
              <w:t>information, les contreparties éligibles mettent à la disposition du public, sur leur site internet, des informations sur toutes les opérations de financement et d</w:t>
            </w:r>
            <w:r>
              <w:t>’</w:t>
            </w:r>
            <w:r w:rsidRPr="00B0434F">
              <w:t>investissement couvertes par la garantie FEDD conformément au présent règlement, y compris sur la manière dont ces opérations contribuent aux exigences du présent règlement.</w:t>
            </w:r>
          </w:p>
        </w:tc>
        <w:tc>
          <w:tcPr>
            <w:tcW w:w="4876" w:type="dxa"/>
            <w:hideMark/>
          </w:tcPr>
          <w:p w14:paraId="3FB6A0C4" w14:textId="77777777" w:rsidR="00BF7ACA" w:rsidRPr="00B0434F" w:rsidRDefault="00BF7ACA" w:rsidP="007924BE">
            <w:pPr>
              <w:pStyle w:val="Normal6"/>
              <w:rPr>
                <w:szCs w:val="24"/>
              </w:rPr>
            </w:pPr>
            <w:r w:rsidRPr="00B0434F">
              <w:t>Conformément à la politique de transparence de l</w:t>
            </w:r>
            <w:r>
              <w:t>’</w:t>
            </w:r>
            <w:r w:rsidRPr="00B0434F">
              <w:t>Union et à ses principes généraux en matière d</w:t>
            </w:r>
            <w:r>
              <w:t>’</w:t>
            </w:r>
            <w:r w:rsidRPr="00B0434F">
              <w:t>accès aux documents et à l</w:t>
            </w:r>
            <w:r>
              <w:t>’</w:t>
            </w:r>
            <w:r w:rsidRPr="00B0434F">
              <w:t>information, les contreparties éligibles mettent à la disposition du public, sur leur site internet, des informations sur toutes les opérations de financement et d</w:t>
            </w:r>
            <w:r>
              <w:t>’</w:t>
            </w:r>
            <w:r w:rsidRPr="00B0434F">
              <w:t xml:space="preserve">investissement couvertes par la garantie FEDD conformément au présent règlement, y compris sur la manière dont ces opérations contribuent aux exigences du présent règlement. </w:t>
            </w:r>
            <w:r w:rsidRPr="00B0434F">
              <w:rPr>
                <w:b/>
                <w:i/>
              </w:rPr>
              <w:t>Le portail internet du guichet unique de la Commission contient des informations complètes, rendues facilement accessibles au public, sur l</w:t>
            </w:r>
            <w:r>
              <w:rPr>
                <w:b/>
                <w:i/>
              </w:rPr>
              <w:t>’</w:t>
            </w:r>
            <w:r w:rsidRPr="00B0434F">
              <w:rPr>
                <w:b/>
                <w:i/>
              </w:rPr>
              <w:t>ensemble de ses contreparties éligibles et sur les opérations que celles-ci effectuent au titre de la garantie.</w:t>
            </w:r>
          </w:p>
        </w:tc>
      </w:tr>
    </w:tbl>
    <w:p w14:paraId="7A1698E1"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FF3DEC8" w14:textId="77777777" w:rsidR="00BF7ACA" w:rsidRPr="00BF7ACA" w:rsidRDefault="00BF7ACA" w:rsidP="00BF7ACA">
      <w:r w:rsidRPr="00BF7ACA">
        <w:rPr>
          <w:rStyle w:val="HideTWBExt"/>
        </w:rPr>
        <w:t>&lt;/Amend&gt;</w:t>
      </w:r>
    </w:p>
    <w:p w14:paraId="186A849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370</w:t>
      </w:r>
      <w:r w:rsidRPr="00BF7ACA">
        <w:rPr>
          <w:rStyle w:val="HideTWBExt"/>
          <w:b w:val="0"/>
        </w:rPr>
        <w:t>&lt;/NumAm&gt;</w:t>
      </w:r>
    </w:p>
    <w:p w14:paraId="496CAF84"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69962E4F" w14:textId="77777777" w:rsidR="00BF7ACA" w:rsidRPr="00AF1321" w:rsidRDefault="00BF7ACA" w:rsidP="00BF7ACA">
      <w:r>
        <w:rPr>
          <w:rStyle w:val="HideTWBExt"/>
        </w:rPr>
        <w:t>&lt;/RepeatBlock-By&gt;</w:t>
      </w:r>
    </w:p>
    <w:p w14:paraId="417B7CA4"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396987A7" w14:textId="77777777" w:rsidR="00BF7ACA" w:rsidRPr="00AF1321" w:rsidRDefault="00BF7ACA" w:rsidP="00BF7ACA">
      <w:pPr>
        <w:pStyle w:val="NormalBold"/>
      </w:pPr>
      <w:r>
        <w:rPr>
          <w:rStyle w:val="HideTWBExt"/>
          <w:b w:val="0"/>
        </w:rPr>
        <w:t>&lt;Article&gt;</w:t>
      </w:r>
      <w:r w:rsidRPr="00B0434F">
        <w:t>Article 17 – alinéa unique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4E60781C" w14:textId="77777777" w:rsidTr="007924BE">
        <w:trPr>
          <w:jc w:val="center"/>
        </w:trPr>
        <w:tc>
          <w:tcPr>
            <w:tcW w:w="9752" w:type="dxa"/>
            <w:gridSpan w:val="2"/>
          </w:tcPr>
          <w:p w14:paraId="2085F6F9" w14:textId="77777777" w:rsidR="00BF7ACA" w:rsidRPr="00AF1321" w:rsidRDefault="00BF7ACA" w:rsidP="007924BE">
            <w:pPr>
              <w:keepNext/>
            </w:pPr>
          </w:p>
        </w:tc>
      </w:tr>
      <w:tr w:rsidR="00BF7ACA" w:rsidRPr="00AF1321" w14:paraId="66CB9949" w14:textId="77777777" w:rsidTr="007924BE">
        <w:trPr>
          <w:jc w:val="center"/>
        </w:trPr>
        <w:tc>
          <w:tcPr>
            <w:tcW w:w="4876" w:type="dxa"/>
            <w:hideMark/>
          </w:tcPr>
          <w:p w14:paraId="65ECB937" w14:textId="77777777" w:rsidR="00BF7ACA" w:rsidRPr="00B0434F" w:rsidRDefault="00BF7ACA" w:rsidP="007924BE">
            <w:pPr>
              <w:pStyle w:val="ColumnHeading"/>
              <w:keepNext/>
            </w:pPr>
            <w:r w:rsidRPr="00B0434F">
              <w:t>Texte proposé par la Commission</w:t>
            </w:r>
          </w:p>
        </w:tc>
        <w:tc>
          <w:tcPr>
            <w:tcW w:w="4876" w:type="dxa"/>
            <w:hideMark/>
          </w:tcPr>
          <w:p w14:paraId="458A542A" w14:textId="77777777" w:rsidR="00BF7ACA" w:rsidRPr="00B0434F" w:rsidRDefault="00BF7ACA" w:rsidP="007924BE">
            <w:pPr>
              <w:pStyle w:val="ColumnHeading"/>
              <w:keepNext/>
            </w:pPr>
            <w:r w:rsidRPr="00B0434F">
              <w:t>Amendement</w:t>
            </w:r>
          </w:p>
        </w:tc>
      </w:tr>
      <w:tr w:rsidR="00BF7ACA" w:rsidRPr="00AF1321" w14:paraId="47F7F64E" w14:textId="77777777" w:rsidTr="007924BE">
        <w:trPr>
          <w:jc w:val="center"/>
        </w:trPr>
        <w:tc>
          <w:tcPr>
            <w:tcW w:w="4876" w:type="dxa"/>
            <w:hideMark/>
          </w:tcPr>
          <w:p w14:paraId="2BC4710B" w14:textId="77777777" w:rsidR="00BF7ACA" w:rsidRPr="00B0434F" w:rsidRDefault="00BF7ACA" w:rsidP="007924BE">
            <w:pPr>
              <w:pStyle w:val="Normal6"/>
            </w:pPr>
            <w:r w:rsidRPr="00B0434F">
              <w:t>Conformément à la politique de transparence de l</w:t>
            </w:r>
            <w:r>
              <w:t>’</w:t>
            </w:r>
            <w:r w:rsidRPr="00B0434F">
              <w:t>Union et à ses principes généraux en matière d</w:t>
            </w:r>
            <w:r>
              <w:t>’</w:t>
            </w:r>
            <w:r w:rsidRPr="00B0434F">
              <w:t>accès aux documents et à l</w:t>
            </w:r>
            <w:r>
              <w:t>’</w:t>
            </w:r>
            <w:r w:rsidRPr="00B0434F">
              <w:t xml:space="preserve">information, les contreparties éligibles mettent à la disposition du public, sur leur site internet, des informations </w:t>
            </w:r>
            <w:r w:rsidRPr="00B0434F">
              <w:rPr>
                <w:b/>
                <w:i/>
              </w:rPr>
              <w:t>sur</w:t>
            </w:r>
            <w:r w:rsidRPr="00B0434F">
              <w:t xml:space="preserve"> toutes les opérations de financement et d</w:t>
            </w:r>
            <w:r>
              <w:t>’</w:t>
            </w:r>
            <w:r w:rsidRPr="00B0434F">
              <w:t>investissement couvertes par la garantie FEDD conformément au présent règlement</w:t>
            </w:r>
            <w:r w:rsidRPr="00B0434F">
              <w:rPr>
                <w:b/>
                <w:i/>
              </w:rPr>
              <w:t>, y compris sur la manière dont ces opérations contribuent aux exigences du présent règlement</w:t>
            </w:r>
            <w:r w:rsidRPr="00B0434F">
              <w:t>.</w:t>
            </w:r>
          </w:p>
        </w:tc>
        <w:tc>
          <w:tcPr>
            <w:tcW w:w="4876" w:type="dxa"/>
            <w:hideMark/>
          </w:tcPr>
          <w:p w14:paraId="2A317F93" w14:textId="77777777" w:rsidR="00BF7ACA" w:rsidRPr="00B0434F" w:rsidRDefault="00BF7ACA" w:rsidP="007924BE">
            <w:pPr>
              <w:pStyle w:val="Normal6"/>
              <w:rPr>
                <w:szCs w:val="24"/>
              </w:rPr>
            </w:pPr>
            <w:r w:rsidRPr="00B0434F">
              <w:rPr>
                <w:b/>
                <w:i/>
              </w:rPr>
              <w:t>Des procès-verbaux complets des réunions du conseil stratégique et des conseils opérationnels sont publiés sans tarder. Le tableau de bord d</w:t>
            </w:r>
            <w:r>
              <w:rPr>
                <w:b/>
                <w:i/>
              </w:rPr>
              <w:t>’</w:t>
            </w:r>
            <w:r w:rsidRPr="00B0434F">
              <w:rPr>
                <w:b/>
                <w:i/>
              </w:rPr>
              <w:t>indicateurs est rendu public dès lors qu</w:t>
            </w:r>
            <w:r>
              <w:rPr>
                <w:b/>
                <w:i/>
              </w:rPr>
              <w:t>’</w:t>
            </w:r>
            <w:r w:rsidRPr="00B0434F">
              <w:rPr>
                <w:b/>
                <w:i/>
              </w:rPr>
              <w:t>une opération bénéficiant de la garantie est approuvée.</w:t>
            </w:r>
            <w:r w:rsidRPr="00B0434F">
              <w:t xml:space="preserve"> Conformément à la politique de transparence de l</w:t>
            </w:r>
            <w:r>
              <w:t>’</w:t>
            </w:r>
            <w:r w:rsidRPr="00B0434F">
              <w:t>Union et à ses principes généraux en matière d</w:t>
            </w:r>
            <w:r>
              <w:t>’</w:t>
            </w:r>
            <w:r w:rsidRPr="00B0434F">
              <w:t>accès aux documents et à l</w:t>
            </w:r>
            <w:r>
              <w:t>’</w:t>
            </w:r>
            <w:r w:rsidRPr="00B0434F">
              <w:t xml:space="preserve">information, les contreparties éligibles mettent à la disposition du public, sur leur site internet, </w:t>
            </w:r>
            <w:r w:rsidRPr="00B0434F">
              <w:rPr>
                <w:b/>
                <w:i/>
              </w:rPr>
              <w:t>l</w:t>
            </w:r>
            <w:r>
              <w:rPr>
                <w:b/>
                <w:i/>
              </w:rPr>
              <w:t>’</w:t>
            </w:r>
            <w:r w:rsidRPr="00B0434F">
              <w:rPr>
                <w:b/>
                <w:i/>
              </w:rPr>
              <w:t>ensemble</w:t>
            </w:r>
            <w:r w:rsidRPr="00B0434F">
              <w:rPr>
                <w:b/>
              </w:rPr>
              <w:t xml:space="preserve"> </w:t>
            </w:r>
            <w:r w:rsidRPr="00B0434F">
              <w:t xml:space="preserve">des informations </w:t>
            </w:r>
            <w:r w:rsidRPr="00B0434F">
              <w:rPr>
                <w:b/>
                <w:i/>
              </w:rPr>
              <w:t>et des documents relatifs à</w:t>
            </w:r>
            <w:r w:rsidRPr="00B0434F">
              <w:rPr>
                <w:b/>
              </w:rPr>
              <w:t xml:space="preserve"> </w:t>
            </w:r>
            <w:r w:rsidRPr="00B0434F">
              <w:t>toutes les opérations de financement et d</w:t>
            </w:r>
            <w:r>
              <w:t>’</w:t>
            </w:r>
            <w:r w:rsidRPr="00B0434F">
              <w:t>investissement couvertes par la garantie FEDD conformément au présent règlement</w:t>
            </w:r>
            <w:r w:rsidRPr="00B0434F">
              <w:rPr>
                <w:b/>
                <w:i/>
              </w:rPr>
              <w:t>, avec un régime d</w:t>
            </w:r>
            <w:r>
              <w:rPr>
                <w:b/>
                <w:i/>
              </w:rPr>
              <w:t>’</w:t>
            </w:r>
            <w:r w:rsidRPr="00B0434F">
              <w:rPr>
                <w:b/>
                <w:i/>
              </w:rPr>
              <w:t>exceptions strictement limité</w:t>
            </w:r>
            <w:r w:rsidRPr="00B0434F">
              <w:t xml:space="preserve">. </w:t>
            </w:r>
          </w:p>
        </w:tc>
      </w:tr>
    </w:tbl>
    <w:p w14:paraId="0EB0E841"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3CAB7E4" w14:textId="77777777" w:rsidR="00BF7ACA" w:rsidRPr="00BF7ACA" w:rsidRDefault="00BF7ACA" w:rsidP="00BF7ACA">
      <w:r w:rsidRPr="00BF7ACA">
        <w:rPr>
          <w:rStyle w:val="HideTWBExt"/>
        </w:rPr>
        <w:t>&lt;/Amend&gt;</w:t>
      </w:r>
    </w:p>
    <w:p w14:paraId="6B0CBAAD"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371</w:t>
      </w:r>
      <w:r w:rsidRPr="00BF7ACA">
        <w:rPr>
          <w:rStyle w:val="HideTWBExt"/>
          <w:b w:val="0"/>
        </w:rPr>
        <w:t>&lt;/NumAm&gt;</w:t>
      </w:r>
    </w:p>
    <w:p w14:paraId="62626B44" w14:textId="77777777" w:rsidR="00BF7ACA" w:rsidRPr="00BF7ACA" w:rsidRDefault="00BF7ACA" w:rsidP="00BF7ACA">
      <w:pPr>
        <w:pStyle w:val="NormalBold"/>
      </w:pPr>
      <w:r w:rsidRPr="00BF7ACA">
        <w:rPr>
          <w:rStyle w:val="HideTWBExt"/>
          <w:b w:val="0"/>
        </w:rPr>
        <w:t>&lt;RepeatBlock-By&gt;&lt;Members&gt;</w:t>
      </w:r>
      <w:r w:rsidRPr="00BF7ACA">
        <w:t>Maurice Ponga, Paul Rübig, Eduard Kukan, Bogdan Brunon Wenta</w:t>
      </w:r>
      <w:r w:rsidRPr="00BF7ACA">
        <w:rPr>
          <w:rStyle w:val="HideTWBExt"/>
          <w:b w:val="0"/>
        </w:rPr>
        <w:t>&lt;/Members&gt;</w:t>
      </w:r>
    </w:p>
    <w:p w14:paraId="74BA099C" w14:textId="77777777" w:rsidR="00BF7ACA" w:rsidRPr="00AF1321" w:rsidRDefault="00BF7ACA" w:rsidP="00BF7ACA">
      <w:r>
        <w:rPr>
          <w:rStyle w:val="HideTWBExt"/>
        </w:rPr>
        <w:t>&lt;/RepeatBlock-By&gt;</w:t>
      </w:r>
    </w:p>
    <w:p w14:paraId="200F93D2"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10A6935E" w14:textId="77777777" w:rsidR="00BF7ACA" w:rsidRPr="00AF1321" w:rsidRDefault="00BF7ACA" w:rsidP="00BF7ACA">
      <w:pPr>
        <w:pStyle w:val="NormalBold"/>
      </w:pPr>
      <w:r>
        <w:rPr>
          <w:rStyle w:val="HideTWBExt"/>
          <w:b w:val="0"/>
        </w:rPr>
        <w:t>&lt;Article&gt;</w:t>
      </w:r>
      <w:r w:rsidRPr="00B0434F">
        <w:t>Article 17 – alinéa unique</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2967CBE4" w14:textId="77777777" w:rsidTr="007924BE">
        <w:trPr>
          <w:jc w:val="center"/>
        </w:trPr>
        <w:tc>
          <w:tcPr>
            <w:tcW w:w="9752" w:type="dxa"/>
            <w:gridSpan w:val="2"/>
          </w:tcPr>
          <w:p w14:paraId="617039D7" w14:textId="77777777" w:rsidR="00BF7ACA" w:rsidRPr="00AF1321" w:rsidRDefault="00BF7ACA" w:rsidP="007924BE">
            <w:pPr>
              <w:keepNext/>
            </w:pPr>
          </w:p>
        </w:tc>
      </w:tr>
      <w:tr w:rsidR="00BF7ACA" w:rsidRPr="00AF1321" w14:paraId="63C3DBB5" w14:textId="77777777" w:rsidTr="007924BE">
        <w:trPr>
          <w:jc w:val="center"/>
        </w:trPr>
        <w:tc>
          <w:tcPr>
            <w:tcW w:w="4876" w:type="dxa"/>
            <w:hideMark/>
          </w:tcPr>
          <w:p w14:paraId="0E05BB0E" w14:textId="77777777" w:rsidR="00BF7ACA" w:rsidRPr="00B0434F" w:rsidRDefault="00BF7ACA" w:rsidP="007924BE">
            <w:pPr>
              <w:pStyle w:val="ColumnHeading"/>
              <w:keepNext/>
            </w:pPr>
            <w:r w:rsidRPr="00B0434F">
              <w:t>Texte proposé par la Commission</w:t>
            </w:r>
          </w:p>
        </w:tc>
        <w:tc>
          <w:tcPr>
            <w:tcW w:w="4876" w:type="dxa"/>
            <w:hideMark/>
          </w:tcPr>
          <w:p w14:paraId="0CE5B7AB" w14:textId="77777777" w:rsidR="00BF7ACA" w:rsidRPr="00B0434F" w:rsidRDefault="00BF7ACA" w:rsidP="007924BE">
            <w:pPr>
              <w:pStyle w:val="ColumnHeading"/>
              <w:keepNext/>
            </w:pPr>
            <w:r w:rsidRPr="00B0434F">
              <w:t>Amendement</w:t>
            </w:r>
          </w:p>
        </w:tc>
      </w:tr>
      <w:tr w:rsidR="00BF7ACA" w:rsidRPr="00AF1321" w14:paraId="77ADA012" w14:textId="77777777" w:rsidTr="007924BE">
        <w:trPr>
          <w:jc w:val="center"/>
        </w:trPr>
        <w:tc>
          <w:tcPr>
            <w:tcW w:w="4876" w:type="dxa"/>
            <w:hideMark/>
          </w:tcPr>
          <w:p w14:paraId="6BD09E9F" w14:textId="77777777" w:rsidR="00BF7ACA" w:rsidRPr="00B0434F" w:rsidRDefault="00BF7ACA" w:rsidP="007924BE">
            <w:pPr>
              <w:pStyle w:val="Normal6"/>
            </w:pPr>
            <w:r w:rsidRPr="00B0434F">
              <w:t>Conformément à la politique de transparence de l</w:t>
            </w:r>
            <w:r>
              <w:t>’</w:t>
            </w:r>
            <w:r w:rsidRPr="00B0434F">
              <w:t xml:space="preserve">Union et à ses </w:t>
            </w:r>
            <w:r w:rsidRPr="00B0434F">
              <w:rPr>
                <w:b/>
                <w:i/>
              </w:rPr>
              <w:t>principes généraux</w:t>
            </w:r>
            <w:r w:rsidRPr="00B0434F">
              <w:t xml:space="preserve"> en matière d</w:t>
            </w:r>
            <w:r>
              <w:t>’</w:t>
            </w:r>
            <w:r w:rsidRPr="00B0434F">
              <w:t>accès aux documents et à l</w:t>
            </w:r>
            <w:r>
              <w:t>’</w:t>
            </w:r>
            <w:r w:rsidRPr="00B0434F">
              <w:t>information, les contreparties éligibles mettent à la disposition du public, sur leur site internet, des informations sur toutes les opérations de financement et d</w:t>
            </w:r>
            <w:r>
              <w:t>’</w:t>
            </w:r>
            <w:r w:rsidRPr="00B0434F">
              <w:t>investissement couvertes par la garantie FEDD conformément au présent règlement, y compris sur la manière dont ces opérations contribuent aux exigences du présent règlement.</w:t>
            </w:r>
          </w:p>
        </w:tc>
        <w:tc>
          <w:tcPr>
            <w:tcW w:w="4876" w:type="dxa"/>
            <w:hideMark/>
          </w:tcPr>
          <w:p w14:paraId="3D621ADF" w14:textId="77777777" w:rsidR="00BF7ACA" w:rsidRPr="00B0434F" w:rsidRDefault="00BF7ACA" w:rsidP="007924BE">
            <w:pPr>
              <w:pStyle w:val="Normal6"/>
              <w:rPr>
                <w:szCs w:val="24"/>
              </w:rPr>
            </w:pPr>
            <w:r w:rsidRPr="00B0434F">
              <w:t>Conformément à la politique de transparence de l</w:t>
            </w:r>
            <w:r>
              <w:t>’</w:t>
            </w:r>
            <w:r w:rsidRPr="00B0434F">
              <w:t xml:space="preserve">Union et à ses </w:t>
            </w:r>
            <w:r w:rsidRPr="00B0434F">
              <w:rPr>
                <w:b/>
                <w:i/>
              </w:rPr>
              <w:t>règles</w:t>
            </w:r>
            <w:r w:rsidRPr="00B0434F">
              <w:t xml:space="preserve"> en matière d</w:t>
            </w:r>
            <w:r>
              <w:t>’</w:t>
            </w:r>
            <w:r w:rsidRPr="00B0434F">
              <w:t>accès aux documents et à l</w:t>
            </w:r>
            <w:r>
              <w:t>’</w:t>
            </w:r>
            <w:r w:rsidRPr="00B0434F">
              <w:t xml:space="preserve">information </w:t>
            </w:r>
            <w:r w:rsidRPr="00B0434F">
              <w:rPr>
                <w:b/>
                <w:i/>
              </w:rPr>
              <w:t>et de protection des données</w:t>
            </w:r>
            <w:r w:rsidRPr="00B0434F">
              <w:t xml:space="preserve">, les contreparties éligibles mettent à la disposition du public, </w:t>
            </w:r>
            <w:r w:rsidRPr="00B0434F">
              <w:rPr>
                <w:b/>
                <w:i/>
              </w:rPr>
              <w:t>de façon anticipée et systématique,</w:t>
            </w:r>
            <w:r w:rsidRPr="00B0434F">
              <w:t xml:space="preserve"> sur leur site internet, des informations sur toutes les opérations de financement et d</w:t>
            </w:r>
            <w:r>
              <w:t>’</w:t>
            </w:r>
            <w:r w:rsidRPr="00B0434F">
              <w:t xml:space="preserve">investissement couvertes par la garantie FEDD conformément au présent règlement, y compris sur la manière dont ces opérations contribuent </w:t>
            </w:r>
            <w:r w:rsidRPr="00B0434F">
              <w:rPr>
                <w:b/>
                <w:i/>
              </w:rPr>
              <w:t xml:space="preserve">aux objectifs et </w:t>
            </w:r>
            <w:r w:rsidRPr="00B0434F">
              <w:t>aux exigences du présent règlement.</w:t>
            </w:r>
          </w:p>
        </w:tc>
      </w:tr>
    </w:tbl>
    <w:p w14:paraId="5AE2C22E"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4840516D" w14:textId="77777777" w:rsidR="00BF7ACA" w:rsidRPr="00BF7ACA" w:rsidRDefault="00BF7ACA" w:rsidP="00BF7ACA">
      <w:r w:rsidRPr="00BF7ACA">
        <w:rPr>
          <w:rStyle w:val="HideTWBExt"/>
        </w:rPr>
        <w:t>&lt;/Amend&gt;</w:t>
      </w:r>
    </w:p>
    <w:p w14:paraId="74704A68"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372</w:t>
      </w:r>
      <w:r w:rsidRPr="00BF7ACA">
        <w:rPr>
          <w:rStyle w:val="HideTWBExt"/>
          <w:b w:val="0"/>
        </w:rPr>
        <w:t>&lt;/NumAm&gt;</w:t>
      </w:r>
    </w:p>
    <w:p w14:paraId="12E37DFB"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3C64C5F3" w14:textId="77777777" w:rsidR="00BF7ACA" w:rsidRPr="00AF1321" w:rsidRDefault="00BF7ACA" w:rsidP="00BF7ACA">
      <w:r>
        <w:rPr>
          <w:rStyle w:val="HideTWBExt"/>
        </w:rPr>
        <w:t>&lt;/RepeatBlock-By&gt;</w:t>
      </w:r>
    </w:p>
    <w:p w14:paraId="010AC4DC"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152EEDA3" w14:textId="77777777" w:rsidR="00BF7ACA" w:rsidRPr="00AF1321" w:rsidRDefault="00BF7ACA" w:rsidP="00BF7ACA">
      <w:pPr>
        <w:pStyle w:val="NormalBold"/>
      </w:pPr>
      <w:r>
        <w:rPr>
          <w:rStyle w:val="HideTWBExt"/>
          <w:b w:val="0"/>
        </w:rPr>
        <w:t>&lt;Article&gt;</w:t>
      </w:r>
      <w:r w:rsidRPr="00B0434F">
        <w:t>Article 17 – paragraphe 1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15ECE4B1" w14:textId="77777777" w:rsidTr="007924BE">
        <w:trPr>
          <w:jc w:val="center"/>
        </w:trPr>
        <w:tc>
          <w:tcPr>
            <w:tcW w:w="9752" w:type="dxa"/>
            <w:gridSpan w:val="2"/>
          </w:tcPr>
          <w:p w14:paraId="445F4528" w14:textId="77777777" w:rsidR="00BF7ACA" w:rsidRPr="00AF1321" w:rsidRDefault="00BF7ACA" w:rsidP="007924BE">
            <w:pPr>
              <w:keepNext/>
            </w:pPr>
          </w:p>
        </w:tc>
      </w:tr>
      <w:tr w:rsidR="00BF7ACA" w:rsidRPr="00AF1321" w14:paraId="506EA2BA" w14:textId="77777777" w:rsidTr="007924BE">
        <w:trPr>
          <w:jc w:val="center"/>
        </w:trPr>
        <w:tc>
          <w:tcPr>
            <w:tcW w:w="4876" w:type="dxa"/>
            <w:hideMark/>
          </w:tcPr>
          <w:p w14:paraId="3C0E0B4E" w14:textId="77777777" w:rsidR="00BF7ACA" w:rsidRPr="00B0434F" w:rsidRDefault="00BF7ACA" w:rsidP="007924BE">
            <w:pPr>
              <w:pStyle w:val="ColumnHeading"/>
              <w:keepNext/>
            </w:pPr>
            <w:r w:rsidRPr="00B0434F">
              <w:t>Texte proposé par la Commission</w:t>
            </w:r>
          </w:p>
        </w:tc>
        <w:tc>
          <w:tcPr>
            <w:tcW w:w="4876" w:type="dxa"/>
            <w:hideMark/>
          </w:tcPr>
          <w:p w14:paraId="01D4813D" w14:textId="77777777" w:rsidR="00BF7ACA" w:rsidRPr="00B0434F" w:rsidRDefault="00BF7ACA" w:rsidP="007924BE">
            <w:pPr>
              <w:pStyle w:val="ColumnHeading"/>
              <w:keepNext/>
            </w:pPr>
            <w:r w:rsidRPr="00B0434F">
              <w:t>Amendement</w:t>
            </w:r>
          </w:p>
        </w:tc>
      </w:tr>
      <w:tr w:rsidR="00BF7ACA" w:rsidRPr="00AF1321" w14:paraId="5B02B29E" w14:textId="77777777" w:rsidTr="007924BE">
        <w:trPr>
          <w:jc w:val="center"/>
        </w:trPr>
        <w:tc>
          <w:tcPr>
            <w:tcW w:w="4876" w:type="dxa"/>
          </w:tcPr>
          <w:p w14:paraId="3F65A1CC" w14:textId="77777777" w:rsidR="00BF7ACA" w:rsidRPr="00B0434F" w:rsidRDefault="00BF7ACA" w:rsidP="007924BE">
            <w:pPr>
              <w:pStyle w:val="Normal6"/>
            </w:pPr>
          </w:p>
        </w:tc>
        <w:tc>
          <w:tcPr>
            <w:tcW w:w="4876" w:type="dxa"/>
            <w:hideMark/>
          </w:tcPr>
          <w:p w14:paraId="38FCF2FD" w14:textId="77777777" w:rsidR="00BF7ACA" w:rsidRPr="00B0434F" w:rsidRDefault="00BF7ACA" w:rsidP="007924BE">
            <w:pPr>
              <w:pStyle w:val="Normal6"/>
              <w:rPr>
                <w:szCs w:val="24"/>
              </w:rPr>
            </w:pPr>
            <w:r>
              <w:rPr>
                <w:b/>
                <w:i/>
              </w:rPr>
              <w:t>1 bis.</w:t>
            </w:r>
            <w:r>
              <w:rPr>
                <w:b/>
                <w:i/>
              </w:rPr>
              <w:tab/>
            </w:r>
            <w:r w:rsidRPr="00B0434F">
              <w:rPr>
                <w:b/>
                <w:i/>
              </w:rPr>
              <w:t>Mécanisme de traitement des plaintes et de recours</w:t>
            </w:r>
          </w:p>
        </w:tc>
      </w:tr>
      <w:tr w:rsidR="00BF7ACA" w:rsidRPr="00AF1321" w14:paraId="4098FD88" w14:textId="77777777" w:rsidTr="007924BE">
        <w:trPr>
          <w:jc w:val="center"/>
        </w:trPr>
        <w:tc>
          <w:tcPr>
            <w:tcW w:w="4876" w:type="dxa"/>
          </w:tcPr>
          <w:p w14:paraId="118B4805" w14:textId="77777777" w:rsidR="00BF7ACA" w:rsidRPr="00B0434F" w:rsidRDefault="00BF7ACA" w:rsidP="007924BE">
            <w:pPr>
              <w:pStyle w:val="Normal6"/>
            </w:pPr>
          </w:p>
        </w:tc>
        <w:tc>
          <w:tcPr>
            <w:tcW w:w="4876" w:type="dxa"/>
            <w:hideMark/>
          </w:tcPr>
          <w:p w14:paraId="27569B85" w14:textId="77777777" w:rsidR="00BF7ACA" w:rsidRPr="00B0434F" w:rsidRDefault="00BF7ACA" w:rsidP="007924BE">
            <w:pPr>
              <w:pStyle w:val="Normal6"/>
              <w:rPr>
                <w:szCs w:val="24"/>
              </w:rPr>
            </w:pPr>
            <w:r w:rsidRPr="00B0434F">
              <w:rPr>
                <w:b/>
                <w:i/>
              </w:rPr>
              <w:t>La garantie est accordée en priorité aux contreparties qui disposent, dans leur structure de gouvernance, d</w:t>
            </w:r>
            <w:r>
              <w:rPr>
                <w:b/>
                <w:i/>
              </w:rPr>
              <w:t>’</w:t>
            </w:r>
            <w:r w:rsidRPr="00B0434F">
              <w:rPr>
                <w:b/>
                <w:i/>
              </w:rPr>
              <w:t>un mécanisme de traitement des plaintes efficace et indépendant. La Commission met en place, au cours de la première année de fonctionnement du FEDD, un mécanisme de traitement des plaintes centralisé au niveau de l</w:t>
            </w:r>
            <w:r>
              <w:rPr>
                <w:b/>
                <w:i/>
              </w:rPr>
              <w:t>’</w:t>
            </w:r>
            <w:r w:rsidRPr="00B0434F">
              <w:rPr>
                <w:b/>
                <w:i/>
              </w:rPr>
              <w:t>Union pour tous les projets soutenus par le FEDD. Ce mécanisme de traitement des plaintes peut être utilisé directement par les parties prenantes concernées par les opérations du FEDD et par les parties prenantes mécontentes de la manière dont leurs plaintes sont traitées par les mécanismes de traitement des plaintes des contreparties du FEDD. La Commission évalue la possibilité de placer ce mécanisme de traitement des plaintes sous l</w:t>
            </w:r>
            <w:r>
              <w:rPr>
                <w:b/>
                <w:i/>
              </w:rPr>
              <w:t>’</w:t>
            </w:r>
            <w:r w:rsidRPr="00B0434F">
              <w:rPr>
                <w:b/>
                <w:i/>
              </w:rPr>
              <w:t>égide du Médiateur européen.</w:t>
            </w:r>
          </w:p>
        </w:tc>
      </w:tr>
    </w:tbl>
    <w:p w14:paraId="4843176F"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0E6CCAC" w14:textId="77777777" w:rsidR="00BF7ACA" w:rsidRPr="00BF7ACA" w:rsidRDefault="00BF7ACA" w:rsidP="00BF7ACA">
      <w:r w:rsidRPr="00BF7ACA">
        <w:rPr>
          <w:rStyle w:val="HideTWBExt"/>
        </w:rPr>
        <w:t>&lt;/Amend&gt;</w:t>
      </w:r>
    </w:p>
    <w:p w14:paraId="605F83BB"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373</w:t>
      </w:r>
      <w:r w:rsidRPr="00E502E5">
        <w:rPr>
          <w:rStyle w:val="HideTWBExt"/>
          <w:b w:val="0"/>
        </w:rPr>
        <w:t>&lt;/NumAm&gt;</w:t>
      </w:r>
    </w:p>
    <w:p w14:paraId="4B4D8F20" w14:textId="77777777"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14:paraId="79789191" w14:textId="77777777" w:rsidR="00BF7ACA" w:rsidRPr="00E502E5" w:rsidRDefault="00BF7ACA" w:rsidP="00BF7ACA">
      <w:r w:rsidRPr="00E502E5">
        <w:rPr>
          <w:rStyle w:val="HideTWBExt"/>
        </w:rPr>
        <w:t>&lt;/RepeatBlock-By&gt;</w:t>
      </w:r>
    </w:p>
    <w:p w14:paraId="21756ACD"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308F0F84" w14:textId="77777777" w:rsidR="00BF7ACA" w:rsidRPr="00E502E5" w:rsidRDefault="00BF7ACA" w:rsidP="00BF7ACA">
      <w:pPr>
        <w:pStyle w:val="NormalBold"/>
      </w:pPr>
      <w:r w:rsidRPr="00E502E5">
        <w:rPr>
          <w:rStyle w:val="HideTWBExt"/>
          <w:b w:val="0"/>
        </w:rPr>
        <w:t>&lt;Article&gt;</w:t>
      </w:r>
      <w:r w:rsidRPr="00E502E5">
        <w:t>Article 17 – alinéa 1 bis (nouveau)</w:t>
      </w:r>
      <w:r w:rsidRPr="00E502E5">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3E4016AF" w14:textId="77777777" w:rsidTr="007924BE">
        <w:trPr>
          <w:jc w:val="center"/>
        </w:trPr>
        <w:tc>
          <w:tcPr>
            <w:tcW w:w="9752" w:type="dxa"/>
            <w:gridSpan w:val="2"/>
          </w:tcPr>
          <w:p w14:paraId="7B531B02" w14:textId="77777777" w:rsidR="00BF7ACA" w:rsidRPr="00E502E5" w:rsidRDefault="00BF7ACA" w:rsidP="007924BE">
            <w:pPr>
              <w:keepNext/>
            </w:pPr>
          </w:p>
        </w:tc>
      </w:tr>
      <w:tr w:rsidR="00BF7ACA" w:rsidRPr="00E502E5" w14:paraId="57D232F2" w14:textId="77777777" w:rsidTr="007924BE">
        <w:trPr>
          <w:jc w:val="center"/>
        </w:trPr>
        <w:tc>
          <w:tcPr>
            <w:tcW w:w="4876" w:type="dxa"/>
            <w:hideMark/>
          </w:tcPr>
          <w:p w14:paraId="3BB31443" w14:textId="77777777" w:rsidR="00BF7ACA" w:rsidRPr="00E502E5" w:rsidRDefault="00BF7ACA" w:rsidP="007924BE">
            <w:pPr>
              <w:pStyle w:val="ColumnHeading"/>
              <w:keepNext/>
            </w:pPr>
            <w:r w:rsidRPr="00E502E5">
              <w:t>Texte proposé par la Commission</w:t>
            </w:r>
          </w:p>
        </w:tc>
        <w:tc>
          <w:tcPr>
            <w:tcW w:w="4876" w:type="dxa"/>
            <w:hideMark/>
          </w:tcPr>
          <w:p w14:paraId="601D1C43" w14:textId="77777777" w:rsidR="00BF7ACA" w:rsidRPr="00E502E5" w:rsidRDefault="00BF7ACA" w:rsidP="007924BE">
            <w:pPr>
              <w:pStyle w:val="ColumnHeading"/>
              <w:keepNext/>
            </w:pPr>
            <w:r w:rsidRPr="00E502E5">
              <w:t>Amendement</w:t>
            </w:r>
          </w:p>
        </w:tc>
      </w:tr>
      <w:tr w:rsidR="00BF7ACA" w:rsidRPr="00E502E5" w14:paraId="2226DA96" w14:textId="77777777" w:rsidTr="007924BE">
        <w:trPr>
          <w:jc w:val="center"/>
        </w:trPr>
        <w:tc>
          <w:tcPr>
            <w:tcW w:w="4876" w:type="dxa"/>
          </w:tcPr>
          <w:p w14:paraId="35F94A60" w14:textId="77777777" w:rsidR="00BF7ACA" w:rsidRPr="00E502E5" w:rsidRDefault="00BF7ACA" w:rsidP="007924BE">
            <w:pPr>
              <w:pStyle w:val="Normal6"/>
            </w:pPr>
          </w:p>
        </w:tc>
        <w:tc>
          <w:tcPr>
            <w:tcW w:w="4876" w:type="dxa"/>
            <w:hideMark/>
          </w:tcPr>
          <w:p w14:paraId="37A72442" w14:textId="77777777" w:rsidR="00BF7ACA" w:rsidRPr="00E502E5" w:rsidRDefault="00BF7ACA" w:rsidP="007924BE">
            <w:pPr>
              <w:pStyle w:val="Normal6"/>
              <w:rPr>
                <w:szCs w:val="24"/>
              </w:rPr>
            </w:pPr>
            <w:r w:rsidRPr="00E502E5">
              <w:rPr>
                <w:b/>
                <w:i/>
              </w:rPr>
              <w:t>Les contreparties éligibles doivent présenter de manière visible le soutien de l</w:t>
            </w:r>
            <w:r>
              <w:rPr>
                <w:b/>
                <w:i/>
              </w:rPr>
              <w:t>’</w:t>
            </w:r>
            <w:r w:rsidRPr="00E502E5">
              <w:rPr>
                <w:b/>
                <w:i/>
              </w:rPr>
              <w:t>Union dans les informations qu</w:t>
            </w:r>
            <w:r>
              <w:rPr>
                <w:b/>
                <w:i/>
              </w:rPr>
              <w:t>’</w:t>
            </w:r>
            <w:r w:rsidRPr="00E502E5">
              <w:rPr>
                <w:b/>
                <w:i/>
              </w:rPr>
              <w:t>elles publient sur les opérations de financement et d</w:t>
            </w:r>
            <w:r>
              <w:rPr>
                <w:b/>
                <w:i/>
              </w:rPr>
              <w:t>’</w:t>
            </w:r>
            <w:r w:rsidRPr="00E502E5">
              <w:rPr>
                <w:b/>
                <w:i/>
              </w:rPr>
              <w:t>investissement couvertes par la garantie FEDD conformément au présent règlement.</w:t>
            </w:r>
          </w:p>
        </w:tc>
      </w:tr>
    </w:tbl>
    <w:p w14:paraId="479C6177"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5553FC2E" w14:textId="77777777" w:rsidR="00BF7ACA" w:rsidRPr="00E502E5" w:rsidRDefault="00BF7ACA" w:rsidP="00BF7ACA">
      <w:r w:rsidRPr="00E502E5">
        <w:rPr>
          <w:rStyle w:val="HideTWBExt"/>
        </w:rPr>
        <w:t>&lt;/Amend&gt;</w:t>
      </w:r>
    </w:p>
    <w:p w14:paraId="4F8C74E9" w14:textId="77777777"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374</w:t>
      </w:r>
      <w:r w:rsidRPr="00E502E5">
        <w:rPr>
          <w:rStyle w:val="HideTWBExt"/>
          <w:b w:val="0"/>
        </w:rPr>
        <w:t>&lt;/NumAm&gt;</w:t>
      </w:r>
    </w:p>
    <w:p w14:paraId="5A6DF55F" w14:textId="77777777"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14:paraId="476B1879" w14:textId="77777777" w:rsidR="00BF7ACA" w:rsidRPr="00E502E5" w:rsidRDefault="00BF7ACA" w:rsidP="00BF7ACA">
      <w:r w:rsidRPr="00E502E5">
        <w:rPr>
          <w:rStyle w:val="HideTWBExt"/>
        </w:rPr>
        <w:t>&lt;/RepeatBlock-By&gt;</w:t>
      </w:r>
    </w:p>
    <w:p w14:paraId="7296C76D" w14:textId="77777777"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14:paraId="1D6D88E6" w14:textId="77777777" w:rsidR="00BF7ACA" w:rsidRPr="00E502E5" w:rsidRDefault="00BF7ACA" w:rsidP="00BF7ACA">
      <w:pPr>
        <w:pStyle w:val="NormalBold"/>
      </w:pPr>
      <w:r w:rsidRPr="00E502E5">
        <w:rPr>
          <w:rStyle w:val="HideTWBExt"/>
          <w:b w:val="0"/>
        </w:rPr>
        <w:t>&lt;Article&gt;</w:t>
      </w:r>
      <w:r w:rsidRPr="00E502E5">
        <w:t>Article 17 – alinéa 1 ter (nouveau)</w:t>
      </w:r>
      <w:r w:rsidRPr="00E502E5">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F7ACA" w:rsidRPr="00E502E5" w14:paraId="70D433B5" w14:textId="77777777" w:rsidTr="007924BE">
        <w:trPr>
          <w:jc w:val="center"/>
        </w:trPr>
        <w:tc>
          <w:tcPr>
            <w:tcW w:w="9752" w:type="dxa"/>
            <w:gridSpan w:val="2"/>
          </w:tcPr>
          <w:p w14:paraId="0E29B367" w14:textId="77777777" w:rsidR="00BF7ACA" w:rsidRPr="00E502E5" w:rsidRDefault="00BF7ACA" w:rsidP="007924BE">
            <w:pPr>
              <w:keepNext/>
            </w:pPr>
          </w:p>
        </w:tc>
      </w:tr>
      <w:tr w:rsidR="00BF7ACA" w:rsidRPr="00E502E5" w14:paraId="3EDBDF82" w14:textId="77777777" w:rsidTr="007924BE">
        <w:trPr>
          <w:jc w:val="center"/>
        </w:trPr>
        <w:tc>
          <w:tcPr>
            <w:tcW w:w="4876" w:type="dxa"/>
            <w:hideMark/>
          </w:tcPr>
          <w:p w14:paraId="17D096ED" w14:textId="77777777" w:rsidR="00BF7ACA" w:rsidRPr="00E502E5" w:rsidRDefault="00BF7ACA" w:rsidP="007924BE">
            <w:pPr>
              <w:pStyle w:val="ColumnHeading"/>
              <w:keepNext/>
            </w:pPr>
            <w:r w:rsidRPr="00E502E5">
              <w:t>Texte proposé par la Commission</w:t>
            </w:r>
          </w:p>
        </w:tc>
        <w:tc>
          <w:tcPr>
            <w:tcW w:w="4876" w:type="dxa"/>
            <w:hideMark/>
          </w:tcPr>
          <w:p w14:paraId="383AB26D" w14:textId="77777777" w:rsidR="00BF7ACA" w:rsidRPr="00E502E5" w:rsidRDefault="00BF7ACA" w:rsidP="007924BE">
            <w:pPr>
              <w:pStyle w:val="ColumnHeading"/>
              <w:keepNext/>
            </w:pPr>
            <w:r w:rsidRPr="00E502E5">
              <w:t>Amendement</w:t>
            </w:r>
          </w:p>
        </w:tc>
      </w:tr>
      <w:tr w:rsidR="00BF7ACA" w:rsidRPr="00E502E5" w14:paraId="54CD5B36" w14:textId="77777777" w:rsidTr="007924BE">
        <w:trPr>
          <w:jc w:val="center"/>
        </w:trPr>
        <w:tc>
          <w:tcPr>
            <w:tcW w:w="4876" w:type="dxa"/>
          </w:tcPr>
          <w:p w14:paraId="141A44E3" w14:textId="77777777" w:rsidR="00BF7ACA" w:rsidRPr="00E502E5" w:rsidRDefault="00BF7ACA" w:rsidP="007924BE">
            <w:pPr>
              <w:pStyle w:val="Normal6"/>
            </w:pPr>
          </w:p>
        </w:tc>
        <w:tc>
          <w:tcPr>
            <w:tcW w:w="4876" w:type="dxa"/>
            <w:hideMark/>
          </w:tcPr>
          <w:p w14:paraId="4ED176F4" w14:textId="77777777" w:rsidR="00BF7ACA" w:rsidRPr="00E502E5" w:rsidRDefault="00BF7ACA" w:rsidP="007924BE">
            <w:pPr>
              <w:pStyle w:val="Normal6"/>
              <w:rPr>
                <w:szCs w:val="24"/>
              </w:rPr>
            </w:pPr>
            <w:r w:rsidRPr="00E502E5">
              <w:rPr>
                <w:b/>
                <w:i/>
              </w:rPr>
              <w:t>Les délégations de l</w:t>
            </w:r>
            <w:r>
              <w:rPr>
                <w:b/>
                <w:i/>
              </w:rPr>
              <w:t>’</w:t>
            </w:r>
            <w:r w:rsidRPr="00E502E5">
              <w:rPr>
                <w:b/>
                <w:i/>
              </w:rPr>
              <w:t>Union européenne intègrent les possibilités de financement offertes par le FEDD dans leur communication à destination de la société civile et du grand public.</w:t>
            </w:r>
          </w:p>
        </w:tc>
      </w:tr>
    </w:tbl>
    <w:p w14:paraId="65310806" w14:textId="77777777"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&lt;Original&gt;</w:t>
      </w:r>
      <w:r w:rsidRPr="00E502E5">
        <w:rPr>
          <w:rStyle w:val="HideTWBInt"/>
          <w:noProof w:val="0"/>
        </w:rPr>
        <w:t>{FR}</w:t>
      </w:r>
      <w:r w:rsidRPr="00E502E5">
        <w:rPr>
          <w:noProof w:val="0"/>
        </w:rPr>
        <w:t>fr</w:t>
      </w:r>
      <w:r w:rsidRPr="00E502E5">
        <w:rPr>
          <w:rStyle w:val="HideTWBExt"/>
          <w:noProof w:val="0"/>
        </w:rPr>
        <w:t>&lt;/Original&gt;</w:t>
      </w:r>
    </w:p>
    <w:p w14:paraId="523FE1CD" w14:textId="2BEBA869" w:rsidR="00BF7ACA" w:rsidRPr="00BF7ACA" w:rsidRDefault="00BF7ACA" w:rsidP="00BF7ACA">
      <w:pPr>
        <w:pStyle w:val="AMNumberTabs"/>
        <w:keepNext/>
      </w:pPr>
      <w:r w:rsidRPr="00E502E5">
        <w:rPr>
          <w:rStyle w:val="HideTWBExt"/>
        </w:rPr>
        <w:t>&lt;/Amend&gt;</w:t>
      </w:r>
      <w:r w:rsidRPr="00BF7ACA">
        <w:rPr>
          <w:rStyle w:val="HideTWBExt"/>
          <w:b w:val="0"/>
        </w:rPr>
        <w:t>&lt;Amend&gt;</w:t>
      </w:r>
      <w:r w:rsidRPr="00BF7ACA">
        <w:t>Amendement</w:t>
      </w:r>
      <w:r w:rsidRPr="00BF7ACA">
        <w:tab/>
      </w:r>
      <w:r w:rsidRPr="00BF7ACA">
        <w:tab/>
      </w:r>
      <w:r w:rsidRPr="00BF7ACA">
        <w:rPr>
          <w:rStyle w:val="HideTWBExt"/>
          <w:b w:val="0"/>
        </w:rPr>
        <w:t>&lt;NumAm&gt;</w:t>
      </w:r>
      <w:r w:rsidRPr="00BF7ACA">
        <w:t>375</w:t>
      </w:r>
      <w:r w:rsidRPr="00BF7ACA">
        <w:rPr>
          <w:rStyle w:val="HideTWBExt"/>
          <w:b w:val="0"/>
        </w:rPr>
        <w:t>&lt;/NumAm&gt;</w:t>
      </w:r>
    </w:p>
    <w:p w14:paraId="77C65CA5"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0FDD2AB8" w14:textId="77777777" w:rsidR="00BF7ACA" w:rsidRPr="00AF1321" w:rsidRDefault="00BF7ACA" w:rsidP="00BF7ACA">
      <w:r>
        <w:rPr>
          <w:rStyle w:val="HideTWBExt"/>
        </w:rPr>
        <w:t>&lt;/RepeatBlock-By&gt;</w:t>
      </w:r>
    </w:p>
    <w:p w14:paraId="32BC833A"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05030C42" w14:textId="77777777" w:rsidR="00BF7ACA" w:rsidRPr="00AF1321" w:rsidRDefault="00BF7ACA" w:rsidP="00BF7ACA">
      <w:pPr>
        <w:pStyle w:val="NormalBold"/>
      </w:pPr>
      <w:r>
        <w:rPr>
          <w:rStyle w:val="HideTWBExt"/>
          <w:b w:val="0"/>
        </w:rPr>
        <w:t>&lt;Article&gt;</w:t>
      </w:r>
      <w:r w:rsidRPr="00B0434F">
        <w:t>Article 17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71ACA769" w14:textId="77777777" w:rsidTr="007924BE">
        <w:trPr>
          <w:jc w:val="center"/>
        </w:trPr>
        <w:tc>
          <w:tcPr>
            <w:tcW w:w="9752" w:type="dxa"/>
            <w:gridSpan w:val="2"/>
          </w:tcPr>
          <w:p w14:paraId="60F9FEB1" w14:textId="77777777" w:rsidR="00BF7ACA" w:rsidRPr="00AF1321" w:rsidRDefault="00BF7ACA" w:rsidP="007924BE">
            <w:pPr>
              <w:keepNext/>
            </w:pPr>
          </w:p>
        </w:tc>
      </w:tr>
      <w:tr w:rsidR="00BF7ACA" w:rsidRPr="00AF1321" w14:paraId="4818CD9F" w14:textId="77777777" w:rsidTr="007924BE">
        <w:trPr>
          <w:jc w:val="center"/>
        </w:trPr>
        <w:tc>
          <w:tcPr>
            <w:tcW w:w="4876" w:type="dxa"/>
            <w:hideMark/>
          </w:tcPr>
          <w:p w14:paraId="079F628E" w14:textId="77777777" w:rsidR="00BF7ACA" w:rsidRPr="00B0434F" w:rsidRDefault="00BF7ACA" w:rsidP="007924BE">
            <w:pPr>
              <w:pStyle w:val="ColumnHeading"/>
              <w:keepNext/>
            </w:pPr>
            <w:r w:rsidRPr="00B0434F">
              <w:t>Texte proposé par la Commission</w:t>
            </w:r>
          </w:p>
        </w:tc>
        <w:tc>
          <w:tcPr>
            <w:tcW w:w="4876" w:type="dxa"/>
            <w:hideMark/>
          </w:tcPr>
          <w:p w14:paraId="08949B5C" w14:textId="77777777" w:rsidR="00BF7ACA" w:rsidRPr="00B0434F" w:rsidRDefault="00BF7ACA" w:rsidP="007924BE">
            <w:pPr>
              <w:pStyle w:val="ColumnHeading"/>
              <w:keepNext/>
            </w:pPr>
            <w:r w:rsidRPr="00B0434F">
              <w:t>Amendement</w:t>
            </w:r>
          </w:p>
        </w:tc>
      </w:tr>
      <w:tr w:rsidR="00BF7ACA" w:rsidRPr="00AF1321" w14:paraId="40621BC2" w14:textId="77777777" w:rsidTr="007924BE">
        <w:trPr>
          <w:jc w:val="center"/>
        </w:trPr>
        <w:tc>
          <w:tcPr>
            <w:tcW w:w="4876" w:type="dxa"/>
          </w:tcPr>
          <w:p w14:paraId="7A952540" w14:textId="77777777" w:rsidR="00BF7ACA" w:rsidRPr="00B0434F" w:rsidRDefault="00BF7ACA" w:rsidP="007924BE">
            <w:pPr>
              <w:pStyle w:val="Normal6"/>
            </w:pPr>
          </w:p>
        </w:tc>
        <w:tc>
          <w:tcPr>
            <w:tcW w:w="4876" w:type="dxa"/>
            <w:hideMark/>
          </w:tcPr>
          <w:p w14:paraId="46C2F5F2" w14:textId="77777777" w:rsidR="00BF7ACA" w:rsidRPr="00B0434F" w:rsidRDefault="00BF7ACA" w:rsidP="007924BE">
            <w:pPr>
              <w:pStyle w:val="Normal6"/>
              <w:jc w:val="center"/>
              <w:rPr>
                <w:szCs w:val="24"/>
              </w:rPr>
            </w:pPr>
            <w:r w:rsidRPr="00B0434F">
              <w:rPr>
                <w:b/>
                <w:i/>
              </w:rPr>
              <w:t>Article 17 bis</w:t>
            </w:r>
          </w:p>
        </w:tc>
      </w:tr>
      <w:tr w:rsidR="00BF7ACA" w:rsidRPr="00AF1321" w14:paraId="21451543" w14:textId="77777777" w:rsidTr="007924BE">
        <w:trPr>
          <w:jc w:val="center"/>
        </w:trPr>
        <w:tc>
          <w:tcPr>
            <w:tcW w:w="4876" w:type="dxa"/>
          </w:tcPr>
          <w:p w14:paraId="0ECFA8F6" w14:textId="77777777" w:rsidR="00BF7ACA" w:rsidRPr="00B0434F" w:rsidRDefault="00BF7ACA" w:rsidP="007924BE">
            <w:pPr>
              <w:pStyle w:val="Normal6"/>
            </w:pPr>
          </w:p>
        </w:tc>
        <w:tc>
          <w:tcPr>
            <w:tcW w:w="4876" w:type="dxa"/>
            <w:hideMark/>
          </w:tcPr>
          <w:p w14:paraId="4F91A3C8" w14:textId="77777777" w:rsidR="00BF7ACA" w:rsidRPr="00B0434F" w:rsidRDefault="00BF7ACA" w:rsidP="007924BE">
            <w:pPr>
              <w:pStyle w:val="Normal6"/>
              <w:jc w:val="center"/>
              <w:rPr>
                <w:szCs w:val="24"/>
              </w:rPr>
            </w:pPr>
            <w:r w:rsidRPr="00B0434F">
              <w:rPr>
                <w:b/>
                <w:i/>
              </w:rPr>
              <w:t>Mécanisme de traitement des plaintes et de recours</w:t>
            </w:r>
          </w:p>
        </w:tc>
      </w:tr>
      <w:tr w:rsidR="00BF7ACA" w:rsidRPr="00AF1321" w14:paraId="396BD311" w14:textId="77777777" w:rsidTr="007924BE">
        <w:trPr>
          <w:jc w:val="center"/>
        </w:trPr>
        <w:tc>
          <w:tcPr>
            <w:tcW w:w="4876" w:type="dxa"/>
          </w:tcPr>
          <w:p w14:paraId="724D6A80" w14:textId="77777777" w:rsidR="00BF7ACA" w:rsidRPr="00B0434F" w:rsidRDefault="00BF7ACA" w:rsidP="007924BE">
            <w:pPr>
              <w:pStyle w:val="Normal6"/>
            </w:pPr>
          </w:p>
        </w:tc>
        <w:tc>
          <w:tcPr>
            <w:tcW w:w="4876" w:type="dxa"/>
            <w:hideMark/>
          </w:tcPr>
          <w:p w14:paraId="1EFBB56D" w14:textId="77777777" w:rsidR="00BF7ACA" w:rsidRPr="00B0434F" w:rsidRDefault="00BF7ACA" w:rsidP="007924BE">
            <w:pPr>
              <w:pStyle w:val="Normal6"/>
              <w:rPr>
                <w:szCs w:val="24"/>
              </w:rPr>
            </w:pPr>
            <w:r w:rsidRPr="00B0434F">
              <w:rPr>
                <w:b/>
                <w:i/>
              </w:rPr>
              <w:t>La Commission met en place un mécanisme de traitement des plaintes centralisé au niveau de l</w:t>
            </w:r>
            <w:r>
              <w:rPr>
                <w:b/>
                <w:i/>
              </w:rPr>
              <w:t>’</w:t>
            </w:r>
            <w:r w:rsidRPr="00B0434F">
              <w:rPr>
                <w:b/>
                <w:i/>
              </w:rPr>
              <w:t>Union pour tous les projets soutenus par le FEDD. Ce mécanisme de traitement des plaintes peut être utilisé directement par les parties prenantes concernées par les opérations du FEDD et par les parties prenantes mécontentes de la manière dont leurs plaintes sont traitées par les mécanismes de traitement des plaintes des contreparties du FEDD.</w:t>
            </w:r>
          </w:p>
        </w:tc>
      </w:tr>
    </w:tbl>
    <w:p w14:paraId="788CFD0D"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3D4DFAC" w14:textId="77777777" w:rsidR="00BF7ACA" w:rsidRPr="00BF7ACA" w:rsidRDefault="00BF7ACA" w:rsidP="00BF7ACA">
      <w:r w:rsidRPr="00BF7ACA">
        <w:rPr>
          <w:rStyle w:val="HideTWBExt"/>
        </w:rPr>
        <w:t>&lt;/Amend&gt;</w:t>
      </w:r>
    </w:p>
    <w:p w14:paraId="62A8E13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376</w:t>
      </w:r>
      <w:r w:rsidRPr="00BF7ACA">
        <w:rPr>
          <w:rStyle w:val="HideTWBExt"/>
          <w:b w:val="0"/>
        </w:rPr>
        <w:t>&lt;/NumAm&gt;</w:t>
      </w:r>
    </w:p>
    <w:p w14:paraId="03D43E25"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0060B20A" w14:textId="77777777" w:rsidR="00BF7ACA" w:rsidRPr="00AF1321" w:rsidRDefault="00BF7ACA" w:rsidP="00BF7ACA">
      <w:r>
        <w:rPr>
          <w:rStyle w:val="HideTWBExt"/>
        </w:rPr>
        <w:t>&lt;/RepeatBlock-By&gt;</w:t>
      </w:r>
    </w:p>
    <w:p w14:paraId="189ADDA3"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08356BF2" w14:textId="77777777" w:rsidR="00BF7ACA" w:rsidRPr="00AF1321" w:rsidRDefault="00BF7ACA" w:rsidP="00BF7ACA">
      <w:pPr>
        <w:pStyle w:val="NormalBold"/>
      </w:pPr>
      <w:r>
        <w:rPr>
          <w:rStyle w:val="HideTWBExt"/>
          <w:b w:val="0"/>
        </w:rPr>
        <w:t>&lt;Article&gt;</w:t>
      </w:r>
      <w:r w:rsidRPr="00B0434F">
        <w:t>Article 18 – paragraphe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7542CDC4" w14:textId="77777777" w:rsidTr="007924BE">
        <w:trPr>
          <w:jc w:val="center"/>
        </w:trPr>
        <w:tc>
          <w:tcPr>
            <w:tcW w:w="9752" w:type="dxa"/>
            <w:gridSpan w:val="2"/>
          </w:tcPr>
          <w:p w14:paraId="047AC777" w14:textId="77777777" w:rsidR="00BF7ACA" w:rsidRPr="00AF1321" w:rsidRDefault="00BF7ACA" w:rsidP="007924BE">
            <w:pPr>
              <w:keepNext/>
            </w:pPr>
          </w:p>
        </w:tc>
      </w:tr>
      <w:tr w:rsidR="00BF7ACA" w:rsidRPr="00AF1321" w14:paraId="2AB389E8" w14:textId="77777777" w:rsidTr="007924BE">
        <w:trPr>
          <w:jc w:val="center"/>
        </w:trPr>
        <w:tc>
          <w:tcPr>
            <w:tcW w:w="4876" w:type="dxa"/>
            <w:hideMark/>
          </w:tcPr>
          <w:p w14:paraId="1EDCCAAD" w14:textId="77777777" w:rsidR="00BF7ACA" w:rsidRPr="00B0434F" w:rsidRDefault="00BF7ACA" w:rsidP="007924BE">
            <w:pPr>
              <w:pStyle w:val="ColumnHeading"/>
              <w:keepNext/>
            </w:pPr>
            <w:r w:rsidRPr="00B0434F">
              <w:t>Texte proposé par la Commission</w:t>
            </w:r>
          </w:p>
        </w:tc>
        <w:tc>
          <w:tcPr>
            <w:tcW w:w="4876" w:type="dxa"/>
            <w:hideMark/>
          </w:tcPr>
          <w:p w14:paraId="17581F40" w14:textId="77777777" w:rsidR="00BF7ACA" w:rsidRPr="00B0434F" w:rsidRDefault="00BF7ACA" w:rsidP="007924BE">
            <w:pPr>
              <w:pStyle w:val="ColumnHeading"/>
              <w:keepNext/>
            </w:pPr>
            <w:r w:rsidRPr="00B0434F">
              <w:t>Amendement</w:t>
            </w:r>
          </w:p>
        </w:tc>
      </w:tr>
      <w:tr w:rsidR="00BF7ACA" w:rsidRPr="00AF1321" w14:paraId="528255E4" w14:textId="77777777" w:rsidTr="007924BE">
        <w:trPr>
          <w:jc w:val="center"/>
        </w:trPr>
        <w:tc>
          <w:tcPr>
            <w:tcW w:w="4876" w:type="dxa"/>
            <w:hideMark/>
          </w:tcPr>
          <w:p w14:paraId="44BE50D6" w14:textId="77777777" w:rsidR="00BF7ACA" w:rsidRPr="00B0434F" w:rsidRDefault="00BF7ACA" w:rsidP="007924BE">
            <w:pPr>
              <w:pStyle w:val="Normal6"/>
            </w:pPr>
            <w:r w:rsidRPr="00B0434F">
              <w:t>1.</w:t>
            </w:r>
            <w:r>
              <w:tab/>
            </w:r>
            <w:r w:rsidRPr="00B0434F">
              <w:t>La Cour des comptes procède, conformément à l</w:t>
            </w:r>
            <w:r>
              <w:t>’</w:t>
            </w:r>
            <w:r w:rsidRPr="00B0434F">
              <w:t>article 287 du traité sur le fonctionnement de l</w:t>
            </w:r>
            <w:r>
              <w:t>’</w:t>
            </w:r>
            <w:r w:rsidRPr="00B0434F">
              <w:t>Union européenne (TFUE), au contrôle externe des activités réalisées en application du présent règlement.</w:t>
            </w:r>
          </w:p>
        </w:tc>
        <w:tc>
          <w:tcPr>
            <w:tcW w:w="4876" w:type="dxa"/>
            <w:hideMark/>
          </w:tcPr>
          <w:p w14:paraId="54300D7D" w14:textId="77777777" w:rsidR="00BF7ACA" w:rsidRPr="00B0434F" w:rsidRDefault="00BF7ACA" w:rsidP="007924BE">
            <w:pPr>
              <w:pStyle w:val="Normal6"/>
              <w:rPr>
                <w:szCs w:val="24"/>
              </w:rPr>
            </w:pPr>
            <w:r w:rsidRPr="00B0434F">
              <w:t>1.</w:t>
            </w:r>
            <w:r>
              <w:tab/>
            </w:r>
            <w:r w:rsidRPr="00B0434F">
              <w:t>La Cour des comptes procède, conformément à l</w:t>
            </w:r>
            <w:r>
              <w:t>’</w:t>
            </w:r>
            <w:r w:rsidRPr="00B0434F">
              <w:t>article 287 du traité sur le fonctionnement de l</w:t>
            </w:r>
            <w:r>
              <w:t>’</w:t>
            </w:r>
            <w:r w:rsidRPr="00B0434F">
              <w:t xml:space="preserve">Union européenne (TFUE), au contrôle externe des activités réalisées en application du présent règlement </w:t>
            </w:r>
            <w:r w:rsidRPr="00B0434F">
              <w:rPr>
                <w:b/>
                <w:i/>
              </w:rPr>
              <w:t>et ce contrôle est donc soumis à la procédure de décharge conformément à l</w:t>
            </w:r>
            <w:r>
              <w:rPr>
                <w:b/>
                <w:i/>
              </w:rPr>
              <w:t>’</w:t>
            </w:r>
            <w:r w:rsidRPr="00B0434F">
              <w:rPr>
                <w:b/>
                <w:i/>
              </w:rPr>
              <w:t>article 319 du traité FUE</w:t>
            </w:r>
            <w:r w:rsidRPr="00B0434F">
              <w:t>.</w:t>
            </w:r>
          </w:p>
        </w:tc>
      </w:tr>
    </w:tbl>
    <w:p w14:paraId="6D25F1BA"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63B76DF8" w14:textId="77777777" w:rsidR="00BF7ACA" w:rsidRPr="00BF7ACA" w:rsidRDefault="00BF7ACA" w:rsidP="00BF7ACA">
      <w:r w:rsidRPr="00BF7ACA">
        <w:rPr>
          <w:rStyle w:val="HideTWBExt"/>
        </w:rPr>
        <w:t>&lt;/Amend&gt;</w:t>
      </w:r>
    </w:p>
    <w:p w14:paraId="7DA421D3"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377</w:t>
      </w:r>
      <w:r w:rsidRPr="00BF7ACA">
        <w:rPr>
          <w:rStyle w:val="HideTWBExt"/>
          <w:b w:val="0"/>
        </w:rPr>
        <w:t>&lt;/NumAm&gt;</w:t>
      </w:r>
    </w:p>
    <w:p w14:paraId="1CB2A825"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0CE95D19" w14:textId="77777777" w:rsidR="00BF7ACA" w:rsidRPr="00AF1321" w:rsidRDefault="00BF7ACA" w:rsidP="00BF7ACA">
      <w:r>
        <w:rPr>
          <w:rStyle w:val="HideTWBExt"/>
        </w:rPr>
        <w:t>&lt;/RepeatBlock-By&gt;</w:t>
      </w:r>
    </w:p>
    <w:p w14:paraId="6FA550C3"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34182A06" w14:textId="77777777" w:rsidR="00BF7ACA" w:rsidRPr="00AF1321" w:rsidRDefault="00BF7ACA" w:rsidP="00BF7ACA">
      <w:pPr>
        <w:pStyle w:val="NormalBold"/>
      </w:pPr>
      <w:r>
        <w:rPr>
          <w:rStyle w:val="HideTWBExt"/>
          <w:b w:val="0"/>
        </w:rPr>
        <w:t>&lt;Article&gt;</w:t>
      </w:r>
      <w:r w:rsidRPr="00B0434F">
        <w:t>Article 19 – paragraphe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0B2BA6A6" w14:textId="77777777" w:rsidTr="007924BE">
        <w:trPr>
          <w:jc w:val="center"/>
        </w:trPr>
        <w:tc>
          <w:tcPr>
            <w:tcW w:w="9752" w:type="dxa"/>
            <w:gridSpan w:val="2"/>
          </w:tcPr>
          <w:p w14:paraId="1E10F249" w14:textId="77777777" w:rsidR="00BF7ACA" w:rsidRPr="00AF1321" w:rsidRDefault="00BF7ACA" w:rsidP="007924BE">
            <w:pPr>
              <w:keepNext/>
            </w:pPr>
          </w:p>
        </w:tc>
      </w:tr>
      <w:tr w:rsidR="00BF7ACA" w:rsidRPr="00AF1321" w14:paraId="4F364C4A" w14:textId="77777777" w:rsidTr="007924BE">
        <w:trPr>
          <w:jc w:val="center"/>
        </w:trPr>
        <w:tc>
          <w:tcPr>
            <w:tcW w:w="4876" w:type="dxa"/>
            <w:hideMark/>
          </w:tcPr>
          <w:p w14:paraId="24A4F6C3" w14:textId="77777777" w:rsidR="00BF7ACA" w:rsidRPr="00B0434F" w:rsidRDefault="00BF7ACA" w:rsidP="007924BE">
            <w:pPr>
              <w:pStyle w:val="ColumnHeading"/>
              <w:keepNext/>
            </w:pPr>
            <w:r w:rsidRPr="00B0434F">
              <w:t>Texte proposé par la Commission</w:t>
            </w:r>
          </w:p>
        </w:tc>
        <w:tc>
          <w:tcPr>
            <w:tcW w:w="4876" w:type="dxa"/>
            <w:hideMark/>
          </w:tcPr>
          <w:p w14:paraId="679B631D" w14:textId="77777777" w:rsidR="00BF7ACA" w:rsidRPr="00B0434F" w:rsidRDefault="00BF7ACA" w:rsidP="007924BE">
            <w:pPr>
              <w:pStyle w:val="ColumnHeading"/>
              <w:keepNext/>
            </w:pPr>
            <w:r w:rsidRPr="00B0434F">
              <w:t>Amendement</w:t>
            </w:r>
          </w:p>
        </w:tc>
      </w:tr>
      <w:tr w:rsidR="00BF7ACA" w:rsidRPr="00AF1321" w14:paraId="4D99090A" w14:textId="77777777" w:rsidTr="007924BE">
        <w:trPr>
          <w:jc w:val="center"/>
        </w:trPr>
        <w:tc>
          <w:tcPr>
            <w:tcW w:w="4876" w:type="dxa"/>
            <w:hideMark/>
          </w:tcPr>
          <w:p w14:paraId="71199D47" w14:textId="77777777" w:rsidR="00BF7ACA" w:rsidRPr="00B0434F" w:rsidRDefault="00BF7ACA" w:rsidP="007924BE">
            <w:pPr>
              <w:pStyle w:val="Normal6"/>
            </w:pPr>
            <w:r w:rsidRPr="00B0434F">
              <w:t>1.</w:t>
            </w:r>
            <w:r>
              <w:tab/>
            </w:r>
            <w:r w:rsidRPr="00B0434F">
              <w:t>Si, à un stade quelconque de la préparation, de la mise en œuvre ou de la clôture d</w:t>
            </w:r>
            <w:r>
              <w:t>’</w:t>
            </w:r>
            <w:r w:rsidRPr="00B0434F">
              <w:t>opérations de financement et d</w:t>
            </w:r>
            <w:r>
              <w:t>’</w:t>
            </w:r>
            <w:r w:rsidRPr="00B0434F">
              <w:t xml:space="preserve">investissement visées par le présent règlement, la Commission ou les contreparties éligibles ont des raisons de soupçonner une fraude, un acte de corruption </w:t>
            </w:r>
            <w:r w:rsidRPr="00B0434F">
              <w:rPr>
                <w:b/>
                <w:i/>
              </w:rPr>
              <w:t>ou</w:t>
            </w:r>
            <w:r w:rsidRPr="00B0434F">
              <w:t xml:space="preserve"> de blanchiment de capitaux ou toute autre activité illégale pouvant porter atteinte aux intérêts financiers de l</w:t>
            </w:r>
            <w:r>
              <w:t>’</w:t>
            </w:r>
            <w:r w:rsidRPr="00B0434F">
              <w:t>Union, elles en informent immédiatement l</w:t>
            </w:r>
            <w:r>
              <w:t>’</w:t>
            </w:r>
            <w:r w:rsidRPr="00B0434F">
              <w:t>Office européen de lutte antifraude (OLAF) et lui fournissent les informations nécessaires.</w:t>
            </w:r>
          </w:p>
        </w:tc>
        <w:tc>
          <w:tcPr>
            <w:tcW w:w="4876" w:type="dxa"/>
            <w:hideMark/>
          </w:tcPr>
          <w:p w14:paraId="7EB3AA4B" w14:textId="77777777" w:rsidR="00BF7ACA" w:rsidRPr="00B0434F" w:rsidRDefault="00BF7ACA" w:rsidP="007924BE">
            <w:pPr>
              <w:pStyle w:val="Normal6"/>
              <w:rPr>
                <w:szCs w:val="24"/>
              </w:rPr>
            </w:pPr>
            <w:r w:rsidRPr="00B0434F">
              <w:t>1.</w:t>
            </w:r>
            <w:r>
              <w:tab/>
            </w:r>
            <w:r w:rsidRPr="00B0434F">
              <w:t>Si, à un stade quelconque de la préparation, de la mise en œuvre ou de la clôture d</w:t>
            </w:r>
            <w:r>
              <w:t>’</w:t>
            </w:r>
            <w:r w:rsidRPr="00B0434F">
              <w:t>opérations de financement et d</w:t>
            </w:r>
            <w:r>
              <w:t>’</w:t>
            </w:r>
            <w:r w:rsidRPr="00B0434F">
              <w:t>investissement visées par le présent règlement, la Commission ou les contreparties éligibles ont des raisons de soupçonner une fraude, un acte de corruption</w:t>
            </w:r>
            <w:r w:rsidRPr="00B0434F">
              <w:rPr>
                <w:b/>
                <w:i/>
              </w:rPr>
              <w:t>,</w:t>
            </w:r>
            <w:r w:rsidRPr="00B0434F">
              <w:t xml:space="preserve"> </w:t>
            </w:r>
            <w:r w:rsidRPr="00B0434F">
              <w:rPr>
                <w:b/>
                <w:i/>
              </w:rPr>
              <w:t>un détournement de fonds,</w:t>
            </w:r>
            <w:r w:rsidRPr="00B0434F">
              <w:t xml:space="preserve"> </w:t>
            </w:r>
            <w:r w:rsidRPr="00B0434F">
              <w:rPr>
                <w:b/>
                <w:i/>
              </w:rPr>
              <w:t>un acte</w:t>
            </w:r>
            <w:r w:rsidRPr="00B0434F">
              <w:t xml:space="preserve"> de blanchiment de capitaux ou toute autre activité illégale pouvant porter atteinte aux intérêts financiers de l</w:t>
            </w:r>
            <w:r>
              <w:t>’</w:t>
            </w:r>
            <w:r w:rsidRPr="00B0434F">
              <w:t>Union, elles en informent immédiatement l</w:t>
            </w:r>
            <w:r>
              <w:t>’</w:t>
            </w:r>
            <w:r w:rsidRPr="00B0434F">
              <w:t>Office européen de lutte antifraude (OLAF) et lui fournissent les informations nécessaires.</w:t>
            </w:r>
          </w:p>
        </w:tc>
      </w:tr>
    </w:tbl>
    <w:p w14:paraId="02FC9FF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091D70B" w14:textId="77777777" w:rsidR="00BF7ACA" w:rsidRPr="00BF7ACA" w:rsidRDefault="00BF7ACA" w:rsidP="00BF7ACA">
      <w:r w:rsidRPr="00BF7ACA">
        <w:rPr>
          <w:rStyle w:val="HideTWBExt"/>
        </w:rPr>
        <w:t>&lt;/Amend&gt;</w:t>
      </w:r>
    </w:p>
    <w:p w14:paraId="1ED5E2D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378</w:t>
      </w:r>
      <w:r w:rsidRPr="00BF7ACA">
        <w:rPr>
          <w:rStyle w:val="HideTWBExt"/>
          <w:b w:val="0"/>
        </w:rPr>
        <w:t>&lt;/NumAm&gt;</w:t>
      </w:r>
    </w:p>
    <w:p w14:paraId="0E6CB06C"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7AB8CFEF" w14:textId="77777777" w:rsidR="00BF7ACA" w:rsidRPr="00AF1321" w:rsidRDefault="00BF7ACA" w:rsidP="00BF7ACA">
      <w:r>
        <w:rPr>
          <w:rStyle w:val="HideTWBExt"/>
        </w:rPr>
        <w:t>&lt;/RepeatBlock-By&gt;</w:t>
      </w:r>
    </w:p>
    <w:p w14:paraId="1F0E0694"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781F0DE4" w14:textId="77777777" w:rsidR="00BF7ACA" w:rsidRPr="00AF1321" w:rsidRDefault="00BF7ACA" w:rsidP="00BF7ACA">
      <w:pPr>
        <w:pStyle w:val="NormalBold"/>
      </w:pPr>
      <w:r>
        <w:rPr>
          <w:rStyle w:val="HideTWBExt"/>
          <w:b w:val="0"/>
        </w:rPr>
        <w:t>&lt;Article&gt;</w:t>
      </w:r>
      <w:r w:rsidRPr="00B0434F">
        <w:t>Article 19 – paragraphe 2 – alinéa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68C6D885" w14:textId="77777777" w:rsidTr="007924BE">
        <w:trPr>
          <w:jc w:val="center"/>
        </w:trPr>
        <w:tc>
          <w:tcPr>
            <w:tcW w:w="9752" w:type="dxa"/>
            <w:gridSpan w:val="2"/>
          </w:tcPr>
          <w:p w14:paraId="5A64D186" w14:textId="77777777" w:rsidR="00BF7ACA" w:rsidRPr="00AF1321" w:rsidRDefault="00BF7ACA" w:rsidP="007924BE">
            <w:pPr>
              <w:keepNext/>
            </w:pPr>
          </w:p>
        </w:tc>
      </w:tr>
      <w:tr w:rsidR="00BF7ACA" w:rsidRPr="00AF1321" w14:paraId="6441E516" w14:textId="77777777" w:rsidTr="007924BE">
        <w:trPr>
          <w:jc w:val="center"/>
        </w:trPr>
        <w:tc>
          <w:tcPr>
            <w:tcW w:w="4876" w:type="dxa"/>
            <w:hideMark/>
          </w:tcPr>
          <w:p w14:paraId="2F6D542A" w14:textId="77777777" w:rsidR="00BF7ACA" w:rsidRPr="00B0434F" w:rsidRDefault="00BF7ACA" w:rsidP="007924BE">
            <w:pPr>
              <w:pStyle w:val="ColumnHeading"/>
              <w:keepNext/>
            </w:pPr>
            <w:r w:rsidRPr="00B0434F">
              <w:t>Texte proposé par la Commission</w:t>
            </w:r>
          </w:p>
        </w:tc>
        <w:tc>
          <w:tcPr>
            <w:tcW w:w="4876" w:type="dxa"/>
            <w:hideMark/>
          </w:tcPr>
          <w:p w14:paraId="10428DAD" w14:textId="77777777" w:rsidR="00BF7ACA" w:rsidRPr="00B0434F" w:rsidRDefault="00BF7ACA" w:rsidP="007924BE">
            <w:pPr>
              <w:pStyle w:val="ColumnHeading"/>
              <w:keepNext/>
            </w:pPr>
            <w:r w:rsidRPr="00B0434F">
              <w:t>Amendement</w:t>
            </w:r>
          </w:p>
        </w:tc>
      </w:tr>
      <w:tr w:rsidR="00BF7ACA" w:rsidRPr="00AF1321" w14:paraId="4675820E" w14:textId="77777777" w:rsidTr="007924BE">
        <w:trPr>
          <w:jc w:val="center"/>
        </w:trPr>
        <w:tc>
          <w:tcPr>
            <w:tcW w:w="4876" w:type="dxa"/>
            <w:hideMark/>
          </w:tcPr>
          <w:p w14:paraId="4EFE6285" w14:textId="77777777" w:rsidR="00BF7ACA" w:rsidRPr="00B0434F" w:rsidRDefault="00BF7ACA" w:rsidP="007924BE">
            <w:pPr>
              <w:pStyle w:val="Normal6"/>
            </w:pPr>
            <w:r w:rsidRPr="00B0434F">
              <w:t>Afin de protéger les intérêts financiers de l</w:t>
            </w:r>
            <w:r>
              <w:t>’</w:t>
            </w:r>
            <w:r w:rsidRPr="00B0434F">
              <w:t>Union, l</w:t>
            </w:r>
            <w:r>
              <w:t>’</w:t>
            </w:r>
            <w:r w:rsidRPr="00B0434F">
              <w:t>OLAF peut procéder à des enquêtes, y compris des contrôles et vérifications sur place, conformément aux dispositions et aux procédures prévues par le règlement (UE, Euratom) nº 883/2013 du Parlement européen et du Conseil, le règlement (Euratom, CE) nº 2185/96 du Conseil et le règlement (CE, Euratom) nº 2988/95 du Conseil, en vue d</w:t>
            </w:r>
            <w:r>
              <w:t>’</w:t>
            </w:r>
            <w:r w:rsidRPr="00B0434F">
              <w:t>établir l</w:t>
            </w:r>
            <w:r>
              <w:t>’</w:t>
            </w:r>
            <w:r w:rsidRPr="00B0434F">
              <w:t>existence éventuelle d</w:t>
            </w:r>
            <w:r>
              <w:t>’</w:t>
            </w:r>
            <w:r w:rsidRPr="00B0434F">
              <w:t>une fraude, d</w:t>
            </w:r>
            <w:r>
              <w:t>’</w:t>
            </w:r>
            <w:r w:rsidRPr="00B0434F">
              <w:t>un acte de corruption, d</w:t>
            </w:r>
            <w:r>
              <w:t>’</w:t>
            </w:r>
            <w:r w:rsidRPr="00B0434F">
              <w:t>un acte de blanchiment de capitaux ou de toute autre activité illégale portant atteinte aux intérêts financiers de l</w:t>
            </w:r>
            <w:r>
              <w:t>’</w:t>
            </w:r>
            <w:r w:rsidRPr="00B0434F">
              <w:t>Union dans le cadre d</w:t>
            </w:r>
            <w:r>
              <w:t>’</w:t>
            </w:r>
            <w:r w:rsidRPr="00B0434F">
              <w:t>opérations de financement et d</w:t>
            </w:r>
            <w:r>
              <w:t>’</w:t>
            </w:r>
            <w:r w:rsidRPr="00B0434F">
              <w:t>investissement visées par le présent règlement. L</w:t>
            </w:r>
            <w:r>
              <w:t>’</w:t>
            </w:r>
            <w:r w:rsidRPr="00B0434F">
              <w:t>OLAF peut transmettre toute information obtenue dans le cadre de ses enquêtes aux autorités compétentes des États membres concernés.</w:t>
            </w:r>
          </w:p>
        </w:tc>
        <w:tc>
          <w:tcPr>
            <w:tcW w:w="4876" w:type="dxa"/>
            <w:hideMark/>
          </w:tcPr>
          <w:p w14:paraId="101666E1" w14:textId="77777777" w:rsidR="00BF7ACA" w:rsidRPr="00B0434F" w:rsidRDefault="00BF7ACA" w:rsidP="007924BE">
            <w:pPr>
              <w:pStyle w:val="Normal6"/>
              <w:rPr>
                <w:szCs w:val="24"/>
              </w:rPr>
            </w:pPr>
            <w:r w:rsidRPr="00B0434F">
              <w:t>Afin de protéger les intérêts financiers de l</w:t>
            </w:r>
            <w:r>
              <w:t>’</w:t>
            </w:r>
            <w:r w:rsidRPr="00B0434F">
              <w:t>Union, l</w:t>
            </w:r>
            <w:r>
              <w:t>’</w:t>
            </w:r>
            <w:r w:rsidRPr="00B0434F">
              <w:t>OLAF procède à des enquêtes, y compris des contrôles et vérifications sur place, conformément aux dispositions et aux procédures prévues par le règlement (UE, Euratom) n</w:t>
            </w:r>
            <w:r>
              <w:t>º </w:t>
            </w:r>
            <w:r w:rsidRPr="00B0434F">
              <w:t>883/2013 du Parlement européen et du Conseil, le règlement (Euratom, CE) n</w:t>
            </w:r>
            <w:r>
              <w:t>º </w:t>
            </w:r>
            <w:r w:rsidRPr="00B0434F">
              <w:t>2185/96 du Conseil et le règlement (CE, Euratom) n</w:t>
            </w:r>
            <w:r>
              <w:t>º </w:t>
            </w:r>
            <w:r w:rsidRPr="00B0434F">
              <w:t>2988/95 du Conseil, en vue d</w:t>
            </w:r>
            <w:r>
              <w:t>’</w:t>
            </w:r>
            <w:r w:rsidRPr="00B0434F">
              <w:t>établir l</w:t>
            </w:r>
            <w:r>
              <w:t>’</w:t>
            </w:r>
            <w:r w:rsidRPr="00B0434F">
              <w:t>existence éventuelle d</w:t>
            </w:r>
            <w:r>
              <w:t>’</w:t>
            </w:r>
            <w:r w:rsidRPr="00B0434F">
              <w:t>une fraude, d</w:t>
            </w:r>
            <w:r>
              <w:t>’</w:t>
            </w:r>
            <w:r w:rsidRPr="00B0434F">
              <w:t xml:space="preserve">un acte de corruption, </w:t>
            </w:r>
            <w:r w:rsidRPr="00B0434F">
              <w:rPr>
                <w:b/>
                <w:i/>
              </w:rPr>
              <w:t>d</w:t>
            </w:r>
            <w:r>
              <w:rPr>
                <w:b/>
                <w:i/>
              </w:rPr>
              <w:t>’</w:t>
            </w:r>
            <w:r w:rsidRPr="00B0434F">
              <w:rPr>
                <w:b/>
                <w:i/>
              </w:rPr>
              <w:t xml:space="preserve">un détournement de fonds, </w:t>
            </w:r>
            <w:r w:rsidRPr="00B0434F">
              <w:t>d</w:t>
            </w:r>
            <w:r>
              <w:t>’</w:t>
            </w:r>
            <w:r w:rsidRPr="00B0434F">
              <w:t xml:space="preserve">un acte de blanchiment de capitaux </w:t>
            </w:r>
            <w:r w:rsidRPr="00B0434F">
              <w:rPr>
                <w:b/>
                <w:i/>
              </w:rPr>
              <w:t>ou de financement du terrorisme, d</w:t>
            </w:r>
            <w:r>
              <w:rPr>
                <w:b/>
                <w:i/>
              </w:rPr>
              <w:t>’</w:t>
            </w:r>
            <w:r w:rsidRPr="00B0434F">
              <w:rPr>
                <w:b/>
                <w:i/>
              </w:rPr>
              <w:t>une fraude fiscale, d</w:t>
            </w:r>
            <w:r>
              <w:rPr>
                <w:b/>
                <w:i/>
              </w:rPr>
              <w:t>’</w:t>
            </w:r>
            <w:r w:rsidRPr="00B0434F">
              <w:rPr>
                <w:b/>
                <w:i/>
              </w:rPr>
              <w:t>une évasion fiscale</w:t>
            </w:r>
            <w:r w:rsidRPr="00B0434F">
              <w:t xml:space="preserve"> ou de toute autre activité illégale portant atteinte aux intérêts financiers de l</w:t>
            </w:r>
            <w:r>
              <w:t>’</w:t>
            </w:r>
            <w:r w:rsidRPr="00B0434F">
              <w:t>Union dans le cadre d</w:t>
            </w:r>
            <w:r>
              <w:t>’</w:t>
            </w:r>
            <w:r w:rsidRPr="00B0434F">
              <w:t>opérations de financement et d</w:t>
            </w:r>
            <w:r>
              <w:t>’</w:t>
            </w:r>
            <w:r w:rsidRPr="00B0434F">
              <w:t>investissement visées par le présent règlement. L</w:t>
            </w:r>
            <w:r>
              <w:t>’</w:t>
            </w:r>
            <w:r w:rsidRPr="00B0434F">
              <w:t>OLAF peut transmettre toute information obtenue dans le cadre de ses enquêtes aux autorités compétentes des États membres concernés.</w:t>
            </w:r>
          </w:p>
        </w:tc>
      </w:tr>
    </w:tbl>
    <w:p w14:paraId="250B356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3A0C2328" w14:textId="77777777" w:rsidR="00BF7ACA" w:rsidRPr="00BF7ACA" w:rsidRDefault="00BF7ACA" w:rsidP="00BF7ACA">
      <w:r w:rsidRPr="00BF7ACA">
        <w:rPr>
          <w:rStyle w:val="HideTWBExt"/>
        </w:rPr>
        <w:t>&lt;/Amend&gt;</w:t>
      </w:r>
    </w:p>
    <w:p w14:paraId="383DB895"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379</w:t>
      </w:r>
      <w:r w:rsidRPr="00BF7ACA">
        <w:rPr>
          <w:rStyle w:val="HideTWBExt"/>
          <w:b w:val="0"/>
        </w:rPr>
        <w:t>&lt;/NumAm&gt;</w:t>
      </w:r>
    </w:p>
    <w:p w14:paraId="32DEEC45"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2D1AD920" w14:textId="77777777" w:rsidR="00BF7ACA" w:rsidRPr="00AF1321" w:rsidRDefault="00BF7ACA" w:rsidP="00BF7ACA">
      <w:r>
        <w:rPr>
          <w:rStyle w:val="HideTWBExt"/>
        </w:rPr>
        <w:t>&lt;/RepeatBlock-By&gt;</w:t>
      </w:r>
    </w:p>
    <w:p w14:paraId="7A087418"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315AA3E5" w14:textId="77777777" w:rsidR="00BF7ACA" w:rsidRPr="00AF1321" w:rsidRDefault="00BF7ACA" w:rsidP="00BF7ACA">
      <w:pPr>
        <w:pStyle w:val="NormalBold"/>
      </w:pPr>
      <w:r>
        <w:rPr>
          <w:rStyle w:val="HideTWBExt"/>
          <w:b w:val="0"/>
        </w:rPr>
        <w:t>&lt;Article&gt;</w:t>
      </w:r>
      <w:r w:rsidRPr="00B0434F">
        <w:t>Article 20 – paragraphe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43C5D68F" w14:textId="77777777" w:rsidTr="007924BE">
        <w:trPr>
          <w:jc w:val="center"/>
        </w:trPr>
        <w:tc>
          <w:tcPr>
            <w:tcW w:w="9752" w:type="dxa"/>
            <w:gridSpan w:val="2"/>
          </w:tcPr>
          <w:p w14:paraId="7D4E66AC" w14:textId="77777777" w:rsidR="00BF7ACA" w:rsidRPr="00AF1321" w:rsidRDefault="00BF7ACA" w:rsidP="007924BE">
            <w:pPr>
              <w:keepNext/>
            </w:pPr>
          </w:p>
        </w:tc>
      </w:tr>
      <w:tr w:rsidR="00BF7ACA" w:rsidRPr="00AF1321" w14:paraId="16B7B81C" w14:textId="77777777" w:rsidTr="007924BE">
        <w:trPr>
          <w:jc w:val="center"/>
        </w:trPr>
        <w:tc>
          <w:tcPr>
            <w:tcW w:w="4876" w:type="dxa"/>
            <w:hideMark/>
          </w:tcPr>
          <w:p w14:paraId="17C51261" w14:textId="77777777" w:rsidR="00BF7ACA" w:rsidRPr="00B0434F" w:rsidRDefault="00BF7ACA" w:rsidP="007924BE">
            <w:pPr>
              <w:pStyle w:val="ColumnHeading"/>
              <w:keepNext/>
            </w:pPr>
            <w:r w:rsidRPr="00B0434F">
              <w:t>Texte proposé par la Commission</w:t>
            </w:r>
          </w:p>
        </w:tc>
        <w:tc>
          <w:tcPr>
            <w:tcW w:w="4876" w:type="dxa"/>
            <w:hideMark/>
          </w:tcPr>
          <w:p w14:paraId="7E5ED253" w14:textId="77777777" w:rsidR="00BF7ACA" w:rsidRPr="00B0434F" w:rsidRDefault="00BF7ACA" w:rsidP="007924BE">
            <w:pPr>
              <w:pStyle w:val="ColumnHeading"/>
              <w:keepNext/>
            </w:pPr>
            <w:r w:rsidRPr="00B0434F">
              <w:t>Amendement</w:t>
            </w:r>
          </w:p>
        </w:tc>
      </w:tr>
      <w:tr w:rsidR="00BF7ACA" w:rsidRPr="00AF1321" w14:paraId="39B0FB30" w14:textId="77777777" w:rsidTr="007924BE">
        <w:trPr>
          <w:jc w:val="center"/>
        </w:trPr>
        <w:tc>
          <w:tcPr>
            <w:tcW w:w="4876" w:type="dxa"/>
            <w:hideMark/>
          </w:tcPr>
          <w:p w14:paraId="211ECAB0" w14:textId="77777777" w:rsidR="00BF7ACA" w:rsidRPr="00B0434F" w:rsidRDefault="00BF7ACA" w:rsidP="007924BE">
            <w:pPr>
              <w:pStyle w:val="Normal6"/>
            </w:pPr>
            <w:r w:rsidRPr="00B0434F">
              <w:t>1.</w:t>
            </w:r>
            <w:r>
              <w:tab/>
            </w:r>
            <w:r w:rsidRPr="00B0434F">
              <w:t>Dans leurs opérations de financement et d</w:t>
            </w:r>
            <w:r>
              <w:t>’</w:t>
            </w:r>
            <w:r w:rsidRPr="00B0434F">
              <w:t>investissement, les contreparties éligibles ne soutiennent aucune activité menée à des fins illicites, dont le blanchiment d</w:t>
            </w:r>
            <w:r>
              <w:t>’</w:t>
            </w:r>
            <w:r w:rsidRPr="00B0434F">
              <w:t>argent, le financement du terrorisme, la criminalité organisée, la fraude et l</w:t>
            </w:r>
            <w:r>
              <w:t>’</w:t>
            </w:r>
            <w:r w:rsidRPr="00B0434F">
              <w:t>évasion fiscales, la corruption ou la fraude portant atteinte aux intérêts financiers de l</w:t>
            </w:r>
            <w:r>
              <w:t>’</w:t>
            </w:r>
            <w:r w:rsidRPr="00B0434F">
              <w:t>Union. Les contreparties éligibles ne participent à aucune opération de financement ou d</w:t>
            </w:r>
            <w:r>
              <w:t>’</w:t>
            </w:r>
            <w:r w:rsidRPr="00B0434F">
              <w:t>investissement par l</w:t>
            </w:r>
            <w:r>
              <w:t>’</w:t>
            </w:r>
            <w:r w:rsidRPr="00B0434F">
              <w:t>intermédiaire d</w:t>
            </w:r>
            <w:r>
              <w:t>’</w:t>
            </w:r>
            <w:r w:rsidRPr="00B0434F">
              <w:t>un instrument situé dans un pays ou territoire non coopératif</w:t>
            </w:r>
            <w:r w:rsidRPr="00B0434F">
              <w:rPr>
                <w:b/>
                <w:i/>
              </w:rPr>
              <w:t>, conformément à leur politique à l</w:t>
            </w:r>
            <w:r>
              <w:rPr>
                <w:b/>
                <w:i/>
              </w:rPr>
              <w:t>’</w:t>
            </w:r>
            <w:r w:rsidRPr="00B0434F">
              <w:rPr>
                <w:b/>
                <w:i/>
              </w:rPr>
              <w:t>égard des pays ou territoires non coopératifs ou faiblement réglementés, fondée sur les politiques de l</w:t>
            </w:r>
            <w:r>
              <w:rPr>
                <w:b/>
                <w:i/>
              </w:rPr>
              <w:t>’</w:t>
            </w:r>
            <w:r w:rsidRPr="00B0434F">
              <w:rPr>
                <w:b/>
                <w:i/>
              </w:rPr>
              <w:t xml:space="preserve">Union, de </w:t>
            </w:r>
            <w:r w:rsidRPr="00B0434F">
              <w:t>l</w:t>
            </w:r>
            <w:r>
              <w:t>’</w:t>
            </w:r>
            <w:r w:rsidRPr="00B0434F">
              <w:t xml:space="preserve">Organisation de coopération et de développement économiques </w:t>
            </w:r>
            <w:r w:rsidRPr="00B0434F">
              <w:rPr>
                <w:b/>
                <w:i/>
              </w:rPr>
              <w:t>et du groupe d</w:t>
            </w:r>
            <w:r>
              <w:rPr>
                <w:b/>
                <w:i/>
              </w:rPr>
              <w:t>’</w:t>
            </w:r>
            <w:r w:rsidRPr="00B0434F">
              <w:rPr>
                <w:b/>
                <w:i/>
              </w:rPr>
              <w:t>action financière</w:t>
            </w:r>
            <w:r w:rsidRPr="00B0434F">
              <w:t>.</w:t>
            </w:r>
          </w:p>
        </w:tc>
        <w:tc>
          <w:tcPr>
            <w:tcW w:w="4876" w:type="dxa"/>
            <w:hideMark/>
          </w:tcPr>
          <w:p w14:paraId="3552847A" w14:textId="77777777" w:rsidR="00BF7ACA" w:rsidRPr="00B0434F" w:rsidRDefault="00BF7ACA" w:rsidP="007924BE">
            <w:pPr>
              <w:pStyle w:val="Normal6"/>
              <w:rPr>
                <w:szCs w:val="24"/>
              </w:rPr>
            </w:pPr>
            <w:r w:rsidRPr="00B0434F">
              <w:t>1.</w:t>
            </w:r>
            <w:r>
              <w:tab/>
            </w:r>
            <w:r w:rsidRPr="00B0434F">
              <w:t>Dans leurs opérations de financement et d</w:t>
            </w:r>
            <w:r>
              <w:t>’</w:t>
            </w:r>
            <w:r w:rsidRPr="00B0434F">
              <w:t>investissement, les contreparties éligibles ne soutiennent aucune activité menée à des fins illicites, dont le blanchiment d</w:t>
            </w:r>
            <w:r>
              <w:t>’</w:t>
            </w:r>
            <w:r w:rsidRPr="00B0434F">
              <w:t>argent, le financement du terrorisme, la criminalité organisée, la fraude et l</w:t>
            </w:r>
            <w:r>
              <w:t>’</w:t>
            </w:r>
            <w:r w:rsidRPr="00B0434F">
              <w:t>évasion fiscales, la corruption ou la fraude portant atteinte aux intérêts financiers de l</w:t>
            </w:r>
            <w:r>
              <w:t>’</w:t>
            </w:r>
            <w:r w:rsidRPr="00B0434F">
              <w:t>Union. Les contreparties éligibles ne participent à aucune opération de financement ou d</w:t>
            </w:r>
            <w:r>
              <w:t>’</w:t>
            </w:r>
            <w:r w:rsidRPr="00B0434F">
              <w:t>investissement par l</w:t>
            </w:r>
            <w:r>
              <w:t>’</w:t>
            </w:r>
            <w:r w:rsidRPr="00B0434F">
              <w:t>intermédiaire d</w:t>
            </w:r>
            <w:r>
              <w:t>’</w:t>
            </w:r>
            <w:r w:rsidRPr="00B0434F">
              <w:t xml:space="preserve">un instrument situé dans un pays ou territoire non coopératif </w:t>
            </w:r>
            <w:r w:rsidRPr="00B0434F">
              <w:rPr>
                <w:b/>
                <w:i/>
              </w:rPr>
              <w:t>caractérisé, notamment, par une imposition inexistante, insignifiante ou faible, l</w:t>
            </w:r>
            <w:r>
              <w:rPr>
                <w:b/>
                <w:i/>
              </w:rPr>
              <w:t>’</w:t>
            </w:r>
            <w:r w:rsidRPr="00B0434F">
              <w:rPr>
                <w:b/>
                <w:i/>
              </w:rPr>
              <w:t>absence d</w:t>
            </w:r>
            <w:r>
              <w:rPr>
                <w:b/>
                <w:i/>
              </w:rPr>
              <w:t>’</w:t>
            </w:r>
            <w:r w:rsidRPr="00B0434F">
              <w:rPr>
                <w:b/>
                <w:i/>
              </w:rPr>
              <w:t>échange automatique effectif d</w:t>
            </w:r>
            <w:r>
              <w:rPr>
                <w:b/>
                <w:i/>
              </w:rPr>
              <w:t>’</w:t>
            </w:r>
            <w:r w:rsidRPr="00B0434F">
              <w:rPr>
                <w:b/>
                <w:i/>
              </w:rPr>
              <w:t>informations en matière fiscale, un manque de transparence dans les dispositions législatives, judiciaires ou administratives ou l</w:t>
            </w:r>
            <w:r>
              <w:rPr>
                <w:b/>
                <w:i/>
              </w:rPr>
              <w:t>’</w:t>
            </w:r>
            <w:r w:rsidRPr="00B0434F">
              <w:rPr>
                <w:b/>
                <w:i/>
              </w:rPr>
              <w:t xml:space="preserve">application de mesures fiscales néfastes telles que définies par le code de conduite dans le domaine de la fiscalité des entreprises, ou considérée par </w:t>
            </w:r>
            <w:r w:rsidRPr="00B0434F">
              <w:t>l</w:t>
            </w:r>
            <w:r>
              <w:t>’</w:t>
            </w:r>
            <w:r w:rsidRPr="00B0434F">
              <w:t xml:space="preserve">Organisation de coopération et de développement économiques </w:t>
            </w:r>
            <w:r w:rsidRPr="00B0434F">
              <w:rPr>
                <w:b/>
                <w:i/>
              </w:rPr>
              <w:t>comme une juridiction non coopérative, ou identifiée comme un pays à haut risque, au sens de l</w:t>
            </w:r>
            <w:r>
              <w:rPr>
                <w:b/>
                <w:i/>
              </w:rPr>
              <w:t>’</w:t>
            </w:r>
            <w:r w:rsidRPr="00B0434F">
              <w:rPr>
                <w:b/>
                <w:i/>
              </w:rPr>
              <w:t>article 9, paragraphe 2, de la directive (UE) 2015/849 ou incluse dans la liste européenne commune des juridictions fiscales non coopératives</w:t>
            </w:r>
            <w:r w:rsidRPr="00B0434F">
              <w:t>.</w:t>
            </w:r>
          </w:p>
        </w:tc>
      </w:tr>
    </w:tbl>
    <w:p w14:paraId="55A1231F"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1CD4F6E" w14:textId="77777777" w:rsidR="00BF7ACA" w:rsidRPr="00BF7ACA" w:rsidRDefault="00BF7ACA" w:rsidP="00BF7ACA">
      <w:r w:rsidRPr="00BF7ACA">
        <w:rPr>
          <w:rStyle w:val="HideTWBExt"/>
        </w:rPr>
        <w:t>&lt;/Amend&gt;</w:t>
      </w:r>
    </w:p>
    <w:p w14:paraId="66661A91"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380</w:t>
      </w:r>
      <w:r w:rsidRPr="00BF7ACA">
        <w:rPr>
          <w:rStyle w:val="HideTWBExt"/>
          <w:b w:val="0"/>
        </w:rPr>
        <w:t>&lt;/NumAm&gt;</w:t>
      </w:r>
    </w:p>
    <w:p w14:paraId="76162D40"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4BD2E4C3" w14:textId="77777777" w:rsidR="00BF7ACA" w:rsidRPr="00AF1321" w:rsidRDefault="00BF7ACA" w:rsidP="00BF7ACA">
      <w:r>
        <w:rPr>
          <w:rStyle w:val="HideTWBExt"/>
        </w:rPr>
        <w:t>&lt;/RepeatBlock-By&gt;</w:t>
      </w:r>
    </w:p>
    <w:p w14:paraId="749EF80F"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119F54E2" w14:textId="77777777" w:rsidR="00BF7ACA" w:rsidRPr="00AF1321" w:rsidRDefault="00BF7ACA" w:rsidP="00BF7ACA">
      <w:pPr>
        <w:pStyle w:val="NormalBold"/>
      </w:pPr>
      <w:r>
        <w:rPr>
          <w:rStyle w:val="HideTWBExt"/>
          <w:b w:val="0"/>
        </w:rPr>
        <w:t>&lt;Article&gt;</w:t>
      </w:r>
      <w:r w:rsidRPr="00B0434F">
        <w:t>Article 20 – paragraphe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08181BC9" w14:textId="77777777" w:rsidTr="007924BE">
        <w:trPr>
          <w:jc w:val="center"/>
        </w:trPr>
        <w:tc>
          <w:tcPr>
            <w:tcW w:w="9752" w:type="dxa"/>
            <w:gridSpan w:val="2"/>
          </w:tcPr>
          <w:p w14:paraId="28881847" w14:textId="77777777" w:rsidR="00BF7ACA" w:rsidRPr="00AF1321" w:rsidRDefault="00BF7ACA" w:rsidP="007924BE">
            <w:pPr>
              <w:keepNext/>
            </w:pPr>
          </w:p>
        </w:tc>
      </w:tr>
      <w:tr w:rsidR="00BF7ACA" w:rsidRPr="00AF1321" w14:paraId="433AC1CF" w14:textId="77777777" w:rsidTr="007924BE">
        <w:trPr>
          <w:jc w:val="center"/>
        </w:trPr>
        <w:tc>
          <w:tcPr>
            <w:tcW w:w="4876" w:type="dxa"/>
            <w:hideMark/>
          </w:tcPr>
          <w:p w14:paraId="1FEEA625" w14:textId="77777777" w:rsidR="00BF7ACA" w:rsidRPr="00B0434F" w:rsidRDefault="00BF7ACA" w:rsidP="007924BE">
            <w:pPr>
              <w:pStyle w:val="ColumnHeading"/>
              <w:keepNext/>
            </w:pPr>
            <w:r w:rsidRPr="00B0434F">
              <w:t>Texte proposé par la Commission</w:t>
            </w:r>
          </w:p>
        </w:tc>
        <w:tc>
          <w:tcPr>
            <w:tcW w:w="4876" w:type="dxa"/>
            <w:hideMark/>
          </w:tcPr>
          <w:p w14:paraId="21688ECB" w14:textId="77777777" w:rsidR="00BF7ACA" w:rsidRPr="00B0434F" w:rsidRDefault="00BF7ACA" w:rsidP="007924BE">
            <w:pPr>
              <w:pStyle w:val="ColumnHeading"/>
              <w:keepNext/>
            </w:pPr>
            <w:r w:rsidRPr="00B0434F">
              <w:t>Amendement</w:t>
            </w:r>
          </w:p>
        </w:tc>
      </w:tr>
      <w:tr w:rsidR="00BF7ACA" w:rsidRPr="00AF1321" w14:paraId="37F6EFC7" w14:textId="77777777" w:rsidTr="007924BE">
        <w:trPr>
          <w:jc w:val="center"/>
        </w:trPr>
        <w:tc>
          <w:tcPr>
            <w:tcW w:w="4876" w:type="dxa"/>
            <w:hideMark/>
          </w:tcPr>
          <w:p w14:paraId="402A07A7" w14:textId="77777777" w:rsidR="00BF7ACA" w:rsidRPr="00B0434F" w:rsidRDefault="00BF7ACA" w:rsidP="007924BE">
            <w:pPr>
              <w:pStyle w:val="Normal6"/>
            </w:pPr>
            <w:r w:rsidRPr="00B0434F">
              <w:t>2.</w:t>
            </w:r>
            <w:r>
              <w:tab/>
            </w:r>
            <w:r w:rsidRPr="00B0434F">
              <w:t>Dans ses opérations de financement et d</w:t>
            </w:r>
            <w:r>
              <w:t>’</w:t>
            </w:r>
            <w:r w:rsidRPr="00B0434F">
              <w:t>investissement, la contrepartie éligible applique les principes et les normes fixés par la législation de l</w:t>
            </w:r>
            <w:r>
              <w:t>’</w:t>
            </w:r>
            <w:r w:rsidRPr="00B0434F">
              <w:t>Union relative à la prévention de l</w:t>
            </w:r>
            <w:r>
              <w:t>’</w:t>
            </w:r>
            <w:r w:rsidRPr="00B0434F">
              <w:t>utilisation du système financier aux fins du blanchiment de capitaux et du financement du terrorisme et en particulier par le règlement (UE) 2015/847 du Parlement européen et du Conseil</w:t>
            </w:r>
            <w:r w:rsidRPr="00B0434F">
              <w:rPr>
                <w:vertAlign w:val="superscript"/>
              </w:rPr>
              <w:t>35</w:t>
            </w:r>
            <w:r w:rsidRPr="00B0434F">
              <w:t xml:space="preserve"> et la directive (UE) 2015/849 du Parlement européen et du Conseil</w:t>
            </w:r>
            <w:r w:rsidRPr="00B0434F">
              <w:rPr>
                <w:vertAlign w:val="superscript"/>
              </w:rPr>
              <w:t>36</w:t>
            </w:r>
            <w:r w:rsidRPr="00B0434F">
              <w:t>. Les contreparties éligibles subordonnent les financements octroyés au titre du présent règlement, qu</w:t>
            </w:r>
            <w:r>
              <w:t>’</w:t>
            </w:r>
            <w:r w:rsidRPr="00B0434F">
              <w:t>ils soient directs ou qu</w:t>
            </w:r>
            <w:r>
              <w:t>’</w:t>
            </w:r>
            <w:r w:rsidRPr="00B0434F">
              <w:t>ils passent par des intermédiaires, à la communication des informations relatives aux bénéficiaires effectifs au sens de la directive (UE) 2015/849.</w:t>
            </w:r>
          </w:p>
        </w:tc>
        <w:tc>
          <w:tcPr>
            <w:tcW w:w="4876" w:type="dxa"/>
            <w:hideMark/>
          </w:tcPr>
          <w:p w14:paraId="27746943" w14:textId="77777777" w:rsidR="00BF7ACA" w:rsidRPr="00B0434F" w:rsidRDefault="00BF7ACA" w:rsidP="007924BE">
            <w:pPr>
              <w:pStyle w:val="Normal6"/>
              <w:rPr>
                <w:szCs w:val="24"/>
              </w:rPr>
            </w:pPr>
            <w:r w:rsidRPr="00B0434F">
              <w:t>2.</w:t>
            </w:r>
            <w:r>
              <w:tab/>
            </w:r>
            <w:r w:rsidRPr="00B0434F">
              <w:t>Dans ses opérations de financement et d</w:t>
            </w:r>
            <w:r>
              <w:t>’</w:t>
            </w:r>
            <w:r w:rsidRPr="00B0434F">
              <w:t>investissement, la contrepartie éligible applique les principes et les normes fixés par la législation de l</w:t>
            </w:r>
            <w:r>
              <w:t>’</w:t>
            </w:r>
            <w:r w:rsidRPr="00B0434F">
              <w:t>Union relative à la prévention de l</w:t>
            </w:r>
            <w:r>
              <w:t>’</w:t>
            </w:r>
            <w:r w:rsidRPr="00B0434F">
              <w:t>utilisation du système financier aux fins du blanchiment de capitaux et du financement du terrorisme et en particulier par le règlement (UE) 2015/847 du Parlement européen et du Conseil</w:t>
            </w:r>
            <w:r w:rsidRPr="00B0434F">
              <w:rPr>
                <w:vertAlign w:val="superscript"/>
              </w:rPr>
              <w:t>35</w:t>
            </w:r>
            <w:r w:rsidRPr="00B0434F">
              <w:t xml:space="preserve"> et la directive (UE) 2015/849 du Parlement européen et du Conseil</w:t>
            </w:r>
            <w:r w:rsidRPr="00B0434F">
              <w:rPr>
                <w:vertAlign w:val="superscript"/>
              </w:rPr>
              <w:t>36</w:t>
            </w:r>
            <w:r w:rsidRPr="00B0434F">
              <w:t>. Les contreparties éligibles subordonnent les financements octroyés au titre du présent règlement, qu</w:t>
            </w:r>
            <w:r>
              <w:t>’</w:t>
            </w:r>
            <w:r w:rsidRPr="00B0434F">
              <w:t>ils soient directs ou qu</w:t>
            </w:r>
            <w:r>
              <w:t>’</w:t>
            </w:r>
            <w:r w:rsidRPr="00B0434F">
              <w:t>ils passent par des intermédiaires, à la communication des informations relatives aux bénéficiaires effectifs au sens de la directive (UE) 2015/849</w:t>
            </w:r>
            <w:r w:rsidRPr="00B0434F">
              <w:rPr>
                <w:b/>
                <w:i/>
              </w:rPr>
              <w:t>, et publient les informations pays par pays conformément aux dispositions énoncées à l</w:t>
            </w:r>
            <w:r>
              <w:rPr>
                <w:b/>
                <w:i/>
              </w:rPr>
              <w:t>’</w:t>
            </w:r>
            <w:r w:rsidRPr="00B0434F">
              <w:rPr>
                <w:b/>
                <w:i/>
              </w:rPr>
              <w:t>article 89, paragraphe 1, de la directive 2013/36/UE</w:t>
            </w:r>
            <w:r w:rsidRPr="00B0434F">
              <w:t>.</w:t>
            </w:r>
          </w:p>
        </w:tc>
      </w:tr>
      <w:tr w:rsidR="00BF7ACA" w:rsidRPr="00AF1321" w14:paraId="480824C3" w14:textId="77777777" w:rsidTr="007924BE">
        <w:trPr>
          <w:jc w:val="center"/>
        </w:trPr>
        <w:tc>
          <w:tcPr>
            <w:tcW w:w="4876" w:type="dxa"/>
            <w:hideMark/>
          </w:tcPr>
          <w:p w14:paraId="1759873A" w14:textId="77777777" w:rsidR="00BF7ACA" w:rsidRPr="00B0434F" w:rsidRDefault="00BF7ACA" w:rsidP="007924BE">
            <w:pPr>
              <w:pStyle w:val="Normal6"/>
            </w:pPr>
            <w:r w:rsidRPr="00B0434F">
              <w:t>__________________</w:t>
            </w:r>
          </w:p>
        </w:tc>
        <w:tc>
          <w:tcPr>
            <w:tcW w:w="4876" w:type="dxa"/>
            <w:hideMark/>
          </w:tcPr>
          <w:p w14:paraId="60A57F0E" w14:textId="77777777" w:rsidR="00BF7ACA" w:rsidRPr="00B0434F" w:rsidRDefault="00BF7ACA" w:rsidP="007924BE">
            <w:pPr>
              <w:pStyle w:val="Normal6"/>
              <w:rPr>
                <w:szCs w:val="24"/>
              </w:rPr>
            </w:pPr>
            <w:r w:rsidRPr="00B0434F">
              <w:t>__________________</w:t>
            </w:r>
          </w:p>
        </w:tc>
      </w:tr>
      <w:tr w:rsidR="00BF7ACA" w:rsidRPr="00AF1321" w14:paraId="4AD3D974" w14:textId="77777777" w:rsidTr="007924BE">
        <w:trPr>
          <w:jc w:val="center"/>
        </w:trPr>
        <w:tc>
          <w:tcPr>
            <w:tcW w:w="4876" w:type="dxa"/>
            <w:hideMark/>
          </w:tcPr>
          <w:p w14:paraId="7B771D29" w14:textId="77777777" w:rsidR="00BF7ACA" w:rsidRPr="00B0434F" w:rsidRDefault="00BF7ACA" w:rsidP="007924BE">
            <w:pPr>
              <w:pStyle w:val="Normal6"/>
            </w:pPr>
            <w:r w:rsidRPr="00B0434F">
              <w:rPr>
                <w:vertAlign w:val="superscript"/>
              </w:rPr>
              <w:t>35</w:t>
            </w:r>
            <w:r w:rsidRPr="00B0434F">
              <w:t xml:space="preserve"> Règlement (UE) 2015/847 du Parlement européen et du Conseil du 20 mai 2015 sur les informations accompagnant les transferts de fonds et abrogeant le règlement (CE) nº 1781/2006 (JO L 141 du 5.6.2015, p. 1).</w:t>
            </w:r>
          </w:p>
        </w:tc>
        <w:tc>
          <w:tcPr>
            <w:tcW w:w="4876" w:type="dxa"/>
            <w:hideMark/>
          </w:tcPr>
          <w:p w14:paraId="23A6A34F" w14:textId="77777777" w:rsidR="00BF7ACA" w:rsidRPr="00B0434F" w:rsidRDefault="00BF7ACA" w:rsidP="007924BE">
            <w:pPr>
              <w:pStyle w:val="Normal6"/>
              <w:rPr>
                <w:szCs w:val="24"/>
              </w:rPr>
            </w:pPr>
            <w:r w:rsidRPr="00B0434F">
              <w:rPr>
                <w:vertAlign w:val="superscript"/>
              </w:rPr>
              <w:t>35</w:t>
            </w:r>
            <w:r w:rsidRPr="00B0434F">
              <w:t xml:space="preserve"> Règlement (UE) 2015/847 du Parlement européen et du Conseil du 20 mai 2015 sur les informations accompagnant les transferts de fonds et abrogeant le règlement (CE) nº 1781/2006 (JO L 141 du 5.6.2015, p. 1).</w:t>
            </w:r>
          </w:p>
        </w:tc>
      </w:tr>
      <w:tr w:rsidR="00BF7ACA" w:rsidRPr="00AF1321" w14:paraId="3BE7AB2D" w14:textId="77777777" w:rsidTr="007924BE">
        <w:trPr>
          <w:jc w:val="center"/>
        </w:trPr>
        <w:tc>
          <w:tcPr>
            <w:tcW w:w="4876" w:type="dxa"/>
            <w:hideMark/>
          </w:tcPr>
          <w:p w14:paraId="3C4A031E" w14:textId="77777777" w:rsidR="00BF7ACA" w:rsidRPr="00B0434F" w:rsidRDefault="00BF7ACA" w:rsidP="007924BE">
            <w:pPr>
              <w:pStyle w:val="Normal6"/>
            </w:pPr>
            <w:r w:rsidRPr="00B0434F">
              <w:rPr>
                <w:vertAlign w:val="superscript"/>
              </w:rPr>
              <w:t>36</w:t>
            </w:r>
            <w:r w:rsidRPr="00B0434F">
              <w:t xml:space="preserve"> Directive (UE) 2015/849 du Parlement européen et du Conseil du 20 mai 2015 relative à la prévention de l</w:t>
            </w:r>
            <w:r>
              <w:t>’</w:t>
            </w:r>
            <w:r w:rsidRPr="00B0434F">
              <w:t>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141 du 5.6.2015, p. 73</w:t>
            </w:r>
            <w:r>
              <w:t>).</w:t>
            </w:r>
          </w:p>
        </w:tc>
        <w:tc>
          <w:tcPr>
            <w:tcW w:w="4876" w:type="dxa"/>
            <w:hideMark/>
          </w:tcPr>
          <w:p w14:paraId="7E6676C7" w14:textId="77777777" w:rsidR="00BF7ACA" w:rsidRPr="00B0434F" w:rsidRDefault="00BF7ACA" w:rsidP="007924BE">
            <w:pPr>
              <w:pStyle w:val="Normal6"/>
              <w:rPr>
                <w:szCs w:val="24"/>
              </w:rPr>
            </w:pPr>
            <w:r w:rsidRPr="00B0434F">
              <w:rPr>
                <w:vertAlign w:val="superscript"/>
              </w:rPr>
              <w:t>36</w:t>
            </w:r>
            <w:r w:rsidRPr="00B0434F">
              <w:t xml:space="preserve"> Directive (UE) 2015/849 du Parlement européen et du Conseil du 20 mai 2015 relative à la prévention de l</w:t>
            </w:r>
            <w:r>
              <w:t>’</w:t>
            </w:r>
            <w:r w:rsidRPr="00B0434F">
              <w:t>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141 du 5.6.2015, p. 73</w:t>
            </w:r>
            <w:r>
              <w:t>).</w:t>
            </w:r>
          </w:p>
        </w:tc>
      </w:tr>
    </w:tbl>
    <w:p w14:paraId="419EB2FE"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045855B" w14:textId="77777777" w:rsidR="00BF7ACA" w:rsidRPr="00BF7ACA" w:rsidRDefault="00BF7ACA" w:rsidP="00BF7ACA">
      <w:r w:rsidRPr="00BF7ACA">
        <w:rPr>
          <w:rStyle w:val="HideTWBExt"/>
        </w:rPr>
        <w:t>&lt;/Amend&gt;</w:t>
      </w:r>
    </w:p>
    <w:p w14:paraId="76C6CF2D"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381</w:t>
      </w:r>
      <w:r w:rsidRPr="00BF7ACA">
        <w:rPr>
          <w:rStyle w:val="HideTWBExt"/>
          <w:b w:val="0"/>
        </w:rPr>
        <w:t>&lt;/NumAm&gt;</w:t>
      </w:r>
    </w:p>
    <w:p w14:paraId="4406EEDA" w14:textId="77777777"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14:paraId="590604A0" w14:textId="77777777" w:rsidR="00BF7ACA" w:rsidRPr="00AF1321" w:rsidRDefault="00BF7ACA" w:rsidP="00BF7ACA">
      <w:r>
        <w:rPr>
          <w:rStyle w:val="HideTWBExt"/>
        </w:rPr>
        <w:t>&lt;/RepeatBlock-By&gt;</w:t>
      </w:r>
    </w:p>
    <w:p w14:paraId="56EC4963"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41C83DF2" w14:textId="77777777" w:rsidR="00BF7ACA" w:rsidRPr="00AF1321" w:rsidRDefault="00BF7ACA" w:rsidP="00BF7ACA">
      <w:pPr>
        <w:pStyle w:val="NormalBold"/>
      </w:pPr>
      <w:r>
        <w:rPr>
          <w:rStyle w:val="HideTWBExt"/>
          <w:b w:val="0"/>
        </w:rPr>
        <w:t>&lt;Article&gt;</w:t>
      </w:r>
      <w:r w:rsidRPr="00B0434F">
        <w:t>Article 20 – paragraphe 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44428F47" w14:textId="77777777" w:rsidTr="007924BE">
        <w:trPr>
          <w:jc w:val="center"/>
        </w:trPr>
        <w:tc>
          <w:tcPr>
            <w:tcW w:w="9752" w:type="dxa"/>
            <w:gridSpan w:val="2"/>
          </w:tcPr>
          <w:p w14:paraId="39FD44BB" w14:textId="77777777" w:rsidR="00BF7ACA" w:rsidRPr="00AF1321" w:rsidRDefault="00BF7ACA" w:rsidP="007924BE">
            <w:pPr>
              <w:keepNext/>
            </w:pPr>
          </w:p>
        </w:tc>
      </w:tr>
      <w:tr w:rsidR="00BF7ACA" w:rsidRPr="00AF1321" w14:paraId="7D3C024C" w14:textId="77777777" w:rsidTr="007924BE">
        <w:trPr>
          <w:jc w:val="center"/>
        </w:trPr>
        <w:tc>
          <w:tcPr>
            <w:tcW w:w="4876" w:type="dxa"/>
            <w:hideMark/>
          </w:tcPr>
          <w:p w14:paraId="487F6C5C" w14:textId="77777777" w:rsidR="00BF7ACA" w:rsidRPr="00B0434F" w:rsidRDefault="00BF7ACA" w:rsidP="007924BE">
            <w:pPr>
              <w:pStyle w:val="ColumnHeading"/>
              <w:keepNext/>
            </w:pPr>
            <w:r w:rsidRPr="00B0434F">
              <w:t>Texte proposé par la Commission</w:t>
            </w:r>
          </w:p>
        </w:tc>
        <w:tc>
          <w:tcPr>
            <w:tcW w:w="4876" w:type="dxa"/>
            <w:hideMark/>
          </w:tcPr>
          <w:p w14:paraId="5B6CEFE5" w14:textId="77777777" w:rsidR="00BF7ACA" w:rsidRPr="00B0434F" w:rsidRDefault="00BF7ACA" w:rsidP="007924BE">
            <w:pPr>
              <w:pStyle w:val="ColumnHeading"/>
              <w:keepNext/>
            </w:pPr>
            <w:r w:rsidRPr="00B0434F">
              <w:t>Amendement</w:t>
            </w:r>
          </w:p>
        </w:tc>
      </w:tr>
      <w:tr w:rsidR="00BF7ACA" w:rsidRPr="00AF1321" w14:paraId="23682D30" w14:textId="77777777" w:rsidTr="007924BE">
        <w:trPr>
          <w:jc w:val="center"/>
        </w:trPr>
        <w:tc>
          <w:tcPr>
            <w:tcW w:w="4876" w:type="dxa"/>
          </w:tcPr>
          <w:p w14:paraId="02312336" w14:textId="77777777" w:rsidR="00BF7ACA" w:rsidRPr="00B0434F" w:rsidRDefault="00BF7ACA" w:rsidP="007924BE">
            <w:pPr>
              <w:pStyle w:val="Normal6"/>
            </w:pPr>
          </w:p>
        </w:tc>
        <w:tc>
          <w:tcPr>
            <w:tcW w:w="4876" w:type="dxa"/>
            <w:hideMark/>
          </w:tcPr>
          <w:p w14:paraId="32207D00" w14:textId="77777777" w:rsidR="00BF7ACA" w:rsidRPr="00B0434F" w:rsidRDefault="00BF7ACA" w:rsidP="007924BE">
            <w:pPr>
              <w:pStyle w:val="Normal6"/>
              <w:rPr>
                <w:szCs w:val="24"/>
              </w:rPr>
            </w:pPr>
            <w:r w:rsidRPr="00B0434F">
              <w:rPr>
                <w:b/>
                <w:i/>
              </w:rPr>
              <w:t>2 bis.</w:t>
            </w:r>
            <w:r>
              <w:tab/>
            </w:r>
            <w:r w:rsidRPr="00B0434F">
              <w:rPr>
                <w:b/>
                <w:i/>
              </w:rPr>
              <w:t>Le FEDD ne soutient pas des opérations de financement et d</w:t>
            </w:r>
            <w:r>
              <w:rPr>
                <w:b/>
                <w:i/>
              </w:rPr>
              <w:t>’</w:t>
            </w:r>
            <w:r w:rsidRPr="00B0434F">
              <w:rPr>
                <w:b/>
                <w:i/>
              </w:rPr>
              <w:t>investissement qui:</w:t>
            </w:r>
          </w:p>
        </w:tc>
      </w:tr>
      <w:tr w:rsidR="00BF7ACA" w:rsidRPr="00AF1321" w14:paraId="2BEDF3B6" w14:textId="77777777" w:rsidTr="007924BE">
        <w:trPr>
          <w:jc w:val="center"/>
        </w:trPr>
        <w:tc>
          <w:tcPr>
            <w:tcW w:w="4876" w:type="dxa"/>
          </w:tcPr>
          <w:p w14:paraId="6E9A6027" w14:textId="77777777" w:rsidR="00BF7ACA" w:rsidRPr="00B0434F" w:rsidRDefault="00BF7ACA" w:rsidP="007924BE">
            <w:pPr>
              <w:pStyle w:val="Normal6"/>
            </w:pPr>
          </w:p>
        </w:tc>
        <w:tc>
          <w:tcPr>
            <w:tcW w:w="4876" w:type="dxa"/>
            <w:hideMark/>
          </w:tcPr>
          <w:p w14:paraId="3367B094" w14:textId="77777777" w:rsidR="00BF7ACA" w:rsidRPr="00B0434F" w:rsidRDefault="00BF7ACA" w:rsidP="007924BE">
            <w:pPr>
              <w:pStyle w:val="Normal6"/>
              <w:rPr>
                <w:szCs w:val="24"/>
              </w:rPr>
            </w:pPr>
            <w:r>
              <w:rPr>
                <w:b/>
                <w:i/>
              </w:rPr>
              <w:t>(a)</w:t>
            </w:r>
            <w:r>
              <w:rPr>
                <w:b/>
                <w:i/>
              </w:rPr>
              <w:tab/>
            </w:r>
            <w:r w:rsidRPr="00B0434F">
              <w:rPr>
                <w:b/>
                <w:i/>
              </w:rPr>
              <w:t>sont effectuées dans les secteurs de l</w:t>
            </w:r>
            <w:r>
              <w:rPr>
                <w:b/>
                <w:i/>
              </w:rPr>
              <w:t>’</w:t>
            </w:r>
            <w:r w:rsidRPr="00B0434F">
              <w:rPr>
                <w:b/>
                <w:i/>
              </w:rPr>
              <w:t>armement, de la défense ou de la sécurité, ou qui sont étroitement liées à ceux-ci;</w:t>
            </w:r>
          </w:p>
        </w:tc>
      </w:tr>
      <w:tr w:rsidR="00BF7ACA" w:rsidRPr="00AF1321" w14:paraId="4884DF15" w14:textId="77777777" w:rsidTr="007924BE">
        <w:trPr>
          <w:jc w:val="center"/>
        </w:trPr>
        <w:tc>
          <w:tcPr>
            <w:tcW w:w="4876" w:type="dxa"/>
          </w:tcPr>
          <w:p w14:paraId="62AB4DB4" w14:textId="77777777" w:rsidR="00BF7ACA" w:rsidRPr="00B0434F" w:rsidRDefault="00BF7ACA" w:rsidP="007924BE">
            <w:pPr>
              <w:pStyle w:val="Normal6"/>
            </w:pPr>
          </w:p>
        </w:tc>
        <w:tc>
          <w:tcPr>
            <w:tcW w:w="4876" w:type="dxa"/>
            <w:hideMark/>
          </w:tcPr>
          <w:p w14:paraId="60D0E242" w14:textId="77777777" w:rsidR="00BF7ACA" w:rsidRPr="00B0434F" w:rsidRDefault="00BF7ACA" w:rsidP="007924BE">
            <w:pPr>
              <w:pStyle w:val="Normal6"/>
              <w:rPr>
                <w:szCs w:val="24"/>
              </w:rPr>
            </w:pPr>
            <w:r>
              <w:rPr>
                <w:b/>
                <w:i/>
              </w:rPr>
              <w:t>(b)</w:t>
            </w:r>
            <w:r>
              <w:rPr>
                <w:b/>
                <w:i/>
              </w:rPr>
              <w:tab/>
            </w:r>
            <w:r w:rsidRPr="00B0434F">
              <w:rPr>
                <w:b/>
                <w:i/>
              </w:rPr>
              <w:t>soutiennent l</w:t>
            </w:r>
            <w:r>
              <w:rPr>
                <w:b/>
                <w:i/>
              </w:rPr>
              <w:t>’</w:t>
            </w:r>
            <w:r w:rsidRPr="00B0434F">
              <w:rPr>
                <w:b/>
                <w:i/>
              </w:rPr>
              <w:t>énergie nucléaire ou les carburants fossiles, avec des exceptions dûment justifiées pour le gaz naturel conventionnel;</w:t>
            </w:r>
          </w:p>
        </w:tc>
      </w:tr>
      <w:tr w:rsidR="00BF7ACA" w:rsidRPr="00AF1321" w14:paraId="768E1E59" w14:textId="77777777" w:rsidTr="007924BE">
        <w:trPr>
          <w:jc w:val="center"/>
        </w:trPr>
        <w:tc>
          <w:tcPr>
            <w:tcW w:w="4876" w:type="dxa"/>
          </w:tcPr>
          <w:p w14:paraId="2C6F120E" w14:textId="77777777" w:rsidR="00BF7ACA" w:rsidRPr="00B0434F" w:rsidRDefault="00BF7ACA" w:rsidP="007924BE">
            <w:pPr>
              <w:pStyle w:val="Normal6"/>
            </w:pPr>
          </w:p>
        </w:tc>
        <w:tc>
          <w:tcPr>
            <w:tcW w:w="4876" w:type="dxa"/>
            <w:hideMark/>
          </w:tcPr>
          <w:p w14:paraId="3C146C5E" w14:textId="77777777" w:rsidR="00BF7ACA" w:rsidRPr="00B0434F" w:rsidRDefault="00BF7ACA" w:rsidP="007924BE">
            <w:pPr>
              <w:pStyle w:val="Normal6"/>
              <w:rPr>
                <w:szCs w:val="24"/>
              </w:rPr>
            </w:pPr>
            <w:r>
              <w:rPr>
                <w:b/>
                <w:i/>
              </w:rPr>
              <w:t>(c)</w:t>
            </w:r>
            <w:r>
              <w:rPr>
                <w:b/>
                <w:i/>
              </w:rPr>
              <w:tab/>
            </w:r>
            <w:r w:rsidRPr="00B0434F">
              <w:rPr>
                <w:b/>
                <w:i/>
              </w:rPr>
              <w:t>ne sont pas conformes aux conventions de l</w:t>
            </w:r>
            <w:r>
              <w:rPr>
                <w:b/>
                <w:i/>
              </w:rPr>
              <w:t>’</w:t>
            </w:r>
            <w:r w:rsidRPr="00B0434F">
              <w:rPr>
                <w:b/>
                <w:i/>
              </w:rPr>
              <w:t>OIT figurant à l</w:t>
            </w:r>
            <w:r>
              <w:rPr>
                <w:b/>
                <w:i/>
              </w:rPr>
              <w:t>’</w:t>
            </w:r>
            <w:r w:rsidRPr="00B0434F">
              <w:rPr>
                <w:b/>
                <w:i/>
              </w:rPr>
              <w:t>annexe bis (nouveau);</w:t>
            </w:r>
          </w:p>
        </w:tc>
      </w:tr>
      <w:tr w:rsidR="00BF7ACA" w:rsidRPr="00AF1321" w14:paraId="7E97BAA2" w14:textId="77777777" w:rsidTr="007924BE">
        <w:trPr>
          <w:jc w:val="center"/>
        </w:trPr>
        <w:tc>
          <w:tcPr>
            <w:tcW w:w="4876" w:type="dxa"/>
          </w:tcPr>
          <w:p w14:paraId="452F321F" w14:textId="77777777" w:rsidR="00BF7ACA" w:rsidRPr="00B0434F" w:rsidRDefault="00BF7ACA" w:rsidP="007924BE">
            <w:pPr>
              <w:pStyle w:val="Normal6"/>
            </w:pPr>
          </w:p>
        </w:tc>
        <w:tc>
          <w:tcPr>
            <w:tcW w:w="4876" w:type="dxa"/>
            <w:hideMark/>
          </w:tcPr>
          <w:p w14:paraId="3EA2976B" w14:textId="77777777" w:rsidR="00BF7ACA" w:rsidRPr="00B0434F" w:rsidRDefault="00BF7ACA" w:rsidP="007924BE">
            <w:pPr>
              <w:pStyle w:val="Normal6"/>
              <w:rPr>
                <w:szCs w:val="24"/>
              </w:rPr>
            </w:pPr>
            <w:r>
              <w:rPr>
                <w:b/>
                <w:i/>
              </w:rPr>
              <w:t>(d)</w:t>
            </w:r>
            <w:r>
              <w:rPr>
                <w:b/>
                <w:i/>
              </w:rPr>
              <w:tab/>
            </w:r>
            <w:r w:rsidRPr="00B0434F">
              <w:rPr>
                <w:b/>
                <w:i/>
              </w:rPr>
              <w:t>sont considérées comme ayant des incidences néfastes manifestes sur l</w:t>
            </w:r>
            <w:r>
              <w:rPr>
                <w:b/>
                <w:i/>
              </w:rPr>
              <w:t>’</w:t>
            </w:r>
            <w:r w:rsidRPr="00B0434F">
              <w:rPr>
                <w:b/>
                <w:i/>
              </w:rPr>
              <w:t>environnement dans les pays partenaires;</w:t>
            </w:r>
          </w:p>
        </w:tc>
      </w:tr>
      <w:tr w:rsidR="00BF7ACA" w:rsidRPr="00AF1321" w14:paraId="392627B6" w14:textId="77777777" w:rsidTr="007924BE">
        <w:trPr>
          <w:jc w:val="center"/>
        </w:trPr>
        <w:tc>
          <w:tcPr>
            <w:tcW w:w="4876" w:type="dxa"/>
          </w:tcPr>
          <w:p w14:paraId="1DDFE618" w14:textId="77777777" w:rsidR="00BF7ACA" w:rsidRPr="00B0434F" w:rsidRDefault="00BF7ACA" w:rsidP="007924BE">
            <w:pPr>
              <w:pStyle w:val="Normal6"/>
            </w:pPr>
          </w:p>
        </w:tc>
        <w:tc>
          <w:tcPr>
            <w:tcW w:w="4876" w:type="dxa"/>
            <w:hideMark/>
          </w:tcPr>
          <w:p w14:paraId="318AE955" w14:textId="77777777" w:rsidR="00BF7ACA" w:rsidRPr="00B0434F" w:rsidRDefault="00BF7ACA" w:rsidP="007924BE">
            <w:pPr>
              <w:pStyle w:val="Normal6"/>
              <w:rPr>
                <w:szCs w:val="24"/>
              </w:rPr>
            </w:pPr>
            <w:r>
              <w:rPr>
                <w:b/>
                <w:i/>
              </w:rPr>
              <w:t>(e)</w:t>
            </w:r>
            <w:r>
              <w:rPr>
                <w:b/>
                <w:i/>
              </w:rPr>
              <w:tab/>
            </w:r>
            <w:r w:rsidRPr="00B0434F">
              <w:rPr>
                <w:b/>
                <w:i/>
              </w:rPr>
              <w:t>sont susceptibles d</w:t>
            </w:r>
            <w:r>
              <w:rPr>
                <w:b/>
                <w:i/>
              </w:rPr>
              <w:t>’</w:t>
            </w:r>
            <w:r w:rsidRPr="00B0434F">
              <w:rPr>
                <w:b/>
                <w:i/>
              </w:rPr>
              <w:t>entraîner des déplacements;</w:t>
            </w:r>
          </w:p>
        </w:tc>
      </w:tr>
      <w:tr w:rsidR="00BF7ACA" w:rsidRPr="00AF1321" w14:paraId="3AA4800E" w14:textId="77777777" w:rsidTr="007924BE">
        <w:trPr>
          <w:jc w:val="center"/>
        </w:trPr>
        <w:tc>
          <w:tcPr>
            <w:tcW w:w="4876" w:type="dxa"/>
          </w:tcPr>
          <w:p w14:paraId="07CE560D" w14:textId="77777777" w:rsidR="00BF7ACA" w:rsidRPr="00B0434F" w:rsidRDefault="00BF7ACA" w:rsidP="007924BE">
            <w:pPr>
              <w:pStyle w:val="Normal6"/>
            </w:pPr>
          </w:p>
        </w:tc>
        <w:tc>
          <w:tcPr>
            <w:tcW w:w="4876" w:type="dxa"/>
            <w:hideMark/>
          </w:tcPr>
          <w:p w14:paraId="11C7D78A" w14:textId="77777777" w:rsidR="00BF7ACA" w:rsidRPr="00B0434F" w:rsidRDefault="00BF7ACA" w:rsidP="007924BE">
            <w:pPr>
              <w:pStyle w:val="Normal6"/>
              <w:rPr>
                <w:szCs w:val="24"/>
              </w:rPr>
            </w:pPr>
            <w:r>
              <w:rPr>
                <w:b/>
                <w:i/>
              </w:rPr>
              <w:t>(f)</w:t>
            </w:r>
            <w:r>
              <w:rPr>
                <w:b/>
                <w:i/>
              </w:rPr>
              <w:tab/>
            </w:r>
            <w:r w:rsidRPr="00B0434F">
              <w:rPr>
                <w:b/>
                <w:i/>
              </w:rPr>
              <w:t>sont susceptibles de porter atteinte à la sécurité alimentaire des populations dans les pays partenaires.</w:t>
            </w:r>
          </w:p>
        </w:tc>
      </w:tr>
    </w:tbl>
    <w:p w14:paraId="53D17865"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26049655" w14:textId="77777777" w:rsidR="00BF7ACA" w:rsidRPr="00BF7ACA" w:rsidRDefault="00BF7ACA" w:rsidP="00BF7ACA">
      <w:r w:rsidRPr="00BF7ACA">
        <w:rPr>
          <w:rStyle w:val="HideTWBExt"/>
        </w:rPr>
        <w:t>&lt;/Amend&gt;</w:t>
      </w:r>
    </w:p>
    <w:p w14:paraId="612EB985"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382</w:t>
      </w:r>
      <w:r w:rsidRPr="00BF7ACA">
        <w:rPr>
          <w:rStyle w:val="HideTWBExt"/>
          <w:b w:val="0"/>
        </w:rPr>
        <w:t>&lt;/NumAm&gt;</w:t>
      </w:r>
    </w:p>
    <w:p w14:paraId="58901548" w14:textId="77777777"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14:paraId="2A8D4F90" w14:textId="77777777" w:rsidR="00BF7ACA" w:rsidRPr="00AF1321" w:rsidRDefault="00BF7ACA" w:rsidP="00BF7ACA">
      <w:r>
        <w:rPr>
          <w:rStyle w:val="HideTWBExt"/>
        </w:rPr>
        <w:t>&lt;/RepeatBlock-By&gt;</w:t>
      </w:r>
    </w:p>
    <w:p w14:paraId="0A320A14"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3CB94EAC" w14:textId="77777777" w:rsidR="00BF7ACA" w:rsidRPr="00AF1321" w:rsidRDefault="00BF7ACA" w:rsidP="00BF7ACA">
      <w:pPr>
        <w:pStyle w:val="NormalBold"/>
      </w:pPr>
      <w:r>
        <w:rPr>
          <w:rStyle w:val="HideTWBExt"/>
          <w:b w:val="0"/>
        </w:rPr>
        <w:t>&lt;Article&gt;</w:t>
      </w:r>
      <w:r w:rsidRPr="00B0434F">
        <w:t>Article 20 – paragraphe 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6262DAE8" w14:textId="77777777" w:rsidTr="007924BE">
        <w:trPr>
          <w:jc w:val="center"/>
        </w:trPr>
        <w:tc>
          <w:tcPr>
            <w:tcW w:w="9752" w:type="dxa"/>
            <w:gridSpan w:val="2"/>
          </w:tcPr>
          <w:p w14:paraId="2C0BF92C" w14:textId="77777777" w:rsidR="00BF7ACA" w:rsidRPr="00AF1321" w:rsidRDefault="00BF7ACA" w:rsidP="007924BE">
            <w:pPr>
              <w:keepNext/>
            </w:pPr>
          </w:p>
        </w:tc>
      </w:tr>
      <w:tr w:rsidR="00BF7ACA" w:rsidRPr="00AF1321" w14:paraId="1DF3C57C" w14:textId="77777777" w:rsidTr="007924BE">
        <w:trPr>
          <w:jc w:val="center"/>
        </w:trPr>
        <w:tc>
          <w:tcPr>
            <w:tcW w:w="4876" w:type="dxa"/>
            <w:hideMark/>
          </w:tcPr>
          <w:p w14:paraId="0574F2E4" w14:textId="77777777" w:rsidR="00BF7ACA" w:rsidRPr="00B0434F" w:rsidRDefault="00BF7ACA" w:rsidP="007924BE">
            <w:pPr>
              <w:pStyle w:val="ColumnHeading"/>
              <w:keepNext/>
            </w:pPr>
            <w:r w:rsidRPr="00B0434F">
              <w:t>Texte proposé par la Commission</w:t>
            </w:r>
          </w:p>
        </w:tc>
        <w:tc>
          <w:tcPr>
            <w:tcW w:w="4876" w:type="dxa"/>
            <w:hideMark/>
          </w:tcPr>
          <w:p w14:paraId="7296CAEC" w14:textId="77777777" w:rsidR="00BF7ACA" w:rsidRPr="00B0434F" w:rsidRDefault="00BF7ACA" w:rsidP="007924BE">
            <w:pPr>
              <w:pStyle w:val="ColumnHeading"/>
              <w:keepNext/>
            </w:pPr>
            <w:r w:rsidRPr="00B0434F">
              <w:t>Amendement</w:t>
            </w:r>
          </w:p>
        </w:tc>
      </w:tr>
      <w:tr w:rsidR="00BF7ACA" w:rsidRPr="00AF1321" w14:paraId="2F09142F" w14:textId="77777777" w:rsidTr="007924BE">
        <w:trPr>
          <w:jc w:val="center"/>
        </w:trPr>
        <w:tc>
          <w:tcPr>
            <w:tcW w:w="4876" w:type="dxa"/>
          </w:tcPr>
          <w:p w14:paraId="2BEBE25E" w14:textId="77777777" w:rsidR="00BF7ACA" w:rsidRPr="00B0434F" w:rsidRDefault="00BF7ACA" w:rsidP="007924BE">
            <w:pPr>
              <w:pStyle w:val="Normal6"/>
            </w:pPr>
          </w:p>
        </w:tc>
        <w:tc>
          <w:tcPr>
            <w:tcW w:w="4876" w:type="dxa"/>
            <w:hideMark/>
          </w:tcPr>
          <w:p w14:paraId="1357EC18" w14:textId="77777777" w:rsidR="00BF7ACA" w:rsidRPr="00B0434F" w:rsidRDefault="00BF7ACA" w:rsidP="007924BE">
            <w:pPr>
              <w:pStyle w:val="Normal6"/>
              <w:rPr>
                <w:szCs w:val="24"/>
              </w:rPr>
            </w:pPr>
            <w:r w:rsidRPr="00B0434F">
              <w:rPr>
                <w:b/>
                <w:i/>
              </w:rPr>
              <w:t>2 bis.</w:t>
            </w:r>
            <w:r>
              <w:tab/>
            </w:r>
            <w:r w:rsidRPr="00B0434F">
              <w:rPr>
                <w:b/>
                <w:i/>
              </w:rPr>
              <w:t>Afin de pouvoir prétendre à un financement du FEDD, tous les bénéficiaires, qu</w:t>
            </w:r>
            <w:r>
              <w:rPr>
                <w:b/>
                <w:i/>
              </w:rPr>
              <w:t>’</w:t>
            </w:r>
            <w:r w:rsidRPr="00B0434F">
              <w:rPr>
                <w:b/>
                <w:i/>
              </w:rPr>
              <w:t>il s</w:t>
            </w:r>
            <w:r>
              <w:rPr>
                <w:b/>
                <w:i/>
              </w:rPr>
              <w:t>’</w:t>
            </w:r>
            <w:r w:rsidRPr="00B0434F">
              <w:rPr>
                <w:b/>
                <w:i/>
              </w:rPr>
              <w:t>agisse d</w:t>
            </w:r>
            <w:r>
              <w:rPr>
                <w:b/>
                <w:i/>
              </w:rPr>
              <w:t>’</w:t>
            </w:r>
            <w:r w:rsidRPr="00B0434F">
              <w:rPr>
                <w:b/>
                <w:i/>
              </w:rPr>
              <w:t>entreprises ou d</w:t>
            </w:r>
            <w:r>
              <w:rPr>
                <w:b/>
                <w:i/>
              </w:rPr>
              <w:t>’</w:t>
            </w:r>
            <w:r w:rsidRPr="00B0434F">
              <w:rPr>
                <w:b/>
                <w:i/>
              </w:rPr>
              <w:t>intermédiaires financiers, qui sont rattachés à plusieurs juridictions, doivent communiquer, dans leurs rapports annuels soumis à audit, des informations à caractère national sur leurs ventes, avoirs, salariés, bénéfices et taxes, et ce pour chaque pays dans lequel ils opèrent.</w:t>
            </w:r>
          </w:p>
        </w:tc>
      </w:tr>
    </w:tbl>
    <w:p w14:paraId="0A582326"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724914A3" w14:textId="77777777" w:rsidR="00BF7ACA" w:rsidRPr="00BF7ACA" w:rsidRDefault="00BF7ACA" w:rsidP="00BF7ACA">
      <w:r w:rsidRPr="00BF7ACA">
        <w:rPr>
          <w:rStyle w:val="HideTWBExt"/>
        </w:rPr>
        <w:t>&lt;/Amend&gt;</w:t>
      </w:r>
    </w:p>
    <w:p w14:paraId="5793633B"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383</w:t>
      </w:r>
      <w:r w:rsidRPr="00BF7ACA">
        <w:rPr>
          <w:rStyle w:val="HideTWBExt"/>
          <w:b w:val="0"/>
        </w:rPr>
        <w:t>&lt;/NumAm&gt;</w:t>
      </w:r>
    </w:p>
    <w:p w14:paraId="4C52C379" w14:textId="77777777" w:rsidR="00BF7ACA" w:rsidRPr="00BF7ACA" w:rsidRDefault="00BF7ACA" w:rsidP="00BF7ACA">
      <w:pPr>
        <w:pStyle w:val="NormalBold"/>
      </w:pPr>
      <w:r w:rsidRPr="00BF7ACA">
        <w:rPr>
          <w:rStyle w:val="HideTWBExt"/>
          <w:b w:val="0"/>
        </w:rPr>
        <w:t>&lt;RepeatBlock-By&gt;&lt;Members&gt;</w:t>
      </w:r>
      <w:r w:rsidRPr="00BF7ACA">
        <w:t>Nicola Caputo</w:t>
      </w:r>
      <w:r w:rsidRPr="00BF7ACA">
        <w:rPr>
          <w:rStyle w:val="HideTWBExt"/>
          <w:b w:val="0"/>
        </w:rPr>
        <w:t>&lt;/Members&gt;</w:t>
      </w:r>
    </w:p>
    <w:p w14:paraId="1E21C829" w14:textId="77777777" w:rsidR="00BF7ACA" w:rsidRPr="00AF1321" w:rsidRDefault="00BF7ACA" w:rsidP="00BF7ACA">
      <w:r>
        <w:rPr>
          <w:rStyle w:val="HideTWBExt"/>
        </w:rPr>
        <w:t>&lt;/RepeatBlock-By&gt;</w:t>
      </w:r>
    </w:p>
    <w:p w14:paraId="11088026"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0E28EE93" w14:textId="77777777" w:rsidR="00BF7ACA" w:rsidRPr="00AF1321" w:rsidRDefault="00BF7ACA" w:rsidP="00BF7ACA">
      <w:pPr>
        <w:pStyle w:val="NormalBold"/>
      </w:pPr>
      <w:r>
        <w:rPr>
          <w:rStyle w:val="HideTWBExt"/>
          <w:b w:val="0"/>
        </w:rPr>
        <w:t>&lt;Article&gt;</w:t>
      </w:r>
      <w:r w:rsidRPr="00B0434F">
        <w:t>Article 20 – paragraphe 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080A04DA" w14:textId="77777777" w:rsidTr="007924BE">
        <w:trPr>
          <w:jc w:val="center"/>
        </w:trPr>
        <w:tc>
          <w:tcPr>
            <w:tcW w:w="9752" w:type="dxa"/>
            <w:gridSpan w:val="2"/>
          </w:tcPr>
          <w:p w14:paraId="53553CCA" w14:textId="77777777" w:rsidR="00BF7ACA" w:rsidRPr="00AF1321" w:rsidRDefault="00BF7ACA" w:rsidP="007924BE">
            <w:pPr>
              <w:keepNext/>
            </w:pPr>
          </w:p>
        </w:tc>
      </w:tr>
      <w:tr w:rsidR="00BF7ACA" w:rsidRPr="00AF1321" w14:paraId="32118110" w14:textId="77777777" w:rsidTr="007924BE">
        <w:trPr>
          <w:jc w:val="center"/>
        </w:trPr>
        <w:tc>
          <w:tcPr>
            <w:tcW w:w="4876" w:type="dxa"/>
            <w:hideMark/>
          </w:tcPr>
          <w:p w14:paraId="0368CF27" w14:textId="77777777" w:rsidR="00BF7ACA" w:rsidRPr="00B0434F" w:rsidRDefault="00BF7ACA" w:rsidP="007924BE">
            <w:pPr>
              <w:pStyle w:val="ColumnHeading"/>
              <w:keepNext/>
            </w:pPr>
            <w:r w:rsidRPr="00B0434F">
              <w:t>Texte proposé par la Commission</w:t>
            </w:r>
          </w:p>
        </w:tc>
        <w:tc>
          <w:tcPr>
            <w:tcW w:w="4876" w:type="dxa"/>
            <w:hideMark/>
          </w:tcPr>
          <w:p w14:paraId="66DFC83C" w14:textId="77777777" w:rsidR="00BF7ACA" w:rsidRPr="00B0434F" w:rsidRDefault="00BF7ACA" w:rsidP="007924BE">
            <w:pPr>
              <w:pStyle w:val="ColumnHeading"/>
              <w:keepNext/>
            </w:pPr>
            <w:r w:rsidRPr="00B0434F">
              <w:t>Amendement</w:t>
            </w:r>
          </w:p>
        </w:tc>
      </w:tr>
      <w:tr w:rsidR="00BF7ACA" w:rsidRPr="00AF1321" w14:paraId="123F05A4" w14:textId="77777777" w:rsidTr="007924BE">
        <w:trPr>
          <w:jc w:val="center"/>
        </w:trPr>
        <w:tc>
          <w:tcPr>
            <w:tcW w:w="4876" w:type="dxa"/>
          </w:tcPr>
          <w:p w14:paraId="6490FF6D" w14:textId="77777777" w:rsidR="00BF7ACA" w:rsidRPr="00B0434F" w:rsidRDefault="00BF7ACA" w:rsidP="007924BE">
            <w:pPr>
              <w:pStyle w:val="Normal6"/>
            </w:pPr>
          </w:p>
        </w:tc>
        <w:tc>
          <w:tcPr>
            <w:tcW w:w="4876" w:type="dxa"/>
            <w:hideMark/>
          </w:tcPr>
          <w:p w14:paraId="29A3F6C7" w14:textId="77777777" w:rsidR="00BF7ACA" w:rsidRPr="00B0434F" w:rsidRDefault="00BF7ACA" w:rsidP="007924BE">
            <w:pPr>
              <w:pStyle w:val="Normal6"/>
              <w:rPr>
                <w:szCs w:val="24"/>
              </w:rPr>
            </w:pPr>
            <w:r w:rsidRPr="00B0434F">
              <w:rPr>
                <w:b/>
                <w:i/>
              </w:rPr>
              <w:t>2 bis.</w:t>
            </w:r>
            <w:r>
              <w:tab/>
            </w:r>
            <w:r w:rsidRPr="00B0434F">
              <w:rPr>
                <w:b/>
                <w:i/>
              </w:rPr>
              <w:t>L</w:t>
            </w:r>
            <w:r>
              <w:rPr>
                <w:b/>
                <w:i/>
              </w:rPr>
              <w:t>’</w:t>
            </w:r>
            <w:r w:rsidRPr="00B0434F">
              <w:rPr>
                <w:b/>
                <w:i/>
              </w:rPr>
              <w:t>éligibilité de la contrepartie est soumise à une évaluation préalable de sa conformité avec les droits fondamentaux et les libertés fondamentales, qui est réalisée par le Commission, en ce qui concerne les territoires et les organisations liés au financement.</w:t>
            </w:r>
          </w:p>
        </w:tc>
      </w:tr>
    </w:tbl>
    <w:p w14:paraId="16C813C9"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14ABCA22" w14:textId="77777777" w:rsidR="00BF7ACA" w:rsidRPr="00BF7ACA" w:rsidRDefault="00BF7ACA" w:rsidP="00BF7ACA">
      <w:r w:rsidRPr="00BF7ACA">
        <w:rPr>
          <w:rStyle w:val="HideTWBExt"/>
        </w:rPr>
        <w:t>&lt;/Amend&gt;</w:t>
      </w:r>
    </w:p>
    <w:p w14:paraId="77D0C0C5"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384</w:t>
      </w:r>
      <w:r w:rsidRPr="00BF7ACA">
        <w:rPr>
          <w:rStyle w:val="HideTWBExt"/>
          <w:b w:val="0"/>
        </w:rPr>
        <w:t>&lt;/NumAm&gt;</w:t>
      </w:r>
    </w:p>
    <w:p w14:paraId="1E802AF2" w14:textId="77777777"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14:paraId="35FC569D" w14:textId="77777777" w:rsidR="00BF7ACA" w:rsidRPr="00AF1321" w:rsidRDefault="00BF7ACA" w:rsidP="00BF7ACA">
      <w:r>
        <w:rPr>
          <w:rStyle w:val="HideTWBExt"/>
        </w:rPr>
        <w:t>&lt;/RepeatBlock-By&gt;</w:t>
      </w:r>
    </w:p>
    <w:p w14:paraId="2C939090"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341DC1C0" w14:textId="77777777" w:rsidR="00BF7ACA" w:rsidRPr="00AF1321" w:rsidRDefault="00BF7ACA" w:rsidP="00BF7ACA">
      <w:pPr>
        <w:pStyle w:val="NormalBold"/>
      </w:pPr>
      <w:r>
        <w:rPr>
          <w:rStyle w:val="HideTWBExt"/>
          <w:b w:val="0"/>
        </w:rPr>
        <w:t>&lt;Article&gt;</w:t>
      </w:r>
      <w:r w:rsidRPr="00B0434F">
        <w:t>Article 20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05DE7F40" w14:textId="77777777" w:rsidTr="007924BE">
        <w:trPr>
          <w:jc w:val="center"/>
        </w:trPr>
        <w:tc>
          <w:tcPr>
            <w:tcW w:w="9752" w:type="dxa"/>
            <w:gridSpan w:val="2"/>
          </w:tcPr>
          <w:p w14:paraId="749EA9A1" w14:textId="77777777" w:rsidR="00BF7ACA" w:rsidRPr="00AF1321" w:rsidRDefault="00BF7ACA" w:rsidP="007924BE">
            <w:pPr>
              <w:keepNext/>
            </w:pPr>
          </w:p>
        </w:tc>
      </w:tr>
      <w:tr w:rsidR="00BF7ACA" w:rsidRPr="00AF1321" w14:paraId="1B7E9883" w14:textId="77777777" w:rsidTr="007924BE">
        <w:trPr>
          <w:jc w:val="center"/>
        </w:trPr>
        <w:tc>
          <w:tcPr>
            <w:tcW w:w="4876" w:type="dxa"/>
            <w:hideMark/>
          </w:tcPr>
          <w:p w14:paraId="43C4742B" w14:textId="77777777" w:rsidR="00BF7ACA" w:rsidRPr="00B0434F" w:rsidRDefault="00BF7ACA" w:rsidP="007924BE">
            <w:pPr>
              <w:pStyle w:val="ColumnHeading"/>
              <w:keepNext/>
            </w:pPr>
            <w:r w:rsidRPr="00B0434F">
              <w:t>Texte proposé par la Commission</w:t>
            </w:r>
          </w:p>
        </w:tc>
        <w:tc>
          <w:tcPr>
            <w:tcW w:w="4876" w:type="dxa"/>
            <w:hideMark/>
          </w:tcPr>
          <w:p w14:paraId="62A97F1E" w14:textId="77777777" w:rsidR="00BF7ACA" w:rsidRPr="00B0434F" w:rsidRDefault="00BF7ACA" w:rsidP="007924BE">
            <w:pPr>
              <w:pStyle w:val="ColumnHeading"/>
              <w:keepNext/>
            </w:pPr>
            <w:r w:rsidRPr="00B0434F">
              <w:t>Amendement</w:t>
            </w:r>
          </w:p>
        </w:tc>
      </w:tr>
      <w:tr w:rsidR="00BF7ACA" w:rsidRPr="00AF1321" w14:paraId="7B909C27" w14:textId="77777777" w:rsidTr="007924BE">
        <w:trPr>
          <w:jc w:val="center"/>
        </w:trPr>
        <w:tc>
          <w:tcPr>
            <w:tcW w:w="4876" w:type="dxa"/>
          </w:tcPr>
          <w:p w14:paraId="62ADA1AB" w14:textId="77777777" w:rsidR="00BF7ACA" w:rsidRPr="00B0434F" w:rsidRDefault="00BF7ACA" w:rsidP="007924BE">
            <w:pPr>
              <w:pStyle w:val="Normal6"/>
            </w:pPr>
          </w:p>
        </w:tc>
        <w:tc>
          <w:tcPr>
            <w:tcW w:w="4876" w:type="dxa"/>
            <w:hideMark/>
          </w:tcPr>
          <w:p w14:paraId="3A201349" w14:textId="77777777" w:rsidR="00BF7ACA" w:rsidRPr="00B0434F" w:rsidRDefault="00BF7ACA" w:rsidP="007924BE">
            <w:pPr>
              <w:pStyle w:val="Normal6"/>
              <w:jc w:val="center"/>
              <w:rPr>
                <w:szCs w:val="24"/>
              </w:rPr>
            </w:pPr>
            <w:r w:rsidRPr="00B0434F">
              <w:rPr>
                <w:b/>
                <w:i/>
              </w:rPr>
              <w:t>Article 20 bis</w:t>
            </w:r>
          </w:p>
        </w:tc>
      </w:tr>
      <w:tr w:rsidR="00BF7ACA" w:rsidRPr="00AF1321" w14:paraId="240AC8F6" w14:textId="77777777" w:rsidTr="007924BE">
        <w:trPr>
          <w:jc w:val="center"/>
        </w:trPr>
        <w:tc>
          <w:tcPr>
            <w:tcW w:w="4876" w:type="dxa"/>
          </w:tcPr>
          <w:p w14:paraId="75C36CB1" w14:textId="77777777" w:rsidR="00BF7ACA" w:rsidRPr="00B0434F" w:rsidRDefault="00BF7ACA" w:rsidP="007924BE">
            <w:pPr>
              <w:pStyle w:val="Normal6"/>
            </w:pPr>
          </w:p>
        </w:tc>
        <w:tc>
          <w:tcPr>
            <w:tcW w:w="4876" w:type="dxa"/>
            <w:hideMark/>
          </w:tcPr>
          <w:p w14:paraId="652DAB20" w14:textId="77777777" w:rsidR="00BF7ACA" w:rsidRPr="00B0434F" w:rsidRDefault="00BF7ACA" w:rsidP="007924BE">
            <w:pPr>
              <w:pStyle w:val="Normal6"/>
              <w:jc w:val="center"/>
              <w:rPr>
                <w:szCs w:val="24"/>
              </w:rPr>
            </w:pPr>
            <w:r w:rsidRPr="00B0434F">
              <w:rPr>
                <w:b/>
                <w:i/>
              </w:rPr>
              <w:t>Exercice de la délégation</w:t>
            </w:r>
          </w:p>
        </w:tc>
      </w:tr>
      <w:tr w:rsidR="00BF7ACA" w:rsidRPr="00AF1321" w14:paraId="3BD7D617" w14:textId="77777777" w:rsidTr="007924BE">
        <w:trPr>
          <w:jc w:val="center"/>
        </w:trPr>
        <w:tc>
          <w:tcPr>
            <w:tcW w:w="4876" w:type="dxa"/>
          </w:tcPr>
          <w:p w14:paraId="4CCC5324" w14:textId="77777777" w:rsidR="00BF7ACA" w:rsidRPr="00B0434F" w:rsidRDefault="00BF7ACA" w:rsidP="007924BE">
            <w:pPr>
              <w:pStyle w:val="Normal6"/>
            </w:pPr>
          </w:p>
        </w:tc>
        <w:tc>
          <w:tcPr>
            <w:tcW w:w="4876" w:type="dxa"/>
            <w:hideMark/>
          </w:tcPr>
          <w:p w14:paraId="559E7ABF" w14:textId="77777777" w:rsidR="00BF7ACA" w:rsidRPr="00B0434F" w:rsidRDefault="00BF7ACA" w:rsidP="007924BE">
            <w:pPr>
              <w:pStyle w:val="Normal6"/>
              <w:rPr>
                <w:szCs w:val="24"/>
              </w:rPr>
            </w:pPr>
            <w:r>
              <w:rPr>
                <w:b/>
                <w:i/>
              </w:rPr>
              <w:t>1.</w:t>
            </w:r>
            <w:r>
              <w:rPr>
                <w:b/>
                <w:i/>
              </w:rPr>
              <w:tab/>
            </w:r>
            <w:r w:rsidRPr="00B0434F">
              <w:rPr>
                <w:b/>
                <w:i/>
              </w:rPr>
              <w:t>Le pouvoir d</w:t>
            </w:r>
            <w:r>
              <w:rPr>
                <w:b/>
                <w:i/>
              </w:rPr>
              <w:t>’</w:t>
            </w:r>
            <w:r w:rsidRPr="00B0434F">
              <w:rPr>
                <w:b/>
                <w:i/>
              </w:rPr>
              <w:t>adopter des actes délégués conféré à la Commission est soumis aux conditions fixées au présent article.</w:t>
            </w:r>
          </w:p>
        </w:tc>
      </w:tr>
      <w:tr w:rsidR="00BF7ACA" w:rsidRPr="00AF1321" w14:paraId="2F30F123" w14:textId="77777777" w:rsidTr="007924BE">
        <w:trPr>
          <w:jc w:val="center"/>
        </w:trPr>
        <w:tc>
          <w:tcPr>
            <w:tcW w:w="4876" w:type="dxa"/>
          </w:tcPr>
          <w:p w14:paraId="623D0EFD" w14:textId="77777777" w:rsidR="00BF7ACA" w:rsidRPr="00B0434F" w:rsidRDefault="00BF7ACA" w:rsidP="007924BE">
            <w:pPr>
              <w:pStyle w:val="Normal6"/>
            </w:pPr>
          </w:p>
        </w:tc>
        <w:tc>
          <w:tcPr>
            <w:tcW w:w="4876" w:type="dxa"/>
            <w:hideMark/>
          </w:tcPr>
          <w:p w14:paraId="5B74E98F" w14:textId="77777777" w:rsidR="00BF7ACA" w:rsidRPr="00B0434F" w:rsidRDefault="00BF7ACA" w:rsidP="007924BE">
            <w:pPr>
              <w:pStyle w:val="Normal6"/>
              <w:rPr>
                <w:szCs w:val="24"/>
              </w:rPr>
            </w:pPr>
            <w:r>
              <w:rPr>
                <w:b/>
                <w:i/>
              </w:rPr>
              <w:t>2.</w:t>
            </w:r>
            <w:r>
              <w:rPr>
                <w:b/>
                <w:i/>
              </w:rPr>
              <w:tab/>
            </w:r>
            <w:r w:rsidRPr="00B0434F">
              <w:rPr>
                <w:b/>
                <w:i/>
              </w:rPr>
              <w:t>Le pouvoir d</w:t>
            </w:r>
            <w:r>
              <w:rPr>
                <w:b/>
                <w:i/>
              </w:rPr>
              <w:t>’</w:t>
            </w:r>
            <w:r w:rsidRPr="00B0434F">
              <w:rPr>
                <w:b/>
                <w:i/>
              </w:rPr>
              <w:t>adopter des actes délégués visé à l</w:t>
            </w:r>
            <w:r>
              <w:rPr>
                <w:b/>
                <w:i/>
              </w:rPr>
              <w:t>’</w:t>
            </w:r>
            <w:r w:rsidRPr="00B0434F">
              <w:rPr>
                <w:b/>
                <w:i/>
              </w:rPr>
              <w:t>article 8 est conféré à la Commission pour une durée de trois ans à compter du 4 juillet 2017. La Commission élabore un rapport relatif à la délégation de pouvoir au plus tard neuf mois avant la fin de la période de trois ans. La délégation de pouvoir est tacitement prorogée pour des périodes d</w:t>
            </w:r>
            <w:r>
              <w:rPr>
                <w:b/>
                <w:i/>
              </w:rPr>
              <w:t>’</w:t>
            </w:r>
            <w:r w:rsidRPr="00B0434F">
              <w:rPr>
                <w:b/>
                <w:i/>
              </w:rPr>
              <w:t>une durée identique, sauf si le Parlement européen ou le Conseil s</w:t>
            </w:r>
            <w:r>
              <w:rPr>
                <w:b/>
                <w:i/>
              </w:rPr>
              <w:t>’</w:t>
            </w:r>
            <w:r w:rsidRPr="00B0434F">
              <w:rPr>
                <w:b/>
                <w:i/>
              </w:rPr>
              <w:t>oppose à cette prorogation trois mois au plus tard avant la fin de chaque période.</w:t>
            </w:r>
          </w:p>
        </w:tc>
      </w:tr>
      <w:tr w:rsidR="00BF7ACA" w:rsidRPr="00AF1321" w14:paraId="5CE7D74E" w14:textId="77777777" w:rsidTr="007924BE">
        <w:trPr>
          <w:jc w:val="center"/>
        </w:trPr>
        <w:tc>
          <w:tcPr>
            <w:tcW w:w="4876" w:type="dxa"/>
          </w:tcPr>
          <w:p w14:paraId="039F8B8F" w14:textId="77777777" w:rsidR="00BF7ACA" w:rsidRPr="00B0434F" w:rsidRDefault="00BF7ACA" w:rsidP="007924BE">
            <w:pPr>
              <w:pStyle w:val="Normal6"/>
            </w:pPr>
          </w:p>
        </w:tc>
        <w:tc>
          <w:tcPr>
            <w:tcW w:w="4876" w:type="dxa"/>
            <w:hideMark/>
          </w:tcPr>
          <w:p w14:paraId="1AB99723" w14:textId="77777777" w:rsidR="00BF7ACA" w:rsidRPr="00B0434F" w:rsidRDefault="00BF7ACA" w:rsidP="007924BE">
            <w:pPr>
              <w:pStyle w:val="Normal6"/>
              <w:rPr>
                <w:szCs w:val="24"/>
              </w:rPr>
            </w:pPr>
            <w:r w:rsidRPr="00B0434F">
              <w:rPr>
                <w:b/>
                <w:i/>
              </w:rPr>
              <w:t>La délégation de pouvoir visée à l</w:t>
            </w:r>
            <w:r>
              <w:rPr>
                <w:b/>
                <w:i/>
              </w:rPr>
              <w:t>’</w:t>
            </w:r>
            <w:r w:rsidRPr="00B0434F">
              <w:rPr>
                <w:b/>
                <w:i/>
              </w:rPr>
              <w:t>article 8 peut être révoquée à tout moment par le Parlement européen ou par le Conseil. La décision de révocation met fin à la délégation de pouvoir qui y est précisée. La révocation prend effet le jour suivant celui de la publication de ladite décision au Journal officiel de l</w:t>
            </w:r>
            <w:r>
              <w:rPr>
                <w:b/>
                <w:i/>
              </w:rPr>
              <w:t>’</w:t>
            </w:r>
            <w:r w:rsidRPr="00B0434F">
              <w:rPr>
                <w:b/>
                <w:i/>
              </w:rPr>
              <w:t>Union européenne ou à une date ultérieure qui est précisée dans ladite décision. Elle ne porte pas atteinte à la validité des actes délégués déjà en vigueur.</w:t>
            </w:r>
          </w:p>
        </w:tc>
      </w:tr>
      <w:tr w:rsidR="00BF7ACA" w:rsidRPr="00AF1321" w14:paraId="67A3D0EE" w14:textId="77777777" w:rsidTr="007924BE">
        <w:trPr>
          <w:jc w:val="center"/>
        </w:trPr>
        <w:tc>
          <w:tcPr>
            <w:tcW w:w="4876" w:type="dxa"/>
          </w:tcPr>
          <w:p w14:paraId="453BB103" w14:textId="77777777" w:rsidR="00BF7ACA" w:rsidRPr="00B0434F" w:rsidRDefault="00BF7ACA" w:rsidP="007924BE">
            <w:pPr>
              <w:pStyle w:val="Normal6"/>
            </w:pPr>
          </w:p>
        </w:tc>
        <w:tc>
          <w:tcPr>
            <w:tcW w:w="4876" w:type="dxa"/>
            <w:hideMark/>
          </w:tcPr>
          <w:p w14:paraId="1E02AC97" w14:textId="77777777" w:rsidR="00BF7ACA" w:rsidRPr="00B0434F" w:rsidRDefault="00BF7ACA" w:rsidP="007924BE">
            <w:pPr>
              <w:pStyle w:val="Normal6"/>
              <w:rPr>
                <w:szCs w:val="24"/>
              </w:rPr>
            </w:pPr>
            <w:r>
              <w:rPr>
                <w:b/>
                <w:i/>
              </w:rPr>
              <w:t>3.</w:t>
            </w:r>
            <w:r>
              <w:rPr>
                <w:b/>
                <w:i/>
              </w:rPr>
              <w:tab/>
            </w:r>
            <w:r w:rsidRPr="00B0434F">
              <w:rPr>
                <w:b/>
                <w:i/>
              </w:rPr>
              <w:t>Aussitôt qu</w:t>
            </w:r>
            <w:r>
              <w:rPr>
                <w:b/>
                <w:i/>
              </w:rPr>
              <w:t>’</w:t>
            </w:r>
            <w:r w:rsidRPr="00B0434F">
              <w:rPr>
                <w:b/>
                <w:i/>
              </w:rPr>
              <w:t>elle adopte un acte délégué, la Commission le notifie au Parlement européen et au Conseil simultanément.</w:t>
            </w:r>
          </w:p>
        </w:tc>
      </w:tr>
      <w:tr w:rsidR="00BF7ACA" w:rsidRPr="00AF1321" w14:paraId="239436E2" w14:textId="77777777" w:rsidTr="007924BE">
        <w:trPr>
          <w:jc w:val="center"/>
        </w:trPr>
        <w:tc>
          <w:tcPr>
            <w:tcW w:w="4876" w:type="dxa"/>
          </w:tcPr>
          <w:p w14:paraId="12931D85" w14:textId="77777777" w:rsidR="00BF7ACA" w:rsidRPr="00B0434F" w:rsidRDefault="00BF7ACA" w:rsidP="007924BE">
            <w:pPr>
              <w:pStyle w:val="Normal6"/>
            </w:pPr>
          </w:p>
        </w:tc>
        <w:tc>
          <w:tcPr>
            <w:tcW w:w="4876" w:type="dxa"/>
            <w:hideMark/>
          </w:tcPr>
          <w:p w14:paraId="30E02FBD" w14:textId="77777777" w:rsidR="00BF7ACA" w:rsidRPr="00B0434F" w:rsidRDefault="00BF7ACA" w:rsidP="007924BE">
            <w:pPr>
              <w:pStyle w:val="Normal6"/>
              <w:rPr>
                <w:szCs w:val="24"/>
              </w:rPr>
            </w:pPr>
            <w:r>
              <w:rPr>
                <w:b/>
                <w:i/>
              </w:rPr>
              <w:t>4.</w:t>
            </w:r>
            <w:r>
              <w:rPr>
                <w:b/>
                <w:i/>
              </w:rPr>
              <w:tab/>
            </w:r>
            <w:r w:rsidRPr="00B0434F">
              <w:rPr>
                <w:b/>
                <w:i/>
              </w:rPr>
              <w:t>Un acte délégué adopté en vertu de l</w:t>
            </w:r>
            <w:r>
              <w:rPr>
                <w:b/>
                <w:i/>
              </w:rPr>
              <w:t>’</w:t>
            </w:r>
            <w:r w:rsidRPr="00B0434F">
              <w:rPr>
                <w:b/>
                <w:i/>
              </w:rPr>
              <w:t>article 8 n</w:t>
            </w:r>
            <w:r>
              <w:rPr>
                <w:b/>
                <w:i/>
              </w:rPr>
              <w:t>’</w:t>
            </w:r>
            <w:r w:rsidRPr="00B0434F">
              <w:rPr>
                <w:b/>
                <w:i/>
              </w:rPr>
              <w:t>entre en vigueur que si le Parlement européen ou le Conseil n</w:t>
            </w:r>
            <w:r>
              <w:rPr>
                <w:b/>
                <w:i/>
              </w:rPr>
              <w:t>’</w:t>
            </w:r>
            <w:r w:rsidRPr="00B0434F">
              <w:rPr>
                <w:b/>
                <w:i/>
              </w:rPr>
              <w:t>a pas exprimé d</w:t>
            </w:r>
            <w:r>
              <w:rPr>
                <w:b/>
                <w:i/>
              </w:rPr>
              <w:t>’</w:t>
            </w:r>
            <w:r w:rsidRPr="00B0434F">
              <w:rPr>
                <w:b/>
                <w:i/>
              </w:rPr>
              <w:t>objections dans un délai d</w:t>
            </w:r>
            <w:r>
              <w:rPr>
                <w:b/>
                <w:i/>
              </w:rPr>
              <w:t>’</w:t>
            </w:r>
            <w:r w:rsidRPr="00B0434F">
              <w:rPr>
                <w:b/>
                <w:i/>
              </w:rPr>
              <w:t>un mois à compter de la notification de cet acte au Parlement européen et au Conseil ou si, avant l</w:t>
            </w:r>
            <w:r>
              <w:rPr>
                <w:b/>
                <w:i/>
              </w:rPr>
              <w:t>’</w:t>
            </w:r>
            <w:r w:rsidRPr="00B0434F">
              <w:rPr>
                <w:b/>
                <w:i/>
              </w:rPr>
              <w:t>expiration de ce délai, le Parlement européen et le Conseil ont tous deux informé la Commission de leur intention de ne pas exprimer d</w:t>
            </w:r>
            <w:r>
              <w:rPr>
                <w:b/>
                <w:i/>
              </w:rPr>
              <w:t>’</w:t>
            </w:r>
            <w:r w:rsidRPr="00B0434F">
              <w:rPr>
                <w:b/>
                <w:i/>
              </w:rPr>
              <w:t>objections. Ce délai est prolongé d</w:t>
            </w:r>
            <w:r>
              <w:rPr>
                <w:b/>
                <w:i/>
              </w:rPr>
              <w:t>’</w:t>
            </w:r>
            <w:r w:rsidRPr="00B0434F">
              <w:rPr>
                <w:b/>
                <w:i/>
              </w:rPr>
              <w:t>un mois à l</w:t>
            </w:r>
            <w:r>
              <w:rPr>
                <w:b/>
                <w:i/>
              </w:rPr>
              <w:t>’</w:t>
            </w:r>
            <w:r w:rsidRPr="00B0434F">
              <w:rPr>
                <w:b/>
                <w:i/>
              </w:rPr>
              <w:t>initiat</w:t>
            </w:r>
            <w:r>
              <w:rPr>
                <w:b/>
                <w:i/>
              </w:rPr>
              <w:t>ive du Parlement européen ou du </w:t>
            </w:r>
            <w:r w:rsidRPr="00B0434F">
              <w:rPr>
                <w:b/>
                <w:i/>
              </w:rPr>
              <w:t>Conseil.</w:t>
            </w:r>
          </w:p>
        </w:tc>
      </w:tr>
    </w:tbl>
    <w:p w14:paraId="080A520C"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0EFA56F3" w14:textId="77777777" w:rsidR="00BF7ACA" w:rsidRPr="00BF7ACA" w:rsidRDefault="00BF7ACA" w:rsidP="00BF7ACA">
      <w:r w:rsidRPr="00BF7ACA">
        <w:rPr>
          <w:rStyle w:val="HideTWBExt"/>
        </w:rPr>
        <w:t>&lt;/Amend&gt;</w:t>
      </w:r>
    </w:p>
    <w:p w14:paraId="24A58ADF"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385</w:t>
      </w:r>
      <w:r w:rsidRPr="00BF7ACA">
        <w:rPr>
          <w:rStyle w:val="HideTWBExt"/>
          <w:b w:val="0"/>
        </w:rPr>
        <w:t>&lt;/NumAm&gt;</w:t>
      </w:r>
    </w:p>
    <w:p w14:paraId="7DCD620D" w14:textId="77777777" w:rsidR="00BF7ACA" w:rsidRPr="00BF7ACA" w:rsidRDefault="00BF7ACA" w:rsidP="00BF7ACA">
      <w:pPr>
        <w:pStyle w:val="NormalBold"/>
      </w:pPr>
      <w:r w:rsidRPr="00BF7ACA">
        <w:rPr>
          <w:rStyle w:val="HideTWBExt"/>
          <w:b w:val="0"/>
        </w:rPr>
        <w:t>&lt;RepeatBlock-By&gt;&lt;Members&gt;</w:t>
      </w:r>
      <w:r w:rsidRPr="00BF7ACA">
        <w:t>Eduard Kukan, Doru-Claudian Frunzulică, Eider Gardiazabal Rubial</w:t>
      </w:r>
      <w:r w:rsidRPr="00BF7ACA">
        <w:rPr>
          <w:rStyle w:val="HideTWBExt"/>
          <w:b w:val="0"/>
        </w:rPr>
        <w:t>&lt;/Members&gt;</w:t>
      </w:r>
    </w:p>
    <w:p w14:paraId="4B379325" w14:textId="77777777" w:rsidR="00BF7ACA" w:rsidRPr="00AF1321" w:rsidRDefault="00BF7ACA" w:rsidP="00BF7ACA">
      <w:r>
        <w:rPr>
          <w:rStyle w:val="HideTWBExt"/>
        </w:rPr>
        <w:t>&lt;/RepeatBlock-By&gt;</w:t>
      </w:r>
    </w:p>
    <w:p w14:paraId="2E14C730" w14:textId="77777777"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14:paraId="6E2A409F" w14:textId="77777777" w:rsidR="00BF7ACA" w:rsidRPr="00AF1321" w:rsidRDefault="00BF7ACA" w:rsidP="00BF7ACA">
      <w:pPr>
        <w:pStyle w:val="NormalBold"/>
      </w:pPr>
      <w:r>
        <w:rPr>
          <w:rStyle w:val="HideTWBExt"/>
          <w:b w:val="0"/>
        </w:rPr>
        <w:t>&lt;Article&gt;</w:t>
      </w:r>
      <w:r w:rsidRPr="00B0434F">
        <w:t>Article 20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F7ACA" w:rsidRPr="00AF1321" w14:paraId="5B402B4B" w14:textId="77777777" w:rsidTr="007924BE">
        <w:trPr>
          <w:jc w:val="center"/>
        </w:trPr>
        <w:tc>
          <w:tcPr>
            <w:tcW w:w="9752" w:type="dxa"/>
            <w:gridSpan w:val="2"/>
          </w:tcPr>
          <w:p w14:paraId="65FDF8D7" w14:textId="77777777" w:rsidR="00BF7ACA" w:rsidRPr="00AF1321" w:rsidRDefault="00BF7ACA" w:rsidP="007924BE">
            <w:pPr>
              <w:keepNext/>
            </w:pPr>
          </w:p>
        </w:tc>
      </w:tr>
      <w:tr w:rsidR="00BF7ACA" w:rsidRPr="00AF1321" w14:paraId="6506C0F9" w14:textId="77777777" w:rsidTr="007924BE">
        <w:trPr>
          <w:jc w:val="center"/>
        </w:trPr>
        <w:tc>
          <w:tcPr>
            <w:tcW w:w="4876" w:type="dxa"/>
            <w:hideMark/>
          </w:tcPr>
          <w:p w14:paraId="47C9B842" w14:textId="77777777" w:rsidR="00BF7ACA" w:rsidRPr="00B0434F" w:rsidRDefault="00BF7ACA" w:rsidP="007924BE">
            <w:pPr>
              <w:pStyle w:val="ColumnHeading"/>
              <w:keepNext/>
            </w:pPr>
            <w:r w:rsidRPr="00B0434F">
              <w:t>Texte proposé par la Commission</w:t>
            </w:r>
          </w:p>
        </w:tc>
        <w:tc>
          <w:tcPr>
            <w:tcW w:w="4876" w:type="dxa"/>
            <w:hideMark/>
          </w:tcPr>
          <w:p w14:paraId="20AE97EA" w14:textId="77777777" w:rsidR="00BF7ACA" w:rsidRPr="00B0434F" w:rsidRDefault="00BF7ACA" w:rsidP="007924BE">
            <w:pPr>
              <w:pStyle w:val="ColumnHeading"/>
              <w:keepNext/>
            </w:pPr>
            <w:r w:rsidRPr="00B0434F">
              <w:t>Amendement</w:t>
            </w:r>
          </w:p>
        </w:tc>
      </w:tr>
      <w:tr w:rsidR="00BF7ACA" w:rsidRPr="00AF1321" w14:paraId="015B43AA" w14:textId="77777777" w:rsidTr="007924BE">
        <w:trPr>
          <w:jc w:val="center"/>
        </w:trPr>
        <w:tc>
          <w:tcPr>
            <w:tcW w:w="4876" w:type="dxa"/>
          </w:tcPr>
          <w:p w14:paraId="4F260FE9" w14:textId="77777777" w:rsidR="00BF7ACA" w:rsidRPr="00B0434F" w:rsidRDefault="00BF7ACA" w:rsidP="007924BE">
            <w:pPr>
              <w:pStyle w:val="Normal6"/>
            </w:pPr>
          </w:p>
        </w:tc>
        <w:tc>
          <w:tcPr>
            <w:tcW w:w="4876" w:type="dxa"/>
            <w:hideMark/>
          </w:tcPr>
          <w:p w14:paraId="023D365D" w14:textId="77777777" w:rsidR="00BF7ACA" w:rsidRPr="00B0434F" w:rsidRDefault="00BF7ACA" w:rsidP="007924BE">
            <w:pPr>
              <w:pStyle w:val="Normal6"/>
              <w:jc w:val="center"/>
              <w:rPr>
                <w:szCs w:val="24"/>
              </w:rPr>
            </w:pPr>
            <w:r w:rsidRPr="00B0434F">
              <w:rPr>
                <w:b/>
                <w:i/>
              </w:rPr>
              <w:t>Article 20 bis</w:t>
            </w:r>
          </w:p>
        </w:tc>
      </w:tr>
      <w:tr w:rsidR="00BF7ACA" w:rsidRPr="00AF1321" w14:paraId="03271F31" w14:textId="77777777" w:rsidTr="007924BE">
        <w:trPr>
          <w:jc w:val="center"/>
        </w:trPr>
        <w:tc>
          <w:tcPr>
            <w:tcW w:w="4876" w:type="dxa"/>
          </w:tcPr>
          <w:p w14:paraId="253F74E1" w14:textId="77777777" w:rsidR="00BF7ACA" w:rsidRPr="00B0434F" w:rsidRDefault="00BF7ACA" w:rsidP="007924BE">
            <w:pPr>
              <w:pStyle w:val="Normal6"/>
            </w:pPr>
          </w:p>
        </w:tc>
        <w:tc>
          <w:tcPr>
            <w:tcW w:w="4876" w:type="dxa"/>
            <w:hideMark/>
          </w:tcPr>
          <w:p w14:paraId="0E7394FB" w14:textId="77777777" w:rsidR="00BF7ACA" w:rsidRPr="00B0434F" w:rsidRDefault="00BF7ACA" w:rsidP="007924BE">
            <w:pPr>
              <w:pStyle w:val="Normal6"/>
              <w:jc w:val="center"/>
              <w:rPr>
                <w:szCs w:val="24"/>
              </w:rPr>
            </w:pPr>
            <w:r w:rsidRPr="00B0434F">
              <w:rPr>
                <w:b/>
                <w:i/>
              </w:rPr>
              <w:t>Exercice de la délégation</w:t>
            </w:r>
          </w:p>
        </w:tc>
      </w:tr>
      <w:tr w:rsidR="00BF7ACA" w:rsidRPr="00AF1321" w14:paraId="70C1C664" w14:textId="77777777" w:rsidTr="007924BE">
        <w:trPr>
          <w:jc w:val="center"/>
        </w:trPr>
        <w:tc>
          <w:tcPr>
            <w:tcW w:w="4876" w:type="dxa"/>
          </w:tcPr>
          <w:p w14:paraId="0EE446E6" w14:textId="77777777" w:rsidR="00BF7ACA" w:rsidRPr="00B0434F" w:rsidRDefault="00BF7ACA" w:rsidP="007924BE">
            <w:pPr>
              <w:pStyle w:val="Normal6"/>
            </w:pPr>
          </w:p>
        </w:tc>
        <w:tc>
          <w:tcPr>
            <w:tcW w:w="4876" w:type="dxa"/>
            <w:hideMark/>
          </w:tcPr>
          <w:p w14:paraId="6680A834" w14:textId="77777777" w:rsidR="00BF7ACA" w:rsidRPr="00B0434F" w:rsidRDefault="00BF7ACA" w:rsidP="007924BE">
            <w:pPr>
              <w:pStyle w:val="Normal6"/>
              <w:rPr>
                <w:szCs w:val="24"/>
              </w:rPr>
            </w:pPr>
            <w:r>
              <w:rPr>
                <w:b/>
                <w:i/>
              </w:rPr>
              <w:t>1.</w:t>
            </w:r>
            <w:r>
              <w:rPr>
                <w:b/>
                <w:i/>
              </w:rPr>
              <w:tab/>
            </w:r>
            <w:r w:rsidRPr="00B0434F">
              <w:rPr>
                <w:b/>
                <w:i/>
              </w:rPr>
              <w:t>Le pouvoir d</w:t>
            </w:r>
            <w:r>
              <w:rPr>
                <w:b/>
                <w:i/>
              </w:rPr>
              <w:t>’</w:t>
            </w:r>
            <w:r w:rsidRPr="00B0434F">
              <w:rPr>
                <w:b/>
                <w:i/>
              </w:rPr>
              <w:t>adopter des actes délégués conféré à la Commission est soumis aux conditions fixées au présent article.</w:t>
            </w:r>
          </w:p>
        </w:tc>
      </w:tr>
      <w:tr w:rsidR="00BF7ACA" w:rsidRPr="00AF1321" w14:paraId="6D848B7E" w14:textId="77777777" w:rsidTr="007924BE">
        <w:trPr>
          <w:jc w:val="center"/>
        </w:trPr>
        <w:tc>
          <w:tcPr>
            <w:tcW w:w="4876" w:type="dxa"/>
          </w:tcPr>
          <w:p w14:paraId="54E4D746" w14:textId="77777777" w:rsidR="00BF7ACA" w:rsidRPr="00B0434F" w:rsidRDefault="00BF7ACA" w:rsidP="007924BE">
            <w:pPr>
              <w:pStyle w:val="Normal6"/>
            </w:pPr>
          </w:p>
        </w:tc>
        <w:tc>
          <w:tcPr>
            <w:tcW w:w="4876" w:type="dxa"/>
            <w:hideMark/>
          </w:tcPr>
          <w:p w14:paraId="6A237676" w14:textId="77777777" w:rsidR="00BF7ACA" w:rsidRPr="00B0434F" w:rsidRDefault="00BF7ACA" w:rsidP="007924BE">
            <w:pPr>
              <w:pStyle w:val="Normal6"/>
              <w:rPr>
                <w:szCs w:val="24"/>
              </w:rPr>
            </w:pPr>
            <w:r>
              <w:rPr>
                <w:b/>
                <w:i/>
              </w:rPr>
              <w:t>2.</w:t>
            </w:r>
            <w:r>
              <w:rPr>
                <w:b/>
                <w:i/>
              </w:rPr>
              <w:tab/>
            </w:r>
            <w:r w:rsidRPr="00B0434F">
              <w:rPr>
                <w:b/>
                <w:i/>
              </w:rPr>
              <w:t>Le pouvoir d</w:t>
            </w:r>
            <w:r>
              <w:rPr>
                <w:b/>
                <w:i/>
              </w:rPr>
              <w:t>’</w:t>
            </w:r>
            <w:r w:rsidRPr="00B0434F">
              <w:rPr>
                <w:b/>
                <w:i/>
              </w:rPr>
              <w:t>adopter les actes délégués visé à l</w:t>
            </w:r>
            <w:r>
              <w:rPr>
                <w:b/>
                <w:i/>
              </w:rPr>
              <w:t>’</w:t>
            </w:r>
            <w:r w:rsidRPr="00B0434F">
              <w:rPr>
                <w:b/>
                <w:i/>
              </w:rPr>
              <w:t>article 6 est conféré à la Commission à compter de la date d</w:t>
            </w:r>
            <w:r>
              <w:rPr>
                <w:b/>
                <w:i/>
              </w:rPr>
              <w:t>’</w:t>
            </w:r>
            <w:r w:rsidRPr="00B0434F">
              <w:rPr>
                <w:b/>
                <w:i/>
              </w:rPr>
              <w:t>entrée en vigueur du présent règlement et jusqu</w:t>
            </w:r>
            <w:r>
              <w:rPr>
                <w:b/>
                <w:i/>
              </w:rPr>
              <w:t>’</w:t>
            </w:r>
            <w:r w:rsidRPr="00B0434F">
              <w:rPr>
                <w:b/>
                <w:i/>
              </w:rPr>
              <w:t>au 31 décembre 2020.</w:t>
            </w:r>
          </w:p>
        </w:tc>
      </w:tr>
      <w:tr w:rsidR="00BF7ACA" w:rsidRPr="00AF1321" w14:paraId="60905890" w14:textId="77777777" w:rsidTr="007924BE">
        <w:trPr>
          <w:jc w:val="center"/>
        </w:trPr>
        <w:tc>
          <w:tcPr>
            <w:tcW w:w="4876" w:type="dxa"/>
          </w:tcPr>
          <w:p w14:paraId="10E85FEE" w14:textId="77777777" w:rsidR="00BF7ACA" w:rsidRPr="00B0434F" w:rsidRDefault="00BF7ACA" w:rsidP="007924BE">
            <w:pPr>
              <w:pStyle w:val="Normal6"/>
            </w:pPr>
          </w:p>
        </w:tc>
        <w:tc>
          <w:tcPr>
            <w:tcW w:w="4876" w:type="dxa"/>
            <w:hideMark/>
          </w:tcPr>
          <w:p w14:paraId="3DB4EA61" w14:textId="77777777" w:rsidR="00BF7ACA" w:rsidRPr="00B0434F" w:rsidRDefault="00BF7ACA" w:rsidP="007924BE">
            <w:pPr>
              <w:pStyle w:val="Normal6"/>
              <w:rPr>
                <w:szCs w:val="24"/>
              </w:rPr>
            </w:pPr>
            <w:r>
              <w:rPr>
                <w:b/>
                <w:i/>
              </w:rPr>
              <w:t>3.</w:t>
            </w:r>
            <w:r>
              <w:rPr>
                <w:b/>
                <w:i/>
              </w:rPr>
              <w:tab/>
            </w:r>
            <w:r w:rsidRPr="00B0434F">
              <w:rPr>
                <w:b/>
                <w:i/>
              </w:rPr>
              <w:t>La délégation de pouvoir visée à l</w:t>
            </w:r>
            <w:r>
              <w:rPr>
                <w:b/>
                <w:i/>
              </w:rPr>
              <w:t>’</w:t>
            </w:r>
            <w:r w:rsidRPr="00B0434F">
              <w:rPr>
                <w:b/>
                <w:i/>
              </w:rPr>
              <w:t xml:space="preserve">article 6 peut être révoquée à tout moment par le Parlement européen ou par le Conseil. La décision de révocation met fin à la délégation de pouvoir qui y est précisée. La révocation prend effet le jour suivant celui de la publication de ladite décision au </w:t>
            </w:r>
            <w:r w:rsidRPr="0041239B">
              <w:rPr>
                <w:b/>
              </w:rPr>
              <w:t>Journal officiel de l’Union européenne</w:t>
            </w:r>
            <w:r w:rsidRPr="00B0434F">
              <w:rPr>
                <w:b/>
                <w:i/>
              </w:rPr>
              <w:t xml:space="preserve"> ou à une date ultérieure qui est précisée dans ladite décision. Elle ne porte pas atteinte à la validité des actes délégués déjà en vigueur.</w:t>
            </w:r>
          </w:p>
        </w:tc>
      </w:tr>
      <w:tr w:rsidR="00BF7ACA" w:rsidRPr="00AF1321" w14:paraId="20AA8322" w14:textId="77777777" w:rsidTr="007924BE">
        <w:trPr>
          <w:jc w:val="center"/>
        </w:trPr>
        <w:tc>
          <w:tcPr>
            <w:tcW w:w="4876" w:type="dxa"/>
          </w:tcPr>
          <w:p w14:paraId="1CA2778A" w14:textId="77777777" w:rsidR="00BF7ACA" w:rsidRPr="00B0434F" w:rsidRDefault="00BF7ACA" w:rsidP="007924BE">
            <w:pPr>
              <w:pStyle w:val="Normal6"/>
            </w:pPr>
          </w:p>
        </w:tc>
        <w:tc>
          <w:tcPr>
            <w:tcW w:w="4876" w:type="dxa"/>
            <w:hideMark/>
          </w:tcPr>
          <w:p w14:paraId="1FD099D7" w14:textId="77777777" w:rsidR="00BF7ACA" w:rsidRPr="00B0434F" w:rsidRDefault="00BF7ACA" w:rsidP="007924BE">
            <w:pPr>
              <w:pStyle w:val="Normal6"/>
              <w:rPr>
                <w:szCs w:val="24"/>
              </w:rPr>
            </w:pPr>
            <w:r>
              <w:rPr>
                <w:b/>
                <w:i/>
              </w:rPr>
              <w:t>4.</w:t>
            </w:r>
            <w:r>
              <w:rPr>
                <w:b/>
                <w:i/>
              </w:rPr>
              <w:tab/>
            </w:r>
            <w:r w:rsidRPr="00B0434F">
              <w:rPr>
                <w:b/>
                <w:i/>
              </w:rPr>
              <w:t>Avant l</w:t>
            </w:r>
            <w:r>
              <w:rPr>
                <w:b/>
                <w:i/>
              </w:rPr>
              <w:t>’</w:t>
            </w:r>
            <w:r w:rsidRPr="00B0434F">
              <w:rPr>
                <w:b/>
                <w:i/>
              </w:rPr>
              <w:t>adoption d</w:t>
            </w:r>
            <w:r>
              <w:rPr>
                <w:b/>
                <w:i/>
              </w:rPr>
              <w:t>’</w:t>
            </w:r>
            <w:r w:rsidRPr="00B0434F">
              <w:rPr>
                <w:b/>
                <w:i/>
              </w:rPr>
              <w:t>un acte délégué, la Commission consulte les experts désignés par chaque État membre, conformément aux principes définis dans l</w:t>
            </w:r>
            <w:r>
              <w:rPr>
                <w:b/>
                <w:i/>
              </w:rPr>
              <w:t>’</w:t>
            </w:r>
            <w:r w:rsidRPr="00B0434F">
              <w:rPr>
                <w:b/>
                <w:i/>
              </w:rPr>
              <w:t>accord interinstitutionnel «Mieux légiférer» du 13 avril 2016.</w:t>
            </w:r>
          </w:p>
        </w:tc>
      </w:tr>
      <w:tr w:rsidR="00BF7ACA" w:rsidRPr="00AF1321" w14:paraId="14E7CD68" w14:textId="77777777" w:rsidTr="007924BE">
        <w:trPr>
          <w:jc w:val="center"/>
        </w:trPr>
        <w:tc>
          <w:tcPr>
            <w:tcW w:w="4876" w:type="dxa"/>
          </w:tcPr>
          <w:p w14:paraId="48756167" w14:textId="77777777" w:rsidR="00BF7ACA" w:rsidRPr="00B0434F" w:rsidRDefault="00BF7ACA" w:rsidP="007924BE">
            <w:pPr>
              <w:pStyle w:val="Normal6"/>
            </w:pPr>
          </w:p>
        </w:tc>
        <w:tc>
          <w:tcPr>
            <w:tcW w:w="4876" w:type="dxa"/>
            <w:hideMark/>
          </w:tcPr>
          <w:p w14:paraId="5A269325" w14:textId="77777777" w:rsidR="00BF7ACA" w:rsidRPr="00B0434F" w:rsidRDefault="00BF7ACA" w:rsidP="007924BE">
            <w:pPr>
              <w:pStyle w:val="Normal6"/>
              <w:rPr>
                <w:szCs w:val="24"/>
              </w:rPr>
            </w:pPr>
            <w:r>
              <w:rPr>
                <w:b/>
                <w:i/>
              </w:rPr>
              <w:t>5.</w:t>
            </w:r>
            <w:r>
              <w:rPr>
                <w:b/>
                <w:i/>
              </w:rPr>
              <w:tab/>
            </w:r>
            <w:r w:rsidRPr="00B0434F">
              <w:rPr>
                <w:b/>
                <w:i/>
              </w:rPr>
              <w:t>Aussitôt qu</w:t>
            </w:r>
            <w:r>
              <w:rPr>
                <w:b/>
                <w:i/>
              </w:rPr>
              <w:t>’</w:t>
            </w:r>
            <w:r w:rsidRPr="00B0434F">
              <w:rPr>
                <w:b/>
                <w:i/>
              </w:rPr>
              <w:t>elle adopte un acte délégué, la Commission le notifie au Parlement européen et au Conseil simultanément.</w:t>
            </w:r>
          </w:p>
        </w:tc>
      </w:tr>
      <w:tr w:rsidR="00BF7ACA" w:rsidRPr="00AF1321" w14:paraId="471D2C0C" w14:textId="77777777" w:rsidTr="007924BE">
        <w:trPr>
          <w:jc w:val="center"/>
        </w:trPr>
        <w:tc>
          <w:tcPr>
            <w:tcW w:w="4876" w:type="dxa"/>
          </w:tcPr>
          <w:p w14:paraId="1BBFD5E4" w14:textId="77777777" w:rsidR="00BF7ACA" w:rsidRPr="00B0434F" w:rsidRDefault="00BF7ACA" w:rsidP="007924BE">
            <w:pPr>
              <w:pStyle w:val="Normal6"/>
            </w:pPr>
          </w:p>
        </w:tc>
        <w:tc>
          <w:tcPr>
            <w:tcW w:w="4876" w:type="dxa"/>
            <w:hideMark/>
          </w:tcPr>
          <w:p w14:paraId="297D4DC4" w14:textId="77777777" w:rsidR="00BF7ACA" w:rsidRPr="00B0434F" w:rsidRDefault="00BF7ACA" w:rsidP="007924BE">
            <w:pPr>
              <w:pStyle w:val="Normal6"/>
              <w:rPr>
                <w:szCs w:val="24"/>
              </w:rPr>
            </w:pPr>
            <w:r>
              <w:rPr>
                <w:b/>
                <w:i/>
              </w:rPr>
              <w:t>6.</w:t>
            </w:r>
            <w:r>
              <w:rPr>
                <w:b/>
                <w:i/>
              </w:rPr>
              <w:tab/>
            </w:r>
            <w:r w:rsidRPr="00B0434F">
              <w:rPr>
                <w:b/>
                <w:i/>
              </w:rPr>
              <w:t>Un acte délégué adopté en vertu de l</w:t>
            </w:r>
            <w:r>
              <w:rPr>
                <w:b/>
                <w:i/>
              </w:rPr>
              <w:t>’</w:t>
            </w:r>
            <w:r w:rsidRPr="00B0434F">
              <w:rPr>
                <w:b/>
                <w:i/>
              </w:rPr>
              <w:t>article 6 n</w:t>
            </w:r>
            <w:r>
              <w:rPr>
                <w:b/>
                <w:i/>
              </w:rPr>
              <w:t>’</w:t>
            </w:r>
            <w:r w:rsidRPr="00B0434F">
              <w:rPr>
                <w:b/>
                <w:i/>
              </w:rPr>
              <w:t>entre en vigueur que si le Parlement européen ou le Conseil n</w:t>
            </w:r>
            <w:r>
              <w:rPr>
                <w:b/>
                <w:i/>
              </w:rPr>
              <w:t>’</w:t>
            </w:r>
            <w:r w:rsidRPr="00B0434F">
              <w:rPr>
                <w:b/>
                <w:i/>
              </w:rPr>
              <w:t>a pas exprimé d</w:t>
            </w:r>
            <w:r>
              <w:rPr>
                <w:b/>
                <w:i/>
              </w:rPr>
              <w:t>’</w:t>
            </w:r>
            <w:r w:rsidRPr="00B0434F">
              <w:rPr>
                <w:b/>
                <w:i/>
              </w:rPr>
              <w:t>objections dans un délai de deux mois à compter de la notification de cet acte au Parlement européen et au Conseil ou si, avant l</w:t>
            </w:r>
            <w:r>
              <w:rPr>
                <w:b/>
                <w:i/>
              </w:rPr>
              <w:t>’</w:t>
            </w:r>
            <w:r w:rsidRPr="00B0434F">
              <w:rPr>
                <w:b/>
                <w:i/>
              </w:rPr>
              <w:t>expiration de ce délai, le Parlement européen et le Conseil ont tous deux informé la Commission de leur intention de ne pas exprimer d</w:t>
            </w:r>
            <w:r>
              <w:rPr>
                <w:b/>
                <w:i/>
              </w:rPr>
              <w:t>’</w:t>
            </w:r>
            <w:r w:rsidRPr="00B0434F">
              <w:rPr>
                <w:b/>
                <w:i/>
              </w:rPr>
              <w:t>objections. Ce délai peut être prolongé de deux mois à l</w:t>
            </w:r>
            <w:r>
              <w:rPr>
                <w:b/>
                <w:i/>
              </w:rPr>
              <w:t>’</w:t>
            </w:r>
            <w:r w:rsidRPr="00B0434F">
              <w:rPr>
                <w:b/>
                <w:i/>
              </w:rPr>
              <w:t>initiative du Parlement européen ou du Conseil.</w:t>
            </w:r>
          </w:p>
        </w:tc>
      </w:tr>
    </w:tbl>
    <w:p w14:paraId="452FAC04" w14:textId="77777777"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r w:rsidRPr="00BF7ACA">
        <w:rPr>
          <w:noProof w:val="0"/>
        </w:rPr>
        <w:t>en</w:t>
      </w:r>
      <w:r w:rsidRPr="00BF7ACA">
        <w:rPr>
          <w:rStyle w:val="HideTWBExt"/>
          <w:noProof w:val="0"/>
        </w:rPr>
        <w:t>&lt;/Original&gt;</w:t>
      </w:r>
    </w:p>
    <w:p w14:paraId="50E6DF42" w14:textId="77777777" w:rsidR="00BF7ACA" w:rsidRPr="00BF7ACA" w:rsidRDefault="00BF7ACA" w:rsidP="00BF7ACA">
      <w:r w:rsidRPr="00BF7ACA">
        <w:rPr>
          <w:rStyle w:val="HideTWBExt"/>
        </w:rPr>
        <w:t>&lt;/Amend&gt;</w:t>
      </w:r>
    </w:p>
    <w:p w14:paraId="004B1CFC" w14:textId="77777777"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386</w:t>
      </w:r>
      <w:r w:rsidRPr="00BF7ACA">
        <w:rPr>
          <w:rStyle w:val="HideTWBExt"/>
          <w:b w:val="0"/>
        </w:rPr>
        <w:t>&lt;/NumAm&gt;</w:t>
      </w:r>
    </w:p>
    <w:p w14:paraId="5CA3ABCA" w14:textId="77777777"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14:paraId="0E023FBA" w14:textId="77777777" w:rsidR="00BF7ACA" w:rsidRPr="00AF1321" w:rsidRDefault="00BF7ACA" w:rsidP="00BF7ACA">
      <w:r>
        <w:rPr>
          <w:rStyle w:val="HideTWBExt"/>
        </w:rPr>
        <w:t>&lt;/RepeatBlock-By&gt;</w:t>
      </w:r>
    </w:p>
    <w:p w14:paraId="07536E2F" w14:textId="77777777" w:rsidR="00BF7ACA" w:rsidRPr="00AF1321" w:rsidRDefault="00BF7ACA" w:rsidP="00BF7ACA">
      <w:pPr>
        <w:pStyle w:val="NormalBold"/>
      </w:pPr>
      <w:r>
        <w:rPr>
          <w:rStyle w:val="HideTWBExt"/>
          <w:b w:val="0"/>
        </w:rPr>
        <w:t>&lt;DocAmend&gt;</w:t>
      </w:r>
      <w:r w:rsidRPr="00B0434F">
        <w:t>Proposition de règlement</w:t>
      </w:r>
      <w:r>
        <w:rPr>
          <w:rStyle w:val="HideTWBExt"/>
          <w:b w:val="0"/>
        </w:rPr>
        <w:t>&lt;/DocAmend&gt;</w:t>
      </w:r>
    </w:p>
    <w:p w14:paraId="26B6A99D" w14:textId="77777777" w:rsidR="00BF7ACA" w:rsidRPr="00AF1321" w:rsidRDefault="00BF7ACA" w:rsidP="00BF7ACA">
      <w:pPr>
        <w:pStyle w:val="NormalBold"/>
        <w:keepNext/>
      </w:pPr>
      <w:r>
        <w:rPr>
          <w:rStyle w:val="HideTWBExt"/>
          <w:b w:val="0"/>
        </w:rPr>
        <w:t>&lt;Article&gt;</w:t>
      </w:r>
      <w:r w:rsidRPr="00B0434F">
        <w:t>Annexe bis (nouvelle)</w:t>
      </w:r>
      <w:r>
        <w:rPr>
          <w:rStyle w:val="HideTWBExt"/>
          <w:b w:val="0"/>
        </w:rPr>
        <w:t>&lt;/Article&gt;</w:t>
      </w:r>
    </w:p>
    <w:p w14:paraId="4895A9C7" w14:textId="77777777" w:rsidR="00BF7ACA" w:rsidRPr="00AF1321" w:rsidRDefault="00BF7ACA" w:rsidP="00BF7ACA"/>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BF7ACA" w:rsidRPr="00AF1321" w14:paraId="5F7E2CC0" w14:textId="77777777" w:rsidTr="007924BE">
        <w:trPr>
          <w:jc w:val="center"/>
        </w:trPr>
        <w:tc>
          <w:tcPr>
            <w:tcW w:w="9752" w:type="dxa"/>
            <w:gridSpan w:val="2"/>
          </w:tcPr>
          <w:p w14:paraId="309F048C" w14:textId="77777777" w:rsidR="00BF7ACA" w:rsidRPr="00AF1321" w:rsidRDefault="00BF7ACA" w:rsidP="007924BE">
            <w:pPr>
              <w:keepNext/>
            </w:pPr>
          </w:p>
        </w:tc>
      </w:tr>
      <w:tr w:rsidR="00BF7ACA" w:rsidRPr="00AF1321" w14:paraId="5DC8A376" w14:textId="77777777" w:rsidTr="007924BE">
        <w:trPr>
          <w:jc w:val="center"/>
        </w:trPr>
        <w:tc>
          <w:tcPr>
            <w:tcW w:w="4876" w:type="dxa"/>
          </w:tcPr>
          <w:p w14:paraId="06879CF1" w14:textId="77777777" w:rsidR="00BF7ACA" w:rsidRPr="00B0434F" w:rsidRDefault="00BF7ACA" w:rsidP="007924BE">
            <w:pPr>
              <w:pStyle w:val="ColumnHeading"/>
              <w:keepNext/>
            </w:pPr>
            <w:bookmarkStart w:id="1" w:name="DocEPTmp"/>
            <w:bookmarkEnd w:id="1"/>
            <w:r w:rsidRPr="00B0434F">
              <w:t>Texte proposé par la Commission</w:t>
            </w:r>
            <w:bookmarkStart w:id="2" w:name="DocEPTmp2"/>
            <w:bookmarkEnd w:id="2"/>
          </w:p>
        </w:tc>
        <w:tc>
          <w:tcPr>
            <w:tcW w:w="4876" w:type="dxa"/>
          </w:tcPr>
          <w:p w14:paraId="1B9C7F34" w14:textId="77777777" w:rsidR="00BF7ACA" w:rsidRPr="00B0434F" w:rsidRDefault="00BF7ACA" w:rsidP="007924BE">
            <w:pPr>
              <w:pStyle w:val="ColumnHeading"/>
              <w:keepNext/>
            </w:pPr>
            <w:r w:rsidRPr="00B0434F">
              <w:t>Amendement</w:t>
            </w:r>
          </w:p>
        </w:tc>
      </w:tr>
      <w:tr w:rsidR="00BF7ACA" w:rsidRPr="00AF1321" w14:paraId="2DFC9831" w14:textId="77777777" w:rsidTr="007924BE">
        <w:trPr>
          <w:jc w:val="center"/>
        </w:trPr>
        <w:tc>
          <w:tcPr>
            <w:tcW w:w="4876" w:type="dxa"/>
          </w:tcPr>
          <w:p w14:paraId="7533E132" w14:textId="77777777" w:rsidR="00BF7ACA" w:rsidRPr="00B0434F" w:rsidRDefault="00BF7ACA" w:rsidP="007924BE">
            <w:pPr>
              <w:pStyle w:val="Normal6"/>
              <w:jc w:val="center"/>
              <w:rPr>
                <w:b/>
                <w:bCs/>
                <w:i/>
                <w:iCs/>
              </w:rPr>
            </w:pPr>
          </w:p>
        </w:tc>
        <w:tc>
          <w:tcPr>
            <w:tcW w:w="4876" w:type="dxa"/>
          </w:tcPr>
          <w:p w14:paraId="62533A9E" w14:textId="77777777" w:rsidR="00BF7ACA" w:rsidRPr="00B0434F" w:rsidRDefault="00BF7ACA" w:rsidP="007924BE">
            <w:pPr>
              <w:pStyle w:val="Normal6"/>
              <w:jc w:val="center"/>
              <w:rPr>
                <w:b/>
                <w:bCs/>
                <w:i/>
                <w:iCs/>
                <w:szCs w:val="24"/>
              </w:rPr>
            </w:pPr>
            <w:r w:rsidRPr="00B0434F">
              <w:rPr>
                <w:b/>
                <w:i/>
              </w:rPr>
              <w:t>ANNEXE bis</w:t>
            </w:r>
          </w:p>
        </w:tc>
      </w:tr>
      <w:tr w:rsidR="00BF7ACA" w:rsidRPr="00AF1321" w14:paraId="0EEE7EF5" w14:textId="77777777" w:rsidTr="007924BE">
        <w:trPr>
          <w:jc w:val="center"/>
        </w:trPr>
        <w:tc>
          <w:tcPr>
            <w:tcW w:w="4876" w:type="dxa"/>
          </w:tcPr>
          <w:p w14:paraId="4E674CA4" w14:textId="77777777" w:rsidR="00BF7ACA" w:rsidRPr="00B0434F" w:rsidRDefault="00BF7ACA" w:rsidP="007924BE">
            <w:pPr>
              <w:pStyle w:val="Normal6"/>
              <w:jc w:val="center"/>
              <w:rPr>
                <w:b/>
                <w:bCs/>
                <w:i/>
                <w:iCs/>
              </w:rPr>
            </w:pPr>
          </w:p>
        </w:tc>
        <w:tc>
          <w:tcPr>
            <w:tcW w:w="4876" w:type="dxa"/>
          </w:tcPr>
          <w:p w14:paraId="6BF41C4C" w14:textId="77777777" w:rsidR="00BF7ACA" w:rsidRPr="00B0434F" w:rsidRDefault="00BF7ACA" w:rsidP="007924BE">
            <w:pPr>
              <w:pStyle w:val="Normal6"/>
              <w:jc w:val="center"/>
              <w:rPr>
                <w:b/>
                <w:bCs/>
                <w:i/>
                <w:iCs/>
              </w:rPr>
            </w:pPr>
            <w:r w:rsidRPr="00B0434F">
              <w:rPr>
                <w:b/>
                <w:i/>
              </w:rPr>
              <w:t>LISTE DES LIGNES DIRECTRICES ET DES PRINCIPES INTERNATIONAUX AINSI QUE DES CONVENTIONS DE L</w:t>
            </w:r>
            <w:r>
              <w:rPr>
                <w:b/>
                <w:i/>
              </w:rPr>
              <w:t>’</w:t>
            </w:r>
            <w:r w:rsidRPr="00B0434F">
              <w:rPr>
                <w:b/>
                <w:i/>
              </w:rPr>
              <w:t>OIT VISÉES À L</w:t>
            </w:r>
            <w:r>
              <w:rPr>
                <w:b/>
                <w:i/>
              </w:rPr>
              <w:t>’</w:t>
            </w:r>
            <w:r w:rsidRPr="00B0434F">
              <w:rPr>
                <w:b/>
                <w:i/>
              </w:rPr>
              <w:t>ARTICLE 12, PARAGRAPHE 3, ET À L</w:t>
            </w:r>
            <w:r>
              <w:rPr>
                <w:b/>
                <w:i/>
              </w:rPr>
              <w:t>’</w:t>
            </w:r>
            <w:r w:rsidRPr="00B0434F">
              <w:rPr>
                <w:b/>
                <w:i/>
              </w:rPr>
              <w:t>ARTICLE 20, PARAGRAPHE 3</w:t>
            </w:r>
          </w:p>
        </w:tc>
      </w:tr>
      <w:tr w:rsidR="00BF7ACA" w:rsidRPr="00AF1321" w14:paraId="401AE0F9" w14:textId="77777777" w:rsidTr="007924BE">
        <w:trPr>
          <w:jc w:val="center"/>
        </w:trPr>
        <w:tc>
          <w:tcPr>
            <w:tcW w:w="4876" w:type="dxa"/>
          </w:tcPr>
          <w:p w14:paraId="6E892D7B" w14:textId="77777777" w:rsidR="00BF7ACA" w:rsidRPr="00B0434F" w:rsidRDefault="00BF7ACA" w:rsidP="007924BE">
            <w:pPr>
              <w:pStyle w:val="Normal6"/>
              <w:rPr>
                <w:b/>
                <w:bCs/>
                <w:i/>
                <w:iCs/>
              </w:rPr>
            </w:pPr>
          </w:p>
        </w:tc>
        <w:tc>
          <w:tcPr>
            <w:tcW w:w="4876" w:type="dxa"/>
          </w:tcPr>
          <w:p w14:paraId="1FA2B588" w14:textId="77777777" w:rsidR="00BF7ACA" w:rsidRPr="00B0434F" w:rsidRDefault="00BF7ACA" w:rsidP="007924BE">
            <w:pPr>
              <w:pStyle w:val="Normal6"/>
              <w:rPr>
                <w:b/>
                <w:bCs/>
                <w:i/>
                <w:iCs/>
              </w:rPr>
            </w:pPr>
            <w:r w:rsidRPr="00B0434F">
              <w:rPr>
                <w:b/>
                <w:i/>
              </w:rPr>
              <w:t>a)</w:t>
            </w:r>
            <w:r>
              <w:tab/>
            </w:r>
            <w:r w:rsidRPr="00B0434F">
              <w:rPr>
                <w:b/>
                <w:i/>
              </w:rPr>
              <w:t>Lignes directrices et principes internationaux:</w:t>
            </w:r>
          </w:p>
        </w:tc>
      </w:tr>
      <w:tr w:rsidR="00BF7ACA" w:rsidRPr="00AF1321" w14:paraId="57305706" w14:textId="77777777" w:rsidTr="007924BE">
        <w:trPr>
          <w:jc w:val="center"/>
        </w:trPr>
        <w:tc>
          <w:tcPr>
            <w:tcW w:w="4876" w:type="dxa"/>
          </w:tcPr>
          <w:p w14:paraId="62357DA2" w14:textId="77777777" w:rsidR="00BF7ACA" w:rsidRPr="00B0434F" w:rsidRDefault="00BF7ACA" w:rsidP="007924BE">
            <w:pPr>
              <w:pStyle w:val="Normal6"/>
              <w:rPr>
                <w:b/>
                <w:bCs/>
                <w:i/>
                <w:iCs/>
              </w:rPr>
            </w:pPr>
          </w:p>
        </w:tc>
        <w:tc>
          <w:tcPr>
            <w:tcW w:w="4876" w:type="dxa"/>
          </w:tcPr>
          <w:p w14:paraId="39218D23" w14:textId="77777777" w:rsidR="00BF7ACA" w:rsidRPr="00B0434F" w:rsidRDefault="00BF7ACA" w:rsidP="007924BE">
            <w:pPr>
              <w:pStyle w:val="Normal6"/>
              <w:rPr>
                <w:b/>
                <w:bCs/>
                <w:i/>
                <w:iCs/>
              </w:rPr>
            </w:pPr>
            <w:r w:rsidRPr="00B0434F">
              <w:rPr>
                <w:b/>
                <w:i/>
              </w:rPr>
              <w:t>–</w:t>
            </w:r>
            <w:r>
              <w:tab/>
            </w:r>
            <w:r w:rsidRPr="00B0434F">
              <w:rPr>
                <w:b/>
                <w:i/>
              </w:rPr>
              <w:t>principes des Nations unies pour l</w:t>
            </w:r>
            <w:r>
              <w:rPr>
                <w:b/>
                <w:i/>
              </w:rPr>
              <w:t>’</w:t>
            </w:r>
            <w:r w:rsidRPr="00B0434F">
              <w:rPr>
                <w:b/>
                <w:i/>
              </w:rPr>
              <w:t xml:space="preserve">investissement responsable; </w:t>
            </w:r>
          </w:p>
        </w:tc>
      </w:tr>
      <w:tr w:rsidR="00BF7ACA" w:rsidRPr="00AF1321" w14:paraId="1AA2A254" w14:textId="77777777" w:rsidTr="007924BE">
        <w:trPr>
          <w:jc w:val="center"/>
        </w:trPr>
        <w:tc>
          <w:tcPr>
            <w:tcW w:w="4876" w:type="dxa"/>
          </w:tcPr>
          <w:p w14:paraId="74875CD0" w14:textId="77777777" w:rsidR="00BF7ACA" w:rsidRPr="00B0434F" w:rsidRDefault="00BF7ACA" w:rsidP="007924BE">
            <w:pPr>
              <w:pStyle w:val="Normal6"/>
              <w:rPr>
                <w:b/>
                <w:bCs/>
                <w:i/>
                <w:iCs/>
              </w:rPr>
            </w:pPr>
          </w:p>
        </w:tc>
        <w:tc>
          <w:tcPr>
            <w:tcW w:w="4876" w:type="dxa"/>
          </w:tcPr>
          <w:p w14:paraId="08009D63" w14:textId="77777777" w:rsidR="00BF7ACA" w:rsidRPr="00B0434F" w:rsidRDefault="00BF7ACA" w:rsidP="007924BE">
            <w:pPr>
              <w:pStyle w:val="Normal6"/>
              <w:rPr>
                <w:b/>
                <w:bCs/>
                <w:i/>
                <w:iCs/>
              </w:rPr>
            </w:pPr>
            <w:r w:rsidRPr="00B0434F">
              <w:rPr>
                <w:b/>
                <w:i/>
              </w:rPr>
              <w:t>–</w:t>
            </w:r>
            <w:r>
              <w:tab/>
            </w:r>
            <w:r w:rsidRPr="00B0434F">
              <w:rPr>
                <w:b/>
                <w:i/>
              </w:rPr>
              <w:t>principes directeurs des Nations unies relatifs aux entreprises et aux droits de l</w:t>
            </w:r>
            <w:r>
              <w:rPr>
                <w:b/>
                <w:i/>
              </w:rPr>
              <w:t>’</w:t>
            </w:r>
            <w:r w:rsidRPr="00B0434F">
              <w:rPr>
                <w:b/>
                <w:i/>
              </w:rPr>
              <w:t xml:space="preserve">homme; </w:t>
            </w:r>
          </w:p>
        </w:tc>
      </w:tr>
      <w:tr w:rsidR="00BF7ACA" w:rsidRPr="00AF1321" w14:paraId="1817CADF" w14:textId="77777777" w:rsidTr="007924BE">
        <w:trPr>
          <w:jc w:val="center"/>
        </w:trPr>
        <w:tc>
          <w:tcPr>
            <w:tcW w:w="4876" w:type="dxa"/>
          </w:tcPr>
          <w:p w14:paraId="6C3A2F4E" w14:textId="77777777" w:rsidR="00BF7ACA" w:rsidRPr="00B0434F" w:rsidRDefault="00BF7ACA" w:rsidP="007924BE">
            <w:pPr>
              <w:pStyle w:val="Normal6"/>
              <w:rPr>
                <w:b/>
                <w:bCs/>
                <w:i/>
                <w:iCs/>
              </w:rPr>
            </w:pPr>
          </w:p>
        </w:tc>
        <w:tc>
          <w:tcPr>
            <w:tcW w:w="4876" w:type="dxa"/>
          </w:tcPr>
          <w:p w14:paraId="0F35A56C" w14:textId="77777777" w:rsidR="00BF7ACA" w:rsidRPr="00B0434F" w:rsidRDefault="00BF7ACA" w:rsidP="007924BE">
            <w:pPr>
              <w:pStyle w:val="Normal6"/>
              <w:rPr>
                <w:b/>
                <w:bCs/>
                <w:i/>
                <w:iCs/>
                <w:szCs w:val="22"/>
              </w:rPr>
            </w:pPr>
            <w:r w:rsidRPr="00B0434F">
              <w:rPr>
                <w:b/>
                <w:i/>
              </w:rPr>
              <w:t>–</w:t>
            </w:r>
            <w:r>
              <w:tab/>
            </w:r>
            <w:r w:rsidRPr="00B0434F">
              <w:rPr>
                <w:b/>
                <w:i/>
              </w:rPr>
              <w:t>principes directeurs de l</w:t>
            </w:r>
            <w:r>
              <w:rPr>
                <w:b/>
                <w:i/>
              </w:rPr>
              <w:t>’</w:t>
            </w:r>
            <w:r w:rsidRPr="00B0434F">
              <w:rPr>
                <w:b/>
                <w:i/>
              </w:rPr>
              <w:t>OCDE à l</w:t>
            </w:r>
            <w:r>
              <w:rPr>
                <w:b/>
                <w:i/>
              </w:rPr>
              <w:t>’</w:t>
            </w:r>
            <w:r w:rsidRPr="00B0434F">
              <w:rPr>
                <w:b/>
                <w:i/>
              </w:rPr>
              <w:t>intention des entreprises multinationales;</w:t>
            </w:r>
          </w:p>
        </w:tc>
      </w:tr>
      <w:tr w:rsidR="00BF7ACA" w:rsidRPr="00AF1321" w14:paraId="6DDF963A" w14:textId="77777777" w:rsidTr="007924BE">
        <w:trPr>
          <w:jc w:val="center"/>
        </w:trPr>
        <w:tc>
          <w:tcPr>
            <w:tcW w:w="4876" w:type="dxa"/>
          </w:tcPr>
          <w:p w14:paraId="63CE8E0C" w14:textId="77777777" w:rsidR="00BF7ACA" w:rsidRPr="00B0434F" w:rsidRDefault="00BF7ACA" w:rsidP="007924BE">
            <w:pPr>
              <w:pStyle w:val="Normal6"/>
              <w:rPr>
                <w:b/>
                <w:bCs/>
                <w:i/>
                <w:iCs/>
              </w:rPr>
            </w:pPr>
          </w:p>
        </w:tc>
        <w:tc>
          <w:tcPr>
            <w:tcW w:w="4876" w:type="dxa"/>
          </w:tcPr>
          <w:p w14:paraId="062C55AE" w14:textId="77777777" w:rsidR="00BF7ACA" w:rsidRPr="00B0434F" w:rsidRDefault="00BF7ACA" w:rsidP="007924BE">
            <w:pPr>
              <w:pStyle w:val="Normal6"/>
              <w:rPr>
                <w:b/>
                <w:bCs/>
                <w:i/>
                <w:iCs/>
              </w:rPr>
            </w:pPr>
            <w:r w:rsidRPr="00B0434F">
              <w:rPr>
                <w:b/>
                <w:i/>
              </w:rPr>
              <w:t>–</w:t>
            </w:r>
            <w:r>
              <w:tab/>
            </w:r>
            <w:r w:rsidRPr="00B0434F">
              <w:rPr>
                <w:b/>
                <w:i/>
              </w:rPr>
              <w:t>principes de la FAO (Comité de la sécurité alimentaire mondiale) pour un investissement responsable dans l</w:t>
            </w:r>
            <w:r>
              <w:rPr>
                <w:b/>
                <w:i/>
              </w:rPr>
              <w:t>’</w:t>
            </w:r>
            <w:r w:rsidRPr="00B0434F">
              <w:rPr>
                <w:b/>
                <w:i/>
              </w:rPr>
              <w:t>agriculture et les systèmes alimentaires.</w:t>
            </w:r>
          </w:p>
        </w:tc>
      </w:tr>
      <w:tr w:rsidR="00BF7ACA" w:rsidRPr="00AF1321" w14:paraId="2C2AE2AA" w14:textId="77777777" w:rsidTr="007924BE">
        <w:trPr>
          <w:jc w:val="center"/>
        </w:trPr>
        <w:tc>
          <w:tcPr>
            <w:tcW w:w="4876" w:type="dxa"/>
          </w:tcPr>
          <w:p w14:paraId="35931ABE" w14:textId="77777777" w:rsidR="00BF7ACA" w:rsidRPr="00B0434F" w:rsidRDefault="00BF7ACA" w:rsidP="007924BE">
            <w:pPr>
              <w:pStyle w:val="Normal6"/>
              <w:rPr>
                <w:b/>
                <w:bCs/>
                <w:i/>
                <w:iCs/>
              </w:rPr>
            </w:pPr>
          </w:p>
        </w:tc>
        <w:tc>
          <w:tcPr>
            <w:tcW w:w="4876" w:type="dxa"/>
          </w:tcPr>
          <w:p w14:paraId="6775C59C" w14:textId="77777777" w:rsidR="00BF7ACA" w:rsidRPr="00B0434F" w:rsidRDefault="00BF7ACA" w:rsidP="007924BE">
            <w:pPr>
              <w:pStyle w:val="Normal6"/>
              <w:rPr>
                <w:b/>
                <w:bCs/>
                <w:i/>
                <w:iCs/>
              </w:rPr>
            </w:pPr>
            <w:r w:rsidRPr="00B0434F">
              <w:rPr>
                <w:b/>
                <w:i/>
              </w:rPr>
              <w:t>b)</w:t>
            </w:r>
            <w:r>
              <w:tab/>
            </w:r>
            <w:r w:rsidRPr="00B0434F">
              <w:rPr>
                <w:b/>
                <w:i/>
              </w:rPr>
              <w:t>Conventions de l</w:t>
            </w:r>
            <w:r>
              <w:rPr>
                <w:b/>
                <w:i/>
              </w:rPr>
              <w:t>’</w:t>
            </w:r>
            <w:r w:rsidRPr="00B0434F">
              <w:rPr>
                <w:b/>
                <w:i/>
              </w:rPr>
              <w:t>Organisation internationale du travail (OIT):</w:t>
            </w:r>
          </w:p>
        </w:tc>
      </w:tr>
      <w:tr w:rsidR="00BF7ACA" w:rsidRPr="00AF1321" w14:paraId="7E175BCF" w14:textId="77777777" w:rsidTr="007924BE">
        <w:trPr>
          <w:jc w:val="center"/>
        </w:trPr>
        <w:tc>
          <w:tcPr>
            <w:tcW w:w="4876" w:type="dxa"/>
          </w:tcPr>
          <w:p w14:paraId="04466A4E" w14:textId="77777777" w:rsidR="00BF7ACA" w:rsidRPr="00B0434F" w:rsidRDefault="00BF7ACA" w:rsidP="007924BE">
            <w:pPr>
              <w:pStyle w:val="Normal6"/>
              <w:rPr>
                <w:b/>
                <w:bCs/>
                <w:i/>
                <w:iCs/>
              </w:rPr>
            </w:pPr>
          </w:p>
        </w:tc>
        <w:tc>
          <w:tcPr>
            <w:tcW w:w="4876" w:type="dxa"/>
          </w:tcPr>
          <w:p w14:paraId="1C68DDF2" w14:textId="77777777" w:rsidR="00BF7ACA" w:rsidRPr="00B0434F" w:rsidRDefault="00BF7ACA" w:rsidP="007924BE">
            <w:pPr>
              <w:pStyle w:val="Normal6"/>
              <w:rPr>
                <w:b/>
                <w:bCs/>
                <w:i/>
                <w:iCs/>
                <w:szCs w:val="22"/>
              </w:rPr>
            </w:pPr>
            <w:r w:rsidRPr="00B0434F">
              <w:rPr>
                <w:b/>
                <w:i/>
              </w:rPr>
              <w:t>–</w:t>
            </w:r>
            <w:r>
              <w:tab/>
            </w:r>
            <w:r w:rsidRPr="00B0434F">
              <w:rPr>
                <w:b/>
                <w:i/>
              </w:rPr>
              <w:t>convention nº 87 de l</w:t>
            </w:r>
            <w:r>
              <w:rPr>
                <w:b/>
                <w:i/>
              </w:rPr>
              <w:t>’</w:t>
            </w:r>
            <w:r w:rsidRPr="00B0434F">
              <w:rPr>
                <w:b/>
                <w:i/>
              </w:rPr>
              <w:t>OIT sur la liberté syndicale et la protection du droit syndical;</w:t>
            </w:r>
          </w:p>
        </w:tc>
      </w:tr>
      <w:tr w:rsidR="00BF7ACA" w:rsidRPr="00AF1321" w14:paraId="707647C3" w14:textId="77777777" w:rsidTr="007924BE">
        <w:trPr>
          <w:jc w:val="center"/>
        </w:trPr>
        <w:tc>
          <w:tcPr>
            <w:tcW w:w="4876" w:type="dxa"/>
          </w:tcPr>
          <w:p w14:paraId="612A1EAA" w14:textId="77777777" w:rsidR="00BF7ACA" w:rsidRPr="00B0434F" w:rsidRDefault="00BF7ACA" w:rsidP="007924BE">
            <w:pPr>
              <w:pStyle w:val="Normal6"/>
              <w:rPr>
                <w:b/>
                <w:bCs/>
                <w:i/>
                <w:iCs/>
              </w:rPr>
            </w:pPr>
          </w:p>
        </w:tc>
        <w:tc>
          <w:tcPr>
            <w:tcW w:w="4876" w:type="dxa"/>
          </w:tcPr>
          <w:p w14:paraId="27E75360" w14:textId="77777777" w:rsidR="00BF7ACA" w:rsidRPr="00B0434F" w:rsidRDefault="00BF7ACA" w:rsidP="007924BE">
            <w:pPr>
              <w:pStyle w:val="Normal6"/>
              <w:rPr>
                <w:b/>
                <w:bCs/>
                <w:i/>
                <w:iCs/>
                <w:szCs w:val="22"/>
              </w:rPr>
            </w:pPr>
            <w:r w:rsidRPr="00B0434F">
              <w:rPr>
                <w:b/>
                <w:i/>
              </w:rPr>
              <w:t>–</w:t>
            </w:r>
            <w:r>
              <w:tab/>
            </w:r>
            <w:r w:rsidRPr="00B0434F">
              <w:rPr>
                <w:b/>
                <w:i/>
              </w:rPr>
              <w:t>convention nº 98 de l</w:t>
            </w:r>
            <w:r>
              <w:rPr>
                <w:b/>
                <w:i/>
              </w:rPr>
              <w:t>’</w:t>
            </w:r>
            <w:r w:rsidRPr="00B0434F">
              <w:rPr>
                <w:b/>
                <w:i/>
              </w:rPr>
              <w:t>OIT sur le droit d</w:t>
            </w:r>
            <w:r>
              <w:rPr>
                <w:b/>
                <w:i/>
              </w:rPr>
              <w:t>’</w:t>
            </w:r>
            <w:r w:rsidRPr="00B0434F">
              <w:rPr>
                <w:b/>
                <w:i/>
              </w:rPr>
              <w:t>organisation et de négociation collective;</w:t>
            </w:r>
          </w:p>
        </w:tc>
      </w:tr>
      <w:tr w:rsidR="00BF7ACA" w:rsidRPr="00AF1321" w14:paraId="7C0B2A69" w14:textId="77777777" w:rsidTr="007924BE">
        <w:trPr>
          <w:jc w:val="center"/>
        </w:trPr>
        <w:tc>
          <w:tcPr>
            <w:tcW w:w="4876" w:type="dxa"/>
          </w:tcPr>
          <w:p w14:paraId="04AC0565" w14:textId="77777777" w:rsidR="00BF7ACA" w:rsidRPr="00B0434F" w:rsidRDefault="00BF7ACA" w:rsidP="007924BE">
            <w:pPr>
              <w:pStyle w:val="Normal6"/>
              <w:rPr>
                <w:b/>
                <w:bCs/>
                <w:i/>
                <w:iCs/>
              </w:rPr>
            </w:pPr>
          </w:p>
        </w:tc>
        <w:tc>
          <w:tcPr>
            <w:tcW w:w="4876" w:type="dxa"/>
          </w:tcPr>
          <w:p w14:paraId="5657A96A" w14:textId="77777777" w:rsidR="00BF7ACA" w:rsidRPr="00B0434F" w:rsidRDefault="00BF7ACA" w:rsidP="007924BE">
            <w:pPr>
              <w:pStyle w:val="Normal6"/>
              <w:rPr>
                <w:b/>
                <w:bCs/>
                <w:i/>
                <w:iCs/>
                <w:szCs w:val="22"/>
              </w:rPr>
            </w:pPr>
            <w:r w:rsidRPr="00B0434F">
              <w:rPr>
                <w:b/>
                <w:i/>
              </w:rPr>
              <w:t>–</w:t>
            </w:r>
            <w:r>
              <w:tab/>
            </w:r>
            <w:r w:rsidRPr="00B0434F">
              <w:rPr>
                <w:b/>
                <w:i/>
              </w:rPr>
              <w:t>convention nº 29 de l</w:t>
            </w:r>
            <w:r>
              <w:rPr>
                <w:b/>
                <w:i/>
              </w:rPr>
              <w:t>’</w:t>
            </w:r>
            <w:r w:rsidRPr="00B0434F">
              <w:rPr>
                <w:b/>
                <w:i/>
              </w:rPr>
              <w:t xml:space="preserve">OIT sur le travail forcé; </w:t>
            </w:r>
          </w:p>
        </w:tc>
      </w:tr>
      <w:tr w:rsidR="00BF7ACA" w:rsidRPr="00AF1321" w14:paraId="2BE232BF" w14:textId="77777777" w:rsidTr="007924BE">
        <w:trPr>
          <w:jc w:val="center"/>
        </w:trPr>
        <w:tc>
          <w:tcPr>
            <w:tcW w:w="4876" w:type="dxa"/>
          </w:tcPr>
          <w:p w14:paraId="5366F55B" w14:textId="77777777" w:rsidR="00BF7ACA" w:rsidRPr="00B0434F" w:rsidRDefault="00BF7ACA" w:rsidP="007924BE">
            <w:pPr>
              <w:pStyle w:val="Normal6"/>
              <w:rPr>
                <w:b/>
                <w:bCs/>
                <w:i/>
                <w:iCs/>
              </w:rPr>
            </w:pPr>
          </w:p>
        </w:tc>
        <w:tc>
          <w:tcPr>
            <w:tcW w:w="4876" w:type="dxa"/>
          </w:tcPr>
          <w:p w14:paraId="2FDF7D99" w14:textId="77777777" w:rsidR="00BF7ACA" w:rsidRPr="00B0434F" w:rsidRDefault="00BF7ACA" w:rsidP="007924BE">
            <w:pPr>
              <w:pStyle w:val="Normal6"/>
              <w:rPr>
                <w:b/>
                <w:bCs/>
                <w:i/>
                <w:iCs/>
                <w:szCs w:val="22"/>
              </w:rPr>
            </w:pPr>
            <w:r w:rsidRPr="00B0434F">
              <w:rPr>
                <w:b/>
                <w:i/>
              </w:rPr>
              <w:t>–</w:t>
            </w:r>
            <w:r>
              <w:tab/>
            </w:r>
            <w:r w:rsidRPr="00B0434F">
              <w:rPr>
                <w:b/>
                <w:i/>
              </w:rPr>
              <w:t>convention nº 105 de l</w:t>
            </w:r>
            <w:r>
              <w:rPr>
                <w:b/>
                <w:i/>
              </w:rPr>
              <w:t>’</w:t>
            </w:r>
            <w:r w:rsidRPr="00B0434F">
              <w:rPr>
                <w:b/>
                <w:i/>
              </w:rPr>
              <w:t>OIT sur l</w:t>
            </w:r>
            <w:r>
              <w:rPr>
                <w:b/>
                <w:i/>
              </w:rPr>
              <w:t>’</w:t>
            </w:r>
            <w:r w:rsidRPr="00B0434F">
              <w:rPr>
                <w:b/>
                <w:i/>
              </w:rPr>
              <w:t>abolition du travail forcé;</w:t>
            </w:r>
          </w:p>
        </w:tc>
      </w:tr>
      <w:tr w:rsidR="00BF7ACA" w:rsidRPr="00AF1321" w14:paraId="46AE43FF" w14:textId="77777777" w:rsidTr="007924BE">
        <w:trPr>
          <w:jc w:val="center"/>
        </w:trPr>
        <w:tc>
          <w:tcPr>
            <w:tcW w:w="4876" w:type="dxa"/>
          </w:tcPr>
          <w:p w14:paraId="1FC18CE6" w14:textId="77777777" w:rsidR="00BF7ACA" w:rsidRPr="00B0434F" w:rsidRDefault="00BF7ACA" w:rsidP="007924BE">
            <w:pPr>
              <w:pStyle w:val="Normal6"/>
              <w:rPr>
                <w:b/>
                <w:bCs/>
                <w:i/>
                <w:iCs/>
              </w:rPr>
            </w:pPr>
          </w:p>
        </w:tc>
        <w:tc>
          <w:tcPr>
            <w:tcW w:w="4876" w:type="dxa"/>
          </w:tcPr>
          <w:p w14:paraId="5F472048" w14:textId="77777777" w:rsidR="00BF7ACA" w:rsidRPr="00B0434F" w:rsidRDefault="00BF7ACA" w:rsidP="007924BE">
            <w:pPr>
              <w:pStyle w:val="Normal6"/>
              <w:rPr>
                <w:b/>
                <w:bCs/>
                <w:i/>
                <w:iCs/>
                <w:szCs w:val="22"/>
              </w:rPr>
            </w:pPr>
            <w:r w:rsidRPr="00B0434F">
              <w:rPr>
                <w:b/>
                <w:i/>
              </w:rPr>
              <w:t>–</w:t>
            </w:r>
            <w:r>
              <w:tab/>
            </w:r>
            <w:r w:rsidRPr="00B0434F">
              <w:rPr>
                <w:b/>
                <w:i/>
              </w:rPr>
              <w:t>convention nº 138 de l</w:t>
            </w:r>
            <w:r>
              <w:rPr>
                <w:b/>
                <w:i/>
              </w:rPr>
              <w:t>’</w:t>
            </w:r>
            <w:r w:rsidRPr="00B0434F">
              <w:rPr>
                <w:b/>
                <w:i/>
              </w:rPr>
              <w:t>OIT sur l</w:t>
            </w:r>
            <w:r>
              <w:rPr>
                <w:b/>
                <w:i/>
              </w:rPr>
              <w:t>’</w:t>
            </w:r>
            <w:r w:rsidRPr="00B0434F">
              <w:rPr>
                <w:b/>
                <w:i/>
              </w:rPr>
              <w:t>âge minimum d</w:t>
            </w:r>
            <w:r>
              <w:rPr>
                <w:b/>
                <w:i/>
              </w:rPr>
              <w:t>’</w:t>
            </w:r>
            <w:r w:rsidRPr="00B0434F">
              <w:rPr>
                <w:b/>
                <w:i/>
              </w:rPr>
              <w:t>admission à l</w:t>
            </w:r>
            <w:r>
              <w:rPr>
                <w:b/>
                <w:i/>
              </w:rPr>
              <w:t>’</w:t>
            </w:r>
            <w:r w:rsidRPr="00B0434F">
              <w:rPr>
                <w:b/>
                <w:i/>
              </w:rPr>
              <w:t>emploi;</w:t>
            </w:r>
          </w:p>
        </w:tc>
      </w:tr>
      <w:tr w:rsidR="00BF7ACA" w:rsidRPr="00AF1321" w14:paraId="5BE0C794" w14:textId="77777777" w:rsidTr="007924BE">
        <w:trPr>
          <w:jc w:val="center"/>
        </w:trPr>
        <w:tc>
          <w:tcPr>
            <w:tcW w:w="4876" w:type="dxa"/>
          </w:tcPr>
          <w:p w14:paraId="26735F4F" w14:textId="77777777" w:rsidR="00BF7ACA" w:rsidRPr="00B0434F" w:rsidRDefault="00BF7ACA" w:rsidP="007924BE">
            <w:pPr>
              <w:pStyle w:val="Normal6"/>
              <w:rPr>
                <w:b/>
                <w:bCs/>
                <w:i/>
                <w:iCs/>
              </w:rPr>
            </w:pPr>
          </w:p>
        </w:tc>
        <w:tc>
          <w:tcPr>
            <w:tcW w:w="4876" w:type="dxa"/>
          </w:tcPr>
          <w:p w14:paraId="331C3317" w14:textId="77777777" w:rsidR="00BF7ACA" w:rsidRPr="00B0434F" w:rsidRDefault="00BF7ACA" w:rsidP="007924BE">
            <w:pPr>
              <w:pStyle w:val="Normal6"/>
              <w:rPr>
                <w:b/>
                <w:bCs/>
                <w:i/>
                <w:iCs/>
                <w:szCs w:val="22"/>
              </w:rPr>
            </w:pPr>
            <w:r w:rsidRPr="00B0434F">
              <w:rPr>
                <w:b/>
                <w:i/>
              </w:rPr>
              <w:t>–</w:t>
            </w:r>
            <w:r>
              <w:tab/>
            </w:r>
            <w:r w:rsidRPr="00B0434F">
              <w:rPr>
                <w:b/>
                <w:i/>
              </w:rPr>
              <w:t>convention nº 111 de l</w:t>
            </w:r>
            <w:r>
              <w:rPr>
                <w:b/>
                <w:i/>
              </w:rPr>
              <w:t>’</w:t>
            </w:r>
            <w:r w:rsidRPr="00B0434F">
              <w:rPr>
                <w:b/>
                <w:i/>
              </w:rPr>
              <w:t xml:space="preserve">OIT concernant la discrimination (emploi et profession); </w:t>
            </w:r>
          </w:p>
        </w:tc>
      </w:tr>
      <w:tr w:rsidR="00BF7ACA" w:rsidRPr="00AF1321" w14:paraId="3191DC26" w14:textId="77777777" w:rsidTr="007924BE">
        <w:trPr>
          <w:jc w:val="center"/>
        </w:trPr>
        <w:tc>
          <w:tcPr>
            <w:tcW w:w="4876" w:type="dxa"/>
          </w:tcPr>
          <w:p w14:paraId="59556AE1" w14:textId="77777777" w:rsidR="00BF7ACA" w:rsidRPr="00B0434F" w:rsidRDefault="00BF7ACA" w:rsidP="007924BE">
            <w:pPr>
              <w:pStyle w:val="Normal6"/>
              <w:rPr>
                <w:b/>
                <w:bCs/>
                <w:i/>
                <w:iCs/>
              </w:rPr>
            </w:pPr>
          </w:p>
        </w:tc>
        <w:tc>
          <w:tcPr>
            <w:tcW w:w="4876" w:type="dxa"/>
          </w:tcPr>
          <w:p w14:paraId="3CF22C14" w14:textId="77777777" w:rsidR="00BF7ACA" w:rsidRPr="00B0434F" w:rsidRDefault="00BF7ACA" w:rsidP="007924BE">
            <w:pPr>
              <w:pStyle w:val="Normal6"/>
              <w:rPr>
                <w:b/>
                <w:bCs/>
                <w:i/>
                <w:iCs/>
                <w:szCs w:val="22"/>
              </w:rPr>
            </w:pPr>
            <w:r w:rsidRPr="00B0434F">
              <w:rPr>
                <w:b/>
                <w:i/>
              </w:rPr>
              <w:t>–</w:t>
            </w:r>
            <w:r>
              <w:tab/>
            </w:r>
            <w:r w:rsidRPr="00B0434F">
              <w:rPr>
                <w:b/>
                <w:i/>
              </w:rPr>
              <w:t>convention nº 100 de l</w:t>
            </w:r>
            <w:r>
              <w:rPr>
                <w:b/>
                <w:i/>
              </w:rPr>
              <w:t>’</w:t>
            </w:r>
            <w:r w:rsidRPr="00B0434F">
              <w:rPr>
                <w:b/>
                <w:i/>
              </w:rPr>
              <w:t>OIT sur l</w:t>
            </w:r>
            <w:r>
              <w:rPr>
                <w:b/>
                <w:i/>
              </w:rPr>
              <w:t>’</w:t>
            </w:r>
            <w:r w:rsidRPr="00B0434F">
              <w:rPr>
                <w:b/>
                <w:i/>
              </w:rPr>
              <w:t xml:space="preserve">égalité de rémunération; </w:t>
            </w:r>
          </w:p>
        </w:tc>
      </w:tr>
      <w:tr w:rsidR="00BF7ACA" w:rsidRPr="00AF1321" w14:paraId="5BC9F030" w14:textId="77777777" w:rsidTr="007924BE">
        <w:trPr>
          <w:jc w:val="center"/>
        </w:trPr>
        <w:tc>
          <w:tcPr>
            <w:tcW w:w="4876" w:type="dxa"/>
          </w:tcPr>
          <w:p w14:paraId="43B77253" w14:textId="77777777" w:rsidR="00BF7ACA" w:rsidRPr="00B0434F" w:rsidRDefault="00BF7ACA" w:rsidP="007924BE">
            <w:pPr>
              <w:pStyle w:val="Normal6"/>
              <w:rPr>
                <w:b/>
                <w:bCs/>
                <w:i/>
                <w:iCs/>
              </w:rPr>
            </w:pPr>
          </w:p>
        </w:tc>
        <w:tc>
          <w:tcPr>
            <w:tcW w:w="4876" w:type="dxa"/>
          </w:tcPr>
          <w:p w14:paraId="6FA9AFCB" w14:textId="77777777" w:rsidR="00BF7ACA" w:rsidRPr="00B0434F" w:rsidRDefault="00BF7ACA" w:rsidP="007924BE">
            <w:pPr>
              <w:pStyle w:val="Normal6"/>
              <w:rPr>
                <w:b/>
                <w:bCs/>
                <w:i/>
                <w:iCs/>
                <w:szCs w:val="22"/>
              </w:rPr>
            </w:pPr>
            <w:r w:rsidRPr="00B0434F">
              <w:rPr>
                <w:b/>
                <w:i/>
              </w:rPr>
              <w:t>–</w:t>
            </w:r>
            <w:r>
              <w:tab/>
            </w:r>
            <w:r w:rsidRPr="00B0434F">
              <w:rPr>
                <w:b/>
                <w:i/>
              </w:rPr>
              <w:t>convention nº 182 de l</w:t>
            </w:r>
            <w:r>
              <w:rPr>
                <w:b/>
                <w:i/>
              </w:rPr>
              <w:t>’</w:t>
            </w:r>
            <w:r w:rsidRPr="00B0434F">
              <w:rPr>
                <w:b/>
                <w:i/>
              </w:rPr>
              <w:t>OIT sur les pires formes de travail des enfants.</w:t>
            </w:r>
          </w:p>
        </w:tc>
      </w:tr>
    </w:tbl>
    <w:p w14:paraId="6D103B93" w14:textId="77777777" w:rsidR="00BF7ACA" w:rsidRPr="00CC49E1" w:rsidRDefault="00BF7ACA" w:rsidP="00BF7ACA">
      <w:pPr>
        <w:pStyle w:val="Olang"/>
        <w:rPr>
          <w:noProof w:val="0"/>
          <w:lang w:val="en-GB"/>
        </w:rPr>
      </w:pPr>
      <w:r w:rsidRPr="00CC49E1">
        <w:rPr>
          <w:noProof w:val="0"/>
          <w:lang w:val="en-GB"/>
        </w:rPr>
        <w:t xml:space="preserve">Or. </w:t>
      </w:r>
      <w:r w:rsidRPr="00CC49E1">
        <w:rPr>
          <w:rStyle w:val="HideTWBExt"/>
          <w:noProof w:val="0"/>
          <w:lang w:val="en-GB"/>
        </w:rPr>
        <w:t>&lt;Original&gt;</w:t>
      </w:r>
      <w:r w:rsidRPr="00CC49E1">
        <w:rPr>
          <w:rStyle w:val="HideTWBInt"/>
          <w:noProof w:val="0"/>
          <w:lang w:val="en-GB"/>
        </w:rPr>
        <w:t>{EN}</w:t>
      </w:r>
      <w:r w:rsidRPr="00CC49E1">
        <w:rPr>
          <w:noProof w:val="0"/>
          <w:lang w:val="en-GB"/>
        </w:rPr>
        <w:t>en</w:t>
      </w:r>
      <w:r w:rsidRPr="00CC49E1">
        <w:rPr>
          <w:rStyle w:val="HideTWBExt"/>
          <w:noProof w:val="0"/>
          <w:lang w:val="en-GB"/>
        </w:rPr>
        <w:t>&lt;/Original&gt;</w:t>
      </w:r>
    </w:p>
    <w:p w14:paraId="43383E1B" w14:textId="250ED63E" w:rsidR="008363E4" w:rsidRPr="00E502E5" w:rsidRDefault="00BF7ACA" w:rsidP="00BF7ACA">
      <w:r w:rsidRPr="00CC49E1">
        <w:rPr>
          <w:rStyle w:val="HideTWBExt"/>
          <w:lang w:val="en-GB"/>
        </w:rPr>
        <w:t>&lt;/Amend&gt;</w:t>
      </w:r>
      <w:r w:rsidRPr="00BF7ACA">
        <w:rPr>
          <w:rStyle w:val="HideTWBExt"/>
        </w:rPr>
        <w:t>&lt;/RepeatBlock-Amend&gt;</w:t>
      </w:r>
    </w:p>
    <w:sectPr w:rsidR="008363E4" w:rsidRPr="00E502E5" w:rsidSect="00E502E5">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1134" w:right="1418" w:bottom="1418"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BAA54" w14:textId="77777777" w:rsidR="009D734E" w:rsidRPr="00E502E5" w:rsidRDefault="009D734E">
      <w:r w:rsidRPr="00E502E5">
        <w:separator/>
      </w:r>
    </w:p>
  </w:endnote>
  <w:endnote w:type="continuationSeparator" w:id="0">
    <w:p w14:paraId="0A832584" w14:textId="77777777" w:rsidR="009D734E" w:rsidRPr="00E502E5" w:rsidRDefault="009D734E">
      <w:r w:rsidRPr="00E502E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C1EA5" w14:textId="77777777" w:rsidR="00E502E5" w:rsidRPr="00E502E5" w:rsidRDefault="00E502E5" w:rsidP="00E502E5">
    <w:pPr>
      <w:pStyle w:val="Footer"/>
    </w:pPr>
    <w:r w:rsidRPr="00E502E5">
      <w:t>PE</w:t>
    </w:r>
    <w:r w:rsidRPr="00E502E5">
      <w:rPr>
        <w:rStyle w:val="HideTWBExt"/>
        <w:noProof w:val="0"/>
      </w:rPr>
      <w:t>&lt;NoPE&gt;</w:t>
    </w:r>
    <w:r w:rsidRPr="00E502E5">
      <w:t>602.743</w:t>
    </w:r>
    <w:r w:rsidRPr="00E502E5">
      <w:rPr>
        <w:rStyle w:val="HideTWBExt"/>
        <w:noProof w:val="0"/>
      </w:rPr>
      <w:t>&lt;/NoPE&gt;&lt;Version&gt;</w:t>
    </w:r>
    <w:r w:rsidRPr="00E502E5">
      <w:t>v01-00</w:t>
    </w:r>
    <w:r w:rsidRPr="00E502E5">
      <w:rPr>
        <w:rStyle w:val="HideTWBExt"/>
        <w:noProof w:val="0"/>
      </w:rPr>
      <w:t>&lt;/Version&gt;</w:t>
    </w:r>
    <w:r w:rsidRPr="00E502E5">
      <w:tab/>
    </w:r>
    <w:r w:rsidRPr="00E502E5">
      <w:fldChar w:fldCharType="begin"/>
    </w:r>
    <w:r w:rsidRPr="00E502E5">
      <w:instrText xml:space="preserve"> PAGE  \* MERGEFORMAT </w:instrText>
    </w:r>
    <w:r w:rsidRPr="00E502E5">
      <w:fldChar w:fldCharType="separate"/>
    </w:r>
    <w:r w:rsidR="00D81DA5">
      <w:rPr>
        <w:noProof/>
      </w:rPr>
      <w:t>2</w:t>
    </w:r>
    <w:r w:rsidRPr="00E502E5">
      <w:fldChar w:fldCharType="end"/>
    </w:r>
    <w:r w:rsidRPr="00E502E5">
      <w:t>/</w:t>
    </w:r>
    <w:r w:rsidR="00D81DA5">
      <w:fldChar w:fldCharType="begin"/>
    </w:r>
    <w:r w:rsidR="00D81DA5">
      <w:instrText xml:space="preserve"> NUMPAGES  \* MERGEFORMAT </w:instrText>
    </w:r>
    <w:r w:rsidR="00D81DA5">
      <w:fldChar w:fldCharType="separate"/>
    </w:r>
    <w:r w:rsidR="00D81DA5">
      <w:rPr>
        <w:noProof/>
      </w:rPr>
      <w:t>176</w:t>
    </w:r>
    <w:r w:rsidR="00D81DA5">
      <w:rPr>
        <w:noProof/>
      </w:rPr>
      <w:fldChar w:fldCharType="end"/>
    </w:r>
    <w:r w:rsidRPr="00E502E5">
      <w:tab/>
    </w:r>
    <w:r w:rsidRPr="00E502E5">
      <w:rPr>
        <w:rStyle w:val="HideTWBExt"/>
        <w:noProof w:val="0"/>
      </w:rPr>
      <w:t>&lt;PathFdR&gt;</w:t>
    </w:r>
    <w:r w:rsidRPr="00E502E5">
      <w:t>AM\1121352FR.docx</w:t>
    </w:r>
    <w:r w:rsidRPr="00E502E5">
      <w:rPr>
        <w:rStyle w:val="HideTWBExt"/>
        <w:noProof w:val="0"/>
      </w:rPr>
      <w:t>&lt;/PathFdR&gt;</w:t>
    </w:r>
  </w:p>
  <w:p w14:paraId="58F6BC7A" w14:textId="23A79668" w:rsidR="009D734E" w:rsidRPr="00E502E5" w:rsidRDefault="00E502E5" w:rsidP="00E502E5">
    <w:pPr>
      <w:pStyle w:val="Footer2"/>
    </w:pPr>
    <w:r w:rsidRPr="00E502E5">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4A35E" w14:textId="77777777" w:rsidR="00E502E5" w:rsidRPr="00E502E5" w:rsidRDefault="00E502E5" w:rsidP="00E502E5">
    <w:pPr>
      <w:pStyle w:val="Footer"/>
    </w:pPr>
    <w:r w:rsidRPr="00E502E5">
      <w:rPr>
        <w:rStyle w:val="HideTWBExt"/>
        <w:noProof w:val="0"/>
      </w:rPr>
      <w:t>&lt;PathFdR&gt;</w:t>
    </w:r>
    <w:r w:rsidRPr="00E502E5">
      <w:t>AM\1121352FR.docx</w:t>
    </w:r>
    <w:r w:rsidRPr="00E502E5">
      <w:rPr>
        <w:rStyle w:val="HideTWBExt"/>
        <w:noProof w:val="0"/>
      </w:rPr>
      <w:t>&lt;/PathFdR&gt;</w:t>
    </w:r>
    <w:r w:rsidRPr="00E502E5">
      <w:tab/>
    </w:r>
    <w:r w:rsidRPr="00E502E5">
      <w:fldChar w:fldCharType="begin"/>
    </w:r>
    <w:r w:rsidRPr="00E502E5">
      <w:instrText xml:space="preserve"> PAGE  \* MERGEFORMAT </w:instrText>
    </w:r>
    <w:r w:rsidRPr="00E502E5">
      <w:fldChar w:fldCharType="separate"/>
    </w:r>
    <w:r w:rsidR="00D81DA5">
      <w:rPr>
        <w:noProof/>
      </w:rPr>
      <w:t>3</w:t>
    </w:r>
    <w:r w:rsidRPr="00E502E5">
      <w:fldChar w:fldCharType="end"/>
    </w:r>
    <w:r w:rsidRPr="00E502E5">
      <w:t>/</w:t>
    </w:r>
    <w:r w:rsidR="00D81DA5">
      <w:fldChar w:fldCharType="begin"/>
    </w:r>
    <w:r w:rsidR="00D81DA5">
      <w:instrText xml:space="preserve"> NUMPAGES  \* MERGEFORMAT </w:instrText>
    </w:r>
    <w:r w:rsidR="00D81DA5">
      <w:fldChar w:fldCharType="separate"/>
    </w:r>
    <w:r w:rsidR="00D81DA5">
      <w:rPr>
        <w:noProof/>
      </w:rPr>
      <w:t>176</w:t>
    </w:r>
    <w:r w:rsidR="00D81DA5">
      <w:rPr>
        <w:noProof/>
      </w:rPr>
      <w:fldChar w:fldCharType="end"/>
    </w:r>
    <w:r w:rsidRPr="00E502E5">
      <w:tab/>
      <w:t>PE</w:t>
    </w:r>
    <w:r w:rsidRPr="00E502E5">
      <w:rPr>
        <w:rStyle w:val="HideTWBExt"/>
        <w:noProof w:val="0"/>
      </w:rPr>
      <w:t>&lt;NoPE&gt;</w:t>
    </w:r>
    <w:r w:rsidRPr="00E502E5">
      <w:t>602.743</w:t>
    </w:r>
    <w:r w:rsidRPr="00E502E5">
      <w:rPr>
        <w:rStyle w:val="HideTWBExt"/>
        <w:noProof w:val="0"/>
      </w:rPr>
      <w:t>&lt;/NoPE&gt;&lt;Version&gt;</w:t>
    </w:r>
    <w:r w:rsidRPr="00E502E5">
      <w:t>v01-00</w:t>
    </w:r>
    <w:r w:rsidRPr="00E502E5">
      <w:rPr>
        <w:rStyle w:val="HideTWBExt"/>
        <w:noProof w:val="0"/>
      </w:rPr>
      <w:t>&lt;/Version&gt;</w:t>
    </w:r>
  </w:p>
  <w:p w14:paraId="30C5ABE8" w14:textId="6E6A9329" w:rsidR="009D734E" w:rsidRPr="00E502E5" w:rsidRDefault="00E502E5" w:rsidP="00E502E5">
    <w:pPr>
      <w:pStyle w:val="Footer2"/>
    </w:pPr>
    <w:r w:rsidRPr="00E502E5">
      <w:tab/>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AD8D9" w14:textId="77777777" w:rsidR="00E502E5" w:rsidRPr="00E502E5" w:rsidRDefault="00E502E5" w:rsidP="00E502E5">
    <w:pPr>
      <w:pStyle w:val="Footer"/>
    </w:pPr>
    <w:r w:rsidRPr="00E502E5">
      <w:rPr>
        <w:rStyle w:val="HideTWBExt"/>
        <w:noProof w:val="0"/>
      </w:rPr>
      <w:t>&lt;PathFdR&gt;</w:t>
    </w:r>
    <w:r w:rsidRPr="00E502E5">
      <w:t>AM\1121352FR.docx</w:t>
    </w:r>
    <w:r w:rsidRPr="00E502E5">
      <w:rPr>
        <w:rStyle w:val="HideTWBExt"/>
        <w:noProof w:val="0"/>
      </w:rPr>
      <w:t>&lt;/PathFdR&gt;</w:t>
    </w:r>
    <w:r w:rsidRPr="00E502E5">
      <w:tab/>
    </w:r>
    <w:r w:rsidRPr="00E502E5">
      <w:tab/>
      <w:t>PE</w:t>
    </w:r>
    <w:r w:rsidRPr="00E502E5">
      <w:rPr>
        <w:rStyle w:val="HideTWBExt"/>
        <w:noProof w:val="0"/>
      </w:rPr>
      <w:t>&lt;NoPE&gt;</w:t>
    </w:r>
    <w:r w:rsidRPr="00E502E5">
      <w:t>602.743</w:t>
    </w:r>
    <w:r w:rsidRPr="00E502E5">
      <w:rPr>
        <w:rStyle w:val="HideTWBExt"/>
        <w:noProof w:val="0"/>
      </w:rPr>
      <w:t>&lt;/NoPE&gt;&lt;Version&gt;</w:t>
    </w:r>
    <w:r w:rsidRPr="00E502E5">
      <w:t>v01-00</w:t>
    </w:r>
    <w:r w:rsidRPr="00E502E5">
      <w:rPr>
        <w:rStyle w:val="HideTWBExt"/>
        <w:noProof w:val="0"/>
      </w:rPr>
      <w:t>&lt;/Version&gt;</w:t>
    </w:r>
  </w:p>
  <w:p w14:paraId="26B39C15" w14:textId="36AFDFD2" w:rsidR="009D734E" w:rsidRPr="00E502E5" w:rsidRDefault="00E502E5" w:rsidP="00E502E5">
    <w:pPr>
      <w:pStyle w:val="Footer2"/>
      <w:tabs>
        <w:tab w:val="center" w:pos="4535"/>
      </w:tabs>
    </w:pPr>
    <w:r w:rsidRPr="00E502E5">
      <w:t>FR</w:t>
    </w:r>
    <w:r w:rsidRPr="00E502E5">
      <w:tab/>
    </w:r>
    <w:r w:rsidRPr="00E502E5">
      <w:rPr>
        <w:b w:val="0"/>
        <w:i/>
        <w:color w:val="C0C0C0"/>
        <w:sz w:val="22"/>
      </w:rPr>
      <w:t>Unie dans la diversité</w:t>
    </w:r>
    <w:r w:rsidRPr="00E502E5">
      <w:tab/>
      <w:t>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9F114" w14:textId="77777777" w:rsidR="009D734E" w:rsidRPr="00E502E5" w:rsidRDefault="009D734E">
      <w:r w:rsidRPr="00E502E5">
        <w:separator/>
      </w:r>
    </w:p>
  </w:footnote>
  <w:footnote w:type="continuationSeparator" w:id="0">
    <w:p w14:paraId="48C7437A" w14:textId="77777777" w:rsidR="009D734E" w:rsidRPr="00E502E5" w:rsidRDefault="009D734E">
      <w:r w:rsidRPr="00E502E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CBF8D" w14:textId="77777777" w:rsidR="00BF7ACA" w:rsidRDefault="00BF7A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AB32" w14:textId="77777777" w:rsidR="00BF7ACA" w:rsidRDefault="00BF7A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35C6B" w14:textId="77777777" w:rsidR="00BF7ACA" w:rsidRDefault="00BF7A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3C4BE4"/>
    <w:multiLevelType w:val="hybridMultilevel"/>
    <w:tmpl w:val="FA04F058"/>
    <w:lvl w:ilvl="0" w:tplc="67D258BE">
      <w:start w:val="1"/>
      <w:numFmt w:val="lowerLetter"/>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bordersDoNotSurroundHeader/>
  <w:bordersDoNotSurroundFooter/>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MACTMNU" w:val=" 2"/>
    <w:docVar w:name="AMPLURMNU" w:val=" 2"/>
    <w:docVar w:name="CODEMNU" w:val=" 1"/>
    <w:docVar w:name="COMKEY" w:val="CJ31"/>
    <w:docVar w:name="CopyToNetwork" w:val="-1"/>
    <w:docVar w:name="CVA" w:val="1"/>
    <w:docVar w:name="DOCCODMNU" w:val=" 1"/>
    <w:docVar w:name="DOCDT" w:val="27/03/2017"/>
    <w:docVar w:name="EndA"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3127606 HideTWBExt;}}{\*\rsidtbl \rsid24658\rsid735077\rsid2892074\rsid4666813\rsid6641733\rsid7286045\rsid9636012\rsid11215221\rsid12154954\rsid13127606\rsid14424199\rsid15204470_x000d__x000a_\rsid15285974\rsid15950462\rsid16324206\rsid16662270}{\mmathPr\mmathFont34\mbrkBin0\mbrkBinSub0\msmallFrac0\mdispDef1\mlMargin0\mrMargin0\mdefJc1\mwrapIndent1440\mintLim0\mnaryLim1}{\info{\author FELIX Karina}{\operator FELIX Karina}_x000d__x000a_{\creatim\yr2015\mo5\dy8\hr15\min23}{\revtim\yr2015\mo5\dy8\hr15\min23}{\version1}{\edmins0}{\nofpages1}{\nofwords6}{\nofchars33}{\*\company European Parliament}{\nofcharsws38}{\vern49165}}{\*\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3127606\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7286045 \chftnsep _x000d__x000a_\par }}{\*\ftnsepc \ltrpar \pard\plain \ltrpar\ql \li0\ri0\widctlpar\wrapdefault\aspalpha\aspnum\faauto\adjustright\rin0\lin0\itap0 \rtlch\fcs1 \af0\afs20\alang1025 \ltrch\fcs0 \fs24\lang2057\langfe2057\cgrid\langnp2057\langfenp2057 {\rtlch\fcs1 \af0 _x000d__x000a_\ltrch\fcs0 \insrsid7286045 \chftnsepc _x000d__x000a_\par }}{\*\aftnsep \ltrpar \pard\plain \ltrpar\ql \li0\ri0\widctlpar\wrapdefault\aspalpha\aspnum\faauto\adjustright\rin0\lin0\itap0 \rtlch\fcs1 \af0\afs20\alang1025 \ltrch\fcs0 \fs24\lang2057\langfe2057\cgrid\langnp2057\langfenp2057 {\rtlch\fcs1 \af0 _x000d__x000a_\ltrch\fcs0 \insrsid7286045 \chftnsep _x000d__x000a_\par }}{\*\aftnsepc \ltrpar \pard\plain \ltrpar\ql \li0\ri0\widctlpar\wrapdefault\aspalpha\aspnum\faauto\adjustright\rin0\lin0\itap0 \rtlch\fcs1 \af0\afs20\alang1025 \ltrch\fcs0 \fs24\lang2057\langfe2057\cgrid\langnp2057\langfenp2057 {\rtlch\fcs1 \af0 _x000d__x000a_\ltrch\fcs0 \insrsid7286045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90444 \rtlch\fcs1 \af0\afs20\alang1025 \ltrch\fcs0 \fs24\lang2057\langfe2057\cgrid\langnp2057\langfenp2057 {\rtlch\fcs1 \af0 \ltrch\fcs0 _x000d__x000a_\cs15\v\f1\fs20\cf9\insrsid13127606\charrsid946740 {\*\bkmkstart EndA}&lt;&lt;&lt;}{\rtlch\fcs1 \af0 \ltrch\fcs0 \insrsid13127606\charrsid946740 #@&gt;ZOTHAMA&lt;@#}{\rtlch\fcs1 \af0 \ltrch\fcs0 \cs15\v\f1\fs20\cf9\insrsid13127606\charrsid946740 &lt;/RepeatBlock-AmendA&gt;}{_x000d__x000a_\rtlch\fcs1 \af0 \ltrch\fcs0 \insrsid13127606\charrsid946740 _x000d__x000a_\par }\pard \ltrpar\ql \li0\ri0\widctlpar\wrapdefault\aspalpha\aspnum\faauto\adjustright\rin0\lin0\itap0\pararsid16324206 {\rtlch\fcs1 \af0 \ltrch\fcs0 \insrsid24658\charrsid16324206 {\*\bkmkend End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7c_x000d__x000a_a320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EndB"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0948606 HideTWBExt;}}{\*\rsidtbl \rsid24658\rsid735077\rsid2892074\rsid4666813\rsid6641733\rsid9636012\rsid10711257\rsid10948606\rsid11215221\rsid12154954\rsid14424199\rsid15204470_x000d__x000a_\rsid15285974\rsid15950462\rsid16324206\rsid16662270}{\mmathPr\mmathFont34\mbrkBin0\mbrkBinSub0\msmallFrac0\mdispDef1\mlMargin0\mrMargin0\mdefJc1\mwrapIndent1440\mintLim0\mnaryLim1}{\info{\author FELIX Karina}{\operator FELIX Karina}_x000d__x000a_{\creatim\yr2015\mo5\dy8\hr15\min23}{\revtim\yr2015\mo5\dy8\hr15\min23}{\version1}{\edmins0}{\nofpages1}{\nofwords5}{\nofchars33}{\*\company European Parliament}{\nofcharsws37}{\vern49165}}{\*\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0948606\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10711257 \chftnsep _x000d__x000a_\par }}{\*\ftnsepc \ltrpar \pard\plain \ltrpar\ql \li0\ri0\widctlpar\wrapdefault\aspalpha\aspnum\faauto\adjustright\rin0\lin0\itap0 \rtlch\fcs1 \af0\afs20\alang1025 \ltrch\fcs0 \fs24\lang2057\langfe2057\cgrid\langnp2057\langfenp2057 {\rtlch\fcs1 \af0 _x000d__x000a_\ltrch\fcs0 \insrsid10711257 \chftnsepc _x000d__x000a_\par }}{\*\aftnsep \ltrpar \pard\plain \ltrpar\ql \li0\ri0\widctlpar\wrapdefault\aspalpha\aspnum\faauto\adjustright\rin0\lin0\itap0 \rtlch\fcs1 \af0\afs20\alang1025 \ltrch\fcs0 \fs24\lang2057\langfe2057\cgrid\langnp2057\langfenp2057 {\rtlch\fcs1 \af0 _x000d__x000a_\ltrch\fcs0 \insrsid10711257 \chftnsep _x000d__x000a_\par }}{\*\aftnsepc \ltrpar \pard\plain \ltrpar\ql \li0\ri0\widctlpar\wrapdefault\aspalpha\aspnum\faauto\adjustright\rin0\lin0\itap0 \rtlch\fcs1 \af0\afs20\alang1025 \ltrch\fcs0 \fs24\lang2057\langfe2057\cgrid\langnp2057\langfenp2057 {\rtlch\fcs1 \af0 _x000d__x000a_\ltrch\fcs0 \insrsid10711257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0948606\charrsid946740 {\*\bkmkstart EndB}&lt;&lt;&lt;}{\rtlch\fcs1 \af0 \ltrch\fcs0 \insrsid10948606\charrsid946740 #@&gt;ZOTHAMB&lt;@#}{\rtlch\fcs1 \af0 \ltrch\fcs0 \cs15\v\f1\fs20\cf9\insrsid10948606\charrsid946740 &lt;/RepeatBlock-AmendB&gt;}{_x000d__x000a_\rtlch\fcs1 \af0 \ltrch\fcs0 \insrsid24658\charrsid16324206 {\*\bkmkend End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27_x000d__x000a_2921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oAmend" w:val="1"/>
    <w:docVar w:name="IntroA"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1163973 HideTWBExt;}}{\*\rsidtbl \rsid24658\rsid735077\rsid2892074\rsid4666813\rsid6057549\rsid6641733\rsid9636012\rsid11163973\rsid11215221\rsid12154954\rsid14424199\rsid15204470_x000d__x000a_\rsid15285974\rsid15950462\rsid16324206\rsid16662270}{\mmathPr\mmathFont34\mbrkBin0\mbrkBinSub0\msmallFrac0\mdispDef1\mlMargin0\mrMargin0\mdefJc1\mwrapIndent1440\mintLim0\mnaryLim1}{\info{\author FELIX Karina}{\operator FELIX Karina}_x000d__x000a_{\creatim\yr2015\mo5\dy8\hr15\min23}{\revtim\yr2015\mo5\dy8\hr15\min23}{\version1}{\edmins0}{\nofpages1}{\nofwords3}{\nofchars18}{\*\company European Parliament}{\nofcharsws20}{\vern49165}}{\*\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1163973\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6057549 \chftnsep _x000d__x000a_\par }}{\*\ftnsepc \ltrpar \pard\plain \ltrpar\ql \li0\ri0\widctlpar\wrapdefault\aspalpha\aspnum\faauto\adjustright\rin0\lin0\itap0 \rtlch\fcs1 \af0\afs20\alang1025 \ltrch\fcs0 \fs24\lang2057\langfe2057\cgrid\langnp2057\langfenp2057 {\rtlch\fcs1 \af0 _x000d__x000a_\ltrch\fcs0 \insrsid6057549 \chftnsepc _x000d__x000a_\par }}{\*\aftnsep \ltrpar \pard\plain \ltrpar\ql \li0\ri0\widctlpar\wrapdefault\aspalpha\aspnum\faauto\adjustright\rin0\lin0\itap0 \rtlch\fcs1 \af0\afs20\alang1025 \ltrch\fcs0 \fs24\lang2057\langfe2057\cgrid\langnp2057\langfenp2057 {\rtlch\fcs1 \af0 _x000d__x000a_\ltrch\fcs0 \insrsid6057549 \chftnsep _x000d__x000a_\par }}{\*\aftnsepc \ltrpar \pard\plain \ltrpar\ql \li0\ri0\widctlpar\wrapdefault\aspalpha\aspnum\faauto\adjustright\rin0\lin0\itap0 \rtlch\fcs1 \af0\afs20\alang1025 \ltrch\fcs0 \fs24\lang2057\langfe2057\cgrid\langnp2057\langfenp2057 {\rtlch\fcs1 \af0 _x000d__x000a_\ltrch\fcs0 \insrsid6057549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b\v\f1\fs20\cf9\insrsid11163973\charrsid946740 {\*\bkmkstart IntroA}&lt;RepeatBlock-AmendA&gt;}{\rtlch\fcs1 \af0 \ltrch\fcs0 \insrsid24658\charrsid16324206 {\*\bkmkend Intro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95_x000d__x000a_761f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troB"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2335126 HideTWBExt;}}{\*\rsidtbl \rsid24658\rsid735077\rsid2892074\rsid4666813\rsid6641733\rsid9636012\rsid11215221\rsid11358468\rsid12154954\rsid12335126\rsid14424199\rsid15204470_x000d__x000a_\rsid15285974\rsid15950462\rsid16324206\rsid16662270}{\mmathPr\mmathFont34\mbrkBin0\mbrkBinSub0\msmallFrac0\mdispDef1\mlMargin0\mrMargin0\mdefJc1\mwrapIndent1440\mintLim0\mnaryLim1}{\info{\author FELIX Karina}{\operator FELIX Karina}_x000d__x000a_{\creatim\yr2015\mo5\dy8\hr15\min23}{\revtim\yr2015\mo5\dy8\hr15\min23}{\version1}{\edmins0}{\nofpages1}{\nofwords3}{\nofchars18}{\*\company European Parliament}{\nofcharsws20}{\vern49165}}{\*\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2335126\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11358468 \chftnsep _x000d__x000a_\par }}{\*\ftnsepc \ltrpar \pard\plain \ltrpar\ql \li0\ri0\widctlpar\wrapdefault\aspalpha\aspnum\faauto\adjustright\rin0\lin0\itap0 \rtlch\fcs1 \af0\afs20\alang1025 \ltrch\fcs0 \fs24\lang2057\langfe2057\cgrid\langnp2057\langfenp2057 {\rtlch\fcs1 \af0 _x000d__x000a_\ltrch\fcs0 \insrsid11358468 \chftnsepc _x000d__x000a_\par }}{\*\aftnsep \ltrpar \pard\plain \ltrpar\ql \li0\ri0\widctlpar\wrapdefault\aspalpha\aspnum\faauto\adjustright\rin0\lin0\itap0 \rtlch\fcs1 \af0\afs20\alang1025 \ltrch\fcs0 \fs24\lang2057\langfe2057\cgrid\langnp2057\langfenp2057 {\rtlch\fcs1 \af0 _x000d__x000a_\ltrch\fcs0 \insrsid11358468 \chftnsep _x000d__x000a_\par }}{\*\aftnsepc \ltrpar \pard\plain \ltrpar\ql \li0\ri0\widctlpar\wrapdefault\aspalpha\aspnum\faauto\adjustright\rin0\lin0\itap0 \rtlch\fcs1 \af0\afs20\alang1025 \ltrch\fcs0 \fs24\lang2057\langfe2057\cgrid\langnp2057\langfenp2057 {\rtlch\fcs1 \af0 _x000d__x000a_\ltrch\fcs0 \insrsid11358468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b\v\f1\fs20\cf9\insrsid12335126\charrsid946740 {\*\bkmkstart IntroB}&lt;RepeatBlock-AmendB&gt;}{\rtlch\fcs1 \af0 \ltrch\fcs0 \insrsid24658\charrsid16324206 {\*\bkmkend Intro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c0fc_x000d__x000a_1b20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LastEditedSection" w:val=" 1"/>
    <w:docVar w:name="PROPOSALCODMNU" w:val=" 1"/>
    <w:docVar w:name="RepeatBlock-AmendAENold" w:val="{\rtf1\adeflang1025\ansi\ansicpg1252\uc1\adeff0\deff0\stshfdbch0\stshfloch0\stshfhich0\stshfbi0\deflang2057\deflangfe2057\themelang2057\themelangfe0\themelangcs0{\fonttbl{\f0\fbidi \froman\fcharset0\fprq2{\*\panose 02020603050405020304}Times New Roman;}{\f34\fbidi \froman\fcharset0\fprq2{\*\panose 02040503050406030204}Cambria Math;}_x000d__x000a_{\flomajor\f31500\fbidi \froman\fcharset0\fprq2{\*\panose 02020603050405020304}Times New Roman;}{\fdbmajor\f31501\fbidi \froman\fcharset0\fprq2{\*\panose 02020603050405020304}Times New Roman;}_x000d__x000a_{\fhimajor\f31502\fbidi \fswiss\fcharset0\fprq2{\*\panose 020f0302020204030204}Calibri Light;}{\fbimajor\f31503\fbidi \froman\fcharset0\fprq2{\*\panose 02020603050405020304}Times New Roman;}_x000d__x000a_{\flominor\f31504\fbidi \froman\fcharset0\fprq2{\*\panose 02020603050405020304}Times New Roman;}{\fdbminor\f31505\fbidi \froman\fcharset0\fprq2{\*\panose 02020603050405020304}Times New Roman;}_x000d__x000a_{\fhiminor\f31506\fbidi \fswiss\fcharset0\fprq2{\*\panose 020f0502020204030204}Calibri;}{\fbiminor\f31507\fbidi \froman\fcharset0\fprq2{\*\panose 02020603050405020304}Times New Roman;}{\f309\fbidi \froman\fcharset238\fprq2 Times New Roman CE;}_x000d__x000a_{\f310\fbidi \froman\fcharset204\fprq2 Times New Roman Cyr;}{\f312\fbidi \froman\fcharset161\fprq2 Times New Roman Greek;}{\f313\fbidi \froman\fcharset162\fprq2 Times New Roman Tur;}{\f314\fbidi \froman\fcharset177\fprq2 Times New Roman (Hebrew);}_x000d__x000a_{\f315\fbidi \froman\fcharset178\fprq2 Times New Roman (Arabic);}{\f316\fbidi \froman\fcharset186\fprq2 Times New Roman Baltic;}{\f317\fbidi \froman\fcharset163\fprq2 Times New Roman (Vietnamese);}{\f649\fbidi \froman\fcharset238\fprq2 Cambria Math CE;}_x000d__x000a_{\f650\fbidi \froman\fcharset204\fprq2 Cambria Math Cyr;}{\f652\fbidi \froman\fcharset161\fprq2 Cambria Math Greek;}{\f653\fbidi \froman\fcharset162\fprq2 Cambria Math Tur;}{\f656\fbidi \froman\fcharset186\fprq2 Cambria Math Baltic;}_x000d__x000a_{\f657\fbidi \froman\fcharset163\fprq2 Cambria Math (Vietnamese);}{\flomajor\f31508\fbidi \froman\fcharset238\fprq2 Times New Roman CE;}{\flomajor\f31509\fbidi \froman\fcharset204\fprq2 Times New Roman Cyr;}_x000d__x000a_{\flomajor\f31511\fbidi \froman\fcharset161\fprq2 Times New Roman Greek;}{\flomajor\f31512\fbidi \froman\fcharset162\fprq2 Times New Roman Tur;}{\flomajor\f31513\fbidi \froman\fcharset177\fprq2 Times New Roman (Hebrew);}_x000d__x000a_{\flomajor\f31514\fbidi \froman\fcharset178\fprq2 Times New Roman (Arabic);}{\flomajor\f31515\fbidi \froman\fcharset186\fprq2 Times New Roman Baltic;}{\flomajor\f31516\fbidi \froman\fcharset163\fprq2 Times New Roman (Vietnamese);}_x000d__x000a_{\fdbmajor\f31518\fbidi \froman\fcharset238\fprq2 Times New Roman CE;}{\fdbmajor\f31519\fbidi \froman\fcharset204\fprq2 Times New Roman Cyr;}{\fdbmajor\f31521\fbidi \froman\fcharset161\fprq2 Times New Roman Greek;}_x000d__x000a_{\fdbmajor\f31522\fbidi \froman\fcharset162\fprq2 Times New Roman Tur;}{\fdbmajor\f31523\fbidi \froman\fcharset177\fprq2 Times New Roman (Hebrew);}{\fdbmajor\f31524\fbidi \froman\fcharset178\fprq2 Times New Roman (Arabic);}_x000d__x000a_{\fdbmajor\f31525\fbidi \froman\fcharset186\fprq2 Times New Roman Baltic;}{\fdbmajor\f31526\fbidi \froman\fcharset163\fprq2 Times New Roman (Vietnamese);}{\fhimajor\f31528\fbidi \fswiss\fcharset238\fprq2 Calibri Light CE;}_x000d__x000a_{\fhimajor\f31529\fbidi \fswiss\fcharset204\fprq2 Calibri Light Cyr;}{\fhimajor\f31531\fbidi \fswiss\fcharset161\fprq2 Calibri Light Greek;}{\fhimajor\f31532\fbidi \fswiss\fcharset162\fprq2 Calibri Light Tur;}_x000d__x000a_{\fhimajor\f31535\fbidi \fswiss\fcharset186\fprq2 Calibri Light Baltic;}{\fhimajor\f31536\fbidi \fswiss\fcharset163\fprq2 Calibri Light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defpap _x000d__x000a_\ql \li0\ri0\widctlpar\wrapdefault\aspalpha\aspnum\faauto\adjustright\rin0\lin0\itap0 }\noqfpromote {\stylesheet{\ql \li0\ri0\widctlpar\wrapdefault\aspalpha\aspnum\faauto\adjustright\rin0\lin0\itap0 \rtlch\fcs1 \af0\afs20\alang1025 \ltrch\fcs0 _x000d__x000a_\fs24\lang2057\langfe2057\cgrid\langnp2057\langfenp2057 \snext0 \sqformat \spriority0 Normal;}{\*\cs10 \additive \ssemihidden \spriority0 Default Paragraph Font;}{\*_x000d__x000a_\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cf15 \spriority0 \styrsid10303080 HideTWBInt;}}{\*\rsidtbl \rsid24658\rsid735077\rsid2892074\rsid4666813\rsid6641733\rsid9636012\rsid10303080\rsid11215221\rsid12154954\rsid12735650\rsid14424199\rsid15204470\rsid15285974\rsid15950462\rsid16324206_x000d__x000a_\rsid16662270}{\mmathPr\mmathFont34\mbrkBin0\mbrkBinSub0\msmallFrac0\mdispDef1\mlMargin0\mrMargin0\mdefJc1\mwrapIndent1440\mintLim0\mnaryLim1}{\info{\author JEAN PIERRE Guilaine}{\operator JEAN PIERRE Guilaine}{\creatim\yr2017\mo3\dy27\hr12\min34}_x000d__x000a_{\revtim\yr2017\mo3\dy27\hr12\min34}{\version1}{\edmins0}{\nofpages1}{\nofwords1}{\nofchars17}{\*\company European Parliament}{\nofcharsws17}{\vern57441}}{\*\xmlnstbl {\xmlns1 http://schemas.microsoft.com/office/word/2003/wordml}}_x000d__x000a_\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0303080\utinl \fet0{\*\wgrffmtfilter 013f}\ilfomacatclnup0{\*\template C:\\Users\\GJEANP~1\\AppData\\Local\\Temp\\Blank1.dot}{\*\ftnsep \ltrpar \pard\plain \ltrpar_x000d__x000a_\ql \li0\ri0\widctlpar\wrapdefault\aspalpha\aspnum\faauto\adjustright\rin0\lin0\itap0 \rtlch\fcs1 \af0\afs20\alang1025 \ltrch\fcs0 \fs24\lang2057\langfe2057\cgrid\langnp2057\langfenp2057 {\rtlch\fcs1 \af0 \ltrch\fcs0 \insrsid12735650 \chftnsep _x000d__x000a_\par }}{\*\ftnsepc \ltrpar \pard\plain \ltrpar\ql \li0\ri0\widctlpar\wrapdefault\aspalpha\aspnum\faauto\adjustright\rin0\lin0\itap0 \rtlch\fcs1 \af0\afs20\alang1025 \ltrch\fcs0 \fs24\lang2057\langfe2057\cgrid\langnp2057\langfenp2057 {\rtlch\fcs1 \af0 _x000d__x000a_\ltrch\fcs0 \insrsid12735650 \chftnsepc _x000d__x000a_\par }}{\*\aftnsep \ltrpar \pard\plain \ltrpar\ql \li0\ri0\widctlpar\wrapdefault\aspalpha\aspnum\faauto\adjustright\rin0\lin0\itap0 \rtlch\fcs1 \af0\afs20\alang1025 \ltrch\fcs0 \fs24\lang2057\langfe2057\cgrid\langnp2057\langfenp2057 {\rtlch\fcs1 \af0 _x000d__x000a_\ltrch\fcs0 \insrsid12735650 \chftnsep _x000d__x000a_\par }}{\*\aftnsepc \ltrpar \pard\plain \ltrpar\ql \li0\ri0\widctlpar\wrapdefault\aspalpha\aspnum\faauto\adjustright\rin0\lin0\itap0 \rtlch\fcs1 \af0\afs20\alang1025 \ltrch\fcs0 \fs24\lang2057\langfe2057\cgrid\langnp2057\langfenp2057 {\rtlch\fcs1 \af0 _x000d__x000a_\ltrch\fcs0 \insrsid12735650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insrsid10303080\charrsid9452920 {\*\bkmkstart ReplaceBookmark}#}{\rtlch\fcs1 \af0 \ltrch\fcs0 \cs15\v\cf15\insrsid10303080\charrsid9452920 &gt;&gt;&gt;CVAR@@AmendA}{\rtlch\fcs1 \af0 \ltrch\fcs0 \insrsid10303080\charrsid9452920 #}{\rtlch\fcs1 \af0 \ltrch\fcs0 _x000d__x000a_\insrsid24658\charrsid16324206 {\*\bkmkend ReplaceBookmark}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a086_x000d__x000a_5ea6e5a6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AENoldToDel"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09\fbidi \froman\fcharset238\fprq2 Times New Roman CE;}{\f310\fbidi \froman\fcharset204\fprq2 Times New Roman Cyr;}_x000d__x000a_{\f312\fbidi \froman\fcharset161\fprq2 Times New Roman Greek;}{\f313\fbidi \froman\fcharset162\fprq2 Times New Roman Tur;}{\f314\fbidi \froman\fcharset177\fprq2 Times New Roman (Hebrew);}{\f315\fbidi \froman\fcharset178\fprq2 Times New Roman (Arabic);}_x000d__x000a_{\f316\fbidi \froman\fcharset186\fprq2 Times New Roman Baltic;}{\f317\fbidi \froman\fcharset163\fprq2 Times New Roman (Vietnamese);}{\f319\fbidi \fswiss\fcharset238\fprq2 Arial CE;}{\f320\fbidi \fswiss\fcharset204\fprq2 Arial Cyr;}_x000d__x000a_{\f322\fbidi \fswiss\fcharset161\fprq2 Arial Greek;}{\f323\fbidi \fswiss\fcharset162\fprq2 Arial Tur;}{\f324\fbidi \fswiss\fcharset177\fprq2 Arial (Hebrew);}{\f325\fbidi \fswiss\fcharset178\fprq2 Arial (Arabic);}_x000d__x000a_{\f326\fbidi \fswiss\fcharset186\fprq2 Arial Baltic;}{\f327\fbidi \fswiss\fcharset163\fprq2 Arial (Vietnamese);}{\f649\fbidi \froman\fcharset238\fprq2 Cambria Math CE;}{\f650\fbidi \froman\fcharset204\fprq2 Cambria Math Cyr;}_x000d__x000a_{\f652\fbidi \froman\fcharset161\fprq2 Cambria Math Greek;}{\f653\fbidi \froman\fcharset162\fprq2 Cambria Math Tur;}{\f656\fbidi \froman\fcharset186\fprq2 Cambria Math Baltic;}{\f657\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638654 HideTWBExt;}{\*\cs16 \additive \v\cf15 \spriority0 \styrsid1638654 HideTWBInt;}{\s17\ql \li0\ri0\sa120\nowidctlpar\wrapdefault\aspalpha\aspnum\faauto\adjustright\rin0\lin0\itap0 _x000d__x000a_\rtlch\fcs1 \af0\afs20\alang1025 \ltrch\fcs0 \fs24\lang2057\langfe2057\cgrid\langnp2057\langfenp2057 \sbasedon0 \snext17 \slink18 \spriority0 \styrsid1638654 Normal6;}{\*\cs18 \additive \fs24 \slink17 \slocked \spriority0 \styrsid1638654 Normal6 Char;}{_x000d__x000a_\s19\ql \li0\ri0\nowidctlpar\wrapdefault\aspalpha\aspnum\faauto\adjustright\rin0\lin0\itap0 \rtlch\fcs1 \af0\afs20\alang1025 \ltrch\fcs0 \b\fs24\lang2057\langfe2057\cgrid\langnp2057\langfenp2057 \sbasedon0 \snext19 \slink20 \spriority0 \styrsid1638654 _x000d__x000a_NormalBold;}{\*\cs20 \additive \b\fs24 \slink19 \slocked \spriority0 \styrsid1638654 NormalBold Char;}{\s21\ql \li0\ri0\sa240\nowidctlpar\wrapdefault\aspalpha\aspnum\faauto\adjustright\rin0\lin0\itap0 \rtlch\fcs1 \af0\afs20\alang1025 \ltrch\fcs0 _x000d__x000a_\i\fs24\lang1024\langfe1024\cgrid\noproof\langnp2057\langfenp2057 \sbasedon0 \snext21 \spriority0 \styrsid1638654 Normal12Italic;}{\s22\qc \li0\ri0\sb240\sa240\keepn\nowidctlpar\wrapdefault\aspalpha\aspnum\faauto\adjustright\rin0\lin0\itap0 \rtlch\fcs1 _x000d__x000a_\af0\afs20\alang1025 \ltrch\fcs0 \i\fs24\lang1024\langfe1024\cgrid\noproof\langnp2057\langfenp2057 \sbasedon0 \snext0 \spriority0 \styrsid1638654 JustificationTitle;}{_x000d__x000a_\s23\qr \li0\ri0\sb240\sa240\nowidctlpar\wrapdefault\aspalpha\aspnum\faauto\adjustright\rin0\lin0\itap0 \rtlch\fcs1 \af0\afs20\alang1025 \ltrch\fcs0 \fs24\lang1024\langfe1024\cgrid\noproof\langnp2057\langfenp2057 _x000d__x000a_\sbasedon0 \snext23 \spriority0 \styrsid1638654 Olang;}{\s24\qc \li0\ri0\sa240\nowidctlpar\wrapdefault\aspalpha\aspnum\faauto\adjustright\rin0\lin0\itap0 \rtlch\fcs1 \af0\afs20\alang1025 \ltrch\fcs0 _x000d__x000a_\i\fs24\lang2057\langfe2057\cgrid\langnp2057\langfenp2057 \sbasedon0 \snext24 \spriority0 \styrsid1638654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1638654 AMNumberTabs;}}{\*\rsidtbl \rsid24658\rsid735077\rsid1638654\rsid2698556\rsid2892074\rsid4666813\rsid6641733\rsid9636012\rsid11215221_x000d__x000a_\rsid12154954\rsid14424199\rsid15204470\rsid15285974\rsid15950462\rsid16324206\rsid16662270}{\mmathPr\mmathFont34\mbrkBin0\mbrkBinSub0\msmallFrac0\mdispDef1\mlMargin0\mrMargin0\mdefJc1\mwrapIndent1440\mintLim0\mnaryLim1}{\info_x000d__x000a_{\author JEAN PIERRE Guilaine}{\operator JEAN PIERRE Guilaine}{\creatim\yr2017\mo3\dy27\hr12\min29}{\revtim\yr2017\mo3\dy27\hr12\min29}{\version1}{\edmins0}{\nofpages1}{\nofwords44}{\nofchars491}{\*\company European Parliament}{\nofcharsws491}_x000d__x000a_{\vern57441}}{\*\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638654\utinl \fet0{\*\wgrffmtfilter 013f}\ilfomacatclnup0{\*\template C:\\Users\\GJEANP~1\\AppData\\Local\\Temp\\Blank1.dot}{\*\ftnsep \ltrpar \pard\plain \ltrpar_x000d__x000a_\ql \li0\ri0\widctlpar\wrapdefault\aspalpha\aspnum\faauto\adjustright\rin0\lin0\itap0 \rtlch\fcs1 \af0\afs20\alang1025 \ltrch\fcs0 \fs24\lang2057\langfe2057\cgrid\langnp2057\langfenp2057 {\rtlch\fcs1 \af0 \ltrch\fcs0 \insrsid2698556 \chftnsep _x000d__x000a_\par }}{\*\ftnsepc \ltrpar \pard\plain \ltrpar\ql \li0\ri0\widctlpar\wrapdefault\aspalpha\aspnum\faauto\adjustright\rin0\lin0\itap0 \rtlch\fcs1 \af0\afs20\alang1025 \ltrch\fcs0 \fs24\lang2057\langfe2057\cgrid\langnp2057\langfenp2057 {\rtlch\fcs1 \af0 _x000d__x000a_\ltrch\fcs0 \insrsid2698556 \chftnsepc _x000d__x000a_\par }}{\*\aftnsep \ltrpar \pard\plain \ltrpar\ql \li0\ri0\widctlpar\wrapdefault\aspalpha\aspnum\faauto\adjustright\rin0\lin0\itap0 \rtlch\fcs1 \af0\afs20\alang1025 \ltrch\fcs0 \fs24\lang2057\langfe2057\cgrid\langnp2057\langfenp2057 {\rtlch\fcs1 \af0 _x000d__x000a_\ltrch\fcs0 \insrsid2698556 \chftnsep _x000d__x000a_\par }}{\*\aftnsepc \ltrpar \pard\plain \ltrpar\ql \li0\ri0\widctlpar\wrapdefault\aspalpha\aspnum\faauto\adjustright\rin0\lin0\itap0 \rtlch\fcs1 \af0\afs20\alang1025 \ltrch\fcs0 \fs24\lang2057\langfe2057\cgrid\langnp2057\langfenp2057 {\rtlch\fcs1 \af0 _x000d__x000a_\ltrch\fcs0 \insrsid2698556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6905025 \rtlch\fcs1 \af0\afs20\alang1025 \ltrch\fcs0 \b\fs24\lang2057\langfe2057\cgrid\langnp2057\langfenp2057 {\rtlch\fcs1 \af0 \ltrch\fcs0 \cs15\b0\v\f1\fs20\cf9\insrsid1638654\charrsid9452920 {\*\bkmkstart restartA}&lt;AmendA&gt;}{_x000d__x000a_\rtlch\fcs1 \af0 \ltrch\fcs0 \insrsid1638654\charrsid9452920 Amendment\tab \tab }{\rtlch\fcs1 \af0 \ltrch\fcs0 \cs15\b0\v\f1\fs20\cf9\insrsid1638654\charrsid9452920 &lt;NumAmA&gt;}{\rtlch\fcs1 \af0 \ltrch\fcs0 \insrsid1638654\charrsid9452920 #}{\rtlch\fcs1 _x000d__x000a_\af0 \ltrch\fcs0 \cs16\v\cf15\insrsid1638654\charrsid9452920 ENMIENDA@NRAM@}{\rtlch\fcs1 \af0 \ltrch\fcs0 \insrsid1638654\charrsid9452920 #}{\rtlch\fcs1 \af0 \ltrch\fcs0 \cs15\b0\v\f1\fs20\cf9\insrsid1638654\charrsid9452920 &lt;/NumAmA&gt;}{\rtlch\fcs1 \af0 _x000d__x000a_\ltrch\fcs0 \insrsid1638654\charrsid9452920 _x000d__x000a_\par }\pard\plain \ltrpar\s19\ql \li0\ri0\nowidctlpar\wrapdefault\aspalpha\aspnum\faauto\adjustright\rin0\lin0\itap0\pararsid5976803 \rtlch\fcs1 \af0\afs20\alang1025 \ltrch\fcs0 \b\fs24\lang2057\langfe2057\cgrid\langnp2057\langfenp2057 {\rtlch\fcs1 \af0 _x000d__x000a_\ltrch\fcs0 \cs15\b0\v\f1\fs20\cf9\insrsid1638654\charrsid9452920 &lt;RepeatBlock-By&gt;}{\rtlch\fcs1 \af0 \ltrch\fcs0 \insrsid1638654\charrsid9452920 #}{\rtlch\fcs1 \af0 \ltrch\fcs0 \cs16\v\cf15\insrsid1638654\charrsid9452920 &gt;&gt;&gt;@[ZMEMBERSMSG]@}{\rtlch\fcs1 _x000d__x000a_\af0 \ltrch\fcs0 \insrsid1638654\charrsid9452920 #}{\rtlch\fcs1 \af0 \ltrch\fcs0 \cs15\b0\v\f1\fs20\cf9\insrsid1638654\charrsid9452920 &lt;Members&gt;}{\rtlch\fcs1 \af0 \ltrch\fcs0 \cf10\insrsid1638654\charrsid9452920 \u9668\'3f}{\rtlch\fcs1 \af0 \ltrch\fcs0 _x000d__x000a_\insrsid1638654\charrsid9452920 #}{\rtlch\fcs1 \af0 \ltrch\fcs0 \cs16\v\cf15\insrsid1638654\charrsid9452920 TVTMEMBERS@MEMBERS@}{\rtlch\fcs1 \af0 \ltrch\fcs0 \insrsid1638654\charrsid9452920 #}{\rtlch\fcs1 \af0 \ltrch\fcs0 _x000d__x000a_\cf10\insrsid1638654\charrsid9452920 \u9658\'3f}{\rtlch\fcs1 \af0 \ltrch\fcs0 \cs15\b0\v\f1\fs20\cf9\insrsid1638654\charrsid9452920 &lt;/Members&gt;}{\rtlch\fcs1 \af0 \ltrch\fcs0 \insrsid1638654\charrsid9452920 _x000d__x000a_\par }\pard\plain \ltrpar\ql \li0\ri0\widctlpar\wrapdefault\aspalpha\aspnum\faauto\adjustright\rin0\lin0\itap0\pararsid5976803 \rtlch\fcs1 \af0\afs20\alang1025 \ltrch\fcs0 \fs24\lang2057\langfe2057\cgrid\langnp2057\langfenp2057 {\rtlch\fcs1 \af0 \ltrch\fcs0 _x000d__x000a_\cs15\v\f1\fs20\cf9\insrsid1638654\charrsid9452920 &lt;AuNomDe&gt;&lt;OptDel&gt;}{\rtlch\fcs1 \af0 \ltrch\fcs0 \insrsid1638654\charrsid9452920 #}{\rtlch\fcs1 \af0 \ltrch\fcs0 \cs16\v\cf15\insrsid1638654\charrsid9452920 MNU[ONBEHALFYES][NOTAPP]@CHOICE@}{\rtlch\fcs1 _x000d__x000a_\af0 \ltrch\fcs0 \insrsid1638654\charrsid9452920 #}{\rtlch\fcs1 \af0 \ltrch\fcs0 \cs15\v\f1\fs20\cf9\insrsid1638654\charrsid9452920 &lt;/OptDel&gt;&lt;/AuNomDe&gt;}{\rtlch\fcs1 \af0 \ltrch\fcs0 \insrsid1638654\charrsid9452920 _x000d__x000a_\par &lt;&lt;&lt;}{\rtlch\fcs1 \af0 \ltrch\fcs0 \cs15\v\f1\fs20\cf9\insrsid1638654\charrsid9452920 &lt;/RepeatBlock-By&gt;}{\rtlch\fcs1 \af0 \ltrch\fcs0 \insrsid1638654\charrsid9452920 _x000d__x000a_\par }\pard\plain \ltrpar\s19\ql \li0\ri0\nowidctlpar\wrapdefault\aspalpha\aspnum\faauto\adjustright\rin0\lin0\itap0\pararsid5976803 \rtlch\fcs1 \af0\afs20\alang1025 \ltrch\fcs0 \b\fs24\lang2057\langfe2057\cgrid\langnp2057\langfenp2057 {\rtlch\fcs1 \af0 _x000d__x000a_\ltrch\fcs0 \cs15\b0\v\f1\fs20\cf9\insrsid1638654\charrsid9452920 &lt;DocAmend&gt;}{\rtlch\fcs1 \af0 \ltrch\fcs0 \insrsid1638654\charrsid9452920 Draft legislative resolution}{\rtlch\fcs1 \af0 \ltrch\fcs0 \cs15\b0\v\f1\fs20\cf9\insrsid1638654\charrsid9452920 _x000d__x000a_&lt;/DocAmend&gt;}{\rtlch\fcs1 \af0 \ltrch\fcs0 \insrsid1638654\charrsid9452920 _x000d__x000a_\par }\pard \ltrpar\s19\ql \li0\ri0\nowidctlpar\wrapdefault\aspalpha\aspnum\faauto\adjustright\rin0\lin0\itap0\pararsid16013815 {\rtlch\fcs1 \af0 \ltrch\fcs0 \cs15\b0\v\f1\fs20\cf9\insrsid1638654\charrsid9452920 &lt;Article&gt;}{\rtlch\fcs1 \af0 \ltrch\fcs0 _x000d__x000a_\cf10\insrsid1638654\charrsid9452920 \u9668\'3f}{\rtlch\fcs1 \af0 \ltrch\fcs0 \insrsid1638654\charrsid9452920 #}{\rtlch\fcs1 \af0 \ltrch\fcs0 \cs16\v\cf15\insrsid1638654\charrsid9452920 TVTRESPART@RESPART@}{\rtlch\fcs1 \af0 \ltrch\fcs0 _x000d__x000a_\insrsid1638654\charrsid9452920 #}{\rtlch\fcs1 \af0 \ltrch\fcs0 \cf10\insrsid1638654\charrsid9452920 \u9658\'3f}{\rtlch\fcs1 \af0 \ltrch\fcs0 \cs15\b0\v\f1\fs20\cf9\insrsid1638654\charrsid9452920 &lt;/Article&gt;}{\rtlch\fcs1 \af0 \ltrch\fcs0 _x000d__x000a_\insrsid1638654\charrsid9452920 _x000d__x000a_\par \ltrrow}\trowd \ltrrow\ts11\trqc\trgaph340\trleft-340\trftsWidth1\trftsWidthB3\trftsWidthA3\trpaddl340\trpaddr340\trpaddfl3\trpaddfr3\tblind0\tblindtype3 \clvertalt\clbrdrt\brdrtbl \clbrdrl\brdrtbl \clbrdrb\brdrtbl \clbrdrr\brdrtbl _x000d__x000a_\cltxlrtb\clftsWidth3\clwWidth9752\clshdrawnil \cellx9412\pard\plain \ltrpar\ql \li0\ri0\keepn\widctlpar\intbl\wrapdefault\aspalpha\aspnum\faauto\adjustright\rin0\lin0\pararsid10630121 \rtlch\fcs1 \af0\afs20\alang1025 \ltrch\fcs0 _x000d__x000a_\fs24\lang2057\langfe2057\cgrid\langnp2057\langfenp2057 {\rtlch\fcs1 \af0 \ltrch\fcs0 \insrsid1638654\charrsid9452920 \cell }\pard \ltrpar\ql \li0\ri0\widctlpar\intbl\wrapdefault\aspalpha\aspnum\faauto\adjustright\rin0\lin0 {\rtlch\fcs1 \af0 \ltrch\fcs0 _x000d__x000a_\insrsid1638654\charrsid9452920 \trowd \ltrrow\ts11\trqc\trgaph340\trleft-340\trftsWidth1\trftsWidthB3\trftsWidthA3\trpaddl340\trpaddr340\trpaddfl3\trpaddfr3\tblind0\tblindtype3 \clvertalt\clbrdrt\brdrtbl \clbrdrl\brdrtbl \clbrdrb\brdrtbl \clbrdrr_x000d__x000a_\brdrtbl \cltxlrtb\clftsWidth3\clwWidth9752\clshdrawnil \cellx9412\row \ltrrow}\trowd \ltrrow\ts11\trqc\trgaph340\trleft-340\trftsWidth1\trftsWidthB3\trftsWidthA3\trpaddl340\trpaddr340\trpaddfl3\trpaddfr3\tblind0\tblindtype3 \clvertalt\clbrdrt\brdrtbl _x000d__x000a_\clbrdrl\brdrtbl \clbrdrb\brdrtbl \clbrdrr\brdrtbl \cltxlrtb\clftsWidth3\clwWidth4876\clshdrawnil \cellx4536\clvertalt\clbrdrt\brdrtbl \clbrdrl\brdrtbl \clbrdrb\brdrtbl \clbrdrr\brdrtbl \cltxlrtb\clftsWidth3\clwWidth4876\clshdrawnil \cellx9412_x000d__x000a_\pard\plain \ltrpar\s24\qc \li0\ri0\sa240\keepn\nowidctlpar\intbl\wrapdefault\aspalpha\aspnum\faauto\adjustright\rin0\lin0\pararsid10630121 \rtlch\fcs1 \af0\afs20\alang1025 \ltrch\fcs0 \i\fs24\lang2057\langfe2057\cgrid\langnp2057\langfenp2057 {_x000d__x000a_\rtlch\fcs1 \af0 \ltrch\fcs0 \insrsid1638654\charrsid9452920 Draft legislative resolution\cell Amendment\cell }\pard\plain \ltrpar\ql \li0\ri0\widctlpar\intbl\wrapdefault\aspalpha\aspnum\faauto\adjustright\rin0\lin0 \rtlch\fcs1 \af0\afs20\alang1025 _x000d__x000a_\ltrch\fcs0 \fs24\lang2057\langfe2057\cgrid\langnp2057\langfenp2057 {\rtlch\fcs1 \af0 \ltrch\fcs0 \insrsid1638654\charrsid9452920 \trowd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7\ql \li0\ri0\sa120\nowidctlpar\intbl\wrapdefault\aspalpha\aspnum\faauto\adjustright\rin0\lin0\pararsid12024389 \rtlch\fcs1 \af0\afs20\alang1025 \ltrch\fcs0 \fs24\lang2057\langfe2057\cgrid\langnp2057\langfenp2057 {\rtlch\fcs1 \af0 \ltrch\fcs0 _x000d__x000a_\insrsid1638654\charrsid9452920 ##\cell ##}{\rtlch\fcs1 \af0\afs24 \ltrch\fcs0 \insrsid1638654\charrsid9452920 \cell }\pard\plain \ltrpar\ql \li0\ri0\widctlpar\intbl\wrapdefault\aspalpha\aspnum\faauto\adjustright\rin0\lin0 \rtlch\fcs1 _x000d__x000a_\af0\afs20\alang1025 \ltrch\fcs0 \fs24\lang2057\langfe2057\cgrid\langnp2057\langfenp2057 {\rtlch\fcs1 \af0 \ltrch\fcs0 \insrsid1638654\charrsid9452920 \trowd \lastrow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10118616 \rtlch\fcs1 \af0\afs20\alang1025 \ltrch\fcs0 \fs24\lang1024\langfe1024\cgrid\noproof\langnp2057\langfenp2057 {\rtlch\fcs1 \af0 _x000d__x000a_\ltrch\fcs0 \noproof0\insrsid1638654\charrsid9452920 Or. }{\rtlch\fcs1 \af0 \ltrch\fcs0 \cs15\v\f1\fs20\cf9\noproof0\insrsid1638654\charrsid9452920 &lt;Original&gt;}{\rtlch\fcs1 \af0 \ltrch\fcs0 \noproof0\insrsid1638654\charrsid9452920 #}{\rtlch\fcs1 \af0 _x000d__x000a_\ltrch\fcs0 \cs16\v\cf15\noproof0\insrsid1638654\charrsid9452920 KEY(MAIN/LANGMIN)sh@ORLANGMSG@}{\rtlch\fcs1 \af0 \ltrch\fcs0 \noproof0\insrsid1638654\charrsid9452920 #}{\rtlch\fcs1 \af0 \ltrch\fcs0 _x000d__x000a_\cs15\v\f1\fs20\cf9\noproof0\insrsid1638654\charrsid9452920 &lt;/Original&gt;}{\rtlch\fcs1 \af0 \ltrch\fcs0 \noproof0\insrsid1638654\charrsid9452920 _x000d__x000a_\par }\pard\plain \ltrpar\s22\qc \li0\ri0\sb240\sa240\keepn\nowidctlpar\wrapdefault\aspalpha\aspnum\faauto\adjustright\rin0\lin0\itap0\pararsid16390444 \rtlch\fcs1 \af0\afs20\alang1025 \ltrch\fcs0 _x000d__x000a_\i\fs24\lang1024\langfe1024\cgrid\noproof\langnp2057\langfenp2057 {\rtlch\fcs1 \af0 \ltrch\fcs0 \cs15\i0\v\f1\fs20\cf9\noproof0\insrsid1638654\charrsid9452920 &lt;TitreJust&gt;}{\rtlch\fcs1 \af0 \ltrch\fcs0 \noproof0\insrsid1638654\charrsid9452920 Justification_x000d__x000a_}{\rtlch\fcs1 \af0 \ltrch\fcs0 \cs15\i0\v\f1\fs20\cf9\noproof0\insrsid1638654\charrsid9452920 &lt;/TitreJust&gt;}{\rtlch\fcs1 \af0 \ltrch\fcs0 \noproof0\insrsid1638654\charrsid9452920 _x000d__x000a_\par }\pard\plain \ltrpar\s21\ql \li0\ri0\sa240\nowidctlpar\wrapdefault\aspalpha\aspnum\faauto\adjustright\rin0\lin0\itap0\pararsid16390444 \rtlch\fcs1 \af0\afs20\alang1025 \ltrch\fcs0 \i\fs24\lang1024\langfe1024\cgrid\noproof\langnp2057\langfenp2057 {_x000d__x000a_\rtlch\fcs1 \af0 \ltrch\fcs0 \cs15\i0\v\f1\fs20\cf9\noproof0\insrsid1638654\charrsid9452920 &lt;OptDelPrev&gt;}{\rtlch\fcs1 \af0 \ltrch\fcs0 \noproof0\insrsid1638654\charrsid9452920 #}{\rtlch\fcs1 \af0 \ltrch\fcs0 _x000d__x000a_\cs16\v\cf15\noproof0\insrsid1638654\charrsid9452920 MNU[TEXTJUSTYES][TEXTJUSTNO]@CHOICE@}{\rtlch\fcs1 \af0 \ltrch\fcs0 \noproof0\insrsid1638654\charrsid9452920 #}{\rtlch\fcs1 \af0 \ltrch\fcs0 _x000d__x000a_\cs15\i0\v\f1\fs20\cf9\noproof0\insrsid1638654\charrsid9452920 &lt;/OptDelPrev&gt;}{\rtlch\fcs1 \af0 \ltrch\fcs0 \noproof0\insrsid1638654\charrsid9452920 _x000d__x000a_\par }\pard\plain \ltrpar\ql \li0\ri0\widctlpar\wrapdefault\aspalpha\aspnum\faauto\adjustright\rin0\lin0\itap0\pararsid16324206 \rtlch\fcs1 \af0\afs20\alang1025 \ltrch\fcs0 \fs24\lang2057\langfe2057\cgrid\langnp2057\langfenp2057 {\rtlch\fcs1 \af0 \ltrch\fcs0 _x000d__x000a_\cs15\v\f1\fs20\cf9\insrsid1638654\charrsid9452920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d0ac_x000d__x000a_17fce4a6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BENoldToKeep"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09\fbidi \froman\fcharset238\fprq2 Times New Roman CE;}{\f310\fbidi \froman\fcharset204\fprq2 Times New Roman Cyr;}_x000d__x000a_{\f312\fbidi \froman\fcharset161\fprq2 Times New Roman Greek;}{\f313\fbidi \froman\fcharset162\fprq2 Times New Roman Tur;}{\f314\fbidi \froman\fcharset177\fprq2 Times New Roman (Hebrew);}{\f315\fbidi \froman\fcharset178\fprq2 Times New Roman (Arabic);}_x000d__x000a_{\f316\fbidi \froman\fcharset186\fprq2 Times New Roman Baltic;}{\f317\fbidi \froman\fcharset163\fprq2 Times New Roman (Vietnamese);}{\f319\fbidi \fswiss\fcharset238\fprq2 Arial CE;}{\f320\fbidi \fswiss\fcharset204\fprq2 Arial Cyr;}_x000d__x000a_{\f322\fbidi \fswiss\fcharset161\fprq2 Arial Greek;}{\f323\fbidi \fswiss\fcharset162\fprq2 Arial Tur;}{\f324\fbidi \fswiss\fcharset177\fprq2 Arial (Hebrew);}{\f325\fbidi \fswiss\fcharset178\fprq2 Arial (Arabic);}_x000d__x000a_{\f326\fbidi \fswiss\fcharset186\fprq2 Arial Baltic;}{\f327\fbidi \fswiss\fcharset163\fprq2 Arial (Vietnamese);}{\f649\fbidi \froman\fcharset238\fprq2 Cambria Math CE;}{\f650\fbidi \froman\fcharset204\fprq2 Cambria Math Cyr;}_x000d__x000a_{\f652\fbidi \froman\fcharset161\fprq2 Cambria Math Greek;}{\f653\fbidi \froman\fcharset162\fprq2 Cambria Math Tur;}{\f656\fbidi \froman\fcharset186\fprq2 Cambria Math Baltic;}{\f657\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0770803 HideTWBExt;}{\*\cs16 \additive \v\cf15 \spriority0 \styrsid10770803 HideTWBInt;}{\s17\ql \li0\ri0\sa120\nowidctlpar\wrapdefault\aspalpha\aspnum\faauto\adjustright\rin0\lin0\itap0 _x000d__x000a_\rtlch\fcs1 \af0\afs20\alang1025 \ltrch\fcs0 \fs24\lang2057\langfe2057\cgrid\langnp2057\langfenp2057 \sbasedon0 \snext17 \slink18 \spriority0 \styrsid10770803 Normal6;}{\*\cs18 \additive \fs24 \slink17 \slocked \spriority0 \styrsid10770803 Normal6 Char;}{_x000d__x000a_\s19\ql \li0\ri0\nowidctlpar\wrapdefault\aspalpha\aspnum\faauto\adjustright\rin0\lin0\itap0 \rtlch\fcs1 \af0\afs20\alang1025 \ltrch\fcs0 \b\fs24\lang2057\langfe2057\cgrid\langnp2057\langfenp2057 \sbasedon0 \snext19 \slink20 \spriority0 \styrsid10770803 _x000d__x000a_NormalBold;}{\*\cs20 \additive \b\fs24 \slink19 \slocked \spriority0 \styrsid10770803 NormalBold Char;}{\s21\ql \li0\ri0\sa240\nowidctlpar\wrapdefault\aspalpha\aspnum\faauto\adjustright\rin0\lin0\itap0 \rtlch\fcs1 \af0\afs20\alang1025 \ltrch\fcs0 _x000d__x000a_\i\fs24\lang1024\langfe1024\cgrid\noproof\langnp2057\langfenp2057 \sbasedon0 \snext21 \spriority0 \styrsid10770803 Normal12Italic;}{\s22\qc \li0\ri0\sb240\nowidctlpar\wrapdefault\aspalpha\aspnum\faauto\adjustright\rin0\lin0\itap0 \rtlch\fcs1 _x000d__x000a_\af0\afs20\alang1025 \ltrch\fcs0 \i\fs24\lang2057\langfe2057\cgrid\langnp2057\langfenp2057 \sbasedon0 \snext22 \spriority0 \styrsid10770803 CrossRef;}{_x000d__x000a_\s23\qc \li0\ri0\sb240\sa240\keepn\nowidctlpar\wrapdefault\aspalpha\aspnum\faauto\adjustright\rin0\lin0\itap0 \rtlch\fcs1 \af0\afs20\alang1025 \ltrch\fcs0 \i\fs24\lang1024\langfe1024\cgrid\noproof\langnp2057\langfenp2057 _x000d__x000a_\sbasedon0 \snext0 \spriority0 \styrsid10770803 JustificationTitle;}{\s24\qr \li0\ri0\sb240\sa240\nowidctlpar\wrapdefault\aspalpha\aspnum\faauto\adjustright\rin0\lin0\itap0 \rtlch\fcs1 \af0\afs20\alang1025 \ltrch\fcs0 _x000d__x000a_\fs24\lang1024\langfe1024\cgrid\noproof\langnp2057\langfenp2057 \sbasedon0 \snext24 \spriority0 \styrsid10770803 Olang;}{\s25\qc \li0\ri0\sa240\nowidctlpar\wrapdefault\aspalpha\aspnum\faauto\adjustright\rin0\lin0\itap0 \rtlch\fcs1 \af0\afs20\alang1025 _x000d__x000a_\ltrch\fcs0 \i\fs24\lang2057\langfe2057\cgrid\langnp2057\langfenp2057 \sbasedon0 \snext25 \spriority0 \styrsid10770803 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10770803 AMNumberTabs;}}{\*\rsidtbl \rsid24658\rsid735077\rsid2892074\rsid4457152\rsid4666813\rsid6641733\rsid9636012\rsid10770803\rsid11215221_x000d__x000a_\rsid12154954\rsid14424199\rsid15204470\rsid15285974\rsid15950462\rsid16324206\rsid16662270}{\mmathPr\mmathFont34\mbrkBin0\mbrkBinSub0\msmallFrac0\mdispDef1\mlMargin0\mrMargin0\mdefJc1\mwrapIndent1440\mintLim0\mnaryLim1}{\info_x000d__x000a_{\author JEAN PIERRE Guilaine}{\operator JEAN PIERRE Guilaine}{\creatim\yr2017\mo3\dy27\hr12\min29}{\revtim\yr2017\mo3\dy27\hr12\min29}{\version1}{\edmins0}{\nofpages1}{\nofwords70}{\nofchars769}{\*\company European Parliament}{\nofcharsws770}_x000d__x000a_{\vern57441}}{\*\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0770803\utinl \fet0{\*\wgrffmtfilter 013f}\ilfomacatclnup0{\*\template C:\\Users\\GJEANP~1\\AppData\\Local\\Temp\\Blank1.dot}{\*\ftnsep \ltrpar \pard\plain \ltrpar_x000d__x000a_\ql \li0\ri0\widctlpar\wrapdefault\aspalpha\aspnum\faauto\adjustright\rin0\lin0\itap0 \rtlch\fcs1 \af0\afs20\alang1025 \ltrch\fcs0 \fs24\lang2057\langfe2057\cgrid\langnp2057\langfenp2057 {\rtlch\fcs1 \af0 \ltrch\fcs0 \insrsid4457152 \chftnsep _x000d__x000a_\par }}{\*\ftnsepc \ltrpar \pard\plain \ltrpar\ql \li0\ri0\widctlpar\wrapdefault\aspalpha\aspnum\faauto\adjustright\rin0\lin0\itap0 \rtlch\fcs1 \af0\afs20\alang1025 \ltrch\fcs0 \fs24\lang2057\langfe2057\cgrid\langnp2057\langfenp2057 {\rtlch\fcs1 \af0 _x000d__x000a_\ltrch\fcs0 \insrsid4457152 \chftnsepc _x000d__x000a_\par }}{\*\aftnsep \ltrpar \pard\plain \ltrpar\ql \li0\ri0\widctlpar\wrapdefault\aspalpha\aspnum\faauto\adjustright\rin0\lin0\itap0 \rtlch\fcs1 \af0\afs20\alang1025 \ltrch\fcs0 \fs24\lang2057\langfe2057\cgrid\langnp2057\langfenp2057 {\rtlch\fcs1 \af0 _x000d__x000a_\ltrch\fcs0 \insrsid4457152 \chftnsep _x000d__x000a_\par }}{\*\aftnsepc \ltrpar \pard\plain \ltrpar\ql \li0\ri0\widctlpar\wrapdefault\aspalpha\aspnum\faauto\adjustright\rin0\lin0\itap0 \rtlch\fcs1 \af0\afs20\alang1025 \ltrch\fcs0 \fs24\lang2057\langfe2057\cgrid\langnp2057\langfenp2057 {\rtlch\fcs1 \af0 _x000d__x000a_\ltrch\fcs0 \insrsid4457152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6\ql \li0\ri0\sb240\keepn\nowidctlpar\tx879\tx936\tx1021\tx1077\tx1134\tx1191\tx1247\tx1304\tx1361\tx1418\tx1474\tx1531\tx1588\tx1644\tx1701\tx1758\tx1814\tx1871\tx2070\tx2126\tx3374\tx3430\wrapdefault\aspalpha\aspnum\faauto\adjustright\rin0_x000d__x000a_\lin0\itap0\pararsid3744759 \rtlch\fcs1 \af0\afs20\alang1025 \ltrch\fcs0 \b\fs24\lang2057\langfe2057\cgrid\langnp2057\langfenp2057 {\rtlch\fcs1 \af0 \ltrch\fcs0 \cs15\b0\v\f1\fs20\cf9\insrsid10770803\charrsid9452920 {\*\bkmkstart restartB}&lt;AmendB&gt;}{_x000d__x000a_\rtlch\fcs1 \af0 \ltrch\fcs0 \insrsid10770803\charrsid9452920 Amendment\tab \tab }{\rtlch\fcs1 \af0 \ltrch\fcs0 \cs15\b0\v\f1\fs20\cf9\insrsid10770803\charrsid9452920 &lt;NumAmB&gt;}{\rtlch\fcs1 \af0 \ltrch\fcs0 \insrsid10770803\charrsid9452920 #}{\rtlch\fcs1 _x000d__x000a_\af0 \ltrch\fcs0 \cs16\v\cf15\insrsid10770803\charrsid9452920 ENMIENDA@NRAM@}{\rtlch\fcs1 \af0 \ltrch\fcs0 \insrsid10770803\charrsid9452920 #}{\rtlch\fcs1 \af0 \ltrch\fcs0 \cs15\b0\v\f1\fs20\cf9\insrsid10770803\charrsid9452920 &lt;/NumAmB&gt;}{\rtlch\fcs1 \af0 _x000d__x000a_\ltrch\fcs0 \insrsid10770803\charrsid9452920 _x000d__x000a_\par }\pard\plain \ltrpar\s19\ql \li0\ri0\nowidctlpar\wrapdefault\aspalpha\aspnum\faauto\adjustright\rin0\lin0\itap0\pararsid5976803 \rtlch\fcs1 \af0\afs20\alang1025 \ltrch\fcs0 \b\fs24\lang2057\langfe2057\cgrid\langnp2057\langfenp2057 {\rtlch\fcs1 \af0 _x000d__x000a_\ltrch\fcs0 \cs15\b0\v\f1\fs20\cf9\insrsid10770803\charrsid9452920 &lt;RepeatBlock-By&gt;}{\rtlch\fcs1 \af0 \ltrch\fcs0 \insrsid10770803\charrsid9452920 #}{\rtlch\fcs1 \af0 \ltrch\fcs0 \cs16\v\cf15\insrsid10770803\charrsid9452920 &gt;&gt;&gt;@[ZMEMBERSMSG]@}{_x000d__x000a_\rtlch\fcs1 \af0 \ltrch\fcs0 \insrsid10770803\charrsid9452920 #}{\rtlch\fcs1 \af0 \ltrch\fcs0 \cs15\b0\v\f1\fs20\cf9\insrsid10770803\charrsid9452920 &lt;Members&gt;}{\rtlch\fcs1 \af0 \ltrch\fcs0 \cf10\insrsid10770803\charrsid9452920 \u9668\'3f}{\rtlch\fcs1 _x000d__x000a_\af0 \ltrch\fcs0 \insrsid10770803\charrsid9452920 #}{\rtlch\fcs1 \af0 \ltrch\fcs0 \cs16\v\cf15\insrsid10770803\charrsid9452920 TVTMEMBERS@MEMBERS@}{\rtlch\fcs1 \af0 \ltrch\fcs0 \insrsid10770803\charrsid9452920 #}{\rtlch\fcs1 \af0 \ltrch\fcs0 _x000d__x000a_\cf10\insrsid10770803\charrsid9452920 \u9658\'3f}{\rtlch\fcs1 \af0 \ltrch\fcs0 \cs15\b0\v\f1\fs20\cf9\insrsid10770803\charrsid9452920 &lt;/Members&gt;}{\rtlch\fcs1 \af0 \ltrch\fcs0 \insrsid10770803\charrsid9452920 _x000d__x000a_\par }\pard\plain \ltrpar\ql \li0\ri0\widctlpar\wrapdefault\aspalpha\aspnum\faauto\adjustright\rin0\lin0\itap0\pararsid5976803 \rtlch\fcs1 \af0\afs20\alang1025 \ltrch\fcs0 \fs24\lang2057\langfe2057\cgrid\langnp2057\langfenp2057 {\rtlch\fcs1 \af0 \ltrch\fcs0 _x000d__x000a_\cs15\v\f1\fs20\cf9\insrsid10770803\charrsid9452920 &lt;AuNomDe&gt;&lt;OptDel&gt;}{\rtlch\fcs1 \af0 \ltrch\fcs0 \insrsid10770803\charrsid9452920 #}{\rtlch\fcs1 \af0 \ltrch\fcs0 \cs16\v\cf15\insrsid10770803\charrsid9452920 MNU[ONBEHALFYES][NOTAPP]@CHOICE@}{_x000d__x000a_\rtlch\fcs1 \af0 \ltrch\fcs0 \insrsid10770803\charrsid9452920 #}{\rtlch\fcs1 \af0 \ltrch\fcs0 \cs15\v\f1\fs20\cf9\insrsid10770803\charrsid9452920 &lt;/OptDel&gt;&lt;/AuNomDe&gt;}{\rtlch\fcs1 \af0 \ltrch\fcs0 \insrsid10770803\charrsid9452920 _x000d__x000a_\par &lt;&lt;&lt;}{\rtlch\fcs1 \af0 \ltrch\fcs0 \cs15\v\f1\fs20\cf9\insrsid10770803\charrsid9452920 &lt;/RepeatBlock-By&gt;}{\rtlch\fcs1 \af0 \ltrch\fcs0 \insrsid10770803\charrsid9452920 _x000d__x000a_\par }\pard\plain \ltrpar\s19\ql \li0\ri0\nowidctlpar\wrapdefault\aspalpha\aspnum\faauto\adjustright\rin0\lin0\itap0\pararsid5976803 \rtlch\fcs1 \af0\afs20\alang1025 \ltrch\fcs0 \b\fs24\lang2057\langfe2057\cgrid\langnp2057\langfenp2057 {\rtlch\fcs1 \af0 _x000d__x000a_\ltrch\fcs0 \cs15\b0\v\f1\fs20\cf9\insrsid10770803\charrsid9452920 &lt;DocAmend&gt;}{\rtlch\fcs1 \af0 \ltrch\fcs0 \insrsid10770803\charrsid9452920 #}{\rtlch\fcs1 \af0 \ltrch\fcs0 \cs16\v\cf15\insrsid10770803\charrsid9452920 _x000d__x000a_MNU[OPTPROPOSALCOD][OPTPROPOSALCNS][OPTPROPOSALNLE]@CHOICE@CODEMNU}{\rtlch\fcs1 \af0 \ltrch\fcs0 \insrsid10770803\charrsid9452920 #}{\rtlch\fcs1 \af0 \ltrch\fcs0 \cs15\b0\v\f1\fs20\cf9\insrsid10770803\charrsid9452920 &lt;/DocAmend&gt;}{\rtlch\fcs1 \af0 _x000d__x000a_\ltrch\fcs0 \insrsid10770803\charrsid9452920 _x000d__x000a_\par }\pard \ltrpar\s19\ql \li0\ri0\keepn\nowidctlpar\wrapdefault\aspalpha\aspnum\faauto\adjustright\rin0\lin0\itap0\pararsid10630121 {\rtlch\fcs1 \af0 \ltrch\fcs0 \cs15\b0\v\f1\fs20\cf9\insrsid10770803\charrsid9452920 &lt;Article&gt;}{\rtlch\fcs1 \af0 \ltrch\fcs0 _x000d__x000a_\insrsid10770803\charrsid9452920 #}{\rtlch\fcs1 \af0 \ltrch\fcs0 \cs16\v\cf15\insrsid10770803\charrsid9452920 MNU[AMACTPARTYES][AMACTPARTNO]@CHOICE@AMACTMNU}{\rtlch\fcs1 \af0 \ltrch\fcs0 \insrsid10770803\charrsid9452920 #}{\rtlch\fcs1 \af0 \ltrch\fcs0 _x000d__x000a_\cs15\b0\v\f1\fs20\cf9\insrsid10770803\charrsid9452920 &lt;/Article&gt;}{\rtlch\fcs1 \af0 \ltrch\fcs0 \insrsid10770803\charrsid9452920 _x000d__x000a_\par }\pard\plain \ltrpar\ql \li0\ri0\keepn\widctlpar\wrapdefault\aspalpha\aspnum\faauto\adjustright\rin0\lin0\itap0\pararsid3744759 \rtlch\fcs1 \af0\afs20\alang1025 \ltrch\fcs0 \fs24\lang2057\langfe2057\cgrid\langnp2057\langfenp2057 {\rtlch\fcs1 \af0 _x000d__x000a_\ltrch\fcs0 \cs15\v\f1\fs20\cf9\insrsid10770803\charrsid9452920 &lt;DocAmend2&gt;&lt;OptDel&gt;}{\rtlch\fcs1 \af0 \ltrch\fcs0 \insrsid10770803\charrsid9452920 #}{\rtlch\fcs1 \af0 \ltrch\fcs0 \cs16\v\cf15\insrsid10770803\charrsid9452920 _x000d__x000a_MNU[OPTNRACTYES][NOTAPP]@CHOICE@AMACTMNU}{\rtlch\fcs1 \af0 \ltrch\fcs0 \insrsid10770803\charrsid9452920 #}{\rtlch\fcs1 \af0 \ltrch\fcs0 \cs15\v\f1\fs20\cf9\insrsid10770803\charrsid9452920 &lt;/OptDel&gt;&lt;/DocAmend2&gt;}{\rtlch\fcs1 \af0 \ltrch\fcs0 _x000d__x000a_\insrsid10770803\charrsid9452920 _x000d__x000a_\par }\pard \ltrpar\ql \li0\ri0\widctlpar\wrapdefault\aspalpha\aspnum\faauto\adjustright\rin0\lin0\itap0\pararsid10158853 {\rtlch\fcs1 \af0 \ltrch\fcs0 \cs15\v\f1\fs20\cf9\insrsid10770803\charrsid9452920 &lt;Article2&gt;&lt;OptDel&gt;}{\rtlch\fcs1 \af0 \ltrch\fcs0 _x000d__x000a_\insrsid10770803\charrsid9452920 #}{\rtlch\fcs1 \af0 \ltrch\fcs0 \cs16\v\cf15\insrsid10770803\charrsid9452920 MNU[OPTACTPARTYES][NOTAPP]@CHOICE@AMACTMNU}{\rtlch\fcs1 \af0 \ltrch\fcs0 \insrsid10770803\charrsid9452920 #}{\rtlch\fcs1 \af0 \ltrch\fcs0 _x000d__x000a_\cs15\v\f1\fs20\cf9\insrsid10770803\charrsid9452920 &lt;/OptDel&gt;&lt;/Article2&gt;}{\rtlch\fcs1 \af0 \ltrch\fcs0 \insrsid10770803\charrsid9452920 _x000d__x000a_\par \ltrrow}\trowd \ltrrow\ts11\trqc\trgaph340\trleft-340\trftsWidth3\trwWidth9752\trftsWidthB3\trftsWidthA3\trpaddl340\trpaddr340\trpaddfl3\trpaddfr3\tblind0\tblindtype3 \clvertalt\clbrdrt\brdrtbl \clbrdrl\brdrtbl \clbrdrb\brdrtbl \clbrdrr\brdrtbl _x000d__x000a_\cltxlrtb\clftsWidth3\clwWidth9752\clshdrawnil \cellx9412\pard \ltrpar\ql \li0\ri0\keepn\widctlpar\intbl\wrapdefault\aspalpha\aspnum\faauto\adjustright\rin0\lin0\pararsid10630121 {\rtlch\fcs1 \af0 \ltrch\fcs0 \insrsid10770803\charrsid9452920 \cell _x000d__x000a_}\pard \ltrpar\ql \li0\ri0\widctlpar\intbl\wrapdefault\aspalpha\aspnum\faauto\adjustright\rin0\lin0 {\rtlch\fcs1 \af0 \ltrch\fcs0 \insrsid10770803\charrsid9452920 \trowd \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ind0\tblindtype3 \clvertalt\clbrdrt_x000d__x000a_\brdrtbl \clbrdrl\brdrtbl \clbrdrb\brdrtbl \clbrdrr\brdrtbl \cltxlrtb\clftsWidth3\clwWidth4876\clshdrawnil \cellx4536\clvertalt\clbrdrt\brdrtbl \clbrdrl\brdrtbl \clbrdrb\brdrtbl \clbrdrr\brdrtbl \cltxlrtb\clftsWidth3\clwWidth4876\clshdrawnil \cellx9412_x000d__x000a_\pard\plain \ltrpar\s25\qc \li0\ri0\sa240\keepn\nowidctlpar\intbl\wrapdefault\aspalpha\aspnum\faauto\adjustright\rin0\lin0\pararsid10630121 \rtlch\fcs1 \af0\afs20\alang1025 \ltrch\fcs0 \i\fs24\lang2057\langfe2057\cgrid\langnp2057\langfenp2057 {_x000d__x000a_\rtlch\fcs1 \af0 \ltrch\fcs0 \insrsid10770803\charrsid9452920 #}{\rtlch\fcs1 \af0 \ltrch\fcs0 \cs16\v\cf15\insrsid10770803\charrsid9452920 MNU[OPTLEFTAMACT][LEFTPROP]@CHOICE@AMACTMNU}{\rtlch\fcs1 \af0 \ltrch\fcs0 \insrsid10770803\charrsid9452920 #\cell _x000d__x000a_Amendment\cell }\pard\plain \ltrpar\ql \li0\ri0\widctlpar\intbl\wrapdefault\aspalpha\aspnum\faauto\adjustright\rin0\lin0 \rtlch\fcs1 \af0\afs20\alang1025 \ltrch\fcs0 \fs24\lang2057\langfe2057\cgrid\langnp2057\langfenp2057 {\rtlch\fcs1 \af0 \ltrch\fcs0 _x000d__x000a_\insrsid10770803\charrsid9452920 \trowd \ltrrow\ts11\trqc\trgaph340\trleft-340\trftsWidth3\trwWidth9752\trftsWidthB3\trftsWidthA3\trpaddl340\trpaddr340\trpaddfl3\trpaddfr3\tblind0\tblindtype3 \clvertalt\clbrdrt\brdrtbl \clbrdrl\brdrtbl \clbrdrb\brdrtbl _x000d__x000a_\clbrdrr\brdrtbl \cltxlrtb\clftsWidth3\clwWidth4876\clshdrawnil \cellx4536\clvertalt\clbrdrt\brdrtbl \clbrdrl\brdrtbl \clbrdrb\brdrtbl \clbrdrr\brdrtbl \cltxlrtb\clftsWidth3\clwWidth4876\clshdrawnil \cellx9412\row \ltrrow}\pard\plain \ltrpar_x000d__x000a_\s17\ql \li0\ri0\sa120\nowidctlpar\intbl\wrapdefault\aspalpha\aspnum\faauto\adjustright\rin0\lin0\pararsid12024389 \rtlch\fcs1 \af0\afs20\alang1025 \ltrch\fcs0 \fs24\lang2057\langfe2057\cgrid\langnp2057\langfenp2057 {\rtlch\fcs1 \af0 \ltrch\fcs0 _x000d__x000a_\insrsid10770803\charrsid9452920 ##\cell ##}{\rtlch\fcs1 \af0\afs24 \ltrch\fcs0 \insrsid10770803\charrsid9452920 \cell }\pard\plain \ltrpar\ql \li0\ri0\widctlpar\intbl\wrapdefault\aspalpha\aspnum\faauto\adjustright\rin0\lin0 \rtlch\fcs1 _x000d__x000a_\af0\afs20\alang1025 \ltrch\fcs0 \fs24\lang2057\langfe2057\cgrid\langnp2057\langfenp2057 {\rtlch\fcs1 \af0 \ltrch\fcs0 \insrsid10770803\charrsid9452920 \trowd \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16390444 \rtlch\fcs1 \af0\afs20\alang1025 \ltrch\fcs0 \fs24\lang1024\langfe1024\cgrid\noproof\langnp2057\langfenp2057 {\rtlch\fcs1 \af0 _x000d__x000a_\ltrch\fcs0 \noproof0\insrsid10770803\charrsid9452920 Or. }{\rtlch\fcs1 \af0 \ltrch\fcs0 \cs15\v\f1\fs20\cf9\noproof0\insrsid10770803\charrsid9452920 &lt;Original&gt;}{\rtlch\fcs1 \af0 \ltrch\fcs0 \noproof0\insrsid10770803\charrsid9452920 #}{\rtlch\fcs1 \af0 _x000d__x000a_\ltrch\fcs0 \cs16\v\cf15\noproof0\insrsid10770803\charrsid9452920 KEY(MAIN/LANGMIN)sh@ORLANGMSG@}{\rtlch\fcs1 \af0 \ltrch\fcs0 \noproof0\insrsid10770803\charrsid9452920 #}{\rtlch\fcs1 \af0 \ltrch\fcs0 _x000d__x000a_\cs15\v\f1\fs20\cf9\noproof0\insrsid10770803\charrsid9452920 &lt;/Original&gt;}{\rtlch\fcs1 \af0 \ltrch\fcs0 \noproof0\insrsid10770803\charrsid9452920 _x000d__x000a_\par }\pard\plain \ltrpar\s22\qc \li0\ri0\sb240\nowidctlpar\wrapdefault\aspalpha\aspnum\faauto\adjustright\rin0\lin0\itap0\pararsid10630121 \rtlch\fcs1 \af0\afs20\alang1025 \ltrch\fcs0 \i\fs24\lang2057\langfe2057\cgrid\langnp2057\langfenp2057 {\rtlch\fcs1 _x000d__x000a_\af0 \ltrch\fcs0 \cs15\i0\v\f1\fs20\cf9\insrsid10770803\charrsid9452920 &lt;OptDel&gt;}{\rtlch\fcs1 \af0 \ltrch\fcs0 \insrsid10770803\charrsid9452920 #}{\rtlch\fcs1 \af0 \ltrch\fcs0 \cs16\v\cf15\insrsid10770803\charrsid9452920 _x000d__x000a_MNU[CROSSREFNO][CROSSREFYES]@CHOICE@}{\rtlch\fcs1 \af0 \ltrch\fcs0 \insrsid10770803\charrsid9452920 #}{\rtlch\fcs1 \af0 \ltrch\fcs0 \cs15\i0\v\f1\fs20\cf9\insrsid10770803\charrsid9452920 &lt;/OptDel&gt;}{\rtlch\fcs1 \af0 \ltrch\fcs0 _x000d__x000a_\insrsid10770803\charrsid9452920 _x000d__x000a_\par }\pard\plain \ltrpar\s23\qc \li0\ri0\sb240\sa240\keepn\nowidctlpar\wrapdefault\aspalpha\aspnum\faauto\adjustright\rin0\lin0\itap0\pararsid3744759 \rtlch\fcs1 \af0\afs20\alang1025 \ltrch\fcs0 _x000d__x000a_\i\fs24\lang1024\langfe1024\cgrid\noproof\langnp2057\langfenp2057 {\rtlch\fcs1 \af0 \ltrch\fcs0 \cs15\i0\v\f1\fs20\cf9\noproof0\insrsid10770803\charrsid9452920 &lt;TitreJust&gt;}{\rtlch\fcs1 \af0 \ltrch\fcs0 \noproof0\insrsid10770803\charrsid9452920 _x000d__x000a_Justification}{\rtlch\fcs1 \af0 \ltrch\fcs0 \cs15\i0\v\f1\fs20\cf9\noproof0\insrsid10770803\charrsid9452920 &lt;/TitreJust&gt;}{\rtlch\fcs1 \af0 \ltrch\fcs0 \noproof0\insrsid10770803\charrsid9452920 _x000d__x000a_\par }\pard\plain \ltrpar\s21\ql \li0\ri0\sa240\nowidctlpar\wrapdefault\aspalpha\aspnum\faauto\adjustright\rin0\lin0\itap0\pararsid16390444 \rtlch\fcs1 \af0\afs20\alang1025 \ltrch\fcs0 \i\fs24\lang1024\langfe1024\cgrid\noproof\langnp2057\langfenp2057 {_x000d__x000a_\rtlch\fcs1 \af0 \ltrch\fcs0 \cs15\i0\v\f1\fs20\cf9\noproof0\insrsid10770803\charrsid9452920 &lt;OptDelPrev&gt;}{\rtlch\fcs1 \af0 \ltrch\fcs0 \noproof0\insrsid10770803\charrsid9452920 #}{\rtlch\fcs1 \af0 \ltrch\fcs0 _x000d__x000a_\cs16\v\cf15\noproof0\insrsid10770803\charrsid9452920 MNU[TEXTJUSTYES][TEXTJUSTNO]@CHOICE@}{\rtlch\fcs1 \af0 \ltrch\fcs0 \noproof0\insrsid10770803\charrsid9452920 #}{\rtlch\fcs1 \af0 \ltrch\fcs0 _x000d__x000a_\cs15\i0\v\f1\fs20\cf9\noproof0\insrsid10770803\charrsid9452920 &lt;/OptDelPrev&gt;}{\rtlch\fcs1 \af0 \ltrch\fcs0 \noproof0\insrsid10770803\charrsid9452920 _x000d__x000a_\par }\pard\plain \ltrpar\ql \li0\ri0\widctlpar\wrapdefault\aspalpha\aspnum\faauto\adjustright\rin0\lin0\itap0\pararsid16324206 \rtlch\fcs1 \af0\afs20\alang1025 \ltrch\fcs0 \fs24\lang2057\langfe2057\cgrid\langnp2057\langfenp2057 {\rtlch\fcs1 \af0 \ltrch\fcs0 _x000d__x000a_\cs15\v\f1\fs20\cf9\insrsid10770803\charrsid9452920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c064_x000d__x000a_d8fce4a6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exBEN"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09\fbidi \froman\fcharset238\fprq2 Times New Roman CE;}{\f310\fbidi \froman\fcharset204\fprq2 Times New Roman Cyr;}_x000d__x000a_{\f312\fbidi \froman\fcharset161\fprq2 Times New Roman Greek;}{\f313\fbidi \froman\fcharset162\fprq2 Times New Roman Tur;}{\f314\fbidi \froman\fcharset177\fprq2 Times New Roman (Hebrew);}{\f315\fbidi \froman\fcharset178\fprq2 Times New Roman (Arabic);}_x000d__x000a_{\f316\fbidi \froman\fcharset186\fprq2 Times New Roman Baltic;}{\f317\fbidi \froman\fcharset163\fprq2 Times New Roman (Vietnamese);}{\f319\fbidi \fswiss\fcharset238\fprq2 Arial CE;}{\f320\fbidi \fswiss\fcharset204\fprq2 Arial Cyr;}_x000d__x000a_{\f322\fbidi \fswiss\fcharset161\fprq2 Arial Greek;}{\f323\fbidi \fswiss\fcharset162\fprq2 Arial Tur;}{\f324\fbidi \fswiss\fcharset177\fprq2 Arial (Hebrew);}{\f325\fbidi \fswiss\fcharset178\fprq2 Arial (Arabic);}_x000d__x000a_{\f326\fbidi \fswiss\fcharset186\fprq2 Arial Baltic;}{\f327\fbidi \fswiss\fcharset163\fprq2 Arial (Vietnamese);}{\f649\fbidi \froman\fcharset238\fprq2 Cambria Math CE;}{\f650\fbidi \froman\fcharset204\fprq2 Cambria Math Cyr;}_x000d__x000a_{\f652\fbidi \froman\fcharset161\fprq2 Cambria Math Greek;}{\f653\fbidi \froman\fcharset162\fprq2 Cambria Math Tur;}{\f656\fbidi \froman\fcharset186\fprq2 Cambria Math Baltic;}{\f657\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8529389 HideTWBExt;}{\*\cs16 \additive \v\cf15 \spriority0 \styrsid8529389 HideTWBInt;}{\s17\ql \li0\ri0\sa120\nowidctlpar\wrapdefault\aspalpha\aspnum\faauto\adjustright\rin0\lin0\itap0 _x000d__x000a_\rtlch\fcs1 \af0\afs20\alang1025 \ltrch\fcs0 \fs24\lang2057\langfe2057\cgrid\langnp2057\langfenp2057 \sbasedon0 \snext17 \slink18 \spriority0 \styrsid8529389 Normal6;}{\*\cs18 \additive \fs24 \slink17 \slocked \spriority0 \styrsid8529389 Normal6 Char;}{_x000d__x000a_\s19\ql \li0\ri0\nowidctlpar\wrapdefault\aspalpha\aspnum\faauto\adjustright\rin0\lin0\itap0 \rtlch\fcs1 \af0\afs20\alang1025 \ltrch\fcs0 \b\fs24\lang2057\langfe2057\cgrid\langnp2057\langfenp2057 \sbasedon0 \snext19 \slink20 \spriority0 \styrsid8529389 _x000d__x000a_NormalBold;}{\*\cs20 \additive \b\fs24 \slink19 \slocked \spriority0 \styrsid8529389 NormalBold Char;}{\s21\ql \li0\ri0\sa240\nowidctlpar\wrapdefault\aspalpha\aspnum\faauto\adjustright\rin0\lin0\itap0 \rtlch\fcs1 \af0\afs20\alang1025 \ltrch\fcs0 _x000d__x000a_\i\fs24\lang1024\langfe1024\cgrid\noproof\langnp2057\langfenp2057 \sbasedon0 \snext21 \spriority0 \styrsid8529389 Normal12Italic;}{\s22\qc \li0\ri0\sb240\nowidctlpar\wrapdefault\aspalpha\aspnum\faauto\adjustright\rin0\lin0\itap0 \rtlch\fcs1 _x000d__x000a_\af0\afs20\alang1025 \ltrch\fcs0 \i\fs24\lang2057\langfe2057\cgrid\langnp2057\langfenp2057 \sbasedon0 \snext22 \spriority0 \styrsid8529389 CrossRef;}{_x000d__x000a_\s23\qc \li0\ri0\sb240\sa240\keepn\nowidctlpar\wrapdefault\aspalpha\aspnum\faauto\adjustright\rin0\lin0\itap0 \rtlch\fcs1 \af0\afs20\alang1025 \ltrch\fcs0 \i\fs24\lang1024\langfe1024\cgrid\noproof\langnp2057\langfenp2057 _x000d__x000a_\sbasedon0 \snext0 \spriority0 \styrsid8529389 JustificationTitle;}{\s24\qr \li0\ri0\sb240\sa240\nowidctlpar\wrapdefault\aspalpha\aspnum\faauto\adjustright\rin0\lin0\itap0 \rtlch\fcs1 \af0\afs20\alang1025 \ltrch\fcs0 _x000d__x000a_\fs24\lang1024\langfe1024\cgrid\noproof\langnp2057\langfenp2057 \sbasedon0 \snext24 \spriority0 \styrsid8529389 Olang;}{\s25\qc \li0\ri0\sa240\nowidctlpar\wrapdefault\aspalpha\aspnum\faauto\adjustright\rin0\lin0\itap0 \rtlch\fcs1 \af0\afs20\alang1025 _x000d__x000a_\ltrch\fcs0 \i\fs24\lang2057\langfe2057\cgrid\langnp2057\langfenp2057 \sbasedon0 \snext25 \spriority0 \styrsid8529389 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8529389 AMNumberTabs;}}{\*\rsidtbl \rsid24658\rsid735077\rsid2892074\rsid3219893\rsid4666813\rsid6641733\rsid8529389\rsid9636012\rsid11215221_x000d__x000a_\rsid12154954\rsid14424199\rsid15204470\rsid15285974\rsid15950462\rsid16324206\rsid16662270}{\mmathPr\mmathFont34\mbrkBin0\mbrkBinSub0\msmallFrac0\mdispDef1\mlMargin0\mrMargin0\mdefJc1\mwrapIndent1440\mintLim0\mnaryLim1}{\info_x000d__x000a_{\author JEAN PIERRE Guilaine}{\operator JEAN PIERRE Guilaine}{\creatim\yr2017\mo3\dy27\hr12\min34}{\revtim\yr2017\mo3\dy27\hr12\min34}{\version1}{\edmins0}{\nofpages1}{\nofwords70}{\nofchars765}{\*\company European Parliament}{\nofcharsws766}_x000d__x000a_{\vern57441}}{\*\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8529389\utinl \fet0{\*\wgrffmtfilter 013f}\ilfomacatclnup0{\*\template C:\\Users\\GJEANP~1\\AppData\\Local\\Temp\\Blank1.dot}{\*\ftnsep \ltrpar \pard\plain \ltrpar_x000d__x000a_\ql \li0\ri0\widctlpar\wrapdefault\aspalpha\aspnum\faauto\adjustright\rin0\lin0\itap0 \rtlch\fcs1 \af0\afs20\alang1025 \ltrch\fcs0 \fs24\lang2057\langfe2057\cgrid\langnp2057\langfenp2057 {\rtlch\fcs1 \af0 \ltrch\fcs0 \insrsid3219893 \chftnsep _x000d__x000a_\par }}{\*\ftnsepc \ltrpar \pard\plain \ltrpar\ql \li0\ri0\widctlpar\wrapdefault\aspalpha\aspnum\faauto\adjustright\rin0\lin0\itap0 \rtlch\fcs1 \af0\afs20\alang1025 \ltrch\fcs0 \fs24\lang2057\langfe2057\cgrid\langnp2057\langfenp2057 {\rtlch\fcs1 \af0 _x000d__x000a_\ltrch\fcs0 \insrsid3219893 \chftnsepc _x000d__x000a_\par }}{\*\aftnsep \ltrpar \pard\plain \ltrpar\ql \li0\ri0\widctlpar\wrapdefault\aspalpha\aspnum\faauto\adjustright\rin0\lin0\itap0 \rtlch\fcs1 \af0\afs20\alang1025 \ltrch\fcs0 \fs24\lang2057\langfe2057\cgrid\langnp2057\langfenp2057 {\rtlch\fcs1 \af0 _x000d__x000a_\ltrch\fcs0 \insrsid3219893 \chftnsep _x000d__x000a_\par }}{\*\aftnsepc \ltrpar \pard\plain \ltrpar\ql \li0\ri0\widctlpar\wrapdefault\aspalpha\aspnum\faauto\adjustright\rin0\lin0\itap0 \rtlch\fcs1 \af0\afs20\alang1025 \ltrch\fcs0 \fs24\lang2057\langfe2057\cgrid\langnp2057\langfenp2057 {\rtlch\fcs1 \af0 _x000d__x000a_\ltrch\fcs0 \insrsid3219893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6\ql \li0\ri0\sb240\keepn\nowidctlpar\tx879\tx936\tx1021\tx1077\tx1134\tx1191\tx1247\tx1304\tx1361\tx1418\tx1474\tx1531\tx1588\tx1644\tx1701\tx1758\tx1814\tx1871\tx2070\tx2126\tx3374\tx3430\wrapdefault\aspalpha\aspnum\faauto\adjustright\rin0_x000d__x000a_\lin0\itap0\pararsid11762267 \rtlch\fcs1 \af0\afs20\alang1025 \ltrch\fcs0 \b\fs24\lang2057\langfe2057\cgrid\langnp2057\langfenp2057 {\rtlch\fcs1 \af0 \ltrch\fcs0 \cs15\b0\v\f1\fs20\cf9\insrsid8529389\charrsid9452920 {\*\bkmkstart restart}&lt;}{\rtlch\fcs1 _x000d__x000a_\af0 \ltrch\fcs0 \cs15\b0\v\f1\fs20\cf9\insrsid8529389 Amend}{\rtlch\fcs1 \af0 \ltrch\fcs0 \cs15\b0\v\f1\fs20\cf9\insrsid8529389\charrsid9452920 &gt;}{\rtlch\fcs1 \af0 \ltrch\fcs0 \insrsid8529389\charrsid9452920 Amendment\tab \tab }{\rtlch\fcs1 \af0 _x000d__x000a_\ltrch\fcs0 \cs15\b0\v\f1\fs20\cf9\insrsid8529389\charrsid9452920 &lt;}{\rtlch\fcs1 \af0 \ltrch\fcs0 \cs15\b0\v\f1\fs20\cf9\insrsid8529389 NumAm&gt;}{\rtlch\fcs1 \af0 \ltrch\fcs0 \insrsid8529389\charrsid9452920 #}{\rtlch\fcs1 \af0 \ltrch\fcs0 _x000d__x000a_\cs16\v\cf15\insrsid8529389\charrsid9452920 ENMIENDA@NRAM@}{\rtlch\fcs1 \af0 \ltrch\fcs0 \insrsid8529389\charrsid9452920 #}{\rtlch\fcs1 \af0 \ltrch\fcs0 \cs15\b0\v\f1\fs20\cf9\insrsid8529389\charrsid9452920 &lt;/}{\rtlch\fcs1 \af0 \ltrch\fcs0 _x000d__x000a_\cs15\b0\v\f1\fs20\cf9\insrsid8529389 NumAm&gt;}{\rtlch\fcs1 \af0 \ltrch\fcs0 \insrsid8529389\charrsid9452920 _x000d__x000a_\par }\pard\plain \ltrpar\s19\ql \li0\ri0\nowidctlpar\wrapdefault\aspalpha\aspnum\faauto\adjustright\rin0\lin0\itap0\pararsid5976803 \rtlch\fcs1 \af0\afs20\alang1025 \ltrch\fcs0 \b\fs24\lang2057\langfe2057\cgrid\langnp2057\langfenp2057 {\rtlch\fcs1 \af0 _x000d__x000a_\ltrch\fcs0 \cs15\b0\v\f1\fs20\cf9\insrsid8529389\charrsid9452920 &lt;RepeatBlock-By&gt;}{\rtlch\fcs1 \af0 \ltrch\fcs0 \insrsid8529389\charrsid9452920 #}{\rtlch\fcs1 \af0 \ltrch\fcs0 \cs16\v\cf15\insrsid8529389\charrsid9452920 &gt;&gt;&gt;@[ZMEMBERSMSG]@}{\rtlch\fcs1 _x000d__x000a_\af0 \ltrch\fcs0 \insrsid8529389\charrsid9452920 #}{\rtlch\fcs1 \af0 \ltrch\fcs0 \cs15\b0\v\f1\fs20\cf9\insrsid8529389\charrsid9452920 &lt;Members&gt;}{\rtlch\fcs1 \af0 \ltrch\fcs0 \cf10\insrsid8529389\charrsid11762267 \u9668\'3f}{\rtlch\fcs1 \af0 \ltrch\fcs0 _x000d__x000a_\insrsid8529389\charrsid9452920 #}{\rtlch\fcs1 \af0 \ltrch\fcs0 \cs16\v\cf15\insrsid8529389\charrsid9452920 TVTMEMBERS@MEMBERS@}{\rtlch\fcs1 \af0 \ltrch\fcs0 \insrsid8529389\charrsid9452920 #}{\rtlch\fcs1 \af0 \ltrch\fcs0 _x000d__x000a_\cf10\insrsid8529389\charrsid11762267 \u9658\'3f}{\rtlch\fcs1 \af0 \ltrch\fcs0 \cs15\b0\v\f1\fs20\cf9\insrsid8529389\charrsid9452920 &lt;/Members&gt;}{\rtlch\fcs1 \af0 \ltrch\fcs0 \insrsid8529389\charrsid9452920 _x000d__x000a_\par }\pard\plain \ltrpar\ql \li0\ri0\widctlpar\wrapdefault\aspalpha\aspnum\faauto\adjustright\rin0\lin0\itap0\pararsid5976803 \rtlch\fcs1 \af0\afs20\alang1025 \ltrch\fcs0 \fs24\lang2057\langfe2057\cgrid\langnp2057\langfenp2057 {\rtlch\fcs1 \af0 \ltrch\fcs0 _x000d__x000a_\cs15\v\f1\fs20\cf9\insrsid8529389\charrsid9452920 &lt;AuNomDe&gt;&lt;OptDel&gt;}{\rtlch\fcs1 \af0 \ltrch\fcs0 \insrsid8529389\charrsid9452920 #}{\rtlch\fcs1 \af0 \ltrch\fcs0 \cs16\v\cf15\insrsid8529389\charrsid9452920 MNU[ONBEHALFYES][NOTAPP]@CHOICE@}{\rtlch\fcs1 _x000d__x000a_\af0 \ltrch\fcs0 \insrsid8529389\charrsid9452920 #}{\rtlch\fcs1 \af0 \ltrch\fcs0 \cs15\v\f1\fs20\cf9\insrsid8529389\charrsid9452920 &lt;/OptDel&gt;&lt;/AuNomDe&gt;}{\rtlch\fcs1 \af0 \ltrch\fcs0 \insrsid8529389\charrsid9452920 _x000d__x000a_\par &lt;&lt;&lt;}{\rtlch\fcs1 \af0 \ltrch\fcs0 \cs15\v\f1\fs20\cf9\insrsid8529389\charrsid9452920 &lt;/RepeatBlock-By&gt;}{\rtlch\fcs1 \af0 \ltrch\fcs0 \insrsid8529389\charrsid9452920 _x000d__x000a_\par }\pard\plain \ltrpar\s19\ql \li0\ri0\nowidctlpar\wrapdefault\aspalpha\aspnum\faauto\adjustright\rin0\lin0\itap0\pararsid5976803 \rtlch\fcs1 \af0\afs20\alang1025 \ltrch\fcs0 \b\fs24\lang2057\langfe2057\cgrid\langnp2057\langfenp2057 {\rtlch\fcs1 \af0 _x000d__x000a_\ltrch\fcs0 \cs15\b0\v\f1\fs20\cf9\insrsid8529389\charrsid9452920 &lt;DocAmend&gt;}{\rtlch\fcs1 \af0 \ltrch\fcs0 \insrsid8529389\charrsid9452920 #}{\rtlch\fcs1 \af0 \ltrch\fcs0 \cs16\v\cf15\insrsid8529389\charrsid9452920 _x000d__x000a_MNU[OPTPROPOSALCOD][OPTPROPOSALCNS][OPTPROPOSALNLE]@CHOICE@CODEMNU}{\rtlch\fcs1 \af0 \ltrch\fcs0 \insrsid8529389\charrsid9452920 #}{\rtlch\fcs1 \af0 \ltrch\fcs0 \cs15\b0\v\f1\fs20\cf9\insrsid8529389\charrsid9452920 &lt;/DocAmend&gt;}{\rtlch\fcs1 \af0 _x000d__x000a_\ltrch\fcs0 \insrsid8529389\charrsid9452920 _x000d__x000a_\par }\pard \ltrpar\s19\ql \li0\ri0\keepn\nowidctlpar\wrapdefault\aspalpha\aspnum\faauto\adjustright\rin0\lin0\itap0\pararsid10630121 {\rtlch\fcs1 \af0 \ltrch\fcs0 \cs15\b0\v\f1\fs20\cf9\insrsid8529389\charrsid9452920 &lt;Article&gt;}{\rtlch\fcs1 \af0 \ltrch\fcs0 _x000d__x000a_\insrsid8529389\charrsid9452920 #}{\rtlch\fcs1 \af0 \ltrch\fcs0 \cs16\v\cf15\insrsid8529389\charrsid9452920 MNU[AMACTPARTYES][AMACTPARTNO]@CHOICE@AMACTMNU}{\rtlch\fcs1 \af0 \ltrch\fcs0 \insrsid8529389\charrsid9452920 #}{\rtlch\fcs1 \af0 \ltrch\fcs0 _x000d__x000a_\cs15\b0\v\f1\fs20\cf9\insrsid8529389\charrsid9452920 &lt;/Article&gt;}{\rtlch\fcs1 \af0 \ltrch\fcs0 \insrsid8529389\charrsid9452920 _x000d__x000a_\par }\pard\plain \ltrpar\ql \li0\ri0\keepn\widctlpar\wrapdefault\aspalpha\aspnum\faauto\adjustright\rin0\lin0\itap0\pararsid3744759 \rtlch\fcs1 \af0\afs20\alang1025 \ltrch\fcs0 \fs24\lang2057\langfe2057\cgrid\langnp2057\langfenp2057 {\rtlch\fcs1 \af0 _x000d__x000a_\ltrch\fcs0 \cs15\v\f1\fs20\cf9\insrsid8529389\charrsid9452920 &lt;DocAmend2&gt;&lt;OptDel&gt;}{\rtlch\fcs1 \af0 \ltrch\fcs0 \insrsid8529389\charrsid9452920 #}{\rtlch\fcs1 \af0 \ltrch\fcs0 \cs16\v\cf15\insrsid8529389\charrsid9452920 _x000d__x000a_MNU[OPTNRACTYES][NOTAPP]@CHOICE@AMACTMNU}{\rtlch\fcs1 \af0 \ltrch\fcs0 \insrsid8529389\charrsid9452920 #}{\rtlch\fcs1 \af0 \ltrch\fcs0 \cs15\v\f1\fs20\cf9\insrsid8529389\charrsid9452920 &lt;/OptDel&gt;&lt;/DocAmend2&gt;}{\rtlch\fcs1 \af0 \ltrch\fcs0 _x000d__x000a_\insrsid8529389\charrsid9452920 _x000d__x000a_\par }\pard \ltrpar\ql \li0\ri0\widctlpar\wrapdefault\aspalpha\aspnum\faauto\adjustright\rin0\lin0\itap0\pararsid10158853 {\rtlch\fcs1 \af0 \ltrch\fcs0 \cs15\v\f1\fs20\cf9\insrsid8529389\charrsid9452920 &lt;Article2&gt;&lt;OptDel&gt;}{\rtlch\fcs1 \af0 \ltrch\fcs0 _x000d__x000a_\insrsid8529389\charrsid9452920 #}{\rtlch\fcs1 \af0 \ltrch\fcs0 \cs16\v\cf15\insrsid8529389\charrsid9452920 MNU[OPTACTPARTYES][NOTAPP]@CHOICE@AMACTMNU}{\rtlch\fcs1 \af0 \ltrch\fcs0 \insrsid8529389\charrsid9452920 #}{\rtlch\fcs1 \af0 \ltrch\fcs0 _x000d__x000a_\cs15\v\f1\fs20\cf9\insrsid8529389\charrsid9452920 &lt;/OptDel&gt;&lt;/Article2&gt;}{\rtlch\fcs1 \af0 \ltrch\fcs0 \insrsid8529389\charrsid9452920 _x000d__x000a_\par \ltrrow}\trowd \ltrrow\ts11\trqc\trgaph340\trleft-340\trftsWidth3\trwWidth9752\trftsWidthB3\trftsWidthA3\trpaddl340\trpaddr340\trpaddfl3\trpaddfr3\tblind0\tblindtype3 \clvertalt\clbrdrt\brdrtbl \clbrdrl\brdrtbl \clbrdrb\brdrtbl \clbrdrr\brdrtbl _x000d__x000a_\cltxlrtb\clftsWidth3\clwWidth9752\clshdrawnil \cellx9412\pard \ltrpar\ql \li0\ri0\keepn\widctlpar\intbl\wrapdefault\aspalpha\aspnum\faauto\adjustright\rin0\lin0\pararsid10630121 {\rtlch\fcs1 \af0 \ltrch\fcs0 \insrsid8529389\charrsid9452920 \cell _x000d__x000a_}\pard \ltrpar\ql \li0\ri0\widctlpar\intbl\wrapdefault\aspalpha\aspnum\faauto\adjustright\rin0\lin0 {\rtlch\fcs1 \af0 \ltrch\fcs0 \insrsid8529389\charrsid9452920 \trowd \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ind0\tblindtype3 \clvertalt\clbrdrt_x000d__x000a_\brdrtbl \clbrdrl\brdrtbl \clbrdrb\brdrtbl \clbrdrr\brdrtbl \cltxlrtb\clftsWidth3\clwWidth4876\clshdrawnil \cellx4536\clvertalt\clbrdrt\brdrtbl \clbrdrl\brdrtbl \clbrdrb\brdrtbl \clbrdrr\brdrtbl \cltxlrtb\clftsWidth3\clwWidth4876\clshdrawnil \cellx9412_x000d__x000a_\pard\plain \ltrpar\s25\qc \li0\ri0\sa240\keepn\nowidctlpar\intbl\wrapdefault\aspalpha\aspnum\faauto\adjustright\rin0\lin0\pararsid10630121 \rtlch\fcs1 \af0\afs20\alang1025 \ltrch\fcs0 \i\fs24\lang2057\langfe2057\cgrid\langnp2057\langfenp2057 {_x000d__x000a_\rtlch\fcs1 \af0 \ltrch\fcs0 \insrsid8529389\charrsid9452920 #}{\rtlch\fcs1 \af0 \ltrch\fcs0 \cs16\v\cf15\insrsid8529389\charrsid9452920 MNU[OPTLEFTAMACT][LEFTPROP]@CHOICE@AMACTMNU}{\rtlch\fcs1 \af0 \ltrch\fcs0 \insrsid8529389\charrsid9452920 #\cell _x000d__x000a_Amendment\cell }\pard\plain \ltrpar\ql \li0\ri0\widctlpar\intbl\wrapdefault\aspalpha\aspnum\faauto\adjustright\rin0\lin0 \rtlch\fcs1 \af0\afs20\alang1025 \ltrch\fcs0 \fs24\lang2057\langfe2057\cgrid\langnp2057\langfenp2057 {\rtlch\fcs1 \af0 \ltrch\fcs0 _x000d__x000a_\insrsid8529389\charrsid9452920 \trowd \ltrrow\ts11\trqc\trgaph340\trleft-340\trftsWidth3\trwWidth9752\trftsWidthB3\trftsWidthA3\trpaddl340\trpaddr340\trpaddfl3\trpaddfr3\tblind0\tblindtype3 \clvertalt\clbrdrt\brdrtbl \clbrdrl\brdrtbl \clbrdrb\brdrtbl _x000d__x000a_\clbrdrr\brdrtbl \cltxlrtb\clftsWidth3\clwWidth4876\clshdrawnil \cellx4536\clvertalt\clbrdrt\brdrtbl \clbrdrl\brdrtbl \clbrdrb\brdrtbl \clbrdrr\brdrtbl \cltxlrtb\clftsWidth3\clwWidth4876\clshdrawnil \cellx9412\row \ltrrow}\pard\plain \ltrpar_x000d__x000a_\s17\ql \li0\ri0\sa120\nowidctlpar\intbl\wrapdefault\aspalpha\aspnum\faauto\adjustright\rin0\lin0\pararsid12024389 \rtlch\fcs1 \af0\afs20\alang1025 \ltrch\fcs0 \fs24\lang2057\langfe2057\cgrid\langnp2057\langfenp2057 {\rtlch\fcs1 \af0 \ltrch\fcs0 _x000d__x000a_\insrsid8529389\charrsid9452920 ##\cell ##}{\rtlch\fcs1 \af0\afs24 \ltrch\fcs0 \insrsid8529389\charrsid9452920 \cell }\pard\plain \ltrpar\ql \li0\ri0\widctlpar\intbl\wrapdefault\aspalpha\aspnum\faauto\adjustright\rin0\lin0 \rtlch\fcs1 _x000d__x000a_\af0\afs20\alang1025 \ltrch\fcs0 \fs24\lang2057\langfe2057\cgrid\langnp2057\langfenp2057 {\rtlch\fcs1 \af0 \ltrch\fcs0 \insrsid8529389\charrsid9452920 \trowd \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16390444 \rtlch\fcs1 \af0\afs20\alang1025 \ltrch\fcs0 \fs24\lang1024\langfe1024\cgrid\noproof\langnp2057\langfenp2057 {\rtlch\fcs1 \af0 _x000d__x000a_\ltrch\fcs0 \noproof0\insrsid8529389\charrsid9452920 Or. }{\rtlch\fcs1 \af0 \ltrch\fcs0 \cs15\v\f1\fs20\cf9\noproof0\insrsid8529389\charrsid9452920 &lt;Original&gt;}{\rtlch\fcs1 \af0 \ltrch\fcs0 \noproof0\insrsid8529389\charrsid9452920 #}{\rtlch\fcs1 \af0 _x000d__x000a_\ltrch\fcs0 \cs16\v\cf15\noproof0\insrsid8529389\charrsid9452920 KEY(MAIN/LANGMIN)sh@ORLANGMSG@}{\rtlch\fcs1 \af0 \ltrch\fcs0 \noproof0\insrsid8529389\charrsid9452920 #}{\rtlch\fcs1 \af0 \ltrch\fcs0 _x000d__x000a_\cs15\v\f1\fs20\cf9\noproof0\insrsid8529389\charrsid9452920 &lt;/Original&gt;}{\rtlch\fcs1 \af0 \ltrch\fcs0 \noproof0\insrsid8529389\charrsid9452920 _x000d__x000a_\par }\pard\plain \ltrpar\s22\qc \li0\ri0\sb240\nowidctlpar\wrapdefault\aspalpha\aspnum\faauto\adjustright\rin0\lin0\itap0\pararsid10630121 \rtlch\fcs1 \af0\afs20\alang1025 \ltrch\fcs0 \i\fs24\lang2057\langfe2057\cgrid\langnp2057\langfenp2057 {\rtlch\fcs1 _x000d__x000a_\af0 \ltrch\fcs0 \cs15\i0\v\f1\fs20\cf9\insrsid8529389\charrsid9452920 &lt;OptDel&gt;}{\rtlch\fcs1 \af0 \ltrch\fcs0 \insrsid8529389\charrsid9452920 #}{\rtlch\fcs1 \af0 \ltrch\fcs0 \cs16\v\cf15\insrsid8529389\charrsid9452920 MNU[CROSSREFNO][CROSSREFYES]@CHOICE@}_x000d__x000a_{\rtlch\fcs1 \af0 \ltrch\fcs0 \insrsid8529389\charrsid9452920 #}{\rtlch\fcs1 \af0 \ltrch\fcs0 \cs15\i0\v\f1\fs20\cf9\insrsid8529389\charrsid9452920 &lt;/OptDel&gt;}{\rtlch\fcs1 \af0 \ltrch\fcs0 \insrsid8529389\charrsid9452920 _x000d__x000a_\par }\pard\plain \ltrpar\s23\qc \li0\ri0\sb240\sa240\keepn\nowidctlpar\wrapdefault\aspalpha\aspnum\faauto\adjustright\rin0\lin0\itap0\pararsid3744759 \rtlch\fcs1 \af0\afs20\alang1025 \ltrch\fcs0 _x000d__x000a_\i\fs24\lang1024\langfe1024\cgrid\noproof\langnp2057\langfenp2057 {\rtlch\fcs1 \af0 \ltrch\fcs0 \cs15\i0\v\f1\fs20\cf9\noproof0\insrsid8529389\charrsid9452920 &lt;TitreJust&gt;}{\rtlch\fcs1 \af0 \ltrch\fcs0 \noproof0\insrsid8529389\charrsid9452920 Justification_x000d__x000a_}{\rtlch\fcs1 \af0 \ltrch\fcs0 \cs15\i0\v\f1\fs20\cf9\noproof0\insrsid8529389\charrsid9452920 &lt;/TitreJust&gt;}{\rtlch\fcs1 \af0 \ltrch\fcs0 \noproof0\insrsid8529389\charrsid9452920 _x000d__x000a_\par }\pard\plain \ltrpar\s21\ql \li0\ri0\sa240\nowidctlpar\wrapdefault\aspalpha\aspnum\faauto\adjustright\rin0\lin0\itap0\pararsid16390444 \rtlch\fcs1 \af0\afs20\alang1025 \ltrch\fcs0 \i\fs24\lang1024\langfe1024\cgrid\noproof\langnp2057\langfenp2057 {_x000d__x000a_\rtlch\fcs1 \af0 \ltrch\fcs0 \cs15\i0\v\f1\fs20\cf9\noproof0\insrsid8529389\charrsid9452920 &lt;OptDelPrev&gt;}{\rtlch\fcs1 \af0 \ltrch\fcs0 \noproof0\insrsid8529389\charrsid9452920 #}{\rtlch\fcs1 \af0 \ltrch\fcs0 _x000d__x000a_\cs16\v\cf15\noproof0\insrsid8529389\charrsid9452920 MNU[TEXTJUSTYES][TEXTJUSTNO]@CHOICE@}{\rtlch\fcs1 \af0 \ltrch\fcs0 \noproof0\insrsid8529389\charrsid9452920 #}{\rtlch\fcs1 \af0 \ltrch\fcs0 _x000d__x000a_\cs15\i0\v\f1\fs20\cf9\noproof0\insrsid8529389\charrsid9452920 &lt;/OptDelPrev&gt;}{\rtlch\fcs1 \af0 \ltrch\fcs0 \noproof0\insrsid8529389\charrsid9452920 _x000d__x000a_\par }\pard\plain \ltrpar\ql \li0\ri0\widctlpar\wrapdefault\aspalpha\aspnum\faauto\adjustright\rin0\lin0\itap0\pararsid16324206 \rtlch\fcs1 \af0\afs20\alang1025 \ltrch\fcs0 \fs24\lang2057\langfe2057\cgrid\langnp2057\langfenp2057 {\rtlch\fcs1 \af0 \ltrch\fcs0 _x000d__x000a_\cs15\v\f1\fs20\cf9\insrsid8529389\charrsid9452920 &lt;/}{\rtlch\fcs1 \af0 \ltrch\fcs0 \cs15\v\f1\fs20\cf9\insrsid8529389 Amend}{\rtlch\fcs1 \af0 \ltrch\fcs0 \cs15\v\f1\fs20\cf9\insrsid8529389\charrsid9452920 &gt;}{\rtlch\fcs1 \af0 \ltrch\fcs0 _x000d__x000a_\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d0e1_x000d__x000a_09a7e5a6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ABrut"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5625260 HideTWBExt;}{\s16\ql \li0\ri0\sa120\nowidctlpar\wrapdefault\aspalpha\aspnum\faauto\adjustright\rin0\lin0\itap0 \rtlch\fcs1 \af0\afs20\alang1025 \ltrch\fcs0 _x000d__x000a_\fs24\lang2057\langfe2057\cgrid\langnp2057\langfenp2057 \sbasedon0 \snext16 \slink17 \spriority0 \styrsid15625260 Normal6;}{\*\cs17 \additive \fs24\lang2057\langfe2057\langnp2057\langfenp2057 \slink16 \slocked \spriority0 \styrsid15625260 Normal6 Char;}{_x000d__x000a_\s18\ql \li0\ri0\nowidctlpar\wrapdefault\aspalpha\aspnum\faauto\adjustright\rin0\lin0\itap0 \rtlch\fcs1 \af0\afs20\alang1025 \ltrch\fcs0 \b\fs24\lang2057\langfe2057\cgrid\langnp2057\langfenp2057 \sbasedon0 \snext18 \slink19 \spriority0 \styrsid15625260 _x000d__x000a_NormalBold;}{\*\cs19 \additive \b\fs24\lang2057\langfe2057\langnp2057\langfenp2057 \slink18 \slocked \spriority0 \styrsid15625260 NormalBold Char;}{\s20\ql \li0\ri0\sa240\nowidctlpar\wrapdefault\aspalpha\aspnum\faauto\adjustright\rin0\lin0\itap0 _x000d__x000a_\rtlch\fcs1 \af0\afs20\alang1025 \ltrch\fcs0 \i\fs24\lang1024\langfe1024\cgrid\noproof\langnp2057\langfenp2057 \sbasedon0 \snext20 \spriority0 \styrsid15625260 Normal12Italic;}{_x000d__x000a_\s21\qc \li0\ri0\sb240\sa240\keepn\nowidctlpar\wrapdefault\aspalpha\aspnum\faauto\adjustright\rin0\lin0\itap0 \rtlch\fcs1 \af0\afs20\alang1025 \ltrch\fcs0 \i\fs24\lang1024\langfe1024\cgrid\noproof\langnp2057\langfenp2057 _x000d__x000a_\sbasedon0 \snext0 \spriority0 \styrsid15625260 JustificationTitle;}{\s22\qr \li0\ri0\sb240\sa240\nowidctlpar\wrapdefault\aspalpha\aspnum\faauto\adjustright\rin0\lin0\itap0 \rtlch\fcs1 \af0\afs20\alang1025 \ltrch\fcs0 _x000d__x000a_\fs24\lang1024\langfe1024\cgrid\noproof\langnp2057\langfenp2057 \sbasedon0 \snext22 \spriority0 \styrsid15625260 Olang;}{\s23\qc \li0\ri0\sa240\nowidctlpar\wrapdefault\aspalpha\aspnum\faauto\adjustright\rin0\lin0\itap0 \rtlch\fcs1 \af0\afs20\alang1025 _x000d__x000a_\ltrch\fcs0 \i\fs24\lang2057\langfe2057\cgrid\langnp2057\langfenp2057 \sbasedon0 \snext23 \spriority0 \styrsid15625260 ColumnHeading;}{\s24\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4 \spriority0 \styrsid15625260 AMNumberTabs;}}{\*\rsidtbl \rsid24658\rsid735077\rsid2892074\rsid4666813\rsid6641733\rsid9636012\rsid11215221\rsid12154954\rsid14424199_x000d__x000a_\rsid15204470\rsid15285974\rsid15625260\rsid15950462\rsid16324206\rsid16662270\rsid16743564}{\mmathPr\mmathFont34\mbrkBin0\mbrkBinSub0\msmallFrac0\mdispDef1\mlMargin0\mrMargin0\mdefJc1\mwrapIndent1440\mintLim0\mnaryLim1}{\info{\author FELIX Karina}_x000d__x000a_{\operator FELIX Karina}{\creatim\yr2015\mo5\dy8\hr15\min23}{\revtim\yr2015\mo5\dy8\hr15\min23}{\version1}{\edmins0}{\nofpages1}{\nofwords62}{\nofchars342}{\*\company European Parliament}{\nofcharsws403}{\vern49165}}{\*\xmlnstbl {\xmlns1 http://schemas.mi_x000d__x000a_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5625260\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16743564 \chftnsep _x000d__x000a_\par }}{\*\ftnsepc \ltrpar \pard\plain \ltrpar\ql \li0\ri0\widctlpar\wrapdefault\aspalpha\aspnum\faauto\adjustright\rin0\lin0\itap0 \rtlch\fcs1 \af0\afs20\alang1025 \ltrch\fcs0 \fs24\lang2057\langfe2057\cgrid\langnp2057\langfenp2057 {\rtlch\fcs1 \af0 _x000d__x000a_\ltrch\fcs0 \insrsid16743564 \chftnsepc _x000d__x000a_\par }}{\*\aftnsep \ltrpar \pard\plain \ltrpar\ql \li0\ri0\widctlpar\wrapdefault\aspalpha\aspnum\faauto\adjustright\rin0\lin0\itap0 \rtlch\fcs1 \af0\afs20\alang1025 \ltrch\fcs0 \fs24\lang2057\langfe2057\cgrid\langnp2057\langfenp2057 {\rtlch\fcs1 \af0 _x000d__x000a_\ltrch\fcs0 \insrsid16743564 \chftnsep _x000d__x000a_\par }}{\*\aftnsepc \ltrpar \pard\plain \ltrpar\ql \li0\ri0\widctlpar\wrapdefault\aspalpha\aspnum\faauto\adjustright\rin0\lin0\itap0 \rtlch\fcs1 \af0\afs20\alang1025 \ltrch\fcs0 \fs24\lang2057\langfe2057\cgrid\langnp2057\langfenp2057 {\rtlch\fcs1 \af0 _x000d__x000a_\ltrch\fcs0 \insrsid16743564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4\ql \li0\ri0\sb240\keepn\nowidctlpar\tx879\tx936\tx1021\tx1077\tx1134\tx1191\tx1247\tx1304\tx1361\tx1418\tx1474\tx1531\tx1588\tx1644\tx1701\tx1758\tx1814\tx1871\tx2070\tx2126\tx3374\tx3430\wrapdefault\aspalpha\aspnum\faauto\adjustright\rin0_x000d__x000a_\lin0\itap0\pararsid6905025 \rtlch\fcs1 \af0\afs20\alang1025 \ltrch\fcs0 \b\fs24\lang2057\langfe2057\cgrid\langnp2057\langfenp2057 {\rtlch\fcs1 \af0 \ltrch\fcs0 \cs15\b0\v\f1\fs20\cf9\insrsid15625260\charrsid946740 {\*\bkmkstart restartA}&lt;AmendA&gt;}{_x000d__x000a_\rtlch\fcs1 \af0 \ltrch\fcs0 \insrsid15625260\charrsid946740 [ZAMENDMENT]\tab \tab }{\rtlch\fcs1 \af0 \ltrch\fcs0 \cs15\b0\v\f1\fs20\cf9\insrsid15625260\charrsid946740 &lt;NumAmA&gt;}{\rtlch\fcs1 \af0 \ltrch\fcs0 \insrsid15625260\charrsid946740 [ZNRAM]}{_x000d__x000a_\rtlch\fcs1 \af0 \ltrch\fcs0 \cs15\b0\v\f1\fs20\cf9\insrsid15625260\charrsid946740 &lt;/NumAmA&gt;}{\rtlch\fcs1 \af0 \ltrch\fcs0 \insrsid15625260\charrsid946740 _x000d__x000a_\par }\pard\plain \ltrpar\s18\ql \li0\ri0\nowidctlpar\wrapdefault\aspalpha\aspnum\faauto\adjustright\rin0\lin0\itap0\pararsid5976803 \rtlch\fcs1 \af0\afs20\alang1025 \ltrch\fcs0 \b\fs24\lang2057\langfe2057\cgrid\langnp2057\langfenp2057 {\rtlch\fcs1 \af0 _x000d__x000a_\ltrch\fcs0 \cs15\b0\v\f1\fs20\cf9\lang1024\langfe1024\noproof\insrsid15625260\charrsid14699840 &lt;RepeatBlock-By&gt;}{\rtlch\fcs1 \af0 \ltrch\fcs0 \lang1024\langfe1024\noproof\insrsid15625260\charrsid14699840 [RepeatMembers]}{\rtlch\fcs1 \af0 \ltrch\fcs0 _x000d__x000a_\cs15\b0\v\f1\fs20\cf9\lang1024\langfe1024\noproof\insrsid15625260\charrsid14699840 &lt;Members&gt;}{\rtlch\fcs1 \af0 \ltrch\fcs0 \insrsid15625260\charrsid14699840 [ZMEMBERS]}{\rtlch\fcs1 \af0 \ltrch\fcs0 _x000d__x000a_\cs15\b0\v\f1\fs20\cf9\lang1024\langfe1024\noproof\insrsid15625260\charrsid14699840 &lt;/Members&gt;}{\rtlch\fcs1 \af0 \ltrch\fcs0 \insrsid15625260\charrsid14699840 _x000d__x000a_\par }\pard\plain \ltrpar\ql \li0\ri0\widctlpar\wrapdefault\aspalpha\aspnum\faauto\adjustright\rin0\lin0\itap0\pararsid5976803 \rtlch\fcs1 \af0\afs20\alang1025 \ltrch\fcs0 \fs24\lang2057\langfe2057\cgrid\langnp2057\langfenp2057 {\rtlch\fcs1 \af0 \ltrch\fcs0 _x000d__x000a_\cs15\v\f1\fs20\cf9\lang1024\langfe1024\noproof\insrsid15625260\charrsid14699840 &lt;AuNomDe&gt;&lt;OptDel&gt;}{\rtlch\fcs1 \af0 \ltrch\fcs0 \lang1024\langfe1024\noproof\insrsid15625260\charrsid14699840 [ZONBEHALF]}{\rtlch\fcs1 \af0 \ltrch\fcs0 _x000d__x000a_\cs15\v\f1\fs20\cf9\lang1024\langfe1024\noproof\insrsid15625260\charrsid14699840 &lt;/OptDel&gt;&lt;/AuNomDe&gt;}{\rtlch\fcs1 \af0 \ltrch\fcs0 \insrsid15625260\charrsid14699840 _x000d__x000a_\par &lt;&lt;&lt;}{\rtlch\fcs1 \af0 \ltrch\fcs0 \cs15\v\f1\fs20\cf9\lang1024\langfe1024\noproof\insrsid15625260\charrsid14699840 &lt;/RepeatBlock-By&gt;}{\rtlch\fcs1 \af0 \ltrch\fcs0 \insrsid15625260\charrsid14699840 _x000d__x000a_\par }\pard\plain \ltrpar\s18\ql \li0\ri0\nowidctlpar\wrapdefault\aspalpha\aspnum\faauto\adjustright\rin0\lin0\itap0\pararsid5976803 \rtlch\fcs1 \af0\afs20\alang1025 \ltrch\fcs0 \b\fs24\lang2057\langfe2057\cgrid\langnp2057\langfenp2057 {\rtlch\fcs1 \af0 _x000d__x000a_\ltrch\fcs0 \cs15\b0\v\f1\fs20\cf9\insrsid15625260\charrsid946740 &lt;DocAmend&gt;}{\rtlch\fcs1 \af0 \ltrch\fcs0 \insrsid15625260\charrsid946740 [ZRESOLUTION]}{\rtlch\fcs1 \af0 \ltrch\fcs0 \cs15\b0\v\f1\fs20\cf9\insrsid15625260\charrsid946740 &lt;/DocAmend&gt;}{_x000d__x000a_\rtlch\fcs1 \af0 \ltrch\fcs0 \insrsid15625260\charrsid946740 _x000d__x000a_\par }\pard \ltrpar\s18\ql \li0\ri0\nowidctlpar\wrapdefault\aspalpha\aspnum\faauto\adjustright\rin0\lin0\itap0\pararsid16013815 {\rtlch\fcs1 \af0 \ltrch\fcs0 \cs15\b0\v\f1\fs20\cf9\lang1024\langfe1024\noproof\insrsid15625260\charrsid16013815 &lt;Article&gt;}{_x000d__x000a_\rtlch\fcs1 \af0 \ltrch\fcs0 \insrsid15625260\charrsid16013815 [ZRESPART]}{\rtlch\fcs1 \af0 \ltrch\fcs0 \cs15\b0\v\f1\fs20\cf9\lang1024\langfe1024\noproof\insrsid15625260\charrsid16013815 &lt;/Article&gt;}{\rtlch\fcs1 \af0 \ltrch\fcs0 _x000d__x000a_\insrsid15625260\charrsid16013815 _x000d__x000a_\par \ltrrow}\trowd \ltrrow\ts11\trqc\trgaph340\trleft-340\trftsWidth1\trftsWidthB3\trftsWidthA3\trpaddl340\trpaddr340\trpaddfl3\trpaddfr3\tblind0\tblindtype3 \clvertalt\clbrdrt\brdrtbl \clbrdrl\brdrtbl \clbrdrb\brdrtbl \clbrdrr\brdrtbl _x000d__x000a_\cltxlrtb\clftsWidth3\clwWidth9752\clshdrawnil \cellx9412\pard\plain \ltrpar\ql \li0\ri0\keepn\widctlpar\intbl\wrapdefault\aspalpha\aspnum\faauto\adjustright\rin0\lin0\pararsid10630121 \rtlch\fcs1 \af0\afs20\alang1025 \ltrch\fcs0 _x000d__x000a_\fs24\lang2057\langfe2057\cgrid\langnp2057\langfenp2057 {\rtlch\fcs1 \af0 \ltrch\fcs0 \insrsid15625260\charrsid946740 \cell }\pard \ltrpar\ql \li0\ri0\widctlpar\intbl\wrapdefault\aspalpha\aspnum\faauto\adjustright\rin0\lin0 {\rtlch\fcs1 \af0 \ltrch\fcs0 _x000d__x000a_\insrsid15625260\charrsid946740 \trowd \ltrrow\ts11\trqc\trgaph340\trleft-340\trftsWidth1\trftsWidthB3\trftsWidthA3\trpaddl340\trpaddr340\trpaddfl3\trpaddfr3\tblind0\tblindtype3 \clvertalt\clbrdrt\brdrtbl \clbrdrl\brdrtbl \clbrdrb\brdrtbl \clbrdrr_x000d__x000a_\brdrtbl \cltxlrtb\clftsWidth3\clwWidth9752\clshdrawnil \cellx9412\row \ltrrow}\trowd \ltrrow\ts11\trqc\trgaph340\trleft-340\trftsWidth1\trftsWidthB3\trftsWidthA3\trpaddl340\trpaddr340\trpaddfl3\trpaddfr3\tblind0\tblindtype3 \clvertalt\clbrdrt\brdrtbl _x000d__x000a_\clbrdrl\brdrtbl \clbrdrb\brdrtbl \clbrdrr\brdrtbl \cltxlrtb\clftsWidth3\clwWidth4876\clshdrawnil \cellx4536\clvertalt\clbrdrt\brdrtbl \clbrdrl\brdrtbl \clbrdrb\brdrtbl \clbrdrr\brdrtbl \cltxlrtb\clftsWidth3\clwWidth4876\clshdrawnil \cellx9412_x000d__x000a_\pard\plain \ltrpar\s23\qc \li0\ri0\sa240\keepn\nowidctlpar\intbl\wrapdefault\aspalpha\aspnum\faauto\adjustright\rin0\lin0\pararsid10630121 \rtlch\fcs1 \af0\afs20\alang1025 \ltrch\fcs0 \i\fs24\lang2057\langfe2057\cgrid\langnp2057\langfenp2057 {_x000d__x000a_\rtlch\fcs1 \af0 \ltrch\fcs0 \insrsid15625260\charrsid946740 [ZLEFTA]\cell [ZRIGHT]\cell }\pard\plain \ltrpar\ql \li0\ri0\widctlpar\intbl\wrapdefault\aspalpha\aspnum\faauto\adjustright\rin0\lin0 \rtlch\fcs1 \af0\afs20\alang1025 \ltrch\fcs0 _x000d__x000a_\fs24\lang2057\langfe2057\cgrid\langnp2057\langfenp2057 {\rtlch\fcs1 \af0 \ltrch\fcs0 \insrsid15625260\charrsid946740 \trowd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15625260\charrsid946740 [ZTEXTL]\cell [ZTEXTR]}{\rtlch\fcs1 \af0\afs24 \ltrch\fcs0 \insrsid15625260\charrsid946740 \cell }\pard\plain \ltrpar\ql \li0\ri0\widctlpar\intbl\wrapdefault\aspalpha\aspnum\faauto\adjustright\rin0\lin0 \rtlch\fcs1 _x000d__x000a_\af0\afs20\alang1025 \ltrch\fcs0 \fs24\lang2057\langfe2057\cgrid\langnp2057\langfenp2057 {\rtlch\fcs1 \af0 \ltrch\fcs0 \insrsid15625260\charrsid946740 \trowd \lastrow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2\qr \li0\ri0\sb240\sa240\nowidctlpar\wrapdefault\aspalpha\aspnum\faauto\adjustright\rin0\lin0\itap0\pararsid10118616 \rtlch\fcs1 \af0\afs20\alang1025 \ltrch\fcs0 \fs24\lang1024\langfe1024\cgrid\noproof\langnp2057\langfenp2057 {\rtlch\fcs1 \af0 _x000d__x000a_\ltrch\fcs0 \noproof0\insrsid15625260\charrsid946740 Or. }{\rtlch\fcs1 \af0 \ltrch\fcs0 \cs15\v\f1\fs20\cf9\noproof0\insrsid15625260\charrsid946740 &lt;Original&gt;}{\rtlch\fcs1 \af0 \ltrch\fcs0 \noproof0\insrsid15625260\charrsid946740 [ZORLANG]}{\rtlch\fcs1 _x000d__x000a_\af0 \ltrch\fcs0 \cs15\v\f1\fs20\cf9\noproof0\insrsid15625260\charrsid946740 &lt;/Original&gt;}{\rtlch\fcs1 \af0 \ltrch\fcs0 \noproof0\insrsid15625260\charrsid946740 _x000d__x000a_\par }\pard\plain \ltrpar\s21\qc \li0\ri0\sb240\sa240\keepn\nowidctlpar\wrapdefault\aspalpha\aspnum\faauto\adjustright\rin0\lin0\itap0\pararsid16390444 \rtlch\fcs1 \af0\afs20\alang1025 \ltrch\fcs0 _x000d__x000a_\i\fs24\lang1024\langfe1024\cgrid\noproof\langnp2057\langfenp2057 {\rtlch\fcs1 \af0 \ltrch\fcs0 \cs15\i0\v\f1\fs20\cf9\noproof0\insrsid15625260\charrsid946740 &lt;TitreJust&gt;}{\rtlch\fcs1 \af0 \ltrch\fcs0 \noproof0\insrsid15625260\charrsid946740 _x000d__x000a_[ZJUSTIFICATION]}{\rtlch\fcs1 \af0 \ltrch\fcs0 \cs15\i0\v\f1\fs20\cf9\noproof0\insrsid15625260\charrsid946740 &lt;/TitreJust&gt;}{\rtlch\fcs1 \af0 \ltrch\fcs0 \noproof0\insrsid15625260\charrsid946740 _x000d__x000a_\par }\pard\plain \ltrpar\s20\ql \li0\ri0\sa240\nowidctlpar\wrapdefault\aspalpha\aspnum\faauto\adjustright\rin0\lin0\itap0\pararsid16390444 \rtlch\fcs1 \af0\afs20\alang1025 \ltrch\fcs0 \i\fs24\lang1024\langfe1024\cgrid\noproof\langnp2057\langfenp2057 {_x000d__x000a_\rtlch\fcs1 \af0 \ltrch\fcs0 \cs15\i0\v\f1\fs20\cf9\noproof0\insrsid15625260\charrsid946740 &lt;OptDelPrev&gt;}{\rtlch\fcs1 \af0 \ltrch\fcs0 \noproof0\insrsid15625260\charrsid946740 [ZTEXTJUST]}{\rtlch\fcs1 \af0 \ltrch\fcs0 _x000d__x000a_\cs15\i0\v\f1\fs20\cf9\noproof0\insrsid15625260\charrsid946740 &lt;/OptDelPrev&gt;}{\rtlch\fcs1 \af0 \ltrch\fcs0 \noproof0\insrsid15625260\charrsid946740 _x000d__x000a_\par }\pard\plain \ltrpar\ql \li0\ri0\widctlpar\wrapdefault\aspalpha\aspnum\faauto\adjustright\rin0\lin0\itap0\pararsid16324206 \rtlch\fcs1 \af0\afs20\alang1025 \ltrch\fcs0 \fs24\lang2057\langfe2057\cgrid\langnp2057\langfenp2057 {\rtlch\fcs1 \af0 \ltrch\fcs0 _x000d__x000a_\cs15\v\f1\fs20\cf9\insrsid15625260\charrsid946740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a09a_x000d__x000a_bf21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Brut"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2490866 HideTWBExt;}{\s16\ql \li0\ri0\sa120\nowidctlpar\wrapdefault\aspalpha\aspnum\faauto\adjustright\rin0\lin0\itap0 \rtlch\fcs1 \af0\afs20\alang1025 \ltrch\fcs0 _x000d__x000a_\fs24\lang2057\langfe2057\cgrid\langnp2057\langfenp2057 \sbasedon0 \snext16 \slink17 \spriority0 \styrsid2490866 Normal6;}{\*\cs17 \additive \fs24\lang2057\langfe2057\langnp2057\langfenp2057 \slink16 \slocked \spriority0 \styrsid2490866 Normal6 Char;}{_x000d__x000a_\s18\ql \li0\ri0\nowidctlpar\wrapdefault\aspalpha\aspnum\faauto\adjustright\rin0\lin0\itap0 \rtlch\fcs1 \af0\afs20\alang1025 \ltrch\fcs0 \b\fs24\lang2057\langfe2057\cgrid\langnp2057\langfenp2057 \sbasedon0 \snext18 \slink19 \spriority0 \styrsid2490866 _x000d__x000a_NormalBold;}{\*\cs19 \additive \b\fs24\lang2057\langfe2057\langnp2057\langfenp2057 \slink18 \slocked \spriority0 \styrsid2490866 NormalBold Char;}{\s20\ql \li0\ri0\sa240\nowidctlpar\wrapdefault\aspalpha\aspnum\faauto\adjustright\rin0\lin0\itap0 _x000d__x000a_\rtlch\fcs1 \af0\afs20\alang1025 \ltrch\fcs0 \i\fs24\lang1024\langfe1024\cgrid\noproof\langnp2057\langfenp2057 \sbasedon0 \snext20 \spriority0 \styrsid2490866 Normal12Italic;}{_x000d__x000a_\s21\qc \li0\ri0\sb240\nowidctlpar\wrapdefault\aspalpha\aspnum\faauto\adjustright\rin0\lin0\itap0 \rtlch\fcs1 \af0\afs20\alang1025 \ltrch\fcs0 \i\fs24\lang2057\langfe2057\cgrid\langnp2057\langfenp2057 \sbasedon0 \snext21 \spriority0 \styrsid2490866 _x000d__x000a_CrossRef;}{\s22\qc \li0\ri0\sb240\sa240\keepn\nowidctlpar\wrapdefault\aspalpha\aspnum\faauto\adjustright\rin0\lin0\itap0 \rtlch\fcs1 \af0\afs20\alang1025 \ltrch\fcs0 \i\fs24\lang1024\langfe1024\cgrid\noproof\langnp2057\langfenp2057 _x000d__x000a_\sbasedon0 \snext0 \spriority0 \styrsid2490866 JustificationTitle;}{\s23\qr \li0\ri0\sb240\sa240\nowidctlpar\wrapdefault\aspalpha\aspnum\faauto\adjustright\rin0\lin0\itap0 \rtlch\fcs1 \af0\afs20\alang1025 \ltrch\fcs0 _x000d__x000a_\fs24\lang1024\langfe1024\cgrid\noproof\langnp2057\langfenp2057 \sbasedon0 \snext23 \spriority0 \styrsid2490866 Olang;}{\s24\qc \li0\ri0\sa240\nowidctlpar\wrapdefault\aspalpha\aspnum\faauto\adjustright\rin0\lin0\itap0 \rtlch\fcs1 \af0\afs20\alang1025 _x000d__x000a_\ltrch\fcs0 \i\fs24\lang2057\langfe2057\cgrid\langnp2057\langfenp2057 \sbasedon0 \snext24 \spriority0 \styrsid2490866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2490866 AMNumberTabs;}}{\*\rsidtbl \rsid24658\rsid735077\rsid2490866\rsid2892074\rsid4666813\rsid6641733\rsid7298627\rsid9636012\rsid11215221_x000d__x000a_\rsid12154954\rsid14424199\rsid15204470\rsid15285974\rsid15950462\rsid16324206\rsid16662270}{\mmathPr\mmathFont34\mbrkBin0\mbrkBinSub0\msmallFrac0\mdispDef1\mlMargin0\mrMargin0\mdefJc1\mwrapIndent1440\mintLim0\mnaryLim1}{\info{\author FELIX Karina}_x000d__x000a_{\operator FELIX Karina}{\creatim\yr2015\mo5\dy8\hr15\min23}{\revtim\yr2015\mo5\dy8\hr15\min23}{\version1}{\edmins0}{\nofpages1}{\nofwords80}{\nofchars445}{\*\company European Parliament}{\nofcharsws524}{\vern49165}}{\*\xmlnstbl {\xmlns1 http://schemas.mi_x000d__x000a_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2490866\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7298627 \chftnsep _x000d__x000a_\par }}{\*\ftnsepc \ltrpar \pard\plain \ltrpar\ql \li0\ri0\widctlpar\wrapdefault\aspalpha\aspnum\faauto\adjustright\rin0\lin0\itap0 \rtlch\fcs1 \af0\afs20\alang1025 \ltrch\fcs0 \fs24\lang2057\langfe2057\cgrid\langnp2057\langfenp2057 {\rtlch\fcs1 \af0 _x000d__x000a_\ltrch\fcs0 \insrsid7298627 \chftnsepc _x000d__x000a_\par }}{\*\aftnsep \ltrpar \pard\plain \ltrpar\ql \li0\ri0\widctlpar\wrapdefault\aspalpha\aspnum\faauto\adjustright\rin0\lin0\itap0 \rtlch\fcs1 \af0\afs20\alang1025 \ltrch\fcs0 \fs24\lang2057\langfe2057\cgrid\langnp2057\langfenp2057 {\rtlch\fcs1 \af0 _x000d__x000a_\ltrch\fcs0 \insrsid7298627 \chftnsep _x000d__x000a_\par }}{\*\aftnsepc \ltrpar \pard\plain \ltrpar\ql \li0\ri0\widctlpar\wrapdefault\aspalpha\aspnum\faauto\adjustright\rin0\lin0\itap0 \rtlch\fcs1 \af0\afs20\alang1025 \ltrch\fcs0 \fs24\lang2057\langfe2057\cgrid\langnp2057\langfenp2057 {\rtlch\fcs1 \af0 _x000d__x000a_\ltrch\fcs0 \insrsid7298627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3744759 \rtlch\fcs1 \af0\afs20\alang1025 \ltrch\fcs0 \b\fs24\lang2057\langfe2057\cgrid\langnp2057\langfenp2057 {\rtlch\fcs1 \af0 \ltrch\fcs0 \cs15\b0\v\f1\fs20\cf9\insrsid2490866\charrsid946740 {\*\bkmkstart restartB}&lt;AmendB&gt;}{_x000d__x000a_\rtlch\fcs1 \af0 \ltrch\fcs0 \insrsid2490866\charrsid946740 [ZAMENDMENT]\tab \tab }{\rtlch\fcs1 \af0 \ltrch\fcs0 \cs15\b0\v\f1\fs20\cf9\insrsid2490866\charrsid946740 &lt;NumAmB&gt;}{\rtlch\fcs1 \af0 \ltrch\fcs0 \insrsid2490866\charrsid946740 [ZNRAM]}{_x000d__x000a_\rtlch\fcs1 \af0 \ltrch\fcs0 \cs15\b0\v\f1\fs20\cf9\insrsid2490866\charrsid946740 &lt;/NumAmB&gt;}{\rtlch\fcs1 \af0 \ltrch\fcs0 \insrsid2490866\charrsid946740 _x000d__x000a_\par }\pard\plain \ltrpar\s18\ql \li0\ri0\nowidctlpar\wrapdefault\aspalpha\aspnum\faauto\adjustright\rin0\lin0\itap0\pararsid5976803 \rtlch\fcs1 \af0\afs20\alang1025 \ltrch\fcs0 \b\fs24\lang2057\langfe2057\cgrid\langnp2057\langfenp2057 {\rtlch\fcs1 \af0 _x000d__x000a_\ltrch\fcs0 \cs15\b0\v\f1\fs20\cf9\lang1024\langfe1024\noproof\insrsid2490866\charrsid14699840 &lt;RepeatBlock-By&gt;}{\rtlch\fcs1 \af0 \ltrch\fcs0 \lang1024\langfe1024\noproof\insrsid2490866\charrsid14699840 [RepeatMembers]}{\rtlch\fcs1 \af0 \ltrch\fcs0 _x000d__x000a_\cs15\b0\v\f1\fs20\cf9\lang1024\langfe1024\noproof\insrsid2490866\charrsid14699840 &lt;Members&gt;}{\rtlch\fcs1 \af0 \ltrch\fcs0 \insrsid2490866\charrsid14699840 [ZMEMBERS]}{\rtlch\fcs1 \af0 \ltrch\fcs0 _x000d__x000a_\cs15\b0\v\f1\fs20\cf9\lang1024\langfe1024\noproof\insrsid2490866\charrsid14699840 &lt;/Members&gt;}{\rtlch\fcs1 \af0 \ltrch\fcs0 \insrsid2490866\charrsid14699840 _x000d__x000a_\par }\pard\plain \ltrpar\ql \li0\ri0\widctlpar\wrapdefault\aspalpha\aspnum\faauto\adjustright\rin0\lin0\itap0\pararsid5976803 \rtlch\fcs1 \af0\afs20\alang1025 \ltrch\fcs0 \fs24\lang2057\langfe2057\cgrid\langnp2057\langfenp2057 {\rtlch\fcs1 \af0 \ltrch\fcs0 _x000d__x000a_\cs15\v\f1\fs20\cf9\lang1024\langfe1024\noproof\insrsid2490866\charrsid14699840 &lt;AuNomDe&gt;&lt;OptDel&gt;}{\rtlch\fcs1 \af0 \ltrch\fcs0 \lang1024\langfe1024\noproof\insrsid2490866\charrsid14699840 [ZONBEHALF]}{\rtlch\fcs1 \af0 \ltrch\fcs0 _x000d__x000a_\cs15\v\f1\fs20\cf9\lang1024\langfe1024\noproof\insrsid2490866\charrsid14699840 &lt;/OptDel&gt;&lt;/AuNomDe&gt;}{\rtlch\fcs1 \af0 \ltrch\fcs0 \insrsid2490866\charrsid14699840 _x000d__x000a_\par &lt;&lt;&lt;}{\rtlch\fcs1 \af0 \ltrch\fcs0 \cs15\v\f1\fs20\cf9\lang1024\langfe1024\noproof\insrsid2490866\charrsid14699840 &lt;/RepeatBlock-By&gt;}{\rtlch\fcs1 \af0 \ltrch\fcs0 \insrsid2490866\charrsid14699840 _x000d__x000a_\par }\pard\plain \ltrpar\s18\ql \li0\ri0\nowidctlpar\wrapdefault\aspalpha\aspnum\faauto\adjustright\rin0\lin0\itap0\pararsid5976803 \rtlch\fcs1 \af0\afs20\alang1025 \ltrch\fcs0 \b\fs24\lang2057\langfe2057\cgrid\langnp2057\langfenp2057 {\rtlch\fcs1 \af0 _x000d__x000a_\ltrch\fcs0 \cs15\b0\v\f1\fs20\cf9\insrsid2490866\charrsid946740 &lt;DocAmend&gt;}{\rtlch\fcs1 \af0 \ltrch\fcs0 \insrsid2490866\charrsid946740 [Z}{\rtlch\fcs1 \af0 \ltrch\fcs0 \insrsid2490866 AMDOC}{\rtlch\fcs1 \af0 \ltrch\fcs0 \insrsid2490866\charrsid946740 ]}_x000d__x000a_{\rtlch\fcs1 \af0 \ltrch\fcs0 \cs15\b0\v\f1\fs20\cf9\insrsid2490866\charrsid946740 &lt;/DocAmend&gt;}{\rtlch\fcs1 \af0 \ltrch\fcs0 \insrsid2490866\charrsid946740 _x000d__x000a_\par }\pard \ltrpar\s18\ql \li0\ri0\keepn\nowidctlpar\wrapdefault\aspalpha\aspnum\faauto\adjustright\rin0\lin0\itap0\pararsid10630121 {\rtlch\fcs1 \af0 \ltrch\fcs0 \cs15\b0\v\f1\fs20\cf9\insrsid2490866\charrsid946740 &lt;Article&gt;}{\rtlch\fcs1 \af0 \ltrch\fcs0 _x000d__x000a_\insrsid2490866\charrsid946740 [ZAMPART]}{\rtlch\fcs1 \af0 \ltrch\fcs0 \cs15\b0\v\f1\fs20\cf9\insrsid2490866\charrsid946740 &lt;/Article&gt;}{\rtlch\fcs1 \af0 \ltrch\fcs0 \insrsid2490866\charrsid946740 _x000d__x000a_\par }\pard\plain \ltrpar\ql \li0\ri0\keepn\widctlpar\wrapdefault\aspalpha\aspnum\faauto\adjustright\rin0\lin0\itap0\pararsid3744759 \rtlch\fcs1 \af0\afs20\alang1025 \ltrch\fcs0 \fs24\lang2057\langfe2057\cgrid\langnp2057\langfenp2057 {\rtlch\fcs1 \af0 _x000d__x000a_\ltrch\fcs0 \cs15\v\f1\fs20\cf9\insrsid2490866\charrsid946740 &lt;DocAmend2&gt;&lt;OptDel&gt;}{\rtlch\fcs1 \af0 \ltrch\fcs0 \insrsid2490866\charrsid946740 [ZNRACT]}{\rtlch\fcs1 \af0 \ltrch\fcs0 \cs15\v\f1\fs20\cf9\insrsid2490866\charrsid946740 &lt;/OptDel&gt;&lt;/DocAmend2&gt;}{_x000d__x000a_\rtlch\fcs1 \af0 \ltrch\fcs0 \insrsid2490866\charrsid946740 _x000d__x000a_\par }\pard \ltrpar\ql \li0\ri0\widctlpar\wrapdefault\aspalpha\aspnum\faauto\adjustright\rin0\lin0\itap0\pararsid10158853 {\rtlch\fcs1 \af0 \ltrch\fcs0 \cs15\v\f1\fs20\cf9\insrsid2490866\charrsid946740 &lt;Article2&gt;&lt;OptDel&gt;}{\rtlch\fcs1 \af0 \ltrch\fcs0 _x000d__x000a_\insrsid2490866\charrsid946740 [ZACTPART]}{\rtlch\fcs1 \af0 \ltrch\fcs0 \cs15\v\f1\fs20\cf9\insrsid2490866\charrsid946740 &lt;/OptDel&gt;&lt;/Article2&gt;}{\rtlch\fcs1 \af0 \ltrch\fcs0 \insrsid2490866\charrsid946740 _x000d__x000a_\par \ltrrow}\trowd \ltrrow\ts11\trqc\trgaph340\trleft-340\trftsWidth3\trwWidth9752\trftsWidthB3\trftsWidthA3\trpaddl340\trpaddr340\trpaddfl3\trpaddfr3\tblind0\tblindtype3 \clvertalt\clbrdrt\brdrtbl \clbrdrl\brdrtbl \clbrdrb\brdrtbl \clbrdrr\brdrtbl _x000d__x000a_\cltxlrtb\clftsWidth3\clwWidth9752\clshdrawnil \cellx9412\pard \ltrpar\ql \li0\ri0\keepn\widctlpar\intbl\wrapdefault\aspalpha\aspnum\faauto\adjustright\rin0\lin0\pararsid10630121 {\rtlch\fcs1 \af0 \ltrch\fcs0 \insrsid2490866\charrsid946740 \cell _x000d__x000a_}\pard \ltrpar\ql \li0\ri0\widctlpar\intbl\wrapdefault\aspalpha\aspnum\faauto\adjustright\rin0\lin0 {\rtlch\fcs1 \af0 \ltrch\fcs0 \insrsid2490866\charrsid946740 \trowd \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ind0\tblindtype3 \clvertalt\clbrdrt_x000d__x000a_\brdrtbl \clbrdrl\brdrtbl \clbrdrb\brdrtbl \clbrdrr\brdrtbl \cltxlrtb\clftsWidth3\clwWidth4876\clshdrawnil \cellx4536\clvertalt\clbrdrt\brdrtbl \clbrdrl\brdrtbl \clbrdrb\brdrtbl \clbrdrr\brdrtbl \cltxlrtb\clftsWidth3\clwWidth4876\clshdrawnil \cellx9412_x000d__x000a_\pard\plain \ltrpar\s24\qc \li0\ri0\sa240\keepn\nowidctlpar\intbl\wrapdefault\aspalpha\aspnum\faauto\adjustright\rin0\lin0\pararsid10630121 \rtlch\fcs1 \af0\afs20\alang1025 \ltrch\fcs0 \i\fs24\lang2057\langfe2057\cgrid\langnp2057\langfenp2057 {_x000d__x000a_\rtlch\fcs1 \af0 \ltrch\fcs0 \insrsid2490866\charrsid946740 [ZLEFTB]\cell [ZRIGHT]\cell }\pard\plain \ltrpar\ql \li0\ri0\widctlpar\intbl\wrapdefault\aspalpha\aspnum\faauto\adjustright\rin0\lin0 \rtlch\fcs1 \af0\afs20\alang1025 \ltrch\fcs0 _x000d__x000a_\fs24\lang2057\langfe2057\cgrid\langnp2057\langfenp2057 {\rtlch\fcs1 \af0 \ltrch\fcs0 \insrsid2490866\charrsid946740 \trowd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2490866\charrsid946740 [ZTEXTL]\cell [ZTEXTR]}{\rtlch\fcs1 \af0\afs24 \ltrch\fcs0 \insrsid2490866\charrsid946740 \cell }\pard\plain \ltrpar\ql \li0\ri0\widctlpar\intbl\wrapdefault\aspalpha\aspnum\faauto\adjustright\rin0\lin0 \rtlch\fcs1 _x000d__x000a_\af0\afs20\alang1025 \ltrch\fcs0 \fs24\lang2057\langfe2057\cgrid\langnp2057\langfenp2057 {\rtlch\fcs1 \af0 \ltrch\fcs0 \insrsid2490866\charrsid946740 \trowd \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16390444 \rtlch\fcs1 \af0\afs20\alang1025 \ltrch\fcs0 \fs24\lang1024\langfe1024\cgrid\noproof\langnp2057\langfenp2057 {\rtlch\fcs1 \af0 _x000d__x000a_\ltrch\fcs0 \noproof0\insrsid2490866\charrsid946740 Or. }{\rtlch\fcs1 \af0 \ltrch\fcs0 \cs15\v\f1\fs20\cf9\noproof0\insrsid2490866\charrsid946740 &lt;Original&gt;}{\rtlch\fcs1 \af0 \ltrch\fcs0 \noproof0\insrsid2490866\charrsid946740 [ZORLANG]}{\rtlch\fcs1 \af0 _x000d__x000a_\ltrch\fcs0 \cs15\v\f1\fs20\cf9\noproof0\insrsid2490866\charrsid946740 &lt;/Original&gt;}{\rtlch\fcs1 \af0 \ltrch\fcs0 \noproof0\insrsid2490866\charrsid946740 _x000d__x000a_\par }\pard\plain \ltrpar\s21\qc \li0\ri0\sb240\nowidctlpar\wrapdefault\aspalpha\aspnum\faauto\adjustright\rin0\lin0\itap0\pararsid10630121 \rtlch\fcs1 \af0\afs20\alang1025 \ltrch\fcs0 \i\fs24\lang2057\langfe2057\cgrid\langnp2057\langfenp2057 {\rtlch\fcs1 _x000d__x000a_\af0 \ltrch\fcs0 \cs15\i0\v\f1\fs20\cf9\insrsid2490866\charrsid946740 &lt;OptDel&gt;}{\rtlch\fcs1 \af0 \ltrch\fcs0 \insrsid2490866\charrsid946740 [ZCROSSREF]}{\rtlch\fcs1 \af0 \ltrch\fcs0 \cs15\i0\v\f1\fs20\cf9\insrsid2490866\charrsid946740 &lt;/OptDel&gt;}{_x000d__x000a_\rtlch\fcs1 \af0 \ltrch\fcs0 \insrsid2490866\charrsid946740 _x000d__x000a_\par }\pard\plain \ltrpar\s22\qc \li0\ri0\sb240\sa240\keepn\nowidctlpar\wrapdefault\aspalpha\aspnum\faauto\adjustright\rin0\lin0\itap0\pararsid3744759 \rtlch\fcs1 \af0\afs20\alang1025 \ltrch\fcs0 _x000d__x000a_\i\fs24\lang1024\langfe1024\cgrid\noproof\langnp2057\langfenp2057 {\rtlch\fcs1 \af0 \ltrch\fcs0 \cs15\i0\v\f1\fs20\cf9\noproof0\insrsid2490866\charrsid946740 &lt;TitreJust&gt;}{\rtlch\fcs1 \af0 \ltrch\fcs0 \noproof0\insrsid2490866\charrsid946740 _x000d__x000a_[ZJUSTIFICATION]}{\rtlch\fcs1 \af0 \ltrch\fcs0 \cs15\i0\v\f1\fs20\cf9\noproof0\insrsid2490866\charrsid946740 &lt;/TitreJust&gt;}{\rtlch\fcs1 \af0 \ltrch\fcs0 \noproof0\insrsid2490866\charrsid946740 _x000d__x000a_\par }\pard\plain \ltrpar\s20\ql \li0\ri0\sa240\nowidctlpar\wrapdefault\aspalpha\aspnum\faauto\adjustright\rin0\lin0\itap0\pararsid16390444 \rtlch\fcs1 \af0\afs20\alang1025 \ltrch\fcs0 \i\fs24\lang1024\langfe1024\cgrid\noproof\langnp2057\langfenp2057 {_x000d__x000a_\rtlch\fcs1 \af0 \ltrch\fcs0 \cs15\i0\v\f1\fs20\cf9\noproof0\insrsid2490866\charrsid946740 &lt;OptDelPrev&gt;}{\rtlch\fcs1 \af0 \ltrch\fcs0 \noproof0\insrsid2490866\charrsid946740 [ZTEXTJUST]}{\rtlch\fcs1 \af0 \ltrch\fcs0 _x000d__x000a_\cs15\i0\v\f1\fs20\cf9\noproof0\insrsid2490866\charrsid946740 &lt;/OptDelPrev&gt;}{\rtlch\fcs1 \af0 \ltrch\fcs0 \noproof0\insrsid2490866\charrsid946740 _x000d__x000a_\par }\pard\plain \ltrpar\ql \li0\ri0\widctlpar\wrapdefault\aspalpha\aspnum\faauto\adjustright\rin0\lin0\itap0\pararsid16324206 \rtlch\fcs1 \af0\afs20\alang1025 \ltrch\fcs0 \fs24\lang2057\langfe2057\cgrid\langnp2057\langfenp2057 {\rtlch\fcs1 \af0 \ltrch\fcs0 _x000d__x000a_\cs15\v\f1\fs20\cf9\insrsid2490866\charrsid946740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c03f_x000d__x000a_6d22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2490866 HideTWBExt;}{\s16\ql \li0\ri0\sa120\nowidctlpar\wrapdefault\aspalpha\aspnum\faauto\adjustright\rin0\lin0\itap0 \rtlch\fcs1 \af0\afs20\alang1025 \ltrch\fcs0 _x000d__x000a_\fs24\lang2057\langfe2057\cgrid\langnp2057\langfenp2057 \sbasedon0 \snext16 \slink17 \spriority0 \styrsid2490866 Normal6;}{\*\cs17 \additive \fs24\lang2057\langfe2057\langnp2057\langfenp2057 \slink16 \slocked \spriority0 \styrsid2490866 Normal6 Char;}{_x000d__x000a_\s18\ql \li0\ri0\nowidctlpar\wrapdefault\aspalpha\aspnum\faauto\adjustright\rin0\lin0\itap0 \rtlch\fcs1 \af0\afs20\alang1025 \ltrch\fcs0 \b\fs24\lang2057\langfe2057\cgrid\langnp2057\langfenp2057 \sbasedon0 \snext18 \slink19 \spriority0 \styrsid2490866 _x000d__x000a_NormalBold;}{\*\cs19 \additive \b\fs24\lang2057\langfe2057\langnp2057\langfenp2057 \slink18 \slocked \spriority0 \styrsid2490866 NormalBold Char;}{\s20\ql \li0\ri0\sa240\nowidctlpar\wrapdefault\aspalpha\aspnum\faauto\adjustright\rin0\lin0\itap0 _x000d__x000a_\rtlch\fcs1 \af0\afs20\alang1025 \ltrch\fcs0 \i\fs24\lang1024\langfe1024\cgrid\noproof\langnp2057\langfenp2057 \sbasedon0 \snext20 \spriority0 \styrsid2490866 Normal12Italic;}{_x000d__x000a_\s21\qc \li0\ri0\sb240\nowidctlpar\wrapdefault\aspalpha\aspnum\faauto\adjustright\rin0\lin0\itap0 \rtlch\fcs1 \af0\afs20\alang1025 \ltrch\fcs0 \i\fs24\lang2057\langfe2057\cgrid\langnp2057\langfenp2057 \sbasedon0 \snext21 \spriority0 \styrsid2490866 _x000d__x000a_CrossRef;}{\s22\qc \li0\ri0\sb240\sa240\keepn\nowidctlpar\wrapdefault\aspalpha\aspnum\faauto\adjustright\rin0\lin0\itap0 \rtlch\fcs1 \af0\afs20\alang1025 \ltrch\fcs0 \i\fs24\lang1024\langfe1024\cgrid\noproof\langnp2057\langfenp2057 _x000d__x000a_\sbasedon0 \snext0 \spriority0 \styrsid2490866 JustificationTitle;}{\s23\qr \li0\ri0\sb240\sa240\nowidctlpar\wrapdefault\aspalpha\aspnum\faauto\adjustright\rin0\lin0\itap0 \rtlch\fcs1 \af0\afs20\alang1025 \ltrch\fcs0 _x000d__x000a_\fs24\lang1024\langfe1024\cgrid\noproof\langnp2057\langfenp2057 \sbasedon0 \snext23 \spriority0 \styrsid2490866 Olang;}{\s24\qc \li0\ri0\sa240\nowidctlpar\wrapdefault\aspalpha\aspnum\faauto\adjustright\rin0\lin0\itap0 \rtlch\fcs1 \af0\afs20\alang1025 _x000d__x000a_\ltrch\fcs0 \i\fs24\lang2057\langfe2057\cgrid\langnp2057\langfenp2057 \sbasedon0 \snext24 \spriority0 \styrsid2490866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2490866 AMNumberTabs;}}{\*\rsidtbl \rsid24658\rsid735077\rsid2490866\rsid2892074\rsid4666813\rsid6641733\rsid7298627\rsid9636012\rsid11215221_x000d__x000a_\rsid12154954\rsid14424199\rsid15204470\rsid15285974\rsid15950462\rsid16324206\rsid16662270}{\mmathPr\mmathFont34\mbrkBin0\mbrkBinSub0\msmallFrac0\mdispDef1\mlMargin0\mrMargin0\mdefJc1\mwrapIndent1440\mintLim0\mnaryLim1}{\info{\author FELIX Karina}_x000d__x000a_{\operator FELIX Karina}{\creatim\yr2015\mo5\dy8\hr15\min23}{\revtim\yr2015\mo5\dy8\hr15\min23}{\version1}{\edmins0}{\nofpages1}{\nofwords80}{\nofchars445}{\*\company European Parliament}{\nofcharsws524}{\vern49165}}{\*\xmlnstbl {\xmlns1 http://schemas.mi_x000d__x000a_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2490866\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7298627 \chftnsep _x000d__x000a_\par }}{\*\ftnsepc \ltrpar \pard\plain \ltrpar\ql \li0\ri0\widctlpar\wrapdefault\aspalpha\aspnum\faauto\adjustright\rin0\lin0\itap0 \rtlch\fcs1 \af0\afs20\alang1025 \ltrch\fcs0 \fs24\lang2057\langfe2057\cgrid\langnp2057\langfenp2057 {\rtlch\fcs1 \af0 _x000d__x000a_\ltrch\fcs0 \insrsid7298627 \chftnsepc _x000d__x000a_\par }}{\*\aftnsep \ltrpar \pard\plain \ltrpar\ql \li0\ri0\widctlpar\wrapdefault\aspalpha\aspnum\faauto\adjustright\rin0\lin0\itap0 \rtlch\fcs1 \af0\afs20\alang1025 \ltrch\fcs0 \fs24\lang2057\langfe2057\cgrid\langnp2057\langfenp2057 {\rtlch\fcs1 \af0 _x000d__x000a_\ltrch\fcs0 \insrsid7298627 \chftnsep _x000d__x000a_\par }}{\*\aftnsepc \ltrpar \pard\plain \ltrpar\ql \li0\ri0\widctlpar\wrapdefault\aspalpha\aspnum\faauto\adjustright\rin0\lin0\itap0 \rtlch\fcs1 \af0\afs20\alang1025 \ltrch\fcs0 \fs24\lang2057\langfe2057\cgrid\langnp2057\langfenp2057 {\rtlch\fcs1 \af0 _x000d__x000a_\ltrch\fcs0 \insrsid7298627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3744759 \rtlch\fcs1 \af0\afs20\alang1025 \ltrch\fcs0 \b\fs24\lang2057\langfe2057\cgrid\langnp2057\langfenp2057 {\rtlch\fcs1 \af0 \ltrch\fcs0 \cs15\b0\v\f1\fs20\cf9\insrsid2490866\charrsid946740 {\*\bkmkstart restartB}&lt;AmendB&gt;}{_x000d__x000a_\rtlch\fcs1 \af0 \ltrch\fcs0 \insrsid2490866\charrsid946740 [ZAMENDMENT]\tab \tab }{\rtlch\fcs1 \af0 \ltrch\fcs0 \cs15\b0\v\f1\fs20\cf9\insrsid2490866\charrsid946740 &lt;NumAmB&gt;}{\rtlch\fcs1 \af0 \ltrch\fcs0 \insrsid2490866\charrsid946740 [ZNRAM]}{_x000d__x000a_\rtlch\fcs1 \af0 \ltrch\fcs0 \cs15\b0\v\f1\fs20\cf9\insrsid2490866\charrsid946740 &lt;/NumAmB&gt;}{\rtlch\fcs1 \af0 \ltrch\fcs0 \insrsid2490866\charrsid946740 _x000d__x000a_\par }\pard\plain \ltrpar\s18\ql \li0\ri0\nowidctlpar\wrapdefault\aspalpha\aspnum\faauto\adjustright\rin0\lin0\itap0\pararsid5976803 \rtlch\fcs1 \af0\afs20\alang1025 \ltrch\fcs0 \b\fs24\lang2057\langfe2057\cgrid\langnp2057\langfenp2057 {\rtlch\fcs1 \af0 _x000d__x000a_\ltrch\fcs0 \cs15\b0\v\f1\fs20\cf9\lang1024\langfe1024\noproof\insrsid2490866\charrsid14699840 &lt;RepeatBlock-By&gt;}{\rtlch\fcs1 \af0 \ltrch\fcs0 \lang1024\langfe1024\noproof\insrsid2490866\charrsid14699840 [RepeatMembers]}{\rtlch\fcs1 \af0 \ltrch\fcs0 _x000d__x000a_\cs15\b0\v\f1\fs20\cf9\lang1024\langfe1024\noproof\insrsid2490866\charrsid14699840 &lt;Members&gt;}{\rtlch\fcs1 \af0 \ltrch\fcs0 \insrsid2490866\charrsid14699840 [ZMEMBERS]}{\rtlch\fcs1 \af0 \ltrch\fcs0 _x000d__x000a_\cs15\b0\v\f1\fs20\cf9\lang1024\langfe1024\noproof\insrsid2490866\charrsid14699840 &lt;/Members&gt;}{\rtlch\fcs1 \af0 \ltrch\fcs0 \insrsid2490866\charrsid14699840 _x000d__x000a_\par }\pard\plain \ltrpar\ql \li0\ri0\widctlpar\wrapdefault\aspalpha\aspnum\faauto\adjustright\rin0\lin0\itap0\pararsid5976803 \rtlch\fcs1 \af0\afs20\alang1025 \ltrch\fcs0 \fs24\lang2057\langfe2057\cgrid\langnp2057\langfenp2057 {\rtlch\fcs1 \af0 \ltrch\fcs0 _x000d__x000a_\cs15\v\f1\fs20\cf9\lang1024\langfe1024\noproof\insrsid2490866\charrsid14699840 &lt;AuNomDe&gt;&lt;OptDel&gt;}{\rtlch\fcs1 \af0 \ltrch\fcs0 \lang1024\langfe1024\noproof\insrsid2490866\charrsid14699840 [ZONBEHALF]}{\rtlch\fcs1 \af0 \ltrch\fcs0 _x000d__x000a_\cs15\v\f1\fs20\cf9\lang1024\langfe1024\noproof\insrsid2490866\charrsid14699840 &lt;/OptDel&gt;&lt;/AuNomDe&gt;}{\rtlch\fcs1 \af0 \ltrch\fcs0 \insrsid2490866\charrsid14699840 _x000d__x000a_\par &lt;&lt;&lt;}{\rtlch\fcs1 \af0 \ltrch\fcs0 \cs15\v\f1\fs20\cf9\lang1024\langfe1024\noproof\insrsid2490866\charrsid14699840 &lt;/RepeatBlock-By&gt;}{\rtlch\fcs1 \af0 \ltrch\fcs0 \insrsid2490866\charrsid14699840 _x000d__x000a_\par }\pard\plain \ltrpar\s18\ql \li0\ri0\nowidctlpar\wrapdefault\aspalpha\aspnum\faauto\adjustright\rin0\lin0\itap0\pararsid5976803 \rtlch\fcs1 \af0\afs20\alang1025 \ltrch\fcs0 \b\fs24\lang2057\langfe2057\cgrid\langnp2057\langfenp2057 {\rtlch\fcs1 \af0 _x000d__x000a_\ltrch\fcs0 \cs15\b0\v\f1\fs20\cf9\insrsid2490866\charrsid946740 &lt;DocAmend&gt;}{\rtlch\fcs1 \af0 \ltrch\fcs0 \insrsid2490866\charrsid946740 [Z}{\rtlch\fcs1 \af0 \ltrch\fcs0 \insrsid2490866 AMDOC}{\rtlch\fcs1 \af0 \ltrch\fcs0 \insrsid2490866\charrsid946740 ]}_x000d__x000a_{\rtlch\fcs1 \af0 \ltrch\fcs0 \cs15\b0\v\f1\fs20\cf9\insrsid2490866\charrsid946740 &lt;/DocAmend&gt;}{\rtlch\fcs1 \af0 \ltrch\fcs0 \insrsid2490866\charrsid946740 _x000d__x000a_\par }\pard \ltrpar\s18\ql \li0\ri0\keepn\nowidctlpar\wrapdefault\aspalpha\aspnum\faauto\adjustright\rin0\lin0\itap0\pararsid10630121 {\rtlch\fcs1 \af0 \ltrch\fcs0 \cs15\b0\v\f1\fs20\cf9\insrsid2490866\charrsid946740 &lt;Article&gt;}{\rtlch\fcs1 \af0 \ltrch\fcs0 _x000d__x000a_\insrsid2490866\charrsid946740 [ZAMPART]}{\rtlch\fcs1 \af0 \ltrch\fcs0 \cs15\b0\v\f1\fs20\cf9\insrsid2490866\charrsid946740 &lt;/Article&gt;}{\rtlch\fcs1 \af0 \ltrch\fcs0 \insrsid2490866\charrsid946740 _x000d__x000a_\par }\pard\plain \ltrpar\ql \li0\ri0\keepn\widctlpar\wrapdefault\aspalpha\aspnum\faauto\adjustright\rin0\lin0\itap0\pararsid3744759 \rtlch\fcs1 \af0\afs20\alang1025 \ltrch\fcs0 \fs24\lang2057\langfe2057\cgrid\langnp2057\langfenp2057 {\rtlch\fcs1 \af0 _x000d__x000a_\ltrch\fcs0 \cs15\v\f1\fs20\cf9\insrsid2490866\charrsid946740 &lt;DocAmend2&gt;&lt;OptDel&gt;}{\rtlch\fcs1 \af0 \ltrch\fcs0 \insrsid2490866\charrsid946740 [ZNRACT]}{\rtlch\fcs1 \af0 \ltrch\fcs0 \cs15\v\f1\fs20\cf9\insrsid2490866\charrsid946740 &lt;/OptDel&gt;&lt;/DocAmend2&gt;}{_x000d__x000a_\rtlch\fcs1 \af0 \ltrch\fcs0 \insrsid2490866\charrsid946740 _x000d__x000a_\par }\pard \ltrpar\ql \li0\ri0\widctlpar\wrapdefault\aspalpha\aspnum\faauto\adjustright\rin0\lin0\itap0\pararsid10158853 {\rtlch\fcs1 \af0 \ltrch\fcs0 \cs15\v\f1\fs20\cf9\insrsid2490866\charrsid946740 &lt;Article2&gt;&lt;OptDel&gt;}{\rtlch\fcs1 \af0 \ltrch\fcs0 _x000d__x000a_\insrsid2490866\charrsid946740 [ZACTPART]}{\rtlch\fcs1 \af0 \ltrch\fcs0 \cs15\v\f1\fs20\cf9\insrsid2490866\charrsid946740 &lt;/OptDel&gt;&lt;/Article2&gt;}{\rtlch\fcs1 \af0 \ltrch\fcs0 \insrsid2490866\charrsid946740 _x000d__x000a_\par \ltrrow}\trowd \ltrrow\ts11\trqc\trgaph340\trleft-340\trftsWidth3\trwWidth9752\trftsWidthB3\trftsWidthA3\trpaddl340\trpaddr340\trpaddfl3\trpaddfr3\tblind0\tblindtype3 \clvertalt\clbrdrt\brdrtbl \clbrdrl\brdrtbl \clbrdrb\brdrtbl \clbrdrr\brdrtbl _x000d__x000a_\cltxlrtb\clftsWidth3\clwWidth9752\clshdrawnil \cellx9412\pard \ltrpar\ql \li0\ri0\keepn\widctlpar\intbl\wrapdefault\aspalpha\aspnum\faauto\adjustright\rin0\lin0\pararsid10630121 {\rtlch\fcs1 \af0 \ltrch\fcs0 \insrsid2490866\charrsid946740 \cell _x000d__x000a_}\pard \ltrpar\ql \li0\ri0\widctlpar\intbl\wrapdefault\aspalpha\aspnum\faauto\adjustright\rin0\lin0 {\rtlch\fcs1 \af0 \ltrch\fcs0 \insrsid2490866\charrsid946740 \trowd \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ind0\tblindtype3 \clvertalt\clbrdrt_x000d__x000a_\brdrtbl \clbrdrl\brdrtbl \clbrdrb\brdrtbl \clbrdrr\brdrtbl \cltxlrtb\clftsWidth3\clwWidth4876\clshdrawnil \cellx4536\clvertalt\clbrdrt\brdrtbl \clbrdrl\brdrtbl \clbrdrb\brdrtbl \clbrdrr\brdrtbl \cltxlrtb\clftsWidth3\clwWidth4876\clshdrawnil \cellx9412_x000d__x000a_\pard\plain \ltrpar\s24\qc \li0\ri0\sa240\keepn\nowidctlpar\intbl\wrapdefault\aspalpha\aspnum\faauto\adjustright\rin0\lin0\pararsid10630121 \rtlch\fcs1 \af0\afs20\alang1025 \ltrch\fcs0 \i\fs24\lang2057\langfe2057\cgrid\langnp2057\langfenp2057 {_x000d__x000a_\rtlch\fcs1 \af0 \ltrch\fcs0 \insrsid2490866\charrsid946740 [ZLEFTB]\cell [ZRIGHT]\cell }\pard\plain \ltrpar\ql \li0\ri0\widctlpar\intbl\wrapdefault\aspalpha\aspnum\faauto\adjustright\rin0\lin0 \rtlch\fcs1 \af0\afs20\alang1025 \ltrch\fcs0 _x000d__x000a_\fs24\lang2057\langfe2057\cgrid\langnp2057\langfenp2057 {\rtlch\fcs1 \af0 \ltrch\fcs0 \insrsid2490866\charrsid946740 \trowd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2490866\charrsid946740 [ZTEXTL]\cell [ZTEXTR]}{\rtlch\fcs1 \af0\afs24 \ltrch\fcs0 \insrsid2490866\charrsid946740 \cell }\pard\plain \ltrpar\ql \li0\ri0\widctlpar\intbl\wrapdefault\aspalpha\aspnum\faauto\adjustright\rin0\lin0 \rtlch\fcs1 _x000d__x000a_\af0\afs20\alang1025 \ltrch\fcs0 \fs24\lang2057\langfe2057\cgrid\langnp2057\langfenp2057 {\rtlch\fcs1 \af0 \ltrch\fcs0 \insrsid2490866\charrsid946740 \trowd \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16390444 \rtlch\fcs1 \af0\afs20\alang1025 \ltrch\fcs0 \fs24\lang1024\langfe1024\cgrid\noproof\langnp2057\langfenp2057 {\rtlch\fcs1 \af0 _x000d__x000a_\ltrch\fcs0 \noproof0\insrsid2490866\charrsid946740 Or. }{\rtlch\fcs1 \af0 \ltrch\fcs0 \cs15\v\f1\fs20\cf9\noproof0\insrsid2490866\charrsid946740 &lt;Original&gt;}{\rtlch\fcs1 \af0 \ltrch\fcs0 \noproof0\insrsid2490866\charrsid946740 [ZORLANG]}{\rtlch\fcs1 \af0 _x000d__x000a_\ltrch\fcs0 \cs15\v\f1\fs20\cf9\noproof0\insrsid2490866\charrsid946740 &lt;/Original&gt;}{\rtlch\fcs1 \af0 \ltrch\fcs0 \noproof0\insrsid2490866\charrsid946740 _x000d__x000a_\par }\pard\plain \ltrpar\s21\qc \li0\ri0\sb240\nowidctlpar\wrapdefault\aspalpha\aspnum\faauto\adjustright\rin0\lin0\itap0\pararsid10630121 \rtlch\fcs1 \af0\afs20\alang1025 \ltrch\fcs0 \i\fs24\lang2057\langfe2057\cgrid\langnp2057\langfenp2057 {\rtlch\fcs1 _x000d__x000a_\af0 \ltrch\fcs0 \cs15\i0\v\f1\fs20\cf9\insrsid2490866\charrsid946740 &lt;OptDel&gt;}{\rtlch\fcs1 \af0 \ltrch\fcs0 \insrsid2490866\charrsid946740 [ZCROSSREF]}{\rtlch\fcs1 \af0 \ltrch\fcs0 \cs15\i0\v\f1\fs20\cf9\insrsid2490866\charrsid946740 &lt;/OptDel&gt;}{_x000d__x000a_\rtlch\fcs1 \af0 \ltrch\fcs0 \insrsid2490866\charrsid946740 _x000d__x000a_\par }\pard\plain \ltrpar\s22\qc \li0\ri0\sb240\sa240\keepn\nowidctlpar\wrapdefault\aspalpha\aspnum\faauto\adjustright\rin0\lin0\itap0\pararsid3744759 \rtlch\fcs1 \af0\afs20\alang1025 \ltrch\fcs0 _x000d__x000a_\i\fs24\lang1024\langfe1024\cgrid\noproof\langnp2057\langfenp2057 {\rtlch\fcs1 \af0 \ltrch\fcs0 \cs15\i0\v\f1\fs20\cf9\noproof0\insrsid2490866\charrsid946740 &lt;TitreJust&gt;}{\rtlch\fcs1 \af0 \ltrch\fcs0 \noproof0\insrsid2490866\charrsid946740 _x000d__x000a_[ZJUSTIFICATION]}{\rtlch\fcs1 \af0 \ltrch\fcs0 \cs15\i0\v\f1\fs20\cf9\noproof0\insrsid2490866\charrsid946740 &lt;/TitreJust&gt;}{\rtlch\fcs1 \af0 \ltrch\fcs0 \noproof0\insrsid2490866\charrsid946740 _x000d__x000a_\par }\pard\plain \ltrpar\s20\ql \li0\ri0\sa240\nowidctlpar\wrapdefault\aspalpha\aspnum\faauto\adjustright\rin0\lin0\itap0\pararsid16390444 \rtlch\fcs1 \af0\afs20\alang1025 \ltrch\fcs0 \i\fs24\lang1024\langfe1024\cgrid\noproof\langnp2057\langfenp2057 {_x000d__x000a_\rtlch\fcs1 \af0 \ltrch\fcs0 \cs15\i0\v\f1\fs20\cf9\noproof0\insrsid2490866\charrsid946740 &lt;OptDelPrev&gt;}{\rtlch\fcs1 \af0 \ltrch\fcs0 \noproof0\insrsid2490866\charrsid946740 [ZTEXTJUST]}{\rtlch\fcs1 \af0 \ltrch\fcs0 _x000d__x000a_\cs15\i0\v\f1\fs20\cf9\noproof0\insrsid2490866\charrsid946740 &lt;/OptDelPrev&gt;}{\rtlch\fcs1 \af0 \ltrch\fcs0 \noproof0\insrsid2490866\charrsid946740 _x000d__x000a_\par }\pard\plain \ltrpar\ql \li0\ri0\widctlpar\wrapdefault\aspalpha\aspnum\faauto\adjustright\rin0\lin0\itap0\pararsid16324206 \rtlch\fcs1 \af0\afs20\alang1025 \ltrch\fcs0 \fs24\lang2057\langfe2057\cgrid\langnp2057\langfenp2057 {\rtlch\fcs1 \af0 \ltrch\fcs0 _x000d__x000a_\cs15\v\f1\fs20\cf9\insrsid2490866\charrsid946740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c03f_x000d__x000a_6d22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AM_Com_LegReport"/>
    <w:docVar w:name="strSubDir" w:val="1121"/>
    <w:docVar w:name="TVTAMPART" w:val="Annex"/>
    <w:docVar w:name="TVTMEMBERS" w:val="Doru-Claudian Frunzulică"/>
    <w:docVar w:name="TXTAUTHOR" w:val="Eduard Kukan, Doru-Claudian Frunzulică, Eider Gardiazabal Rubial"/>
    <w:docVar w:name="TXTLANGUE" w:val="FR"/>
    <w:docVar w:name="TXTLANGUEMIN" w:val="fr"/>
    <w:docVar w:name="TXTNRAM" w:val="1"/>
    <w:docVar w:name="TXTNRC" w:val="0377/2016"/>
    <w:docVar w:name="TXTNRCOM" w:val="(2016)0586"/>
    <w:docVar w:name="TXTNRFIRSTAM" w:val="71"/>
    <w:docVar w:name="TXTNRLASTAM" w:val="386"/>
    <w:docVar w:name="TXTNRPE" w:val="602.743"/>
    <w:docVar w:name="TXTNRPE2" w:val="599.835"/>
    <w:docVar w:name="TXTNRPROC" w:val="2016/0281"/>
    <w:docVar w:name="TXTPEorAP" w:val="PE"/>
    <w:docVar w:name="TXTROUTE" w:val="AM\1121352FR.docx"/>
    <w:docVar w:name="TXTTITLE" w:val="on the proposal for a regulation of the European Parliament and of the Council on the European Fund for Sustainable Development (EFSD) and establishing the EFSD Guarantee and the EFSD Guarantee Fund"/>
    <w:docVar w:name="TXTVERSION" w:val="01-00"/>
    <w:docVar w:name="TXTVERSION2" w:val="01-00"/>
  </w:docVars>
  <w:rsids>
    <w:rsidRoot w:val="00903D78"/>
    <w:rsid w:val="000111BD"/>
    <w:rsid w:val="00035A32"/>
    <w:rsid w:val="00052384"/>
    <w:rsid w:val="0005396F"/>
    <w:rsid w:val="00054760"/>
    <w:rsid w:val="0005628B"/>
    <w:rsid w:val="00073830"/>
    <w:rsid w:val="00075DBE"/>
    <w:rsid w:val="000943B4"/>
    <w:rsid w:val="000B0781"/>
    <w:rsid w:val="000E7234"/>
    <w:rsid w:val="000F2A80"/>
    <w:rsid w:val="00126BC4"/>
    <w:rsid w:val="00150057"/>
    <w:rsid w:val="00166CCB"/>
    <w:rsid w:val="001A4802"/>
    <w:rsid w:val="001B5CF7"/>
    <w:rsid w:val="001B761C"/>
    <w:rsid w:val="001C2054"/>
    <w:rsid w:val="001C502E"/>
    <w:rsid w:val="001D13C9"/>
    <w:rsid w:val="001D5CC4"/>
    <w:rsid w:val="001F0FDD"/>
    <w:rsid w:val="00231EA7"/>
    <w:rsid w:val="00236619"/>
    <w:rsid w:val="002574CB"/>
    <w:rsid w:val="00280EA6"/>
    <w:rsid w:val="002A1C82"/>
    <w:rsid w:val="002B6A7B"/>
    <w:rsid w:val="002C5761"/>
    <w:rsid w:val="003003A7"/>
    <w:rsid w:val="00315664"/>
    <w:rsid w:val="00322475"/>
    <w:rsid w:val="0033344D"/>
    <w:rsid w:val="00363AD3"/>
    <w:rsid w:val="00372DC2"/>
    <w:rsid w:val="00372E8E"/>
    <w:rsid w:val="003743DE"/>
    <w:rsid w:val="0037660F"/>
    <w:rsid w:val="00384E84"/>
    <w:rsid w:val="003923F7"/>
    <w:rsid w:val="003D466C"/>
    <w:rsid w:val="003E43AC"/>
    <w:rsid w:val="003F21EB"/>
    <w:rsid w:val="003F3B0C"/>
    <w:rsid w:val="00422BB2"/>
    <w:rsid w:val="00427E29"/>
    <w:rsid w:val="00432D7F"/>
    <w:rsid w:val="004367B3"/>
    <w:rsid w:val="00441413"/>
    <w:rsid w:val="00441D7D"/>
    <w:rsid w:val="00453A4E"/>
    <w:rsid w:val="00461E32"/>
    <w:rsid w:val="00495E20"/>
    <w:rsid w:val="004E0AAC"/>
    <w:rsid w:val="004F2903"/>
    <w:rsid w:val="00547F73"/>
    <w:rsid w:val="00557617"/>
    <w:rsid w:val="00567D68"/>
    <w:rsid w:val="00571479"/>
    <w:rsid w:val="005A7EB4"/>
    <w:rsid w:val="005B32E3"/>
    <w:rsid w:val="005E50C2"/>
    <w:rsid w:val="005E7062"/>
    <w:rsid w:val="00607ABE"/>
    <w:rsid w:val="006337D4"/>
    <w:rsid w:val="00637384"/>
    <w:rsid w:val="006528D5"/>
    <w:rsid w:val="0066168A"/>
    <w:rsid w:val="00665DDA"/>
    <w:rsid w:val="00672807"/>
    <w:rsid w:val="00695CC1"/>
    <w:rsid w:val="006A2838"/>
    <w:rsid w:val="006B2687"/>
    <w:rsid w:val="006B2EF2"/>
    <w:rsid w:val="006B4B58"/>
    <w:rsid w:val="006B6438"/>
    <w:rsid w:val="006D6B15"/>
    <w:rsid w:val="006F3F81"/>
    <w:rsid w:val="006F4B73"/>
    <w:rsid w:val="00702F62"/>
    <w:rsid w:val="007059E9"/>
    <w:rsid w:val="00706049"/>
    <w:rsid w:val="007152AF"/>
    <w:rsid w:val="00736FBA"/>
    <w:rsid w:val="007659AC"/>
    <w:rsid w:val="00773CA6"/>
    <w:rsid w:val="00781693"/>
    <w:rsid w:val="0079060C"/>
    <w:rsid w:val="007A42AB"/>
    <w:rsid w:val="007C71DE"/>
    <w:rsid w:val="007D19CD"/>
    <w:rsid w:val="007D7DDB"/>
    <w:rsid w:val="00822C94"/>
    <w:rsid w:val="008363E4"/>
    <w:rsid w:val="00851460"/>
    <w:rsid w:val="00855964"/>
    <w:rsid w:val="0087052C"/>
    <w:rsid w:val="00874862"/>
    <w:rsid w:val="00875A9C"/>
    <w:rsid w:val="00887FDC"/>
    <w:rsid w:val="008F0DDD"/>
    <w:rsid w:val="00900CAE"/>
    <w:rsid w:val="00903D78"/>
    <w:rsid w:val="00904AD5"/>
    <w:rsid w:val="00910E50"/>
    <w:rsid w:val="009154FF"/>
    <w:rsid w:val="00917A85"/>
    <w:rsid w:val="00960566"/>
    <w:rsid w:val="00966038"/>
    <w:rsid w:val="009A65D8"/>
    <w:rsid w:val="009B0305"/>
    <w:rsid w:val="009B2EAA"/>
    <w:rsid w:val="009D734E"/>
    <w:rsid w:val="009E775D"/>
    <w:rsid w:val="00A15973"/>
    <w:rsid w:val="00A233E9"/>
    <w:rsid w:val="00A46736"/>
    <w:rsid w:val="00A507FC"/>
    <w:rsid w:val="00A5426B"/>
    <w:rsid w:val="00A845EF"/>
    <w:rsid w:val="00A93389"/>
    <w:rsid w:val="00A93F8C"/>
    <w:rsid w:val="00AB74D6"/>
    <w:rsid w:val="00AC7149"/>
    <w:rsid w:val="00AE4459"/>
    <w:rsid w:val="00AF25FC"/>
    <w:rsid w:val="00AF2819"/>
    <w:rsid w:val="00B10564"/>
    <w:rsid w:val="00B37A5B"/>
    <w:rsid w:val="00B4023E"/>
    <w:rsid w:val="00B41B4D"/>
    <w:rsid w:val="00B44E9E"/>
    <w:rsid w:val="00B669FE"/>
    <w:rsid w:val="00B77A45"/>
    <w:rsid w:val="00B8066A"/>
    <w:rsid w:val="00B85286"/>
    <w:rsid w:val="00B90B7F"/>
    <w:rsid w:val="00B95163"/>
    <w:rsid w:val="00BA48D2"/>
    <w:rsid w:val="00BC1B1F"/>
    <w:rsid w:val="00BE0C84"/>
    <w:rsid w:val="00BF7ACA"/>
    <w:rsid w:val="00C10F61"/>
    <w:rsid w:val="00C22CC4"/>
    <w:rsid w:val="00C35E35"/>
    <w:rsid w:val="00C41E32"/>
    <w:rsid w:val="00C729D1"/>
    <w:rsid w:val="00C92798"/>
    <w:rsid w:val="00CB34F1"/>
    <w:rsid w:val="00CB7B07"/>
    <w:rsid w:val="00CC3983"/>
    <w:rsid w:val="00D00CC7"/>
    <w:rsid w:val="00D100D1"/>
    <w:rsid w:val="00D14FCE"/>
    <w:rsid w:val="00D15308"/>
    <w:rsid w:val="00D1583C"/>
    <w:rsid w:val="00D15D1E"/>
    <w:rsid w:val="00D677D5"/>
    <w:rsid w:val="00D755F1"/>
    <w:rsid w:val="00D767AC"/>
    <w:rsid w:val="00D81DA5"/>
    <w:rsid w:val="00D82FCC"/>
    <w:rsid w:val="00DB429F"/>
    <w:rsid w:val="00DC4160"/>
    <w:rsid w:val="00DC56CA"/>
    <w:rsid w:val="00DC6A1B"/>
    <w:rsid w:val="00DE672F"/>
    <w:rsid w:val="00E06600"/>
    <w:rsid w:val="00E15A86"/>
    <w:rsid w:val="00E25DC5"/>
    <w:rsid w:val="00E44BB0"/>
    <w:rsid w:val="00E471BE"/>
    <w:rsid w:val="00E502E5"/>
    <w:rsid w:val="00E57F50"/>
    <w:rsid w:val="00E660E2"/>
    <w:rsid w:val="00EE011D"/>
    <w:rsid w:val="00EF03A3"/>
    <w:rsid w:val="00F27170"/>
    <w:rsid w:val="00F346CD"/>
    <w:rsid w:val="00F459F7"/>
    <w:rsid w:val="00F860D8"/>
    <w:rsid w:val="00F901A2"/>
    <w:rsid w:val="00F92B49"/>
    <w:rsid w:val="00FA192C"/>
    <w:rsid w:val="00FC1B08"/>
    <w:rsid w:val="00FD05BD"/>
    <w:rsid w:val="00FE0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155F518"/>
  <w15:docId w15:val="{F326DB5E-7EAC-442F-B1B8-AA96C945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44D"/>
    <w:pPr>
      <w:widowControl w:val="0"/>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Footer">
    <w:name w:val="footer"/>
    <w:basedOn w:val="Normal12a12b"/>
    <w:link w:val="FooterChar"/>
    <w:pPr>
      <w:tabs>
        <w:tab w:val="center" w:pos="4535"/>
        <w:tab w:val="right" w:pos="9071"/>
      </w:tabs>
    </w:pPr>
    <w:rPr>
      <w:sz w:val="22"/>
    </w:rPr>
  </w:style>
  <w:style w:type="paragraph" w:customStyle="1" w:styleId="Normal12a12b">
    <w:name w:val="Normal12a12b"/>
    <w:basedOn w:val="Normal"/>
    <w:pPr>
      <w:spacing w:before="240" w:after="240"/>
    </w:pPr>
  </w:style>
  <w:style w:type="character" w:customStyle="1" w:styleId="FooterChar">
    <w:name w:val="Footer Char"/>
    <w:link w:val="Footer"/>
    <w:rsid w:val="00E06600"/>
    <w:rPr>
      <w:sz w:val="22"/>
    </w:r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link w:val="Normal12Char"/>
    <w:pPr>
      <w:spacing w:after="240"/>
    </w:pPr>
  </w:style>
  <w:style w:type="character" w:customStyle="1" w:styleId="Normal12Char">
    <w:name w:val="Normal12 Char"/>
    <w:link w:val="Normal12"/>
    <w:rsid w:val="002A1C82"/>
    <w:rPr>
      <w:sz w:val="24"/>
      <w:lang w:val="fr-FR" w:eastAsia="fr-FR" w:bidi="fr-FR"/>
    </w:rPr>
  </w:style>
  <w:style w:type="paragraph" w:styleId="TOC1">
    <w:name w:val="toc 1"/>
    <w:basedOn w:val="Normal12"/>
    <w:next w:val="Normal12"/>
    <w:autoRedefine/>
    <w:semiHidden/>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spacing w:after="120"/>
    </w:pPr>
  </w:style>
  <w:style w:type="character" w:customStyle="1" w:styleId="Normal6Char">
    <w:name w:val="Normal6 Char"/>
    <w:link w:val="Normal6"/>
    <w:rsid w:val="00FA192C"/>
    <w:rPr>
      <w:sz w:val="24"/>
      <w:lang w:val="fr-FR" w:eastAsia="fr-FR" w:bidi="fr-FR"/>
    </w:r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link w:val="NormalBoldChar"/>
    <w:rPr>
      <w:b/>
    </w:rPr>
  </w:style>
  <w:style w:type="character" w:customStyle="1" w:styleId="NormalBoldChar">
    <w:name w:val="NormalBold Char"/>
    <w:link w:val="NormalBold"/>
    <w:rsid w:val="008F0DDD"/>
    <w:rPr>
      <w:b/>
      <w:sz w:val="24"/>
      <w:lang w:val="fr-FR" w:eastAsia="fr-FR" w:bidi="fr-FR"/>
    </w:rPr>
  </w:style>
  <w:style w:type="paragraph" w:customStyle="1" w:styleId="Normal12Bold">
    <w:name w:val="Normal12Bold"/>
    <w:basedOn w:val="Normal12"/>
    <w:rPr>
      <w:b/>
    </w:rPr>
  </w:style>
  <w:style w:type="paragraph" w:customStyle="1" w:styleId="Normal12Italic">
    <w:name w:val="Normal12Italic"/>
    <w:basedOn w:val="Normal12"/>
    <w:rsid w:val="00AF2819"/>
    <w:rPr>
      <w:i/>
      <w:noProof/>
    </w:rPr>
  </w:style>
  <w:style w:type="paragraph" w:customStyle="1" w:styleId="Normal12Hanging">
    <w:name w:val="Normal12Hanging"/>
    <w:basedOn w:val="Normal12"/>
    <w:pPr>
      <w:ind w:left="567" w:hanging="567"/>
    </w:pPr>
  </w:style>
  <w:style w:type="paragraph" w:customStyle="1" w:styleId="CoverBold">
    <w:name w:val="CoverBold"/>
    <w:basedOn w:val="CoverNormal"/>
    <w:rsid w:val="005E50C2"/>
    <w:rPr>
      <w:b/>
    </w:rPr>
  </w:style>
  <w:style w:type="paragraph" w:customStyle="1" w:styleId="CoverNormal">
    <w:name w:val="CoverNormal"/>
    <w:basedOn w:val="Normal"/>
    <w:pPr>
      <w:ind w:left="1418"/>
    </w:pPr>
  </w:style>
  <w:style w:type="paragraph" w:customStyle="1" w:styleId="EPName">
    <w:name w:val="EPName"/>
    <w:basedOn w:val="Normal"/>
    <w:rsid w:val="009154FF"/>
    <w:pPr>
      <w:spacing w:before="80" w:after="80"/>
    </w:pPr>
    <w:rPr>
      <w:rFonts w:ascii="Arial Narrow" w:hAnsi="Arial Narrow" w:cs="Arial"/>
      <w:b/>
      <w:color w:val="000000"/>
      <w:sz w:val="32"/>
      <w:szCs w:val="22"/>
    </w:rPr>
  </w:style>
  <w:style w:type="paragraph" w:customStyle="1" w:styleId="Normal24">
    <w:name w:val="Normal24"/>
    <w:basedOn w:val="Normal"/>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rossRef">
    <w:name w:val="CrossRef"/>
    <w:basedOn w:val="Normal"/>
    <w:rsid w:val="00A233E9"/>
    <w:pPr>
      <w:spacing w:before="240"/>
      <w:jc w:val="center"/>
    </w:pPr>
    <w:rPr>
      <w:i/>
    </w:rPr>
  </w:style>
  <w:style w:type="paragraph" w:customStyle="1" w:styleId="DocRef">
    <w:name w:val="DocRef"/>
    <w:basedOn w:val="Normal"/>
    <w:pPr>
      <w:spacing w:after="960"/>
      <w:jc w:val="center"/>
    </w:pPr>
    <w:rPr>
      <w:rFonts w:ascii="Arial" w:hAnsi="Arial"/>
      <w:b/>
    </w:rPr>
  </w:style>
  <w:style w:type="paragraph" w:customStyle="1" w:styleId="DocType">
    <w:name w:val="DocType"/>
    <w:basedOn w:val="Normal12"/>
    <w:pPr>
      <w:jc w:val="center"/>
    </w:pPr>
    <w:rPr>
      <w:rFonts w:ascii="Arial" w:hAnsi="Arial"/>
      <w:b/>
      <w:sz w:val="28"/>
    </w:rPr>
  </w:style>
  <w:style w:type="paragraph" w:customStyle="1" w:styleId="JustificationTitle">
    <w:name w:val="JustificationTitle"/>
    <w:basedOn w:val="Normal12a12b"/>
    <w:next w:val="Normal12"/>
    <w:rsid w:val="00AF2819"/>
    <w:pPr>
      <w:keepNext/>
      <w:jc w:val="center"/>
    </w:pPr>
    <w:rPr>
      <w:i/>
      <w:noProof/>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A93389"/>
    <w:pPr>
      <w:tabs>
        <w:tab w:val="left" w:pos="567"/>
      </w:tabs>
    </w:pPr>
  </w:style>
  <w:style w:type="paragraph" w:customStyle="1" w:styleId="RefProc">
    <w:name w:val="RefProc"/>
    <w:basedOn w:val="Normal"/>
    <w:pPr>
      <w:spacing w:after="240"/>
      <w:jc w:val="right"/>
    </w:pPr>
    <w:rPr>
      <w:rFonts w:ascii="Arial" w:hAnsi="Arial"/>
      <w:b/>
      <w:caps/>
    </w:rPr>
  </w:style>
  <w:style w:type="paragraph" w:customStyle="1" w:styleId="TypeDocAM">
    <w:name w:val="TypeDocAM"/>
    <w:basedOn w:val="Normal"/>
    <w:rsid w:val="001C2054"/>
    <w:pPr>
      <w:ind w:left="1418"/>
    </w:pPr>
    <w:rPr>
      <w:rFonts w:ascii="Arial" w:hAnsi="Arial"/>
      <w:b/>
      <w:sz w:val="48"/>
    </w:rPr>
  </w:style>
  <w:style w:type="paragraph" w:customStyle="1" w:styleId="ZDate">
    <w:name w:val="ZDate"/>
    <w:basedOn w:val="Normal"/>
    <w:rsid w:val="00280EA6"/>
    <w:pPr>
      <w:spacing w:after="1680"/>
    </w:pPr>
  </w:style>
  <w:style w:type="paragraph" w:styleId="Header">
    <w:name w:val="header"/>
    <w:basedOn w:val="Normal"/>
    <w:pPr>
      <w:tabs>
        <w:tab w:val="center" w:pos="4153"/>
        <w:tab w:val="right" w:pos="8306"/>
      </w:tabs>
    </w:pPr>
  </w:style>
  <w:style w:type="paragraph" w:customStyle="1" w:styleId="NRAMS">
    <w:name w:val="NRAMS"/>
    <w:basedOn w:val="TypeDocAM"/>
    <w:rsid w:val="001C2054"/>
    <w:pPr>
      <w:spacing w:after="480"/>
    </w:pPr>
    <w:rPr>
      <w:sz w:val="46"/>
    </w:rPr>
  </w:style>
  <w:style w:type="paragraph" w:customStyle="1" w:styleId="NormalCentreKeep">
    <w:name w:val="NormalCentreKeep"/>
    <w:basedOn w:val="Normal"/>
    <w:rsid w:val="00FA192C"/>
    <w:pPr>
      <w:keepNext/>
      <w:jc w:val="center"/>
    </w:pPr>
    <w:rPr>
      <w:noProof/>
    </w:rPr>
  </w:style>
  <w:style w:type="paragraph" w:customStyle="1" w:styleId="Olang">
    <w:name w:val="Olang"/>
    <w:basedOn w:val="Normal12a12b"/>
    <w:rsid w:val="00FA192C"/>
    <w:pPr>
      <w:jc w:val="right"/>
    </w:pPr>
    <w:rPr>
      <w:noProof/>
    </w:rPr>
  </w:style>
  <w:style w:type="paragraph" w:customStyle="1" w:styleId="ColumnHeading">
    <w:name w:val="ColumnHeading"/>
    <w:basedOn w:val="Normal"/>
    <w:rsid w:val="006F3F81"/>
    <w:pPr>
      <w:spacing w:after="240"/>
      <w:jc w:val="center"/>
    </w:pPr>
    <w:rPr>
      <w:i/>
    </w:rPr>
  </w:style>
  <w:style w:type="paragraph" w:customStyle="1" w:styleId="AMNumberTabs">
    <w:name w:val="AMNumberTabs"/>
    <w:basedOn w:val="Normal"/>
    <w:rsid w:val="00547F73"/>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ormal"/>
    <w:rsid w:val="004F2903"/>
    <w:pPr>
      <w:spacing w:before="240"/>
    </w:pPr>
    <w:rPr>
      <w:b/>
    </w:rPr>
  </w:style>
  <w:style w:type="table" w:styleId="TableGrid">
    <w:name w:val="Table Grid"/>
    <w:basedOn w:val="TableNormal"/>
    <w:rsid w:val="000E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rsid w:val="000E7234"/>
    <w:pPr>
      <w:jc w:val="center"/>
    </w:pPr>
    <w:rPr>
      <w:rFonts w:ascii="Arial" w:hAnsi="Arial" w:cs="Arial"/>
      <w:i/>
      <w:sz w:val="22"/>
      <w:szCs w:val="22"/>
    </w:rPr>
  </w:style>
  <w:style w:type="paragraph" w:customStyle="1" w:styleId="LineTop">
    <w:name w:val="LineTop"/>
    <w:basedOn w:val="Normal"/>
    <w:next w:val="ZCommittee"/>
    <w:rsid w:val="000E7234"/>
    <w:pPr>
      <w:pBdr>
        <w:top w:val="single" w:sz="4" w:space="1" w:color="auto"/>
      </w:pBdr>
      <w:jc w:val="center"/>
    </w:pPr>
    <w:rPr>
      <w:rFonts w:ascii="Arial" w:hAnsi="Arial"/>
      <w:sz w:val="16"/>
      <w:szCs w:val="16"/>
    </w:rPr>
  </w:style>
  <w:style w:type="paragraph" w:customStyle="1" w:styleId="LineBottom">
    <w:name w:val="LineBottom"/>
    <w:basedOn w:val="Normal"/>
    <w:next w:val="Normal"/>
    <w:rsid w:val="000E7234"/>
    <w:pPr>
      <w:pBdr>
        <w:bottom w:val="single" w:sz="4" w:space="1" w:color="auto"/>
      </w:pBdr>
      <w:spacing w:after="960"/>
      <w:jc w:val="center"/>
    </w:pPr>
    <w:rPr>
      <w:rFonts w:ascii="Arial" w:hAnsi="Arial"/>
      <w:sz w:val="16"/>
      <w:szCs w:val="16"/>
    </w:rPr>
  </w:style>
  <w:style w:type="paragraph" w:customStyle="1" w:styleId="EPTerm">
    <w:name w:val="EPTerm"/>
    <w:basedOn w:val="Normal"/>
    <w:next w:val="Normal"/>
    <w:rsid w:val="009154FF"/>
    <w:pPr>
      <w:spacing w:after="80"/>
    </w:pPr>
    <w:rPr>
      <w:rFonts w:ascii="Arial" w:hAnsi="Arial" w:cs="Arial"/>
      <w:sz w:val="20"/>
      <w:szCs w:val="22"/>
    </w:rPr>
  </w:style>
  <w:style w:type="paragraph" w:customStyle="1" w:styleId="EPLogo">
    <w:name w:val="EPLogo"/>
    <w:basedOn w:val="Normal"/>
    <w:qFormat/>
    <w:rsid w:val="009154FF"/>
    <w:pPr>
      <w:jc w:val="right"/>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rsid w:val="00427E29"/>
  </w:style>
  <w:style w:type="paragraph" w:styleId="CommentSubject">
    <w:name w:val="annotation subject"/>
    <w:basedOn w:val="CommentText"/>
    <w:next w:val="CommentText"/>
    <w:link w:val="CommentSubjectChar"/>
    <w:rsid w:val="00427E29"/>
    <w:rPr>
      <w:b/>
      <w:bCs/>
    </w:rPr>
  </w:style>
  <w:style w:type="character" w:customStyle="1" w:styleId="CommentSubjectChar">
    <w:name w:val="Comment Subject Char"/>
    <w:basedOn w:val="CommentTextChar"/>
    <w:link w:val="CommentSubject"/>
    <w:rsid w:val="00427E29"/>
    <w:rPr>
      <w:b/>
      <w:bCs/>
    </w:rPr>
  </w:style>
  <w:style w:type="paragraph" w:styleId="Revision">
    <w:name w:val="Revision"/>
    <w:hidden/>
    <w:uiPriority w:val="99"/>
    <w:semiHidden/>
    <w:rsid w:val="00427E29"/>
    <w:rPr>
      <w:sz w:val="24"/>
    </w:rPr>
  </w:style>
  <w:style w:type="paragraph" w:styleId="BalloonText">
    <w:name w:val="Balloon Text"/>
    <w:basedOn w:val="Normal"/>
    <w:link w:val="BalloonTextChar"/>
    <w:rsid w:val="00427E29"/>
    <w:rPr>
      <w:rFonts w:ascii="Segoe UI" w:hAnsi="Segoe UI" w:cs="Segoe UI"/>
      <w:sz w:val="18"/>
      <w:szCs w:val="18"/>
    </w:rPr>
  </w:style>
  <w:style w:type="character" w:customStyle="1" w:styleId="BalloonTextChar">
    <w:name w:val="Balloon Text Char"/>
    <w:basedOn w:val="DefaultParagraphFont"/>
    <w:link w:val="BalloonText"/>
    <w:rsid w:val="00427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74145">
      <w:bodyDiv w:val="1"/>
      <w:marLeft w:val="0"/>
      <w:marRight w:val="0"/>
      <w:marTop w:val="0"/>
      <w:marBottom w:val="0"/>
      <w:divBdr>
        <w:top w:val="none" w:sz="0" w:space="0" w:color="auto"/>
        <w:left w:val="none" w:sz="0" w:space="0" w:color="auto"/>
        <w:bottom w:val="none" w:sz="0" w:space="0" w:color="auto"/>
        <w:right w:val="none" w:sz="0" w:space="0" w:color="auto"/>
      </w:divBdr>
    </w:div>
    <w:div w:id="9446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32B3CB79.dotm</Template>
  <TotalTime>0</TotalTime>
  <Pages>176</Pages>
  <Words>50566</Words>
  <Characters>288736</Characters>
  <Application>Microsoft Office Word</Application>
  <DocSecurity>0</DocSecurity>
  <Lines>11105</Lines>
  <Paragraphs>3393</Paragraphs>
  <ScaleCrop>false</ScaleCrop>
  <HeadingPairs>
    <vt:vector size="2" baseType="variant">
      <vt:variant>
        <vt:lpstr>Title</vt:lpstr>
      </vt:variant>
      <vt:variant>
        <vt:i4>1</vt:i4>
      </vt:variant>
    </vt:vector>
  </HeadingPairs>
  <TitlesOfParts>
    <vt:vector size="1" baseType="lpstr">
      <vt:lpstr>AM_Com_LegReport</vt:lpstr>
    </vt:vector>
  </TitlesOfParts>
  <Company/>
  <LinksUpToDate>false</LinksUpToDate>
  <CharactersWithSpaces>335909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AM_Com_LegReport</dc:title>
  <dc:subject/>
  <dc:creator>JEAN PIERRE Guilaine</dc:creator>
  <cp:keywords/>
  <dc:description/>
  <cp:lastModifiedBy>GOMEZ Laure</cp:lastModifiedBy>
  <cp:revision>2</cp:revision>
  <cp:lastPrinted>2007-06-22T14:02:00Z</cp:lastPrinted>
  <dcterms:created xsi:type="dcterms:W3CDTF">2017-04-04T18:43:00Z</dcterms:created>
  <dcterms:modified xsi:type="dcterms:W3CDTF">2017-04-04T18:43:00Z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9.0.0 Build [20170301]</vt:lpwstr>
  </property>
  <property fmtid="{D5CDD505-2E9C-101B-9397-08002B2CF9AE}" pid="3" name="LastEdited with">
    <vt:lpwstr>9.0.0 Build [20170325]</vt:lpwstr>
  </property>
  <property fmtid="{D5CDD505-2E9C-101B-9397-08002B2CF9AE}" pid="4" name="&lt;FdR&gt;">
    <vt:lpwstr>1121352</vt:lpwstr>
  </property>
  <property fmtid="{D5CDD505-2E9C-101B-9397-08002B2CF9AE}" pid="5" name="&lt;Type&gt;">
    <vt:lpwstr>AM</vt:lpwstr>
  </property>
  <property fmtid="{D5CDD505-2E9C-101B-9397-08002B2CF9AE}" pid="6" name="&lt;ModelCod&gt;">
    <vt:lpwstr>\\eiciBRUpr1\pdocep$\DocEP\DOCS\General\AM\AM_Leg\AM_Com_Leg\AM_Com_LegReport.dot(17/02/2016 11:46:16)</vt:lpwstr>
  </property>
  <property fmtid="{D5CDD505-2E9C-101B-9397-08002B2CF9AE}" pid="7" name="&lt;ModelTra&gt;">
    <vt:lpwstr>\\eiciBRUpr1\pdocep$\DocEP\TRANSFIL\EN\AM_Com_LegReport.EN(22/09/2016 15:22:08)</vt:lpwstr>
  </property>
  <property fmtid="{D5CDD505-2E9C-101B-9397-08002B2CF9AE}" pid="8" name="&lt;Model&gt;">
    <vt:lpwstr>AM_Com_LegReport</vt:lpwstr>
  </property>
  <property fmtid="{D5CDD505-2E9C-101B-9397-08002B2CF9AE}" pid="9" name="FooterPath">
    <vt:lpwstr>AM\1121352FR.docx</vt:lpwstr>
  </property>
  <property fmtid="{D5CDD505-2E9C-101B-9397-08002B2CF9AE}" pid="10" name="PE Number">
    <vt:lpwstr>602.743</vt:lpwstr>
  </property>
  <property fmtid="{D5CDD505-2E9C-101B-9397-08002B2CF9AE}" pid="11" name="SendToEpades">
    <vt:lpwstr>OK(TC/TCON/AMNUM) - 2017/03/28 14:58</vt:lpwstr>
  </property>
  <property fmtid="{D5CDD505-2E9C-101B-9397-08002B2CF9AE}" pid="12" name="SubscribeElise">
    <vt:lpwstr/>
  </property>
  <property fmtid="{D5CDD505-2E9C-101B-9397-08002B2CF9AE}" pid="13" name="SDLStudio">
    <vt:lpwstr/>
  </property>
  <property fmtid="{D5CDD505-2E9C-101B-9397-08002B2CF9AE}" pid="14" name="&lt;Extension&gt;">
    <vt:lpwstr>FR</vt:lpwstr>
  </property>
  <property fmtid="{D5CDD505-2E9C-101B-9397-08002B2CF9AE}" pid="15" name="Bookout">
    <vt:lpwstr>OK - 2017/04/04 20:43</vt:lpwstr>
  </property>
</Properties>
</file>