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BAREVNÁ LEGENDA</w:t>
      </w:r>
    </w:p>
    <w:p w:rsidR="00000000" w:rsidDel="00000000" w:rsidP="00000000" w:rsidRDefault="00000000" w:rsidRPr="00000000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highlight w:val="green"/>
          <w:rtl w:val="0"/>
        </w:rPr>
        <w:t xml:space="preserve">Velmi povedený/nápaditý/z jakéhokoli jiného důvodu chválihodný úsek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highlight w:val="magenta"/>
        </w:rPr>
      </w:pPr>
      <w:r w:rsidDel="00000000" w:rsidR="00000000" w:rsidRPr="00000000">
        <w:rPr>
          <w:sz w:val="36"/>
          <w:szCs w:val="36"/>
          <w:highlight w:val="magenta"/>
          <w:rtl w:val="0"/>
        </w:rPr>
        <w:t xml:space="preserve">Nepochopení předlohy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highlight w:val="cyan"/>
        </w:rPr>
      </w:pPr>
      <w:r w:rsidDel="00000000" w:rsidR="00000000" w:rsidRPr="00000000">
        <w:rPr>
          <w:sz w:val="36"/>
          <w:szCs w:val="36"/>
          <w:highlight w:val="cyan"/>
          <w:rtl w:val="0"/>
        </w:rPr>
        <w:t xml:space="preserve">Stylistický posun, nedodržení stylu autora, stylisticky nevhodné lexikum/tvar slova pro daný žánr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highlight w:val="red"/>
        </w:rPr>
      </w:pPr>
      <w:r w:rsidDel="00000000" w:rsidR="00000000" w:rsidRPr="00000000">
        <w:rPr>
          <w:sz w:val="36"/>
          <w:szCs w:val="36"/>
          <w:highlight w:val="red"/>
          <w:rtl w:val="0"/>
        </w:rPr>
        <w:t xml:space="preserve">Gramatické chyby, chyby v interpunkci, nekorektní přepis VJ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highlight w:val="yellow"/>
          <w:rtl w:val="0"/>
        </w:rPr>
        <w:t xml:space="preserve">Špatný slovosled, neobratnost, kostrbatost, přílišná doslovnost na úrovni slovosledu (rusizmy), anakolut (vyšinutí z vazby)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shd w:fill="999999" w:val="clear"/>
        </w:rPr>
      </w:pPr>
      <w:r w:rsidDel="00000000" w:rsidR="00000000" w:rsidRPr="00000000">
        <w:rPr>
          <w:sz w:val="36"/>
          <w:szCs w:val="36"/>
          <w:shd w:fill="999999" w:val="clear"/>
          <w:rtl w:val="0"/>
        </w:rPr>
        <w:t xml:space="preserve">z jiného důvodu neadekvátní překlad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vynechávka, nepřesnost, lexikální posun, nepochopitelně užité slovo nebo nepochopitelný úsek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