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C0B" w:rsidRDefault="008746A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Přehled literatury</w:t>
      </w:r>
    </w:p>
    <w:p w:rsidR="00056C0B" w:rsidRDefault="00056C0B">
      <w:pPr>
        <w:rPr>
          <w:rFonts w:ascii="Arial" w:eastAsia="Arial" w:hAnsi="Arial" w:cs="Arial"/>
          <w:u w:val="single"/>
        </w:rPr>
      </w:pPr>
    </w:p>
    <w:p w:rsidR="00056C0B" w:rsidRDefault="008746A5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Základní: 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Trestní zákon - 40/2009 Sb.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Trestní řád - 141/1961 Sb.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Zákon o probační a mediační službě - 257/2000 Sb.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Zákon o soudnictví ve věcech mládeže - 218/2003 Sb.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Zákon o obětech trestných činů - 45/2013 Sb.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Zehr, Howard: Úvod do restorativní justice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252525"/>
        </w:rPr>
        <w:t xml:space="preserve">Štern, Pavel; Ouředníčková, Lenka a kol.: </w:t>
      </w:r>
      <w:r>
        <w:rPr>
          <w:rFonts w:ascii="Arial" w:eastAsia="Arial" w:hAnsi="Arial" w:cs="Arial"/>
        </w:rPr>
        <w:t>Probace a mediace</w:t>
      </w:r>
    </w:p>
    <w:p w:rsidR="00056C0B" w:rsidRDefault="00056C0B">
      <w:pPr>
        <w:rPr>
          <w:rFonts w:ascii="Arial" w:eastAsia="Arial" w:hAnsi="Arial" w:cs="Arial"/>
        </w:rPr>
      </w:pPr>
    </w:p>
    <w:p w:rsidR="00056C0B" w:rsidRDefault="008746A5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Rozšiřující: 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Válková, Helena; Kuchta, Josef a kol.: Základy kriminologie a trestní politiky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Michel Foucault: Dohlížet a trestat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Koukolík, František: Vzpoura deprivantů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Soukup, Jan: Motivační rozhovory v praxi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Úlehla, Ivan: Umění pomáhat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Čírtková, Ludmila: Viktimologie pro forenzní praxi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Čírtková, Ludmila, Vitoušová Petra a kol.: Na pomoc obětem (a svědkům) trestných činů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Insoo Kim Berg: Zázračná metoda, Posílení rodiny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Benedict, Helen: To není vaše vina!</w:t>
      </w:r>
    </w:p>
    <w:p w:rsidR="00056C0B" w:rsidRDefault="00056C0B">
      <w:pPr>
        <w:rPr>
          <w:rFonts w:ascii="Calibri" w:eastAsia="Calibri" w:hAnsi="Calibri" w:cs="Calibri"/>
        </w:rPr>
      </w:pPr>
    </w:p>
    <w:p w:rsidR="00CA5855" w:rsidRDefault="00CA5855" w:rsidP="00CA58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Sotolář, A., Púry, F., Šámal, P: Alternativní řešení trestní věci v praxi. Praha 200, C.H.Beck</w:t>
      </w:r>
    </w:p>
    <w:p w:rsidR="00CA5855" w:rsidRDefault="00CA5855" w:rsidP="00CA585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Sociologický časopis</w:t>
      </w:r>
    </w:p>
    <w:p w:rsidR="00CA5855" w:rsidRDefault="00CE0190" w:rsidP="00CA585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</w:t>
      </w:r>
      <w:bookmarkStart w:id="0" w:name="_GoBack"/>
      <w:bookmarkEnd w:id="0"/>
      <w:r w:rsidR="00CA5855">
        <w:rPr>
          <w:rFonts w:ascii="Arial" w:eastAsia="Calibri" w:hAnsi="Arial" w:cs="Arial"/>
        </w:rPr>
        <w:t>asopis Sociální práce</w:t>
      </w:r>
    </w:p>
    <w:p w:rsidR="00CA5855" w:rsidRDefault="00CA5855" w:rsidP="00CA5855">
      <w:pPr>
        <w:rPr>
          <w:rFonts w:ascii="Arial" w:eastAsia="Arial" w:hAnsi="Arial" w:cs="Arial"/>
        </w:rPr>
      </w:pPr>
      <w:r>
        <w:rPr>
          <w:rFonts w:ascii="Arial" w:eastAsia="Calibri" w:hAnsi="Arial" w:cs="Arial"/>
        </w:rPr>
        <w:t>Institut pro kriminologii a sociální prevenci</w:t>
      </w:r>
      <w:r w:rsidRPr="00CA585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– publikační činnost</w:t>
      </w:r>
    </w:p>
    <w:p w:rsidR="00CA5855" w:rsidRDefault="00CA5855" w:rsidP="00CA5855">
      <w:pPr>
        <w:rPr>
          <w:rFonts w:ascii="Arial" w:eastAsia="Arial" w:hAnsi="Arial" w:cs="Arial"/>
        </w:rPr>
      </w:pPr>
    </w:p>
    <w:p w:rsidR="00CA5855" w:rsidRPr="00CA5855" w:rsidRDefault="00CA5855">
      <w:pPr>
        <w:rPr>
          <w:rFonts w:ascii="Arial" w:eastAsia="Calibri" w:hAnsi="Arial" w:cs="Arial"/>
        </w:rPr>
      </w:pPr>
    </w:p>
    <w:sectPr w:rsidR="00CA5855" w:rsidRPr="00CA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0B"/>
    <w:rsid w:val="00056C0B"/>
    <w:rsid w:val="008746A5"/>
    <w:rsid w:val="00CA5855"/>
    <w:rsid w:val="00C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F9CC"/>
  <w15:docId w15:val="{38D1A482-625C-4ECF-8531-AB5E998E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4</cp:revision>
  <dcterms:created xsi:type="dcterms:W3CDTF">2019-04-07T15:51:00Z</dcterms:created>
  <dcterms:modified xsi:type="dcterms:W3CDTF">2020-03-01T19:46:00Z</dcterms:modified>
</cp:coreProperties>
</file>