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left w:w="0" w:type="dxa"/>
          <w:right w:w="0" w:type="dxa"/>
        </w:tblCellMar>
        <w:tblLook w:val="01E0" w:firstRow="1" w:lastRow="1" w:firstColumn="1" w:lastColumn="1" w:noHBand="0" w:noVBand="0"/>
      </w:tblPr>
      <w:tblGrid>
        <w:gridCol w:w="6804"/>
        <w:gridCol w:w="2268"/>
      </w:tblGrid>
      <w:tr w:rsidR="00172C59" w:rsidRPr="00113068" w14:paraId="1FA81F59" w14:textId="77777777" w:rsidTr="00C85D0F">
        <w:trPr>
          <w:trHeight w:hRule="exact" w:val="1418"/>
        </w:trPr>
        <w:tc>
          <w:tcPr>
            <w:tcW w:w="6804" w:type="dxa"/>
            <w:shd w:val="clear" w:color="auto" w:fill="auto"/>
            <w:vAlign w:val="center"/>
          </w:tcPr>
          <w:p w14:paraId="3F0D0704" w14:textId="77777777" w:rsidR="00172C59" w:rsidRPr="00113068" w:rsidRDefault="00FF0339" w:rsidP="00C85D0F">
            <w:pPr>
              <w:pStyle w:val="EPName"/>
            </w:pPr>
            <w:r w:rsidRPr="00113068">
              <w:t>Parlement européen</w:t>
            </w:r>
          </w:p>
          <w:p w14:paraId="71D2F2FA" w14:textId="77777777" w:rsidR="00172C59" w:rsidRPr="00113068" w:rsidRDefault="000C5849" w:rsidP="000C5849">
            <w:pPr>
              <w:pStyle w:val="EPTerm"/>
            </w:pPr>
            <w:r w:rsidRPr="00113068">
              <w:t>2019-2024</w:t>
            </w:r>
          </w:p>
        </w:tc>
        <w:tc>
          <w:tcPr>
            <w:tcW w:w="2268" w:type="dxa"/>
            <w:shd w:val="clear" w:color="auto" w:fill="auto"/>
          </w:tcPr>
          <w:p w14:paraId="44C04872" w14:textId="77777777" w:rsidR="00172C59" w:rsidRPr="00113068" w:rsidRDefault="00172C59" w:rsidP="00C85D0F">
            <w:pPr>
              <w:pStyle w:val="EPLogo"/>
            </w:pPr>
            <w:r w:rsidRPr="00113068">
              <w:rPr>
                <w:noProof/>
                <w:lang w:eastAsia="fr-FR"/>
              </w:rPr>
              <w:drawing>
                <wp:inline distT="0" distB="0" distL="0" distR="0" wp14:anchorId="187D4ECD" wp14:editId="1A44C7F2">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0FC75C52" w14:textId="77777777" w:rsidR="00A26973" w:rsidRPr="00113068" w:rsidRDefault="00A26973" w:rsidP="00A26973">
      <w:pPr>
        <w:pStyle w:val="LineTop"/>
      </w:pPr>
    </w:p>
    <w:p w14:paraId="6E2D7819" w14:textId="77777777" w:rsidR="00A26973" w:rsidRPr="00113068" w:rsidRDefault="00A26973" w:rsidP="00A26973">
      <w:pPr>
        <w:pStyle w:val="EPBody"/>
      </w:pPr>
      <w:r w:rsidRPr="00113068">
        <w:rPr>
          <w:rStyle w:val="HideTWBExt"/>
          <w:noProof w:val="0"/>
        </w:rPr>
        <w:t>&lt;</w:t>
      </w:r>
      <w:r w:rsidRPr="00113068">
        <w:rPr>
          <w:rStyle w:val="HideTWBExt"/>
          <w:i w:val="0"/>
          <w:noProof w:val="0"/>
        </w:rPr>
        <w:t>Commission</w:t>
      </w:r>
      <w:r w:rsidRPr="00113068">
        <w:rPr>
          <w:rStyle w:val="HideTWBExt"/>
          <w:noProof w:val="0"/>
        </w:rPr>
        <w:t>&gt;</w:t>
      </w:r>
      <w:r w:rsidR="000C5849" w:rsidRPr="00113068">
        <w:rPr>
          <w:rStyle w:val="HideTWBInt"/>
        </w:rPr>
        <w:t>{PECH}</w:t>
      </w:r>
      <w:r w:rsidR="000C5849" w:rsidRPr="00113068">
        <w:t>Commission de la pêche</w:t>
      </w:r>
      <w:r w:rsidRPr="00113068">
        <w:rPr>
          <w:rStyle w:val="HideTWBExt"/>
          <w:noProof w:val="0"/>
        </w:rPr>
        <w:t>&lt;/</w:t>
      </w:r>
      <w:r w:rsidRPr="00113068">
        <w:rPr>
          <w:rStyle w:val="HideTWBExt"/>
          <w:i w:val="0"/>
          <w:noProof w:val="0"/>
        </w:rPr>
        <w:t>Commission</w:t>
      </w:r>
      <w:r w:rsidRPr="00113068">
        <w:rPr>
          <w:rStyle w:val="HideTWBExt"/>
          <w:noProof w:val="0"/>
        </w:rPr>
        <w:t>&gt;</w:t>
      </w:r>
    </w:p>
    <w:p w14:paraId="61654DC4" w14:textId="77777777" w:rsidR="00A26973" w:rsidRPr="00113068" w:rsidRDefault="00A26973" w:rsidP="00A26973">
      <w:pPr>
        <w:pStyle w:val="LineBottom"/>
      </w:pPr>
    </w:p>
    <w:p w14:paraId="06654D9F" w14:textId="77777777" w:rsidR="00A26973" w:rsidRPr="00113068" w:rsidRDefault="00A26973" w:rsidP="00A26973">
      <w:pPr>
        <w:pStyle w:val="CoverReference"/>
      </w:pPr>
      <w:r w:rsidRPr="00113068">
        <w:rPr>
          <w:rStyle w:val="HideTWBExt"/>
          <w:b w:val="0"/>
          <w:noProof w:val="0"/>
        </w:rPr>
        <w:t>&lt;RefProc&gt;</w:t>
      </w:r>
      <w:r w:rsidR="000C5849" w:rsidRPr="00113068">
        <w:t>2021/0037M</w:t>
      </w:r>
      <w:r w:rsidRPr="00113068">
        <w:rPr>
          <w:rStyle w:val="HideTWBExt"/>
          <w:b w:val="0"/>
          <w:noProof w:val="0"/>
        </w:rPr>
        <w:t>&lt;/RefProc&gt;&lt;RefTypeProc&gt;</w:t>
      </w:r>
      <w:r w:rsidR="00FF0339" w:rsidRPr="00113068">
        <w:t>(</w:t>
      </w:r>
      <w:r w:rsidR="000C5849" w:rsidRPr="00113068">
        <w:t>NLE</w:t>
      </w:r>
      <w:r w:rsidR="00FF0339" w:rsidRPr="00113068">
        <w:t>)</w:t>
      </w:r>
      <w:r w:rsidRPr="00113068">
        <w:rPr>
          <w:rStyle w:val="HideTWBExt"/>
          <w:b w:val="0"/>
          <w:noProof w:val="0"/>
        </w:rPr>
        <w:t>&lt;/RefTypeProc&gt;</w:t>
      </w:r>
    </w:p>
    <w:p w14:paraId="775F7213" w14:textId="77777777" w:rsidR="00A26973" w:rsidRPr="00113068" w:rsidRDefault="00A26973" w:rsidP="00A26973">
      <w:pPr>
        <w:pStyle w:val="CoverDate"/>
      </w:pPr>
      <w:r w:rsidRPr="00113068">
        <w:rPr>
          <w:rStyle w:val="HideTWBExt"/>
          <w:noProof w:val="0"/>
        </w:rPr>
        <w:t>&lt;Date&gt;</w:t>
      </w:r>
      <w:r w:rsidR="00F11292" w:rsidRPr="00113068">
        <w:rPr>
          <w:rStyle w:val="HideTWBInt"/>
        </w:rPr>
        <w:t>{24</w:t>
      </w:r>
      <w:r w:rsidR="000C5849" w:rsidRPr="00113068">
        <w:rPr>
          <w:rStyle w:val="HideTWBInt"/>
        </w:rPr>
        <w:t>/05/2021}</w:t>
      </w:r>
      <w:r w:rsidR="00F11292" w:rsidRPr="00113068">
        <w:t>24</w:t>
      </w:r>
      <w:r w:rsidR="000C5849" w:rsidRPr="00113068">
        <w:t>.5.2021</w:t>
      </w:r>
      <w:r w:rsidRPr="00113068">
        <w:rPr>
          <w:rStyle w:val="HideTWBExt"/>
          <w:noProof w:val="0"/>
        </w:rPr>
        <w:t>&lt;/Date&gt;</w:t>
      </w:r>
    </w:p>
    <w:p w14:paraId="23A82E47" w14:textId="77777777" w:rsidR="00A26973" w:rsidRPr="00113068" w:rsidRDefault="00A26973" w:rsidP="00A26973">
      <w:pPr>
        <w:pStyle w:val="CoverDocType24a"/>
      </w:pPr>
      <w:r w:rsidRPr="00113068">
        <w:rPr>
          <w:rStyle w:val="HideTWBExt"/>
          <w:b w:val="0"/>
          <w:noProof w:val="0"/>
        </w:rPr>
        <w:t>&lt;TitreType&gt;</w:t>
      </w:r>
      <w:r w:rsidR="00FF0339" w:rsidRPr="00113068">
        <w:t>PROJET DE RAPPORT</w:t>
      </w:r>
      <w:r w:rsidRPr="00113068">
        <w:rPr>
          <w:rStyle w:val="HideTWBExt"/>
          <w:b w:val="0"/>
          <w:noProof w:val="0"/>
        </w:rPr>
        <w:t>&lt;/TitreType&gt;</w:t>
      </w:r>
    </w:p>
    <w:p w14:paraId="06041883" w14:textId="77777777" w:rsidR="00A26973" w:rsidRPr="00113068" w:rsidRDefault="00A26973" w:rsidP="00A26973">
      <w:pPr>
        <w:pStyle w:val="CoverNormal"/>
      </w:pPr>
      <w:r w:rsidRPr="00113068">
        <w:rPr>
          <w:rStyle w:val="HideTWBExt"/>
          <w:noProof w:val="0"/>
        </w:rPr>
        <w:t>&lt;Titre&gt;</w:t>
      </w:r>
      <w:proofErr w:type="gramStart"/>
      <w:r w:rsidR="00FF0339" w:rsidRPr="00113068">
        <w:t>contenant</w:t>
      </w:r>
      <w:proofErr w:type="gramEnd"/>
      <w:r w:rsidR="00FF0339" w:rsidRPr="00113068">
        <w:t xml:space="preserve"> une proposition de résolution non législative sur </w:t>
      </w:r>
      <w:r w:rsidR="000C5849" w:rsidRPr="00113068">
        <w:t>le projet de décision</w:t>
      </w:r>
      <w:r w:rsidR="00FF0339" w:rsidRPr="00113068">
        <w:t xml:space="preserve"> du Conseil </w:t>
      </w:r>
      <w:r w:rsidR="000C5849" w:rsidRPr="00113068">
        <w:rPr>
          <w:szCs w:val="24"/>
        </w:rPr>
        <w:t>relati</w:t>
      </w:r>
      <w:r w:rsidR="00BB6F56">
        <w:rPr>
          <w:szCs w:val="24"/>
        </w:rPr>
        <w:t>f</w:t>
      </w:r>
      <w:r w:rsidR="000C5849" w:rsidRPr="00113068">
        <w:rPr>
          <w:szCs w:val="24"/>
        </w:rPr>
        <w:t xml:space="preserve"> à la conclusion, au nom de l</w:t>
      </w:r>
      <w:r w:rsidR="00BB6F56">
        <w:rPr>
          <w:szCs w:val="24"/>
        </w:rPr>
        <w:t>’</w:t>
      </w:r>
      <w:r w:rsidR="000C5849" w:rsidRPr="00113068">
        <w:rPr>
          <w:szCs w:val="24"/>
        </w:rPr>
        <w:t>Union, de l</w:t>
      </w:r>
      <w:r w:rsidR="00BB6F56">
        <w:rPr>
          <w:szCs w:val="24"/>
        </w:rPr>
        <w:t>’</w:t>
      </w:r>
      <w:r w:rsidR="000C5849" w:rsidRPr="00113068">
        <w:rPr>
          <w:szCs w:val="24"/>
        </w:rPr>
        <w:t>accord de partenariat dans le domaine de la pêche durable entre l</w:t>
      </w:r>
      <w:r w:rsidR="00BB6F56">
        <w:rPr>
          <w:szCs w:val="24"/>
        </w:rPr>
        <w:t>’</w:t>
      </w:r>
      <w:r w:rsidR="000C5849" w:rsidRPr="00113068">
        <w:rPr>
          <w:szCs w:val="24"/>
        </w:rPr>
        <w:t>Union européenne, d</w:t>
      </w:r>
      <w:r w:rsidR="00BB6F56">
        <w:rPr>
          <w:szCs w:val="24"/>
        </w:rPr>
        <w:t>’</w:t>
      </w:r>
      <w:r w:rsidR="000C5849" w:rsidRPr="00113068">
        <w:rPr>
          <w:szCs w:val="24"/>
        </w:rPr>
        <w:t>une part, et le gouvernement du Groenland et le gouvernement du Danemark, d</w:t>
      </w:r>
      <w:r w:rsidR="00BB6F56">
        <w:rPr>
          <w:szCs w:val="24"/>
        </w:rPr>
        <w:t>’</w:t>
      </w:r>
      <w:r w:rsidR="000C5849" w:rsidRPr="00113068">
        <w:rPr>
          <w:szCs w:val="24"/>
        </w:rPr>
        <w:t>autre part, ainsi que de son protocole de mise en œuvre</w:t>
      </w:r>
      <w:r w:rsidRPr="00113068">
        <w:rPr>
          <w:rStyle w:val="HideTWBExt"/>
          <w:noProof w:val="0"/>
        </w:rPr>
        <w:t>&lt;/Titre&gt;</w:t>
      </w:r>
    </w:p>
    <w:p w14:paraId="662D0E56" w14:textId="77777777" w:rsidR="00A26973" w:rsidRPr="00113068" w:rsidRDefault="00A26973" w:rsidP="00A26973">
      <w:pPr>
        <w:pStyle w:val="CoverNormal24a"/>
      </w:pPr>
      <w:r w:rsidRPr="00113068">
        <w:rPr>
          <w:rStyle w:val="HideTWBExt"/>
          <w:noProof w:val="0"/>
        </w:rPr>
        <w:t>&lt;DocRef&gt;</w:t>
      </w:r>
      <w:r w:rsidR="00FF0339" w:rsidRPr="00113068">
        <w:t>(</w:t>
      </w:r>
      <w:r w:rsidR="000C5849" w:rsidRPr="00113068">
        <w:t>06566/2021</w:t>
      </w:r>
      <w:r w:rsidR="00FF0339" w:rsidRPr="00113068">
        <w:t xml:space="preserve"> </w:t>
      </w:r>
      <w:r w:rsidR="000C5849" w:rsidRPr="00113068">
        <w:t>–</w:t>
      </w:r>
      <w:r w:rsidR="00FF0339" w:rsidRPr="00113068">
        <w:t xml:space="preserve"> </w:t>
      </w:r>
      <w:r w:rsidR="000C5849" w:rsidRPr="00113068">
        <w:t>C9</w:t>
      </w:r>
      <w:r w:rsidR="000C5849" w:rsidRPr="00113068">
        <w:noBreakHyphen/>
        <w:t>0154/2021</w:t>
      </w:r>
      <w:r w:rsidR="00FF0339" w:rsidRPr="00113068">
        <w:t xml:space="preserve"> </w:t>
      </w:r>
      <w:r w:rsidR="000C5849" w:rsidRPr="00113068">
        <w:t>–</w:t>
      </w:r>
      <w:r w:rsidR="00FF0339" w:rsidRPr="00113068">
        <w:t xml:space="preserve"> </w:t>
      </w:r>
      <w:r w:rsidR="000C5849" w:rsidRPr="00113068">
        <w:t>2021/0037</w:t>
      </w:r>
      <w:r w:rsidR="006D4DF4" w:rsidRPr="00113068">
        <w:t>M</w:t>
      </w:r>
      <w:r w:rsidR="00FF0339" w:rsidRPr="00113068">
        <w:t>(</w:t>
      </w:r>
      <w:r w:rsidR="000C5849" w:rsidRPr="00113068">
        <w:t>NLE</w:t>
      </w:r>
      <w:r w:rsidR="00FF0339" w:rsidRPr="00113068">
        <w:t>))</w:t>
      </w:r>
      <w:r w:rsidRPr="00113068">
        <w:rPr>
          <w:rStyle w:val="HideTWBExt"/>
          <w:noProof w:val="0"/>
        </w:rPr>
        <w:t>&lt;/DocRef&gt;</w:t>
      </w:r>
    </w:p>
    <w:p w14:paraId="698BF4A6" w14:textId="77777777" w:rsidR="00A26973" w:rsidRPr="00113068" w:rsidRDefault="00A26973" w:rsidP="00A26973">
      <w:pPr>
        <w:pStyle w:val="CoverNormal24a"/>
      </w:pPr>
      <w:r w:rsidRPr="00113068">
        <w:rPr>
          <w:rStyle w:val="HideTWBExt"/>
          <w:noProof w:val="0"/>
        </w:rPr>
        <w:t>&lt;Commission&gt;</w:t>
      </w:r>
      <w:r w:rsidR="000C5849" w:rsidRPr="00113068">
        <w:rPr>
          <w:rStyle w:val="HideTWBInt"/>
        </w:rPr>
        <w:t>{PECH}</w:t>
      </w:r>
      <w:r w:rsidR="000C5849" w:rsidRPr="00113068">
        <w:t>Commission de la pêche</w:t>
      </w:r>
      <w:r w:rsidRPr="00113068">
        <w:rPr>
          <w:rStyle w:val="HideTWBExt"/>
          <w:noProof w:val="0"/>
        </w:rPr>
        <w:t>&lt;/Commission&gt;</w:t>
      </w:r>
    </w:p>
    <w:p w14:paraId="3935645D" w14:textId="77777777" w:rsidR="00A26973" w:rsidRPr="00113068" w:rsidRDefault="000C5849" w:rsidP="00A26973">
      <w:pPr>
        <w:pStyle w:val="CoverNormal24a"/>
      </w:pPr>
      <w:proofErr w:type="gramStart"/>
      <w:r w:rsidRPr="00113068">
        <w:t>Rapporteur:</w:t>
      </w:r>
      <w:proofErr w:type="gramEnd"/>
      <w:r w:rsidR="00A26973" w:rsidRPr="00113068">
        <w:t xml:space="preserve"> </w:t>
      </w:r>
      <w:r w:rsidR="00A26973" w:rsidRPr="00113068">
        <w:rPr>
          <w:rStyle w:val="HideTWBExt"/>
          <w:noProof w:val="0"/>
        </w:rPr>
        <w:t>&lt;Depute&gt;</w:t>
      </w:r>
      <w:r w:rsidRPr="00113068">
        <w:t xml:space="preserve">Pierre </w:t>
      </w:r>
      <w:proofErr w:type="spellStart"/>
      <w:r w:rsidRPr="00113068">
        <w:t>Karleskind</w:t>
      </w:r>
      <w:proofErr w:type="spellEnd"/>
      <w:r w:rsidR="00A26973" w:rsidRPr="00113068">
        <w:rPr>
          <w:rStyle w:val="HideTWBExt"/>
          <w:noProof w:val="0"/>
        </w:rPr>
        <w:t>&lt;/Depute&gt;</w:t>
      </w:r>
    </w:p>
    <w:p w14:paraId="50581861" w14:textId="77777777" w:rsidR="00B42885" w:rsidRPr="00113068" w:rsidRDefault="00B42885" w:rsidP="00B42885">
      <w:pPr>
        <w:pStyle w:val="CoverNormal"/>
      </w:pPr>
    </w:p>
    <w:p w14:paraId="5EAC1DD9" w14:textId="77777777" w:rsidR="00197326" w:rsidRPr="00113068" w:rsidRDefault="00363B94" w:rsidP="00925477">
      <w:pPr>
        <w:widowControl/>
        <w:tabs>
          <w:tab w:val="center" w:pos="4677"/>
        </w:tabs>
      </w:pPr>
      <w:r w:rsidRPr="00113068">
        <w:br w:type="page"/>
      </w:r>
      <w:proofErr w:type="spellStart"/>
      <w:r w:rsidR="00FF0339" w:rsidRPr="00113068">
        <w:lastRenderedPageBreak/>
        <w:t>PR_Consent_Motion</w:t>
      </w:r>
      <w:proofErr w:type="spellEnd"/>
    </w:p>
    <w:p w14:paraId="0C01FB28" w14:textId="77777777" w:rsidR="00197326" w:rsidRPr="00113068" w:rsidRDefault="00FF0339" w:rsidP="00197326">
      <w:pPr>
        <w:pStyle w:val="Nadpisobsahu"/>
      </w:pPr>
      <w:r w:rsidRPr="00113068">
        <w:t>SOMMAIRE</w:t>
      </w:r>
    </w:p>
    <w:p w14:paraId="430CE188" w14:textId="77777777" w:rsidR="00197326" w:rsidRPr="00113068" w:rsidRDefault="00FF0339" w:rsidP="00925477">
      <w:pPr>
        <w:pStyle w:val="TOCPage"/>
      </w:pPr>
      <w:r w:rsidRPr="00113068">
        <w:t>Page</w:t>
      </w:r>
    </w:p>
    <w:p w14:paraId="6034FA7E" w14:textId="77777777" w:rsidR="005078B8" w:rsidRDefault="00925477">
      <w:pPr>
        <w:pStyle w:val="Obsah1"/>
        <w:tabs>
          <w:tab w:val="right" w:leader="dot" w:pos="9060"/>
        </w:tabs>
        <w:rPr>
          <w:rFonts w:asciiTheme="minorHAnsi" w:eastAsiaTheme="minorEastAsia" w:hAnsiTheme="minorHAnsi" w:cstheme="minorBidi"/>
          <w:noProof/>
          <w:sz w:val="22"/>
          <w:szCs w:val="22"/>
          <w:lang w:eastAsia="fr-FR"/>
        </w:rPr>
      </w:pPr>
      <w:r w:rsidRPr="00113068">
        <w:rPr>
          <w:b/>
        </w:rPr>
        <w:fldChar w:fldCharType="begin"/>
      </w:r>
      <w:r w:rsidRPr="00113068">
        <w:rPr>
          <w:b/>
        </w:rPr>
        <w:instrText xml:space="preserve"> TOC \t "PageHeading</w:instrText>
      </w:r>
      <w:r w:rsidR="000129F5">
        <w:rPr>
          <w:b/>
        </w:rPr>
        <w:instrText>;</w:instrText>
      </w:r>
      <w:r w:rsidRPr="00113068">
        <w:rPr>
          <w:b/>
        </w:rPr>
        <w:instrText xml:space="preserve">1" </w:instrText>
      </w:r>
      <w:r w:rsidRPr="00113068">
        <w:rPr>
          <w:b/>
        </w:rPr>
        <w:fldChar w:fldCharType="separate"/>
      </w:r>
      <w:r w:rsidR="005078B8">
        <w:rPr>
          <w:noProof/>
        </w:rPr>
        <w:t>PROPOSITION DE RÉSOLUTION NON LÉGISLATIVE DU PARLEMENT EUROPÉEN</w:t>
      </w:r>
      <w:r w:rsidR="005078B8">
        <w:rPr>
          <w:noProof/>
        </w:rPr>
        <w:tab/>
      </w:r>
      <w:r w:rsidR="005078B8">
        <w:rPr>
          <w:noProof/>
        </w:rPr>
        <w:fldChar w:fldCharType="begin"/>
      </w:r>
      <w:r w:rsidR="005078B8">
        <w:rPr>
          <w:noProof/>
        </w:rPr>
        <w:instrText xml:space="preserve"> PAGEREF _Toc72930022 \h </w:instrText>
      </w:r>
      <w:r w:rsidR="005078B8">
        <w:rPr>
          <w:noProof/>
        </w:rPr>
      </w:r>
      <w:r w:rsidR="005078B8">
        <w:rPr>
          <w:noProof/>
        </w:rPr>
        <w:fldChar w:fldCharType="separate"/>
      </w:r>
      <w:r w:rsidR="005078B8">
        <w:rPr>
          <w:noProof/>
        </w:rPr>
        <w:t>3</w:t>
      </w:r>
      <w:r w:rsidR="005078B8">
        <w:rPr>
          <w:noProof/>
        </w:rPr>
        <w:fldChar w:fldCharType="end"/>
      </w:r>
    </w:p>
    <w:p w14:paraId="6B7A96AD" w14:textId="77777777" w:rsidR="00197326" w:rsidRPr="00113068" w:rsidRDefault="00925477" w:rsidP="00197326">
      <w:r w:rsidRPr="00113068">
        <w:rPr>
          <w:b/>
        </w:rPr>
        <w:fldChar w:fldCharType="end"/>
      </w:r>
    </w:p>
    <w:p w14:paraId="58F3620F" w14:textId="77777777" w:rsidR="00363B94" w:rsidRPr="00113068" w:rsidRDefault="00363B94">
      <w:pPr>
        <w:pStyle w:val="PageHeading"/>
      </w:pPr>
      <w:r w:rsidRPr="00113068">
        <w:br w:type="page"/>
      </w:r>
      <w:bookmarkStart w:id="0" w:name="_Toc72930022"/>
      <w:r w:rsidR="00FF0339" w:rsidRPr="00113068">
        <w:lastRenderedPageBreak/>
        <w:t>PROPOSITION DE RÉSOLUTION NON LÉGISLATIVE DU PARLEMENT EUROPÉEN</w:t>
      </w:r>
      <w:bookmarkEnd w:id="0"/>
    </w:p>
    <w:p w14:paraId="0C05B2FE" w14:textId="77777777" w:rsidR="00363B94" w:rsidRPr="00113068" w:rsidRDefault="00FF0339">
      <w:pPr>
        <w:pStyle w:val="NormalBold"/>
      </w:pPr>
      <w:proofErr w:type="gramStart"/>
      <w:r w:rsidRPr="00113068">
        <w:t>sur</w:t>
      </w:r>
      <w:proofErr w:type="gramEnd"/>
      <w:r w:rsidRPr="00113068">
        <w:t xml:space="preserve"> </w:t>
      </w:r>
      <w:r w:rsidR="000C5849" w:rsidRPr="00113068">
        <w:t>le projet de décision</w:t>
      </w:r>
      <w:r w:rsidRPr="00113068">
        <w:t xml:space="preserve"> du Conseil </w:t>
      </w:r>
      <w:r w:rsidR="00BB6F56" w:rsidRPr="00113068">
        <w:t>relati</w:t>
      </w:r>
      <w:r w:rsidR="00BB6F56">
        <w:t>f</w:t>
      </w:r>
      <w:r w:rsidR="00BB6F56" w:rsidRPr="00113068">
        <w:t xml:space="preserve"> </w:t>
      </w:r>
      <w:r w:rsidR="000C5849" w:rsidRPr="00113068">
        <w:t>à la conclusion, au nom de l</w:t>
      </w:r>
      <w:r w:rsidR="00BB6F56">
        <w:t>’</w:t>
      </w:r>
      <w:r w:rsidR="000C5849" w:rsidRPr="00113068">
        <w:t>Union, de l</w:t>
      </w:r>
      <w:r w:rsidR="00BB6F56">
        <w:t>’</w:t>
      </w:r>
      <w:r w:rsidR="000C5849" w:rsidRPr="00113068">
        <w:t>accord de partenariat dans le domaine de la pêche durable entre l</w:t>
      </w:r>
      <w:r w:rsidR="00BB6F56">
        <w:t>’</w:t>
      </w:r>
      <w:r w:rsidR="000C5849" w:rsidRPr="00113068">
        <w:t>Union européenne, d</w:t>
      </w:r>
      <w:r w:rsidR="00BB6F56">
        <w:t>’</w:t>
      </w:r>
      <w:r w:rsidR="000C5849" w:rsidRPr="00113068">
        <w:t>une part, et le gouvernement du Groenland et le gouvernement du Danemark, d</w:t>
      </w:r>
      <w:r w:rsidR="00BB6F56">
        <w:t>’</w:t>
      </w:r>
      <w:r w:rsidR="000C5849" w:rsidRPr="00113068">
        <w:t>autre part, ainsi que de son protocole de mise en œuvre</w:t>
      </w:r>
    </w:p>
    <w:p w14:paraId="51B07012" w14:textId="77777777" w:rsidR="00363B94" w:rsidRPr="00113068" w:rsidRDefault="00FF0339" w:rsidP="00A07A05">
      <w:pPr>
        <w:pStyle w:val="NormalBold"/>
      </w:pPr>
      <w:r w:rsidRPr="00113068">
        <w:t>(</w:t>
      </w:r>
      <w:r w:rsidR="000C5849" w:rsidRPr="00113068">
        <w:t>06566/2021</w:t>
      </w:r>
      <w:r w:rsidRPr="00113068">
        <w:t xml:space="preserve"> </w:t>
      </w:r>
      <w:r w:rsidR="000C5849" w:rsidRPr="00113068">
        <w:t>–</w:t>
      </w:r>
      <w:r w:rsidRPr="00113068">
        <w:t xml:space="preserve"> </w:t>
      </w:r>
      <w:r w:rsidR="000C5849" w:rsidRPr="00113068">
        <w:t>C9</w:t>
      </w:r>
      <w:r w:rsidR="000C5849" w:rsidRPr="00113068">
        <w:noBreakHyphen/>
        <w:t>0154/2021</w:t>
      </w:r>
      <w:r w:rsidRPr="00113068">
        <w:t xml:space="preserve"> </w:t>
      </w:r>
      <w:r w:rsidR="000C5849" w:rsidRPr="00113068">
        <w:t>–</w:t>
      </w:r>
      <w:r w:rsidRPr="00113068">
        <w:t xml:space="preserve"> </w:t>
      </w:r>
      <w:r w:rsidR="000C5849" w:rsidRPr="00113068">
        <w:t>2021/0037</w:t>
      </w:r>
      <w:r w:rsidR="006D4DF4" w:rsidRPr="00113068">
        <w:t>M</w:t>
      </w:r>
      <w:r w:rsidRPr="00113068">
        <w:t>(</w:t>
      </w:r>
      <w:r w:rsidR="000C5849" w:rsidRPr="00113068">
        <w:t>NLE</w:t>
      </w:r>
      <w:r w:rsidRPr="00113068">
        <w:t>))</w:t>
      </w:r>
    </w:p>
    <w:p w14:paraId="78C84C69" w14:textId="77777777" w:rsidR="00363B94" w:rsidRPr="00113068" w:rsidRDefault="00FF0339">
      <w:pPr>
        <w:pStyle w:val="EPComma"/>
      </w:pPr>
      <w:r w:rsidRPr="00113068">
        <w:rPr>
          <w:i/>
        </w:rPr>
        <w:t>Le Parlement européen</w:t>
      </w:r>
      <w:r w:rsidRPr="00113068">
        <w:t>,</w:t>
      </w:r>
    </w:p>
    <w:p w14:paraId="37284B3C" w14:textId="77777777" w:rsidR="00BF7F55" w:rsidRPr="00113068" w:rsidRDefault="00BF7F55" w:rsidP="00BF7F55">
      <w:pPr>
        <w:pStyle w:val="NormalHanging12a"/>
      </w:pPr>
      <w:r w:rsidRPr="00113068">
        <w:t>–</w:t>
      </w:r>
      <w:r w:rsidRPr="00113068">
        <w:tab/>
      </w:r>
      <w:r w:rsidR="000C5849" w:rsidRPr="00113068">
        <w:t>vu le projet de décision du Conseil</w:t>
      </w:r>
      <w:r w:rsidR="00FF0339" w:rsidRPr="00113068">
        <w:t xml:space="preserve"> (</w:t>
      </w:r>
      <w:r w:rsidR="000C5849" w:rsidRPr="00113068">
        <w:t>06566/2021</w:t>
      </w:r>
      <w:r w:rsidR="00FF0339" w:rsidRPr="00113068">
        <w:t>),</w:t>
      </w:r>
    </w:p>
    <w:p w14:paraId="1FDB16A3" w14:textId="77777777" w:rsidR="00363B94" w:rsidRPr="00113068" w:rsidRDefault="00363B94">
      <w:pPr>
        <w:pStyle w:val="NormalHanging12a"/>
      </w:pPr>
      <w:r w:rsidRPr="00113068">
        <w:t>–</w:t>
      </w:r>
      <w:r w:rsidRPr="00113068">
        <w:tab/>
      </w:r>
      <w:r w:rsidR="009C29BD" w:rsidRPr="00113068">
        <w:t>vu le projet d’accord de partenariat dans le domaine de la pêche durable entre l’Union européenne, d</w:t>
      </w:r>
      <w:r w:rsidR="00BB6F56">
        <w:t>’</w:t>
      </w:r>
      <w:r w:rsidR="009C29BD" w:rsidRPr="00113068">
        <w:t>une part, et le gouvernement du Groenland et le gouvernement du Danemark, d</w:t>
      </w:r>
      <w:r w:rsidR="00BB6F56">
        <w:t>’</w:t>
      </w:r>
      <w:r w:rsidR="009C29BD" w:rsidRPr="00113068">
        <w:t>autre part</w:t>
      </w:r>
      <w:r w:rsidR="007A4ACB" w:rsidRPr="00113068">
        <w:t>,</w:t>
      </w:r>
      <w:r w:rsidR="009C29BD" w:rsidRPr="00113068">
        <w:t xml:space="preserve"> et son protocole de mise en œuvre (06380/2021),</w:t>
      </w:r>
    </w:p>
    <w:p w14:paraId="33003CE3" w14:textId="77777777" w:rsidR="00363B94" w:rsidRPr="00113068" w:rsidRDefault="005F5D6C">
      <w:pPr>
        <w:pStyle w:val="NormalHanging12a"/>
      </w:pPr>
      <w:r w:rsidRPr="00113068">
        <w:t>–</w:t>
      </w:r>
      <w:r w:rsidRPr="00113068">
        <w:tab/>
      </w:r>
      <w:r w:rsidR="00251907" w:rsidRPr="00113068">
        <w:t>vu la demande d’approbation présentée par le Conseil conformément à l’article 43, paragraphe 2, et à l’article 218, paragraphe 6, deuxième alinéa, point a) v), et paragraphe 7, du traité sur le fonctionnement de l’Union européenne (C9</w:t>
      </w:r>
      <w:r w:rsidR="00BB6F56">
        <w:t>-</w:t>
      </w:r>
      <w:r w:rsidR="00251907" w:rsidRPr="00113068">
        <w:t>0073/2020),</w:t>
      </w:r>
    </w:p>
    <w:p w14:paraId="2B2CA9DB" w14:textId="77777777" w:rsidR="00645684" w:rsidRPr="00113068" w:rsidRDefault="004A4068" w:rsidP="008368CB">
      <w:pPr>
        <w:pStyle w:val="NormalHanging12a"/>
      </w:pPr>
      <w:r w:rsidRPr="00113068">
        <w:t>–</w:t>
      </w:r>
      <w:r w:rsidRPr="00113068">
        <w:tab/>
      </w:r>
      <w:r w:rsidR="00A30183" w:rsidRPr="00113068">
        <w:t>v</w:t>
      </w:r>
      <w:r w:rsidRPr="00113068">
        <w:t>u le titre II du règlement (UE) n</w:t>
      </w:r>
      <w:r w:rsidR="00BB6F56" w:rsidRPr="00CC1290">
        <w:rPr>
          <w:vertAlign w:val="superscript"/>
        </w:rPr>
        <w:t>o</w:t>
      </w:r>
      <w:r w:rsidRPr="00113068">
        <w:t xml:space="preserve"> 1380/2013 du Parlement européen et du Conseil du 11 décembre 2013 relatif à la politique commune de la pêche (PCP)</w:t>
      </w:r>
      <w:r w:rsidR="00645684" w:rsidRPr="00113068">
        <w:t>,</w:t>
      </w:r>
    </w:p>
    <w:p w14:paraId="6B7D04C8" w14:textId="77777777" w:rsidR="008368CB" w:rsidRPr="00113068" w:rsidRDefault="008368CB" w:rsidP="008368CB">
      <w:pPr>
        <w:pStyle w:val="NormalHanging12a"/>
      </w:pPr>
      <w:r w:rsidRPr="00113068">
        <w:t>–</w:t>
      </w:r>
      <w:r w:rsidRPr="00113068">
        <w:tab/>
      </w:r>
      <w:r w:rsidR="00FF0339" w:rsidRPr="00113068">
        <w:t>vu sa résolution législative du ...</w:t>
      </w:r>
      <w:r w:rsidR="00251907" w:rsidRPr="00113068">
        <w:rPr>
          <w:rStyle w:val="Znakapoznpodarou"/>
        </w:rPr>
        <w:footnoteReference w:id="1"/>
      </w:r>
      <w:r w:rsidR="00FF0339" w:rsidRPr="00113068">
        <w:t xml:space="preserve"> sur </w:t>
      </w:r>
      <w:r w:rsidR="00251907" w:rsidRPr="00113068">
        <w:t>le projet de décision</w:t>
      </w:r>
      <w:r w:rsidR="00FF0339" w:rsidRPr="00113068">
        <w:t>,</w:t>
      </w:r>
    </w:p>
    <w:p w14:paraId="362D5EC6" w14:textId="77777777" w:rsidR="004A4068" w:rsidRPr="00113068" w:rsidRDefault="004A4068" w:rsidP="008368CB">
      <w:pPr>
        <w:pStyle w:val="NormalHanging12a"/>
      </w:pPr>
      <w:r w:rsidRPr="00113068">
        <w:t>–</w:t>
      </w:r>
      <w:r w:rsidRPr="00113068">
        <w:tab/>
      </w:r>
      <w:r w:rsidR="00A30183" w:rsidRPr="00113068">
        <w:t>v</w:t>
      </w:r>
      <w:r w:rsidRPr="00113068">
        <w:t>u l’article 62 d</w:t>
      </w:r>
      <w:r w:rsidR="00BB6F56">
        <w:t>e la</w:t>
      </w:r>
      <w:r w:rsidRPr="00113068">
        <w:t xml:space="preserve"> </w:t>
      </w:r>
      <w:r w:rsidR="00BB6F56">
        <w:t>c</w:t>
      </w:r>
      <w:r w:rsidRPr="00113068">
        <w:t xml:space="preserve">onvention des Nations </w:t>
      </w:r>
      <w:r w:rsidR="004D60BC">
        <w:t>u</w:t>
      </w:r>
      <w:r w:rsidRPr="00113068">
        <w:t>nies sur le droit de la mer,</w:t>
      </w:r>
    </w:p>
    <w:p w14:paraId="05999DFC" w14:textId="77777777" w:rsidR="004A4068" w:rsidRPr="00113068" w:rsidRDefault="004A4068" w:rsidP="008368CB">
      <w:pPr>
        <w:pStyle w:val="NormalHanging12a"/>
      </w:pPr>
      <w:r w:rsidRPr="00113068">
        <w:t>–</w:t>
      </w:r>
      <w:r w:rsidRPr="00113068">
        <w:tab/>
      </w:r>
      <w:r w:rsidR="00A30183" w:rsidRPr="00113068">
        <w:t>v</w:t>
      </w:r>
      <w:r w:rsidRPr="00113068">
        <w:t xml:space="preserve">u la convention de la </w:t>
      </w:r>
      <w:r w:rsidRPr="00113068">
        <w:rPr>
          <w:color w:val="000000" w:themeColor="text1"/>
        </w:rPr>
        <w:t xml:space="preserve">Commission des </w:t>
      </w:r>
      <w:r w:rsidR="00BB6F56">
        <w:rPr>
          <w:color w:val="000000" w:themeColor="text1"/>
        </w:rPr>
        <w:t>p</w:t>
      </w:r>
      <w:r w:rsidRPr="00113068">
        <w:rPr>
          <w:color w:val="000000" w:themeColor="text1"/>
        </w:rPr>
        <w:t>êches de l’Atlantique du Nord-Est (CPANE),</w:t>
      </w:r>
    </w:p>
    <w:p w14:paraId="714E8E08" w14:textId="77777777" w:rsidR="004A4068" w:rsidRPr="00113068" w:rsidRDefault="004A4068" w:rsidP="008368CB">
      <w:pPr>
        <w:pStyle w:val="NormalHanging12a"/>
      </w:pPr>
      <w:r w:rsidRPr="00113068">
        <w:t>–</w:t>
      </w:r>
      <w:r w:rsidRPr="00113068">
        <w:tab/>
      </w:r>
      <w:r w:rsidR="00A30183" w:rsidRPr="00113068">
        <w:t>v</w:t>
      </w:r>
      <w:r w:rsidRPr="00113068">
        <w:t xml:space="preserve">u la convention de l’Organisation des </w:t>
      </w:r>
      <w:r w:rsidR="00BB6F56">
        <w:t>p</w:t>
      </w:r>
      <w:r w:rsidRPr="00113068">
        <w:t>êcheries d</w:t>
      </w:r>
      <w:r w:rsidR="00BB6F56">
        <w:t>e l’Atlantique du</w:t>
      </w:r>
      <w:r w:rsidRPr="00113068">
        <w:t xml:space="preserve"> Nord-Ouest (OPANO),</w:t>
      </w:r>
    </w:p>
    <w:p w14:paraId="6DABBFAA" w14:textId="77777777" w:rsidR="004A4068" w:rsidRPr="00113068" w:rsidRDefault="004A4068" w:rsidP="008368CB">
      <w:pPr>
        <w:pStyle w:val="NormalHanging12a"/>
      </w:pPr>
      <w:r w:rsidRPr="00113068">
        <w:t>–</w:t>
      </w:r>
      <w:r w:rsidRPr="00113068">
        <w:tab/>
      </w:r>
      <w:r w:rsidR="00A30183" w:rsidRPr="00113068">
        <w:t>v</w:t>
      </w:r>
      <w:r w:rsidRPr="00113068">
        <w:t xml:space="preserve">u la convention pour la protection </w:t>
      </w:r>
      <w:r w:rsidR="00BB6F56">
        <w:t>du milieu</w:t>
      </w:r>
      <w:r w:rsidRPr="00113068">
        <w:t xml:space="preserve"> marin </w:t>
      </w:r>
      <w:r w:rsidR="00BB6F56" w:rsidRPr="00113068">
        <w:t>d</w:t>
      </w:r>
      <w:r w:rsidR="00BB6F56">
        <w:t>e</w:t>
      </w:r>
      <w:r w:rsidR="00BB6F56" w:rsidRPr="00113068">
        <w:t xml:space="preserve"> </w:t>
      </w:r>
      <w:r w:rsidRPr="00113068">
        <w:t>l’Atlantique du Nord-Est (OSPAR),</w:t>
      </w:r>
    </w:p>
    <w:p w14:paraId="70E4D936" w14:textId="77777777" w:rsidR="004A4068" w:rsidRPr="00113068" w:rsidRDefault="004A4068" w:rsidP="008368CB">
      <w:pPr>
        <w:pStyle w:val="NormalHanging12a"/>
      </w:pPr>
      <w:r w:rsidRPr="00113068">
        <w:t>–</w:t>
      </w:r>
      <w:r w:rsidRPr="00113068">
        <w:tab/>
      </w:r>
      <w:r w:rsidR="00A30183" w:rsidRPr="00113068">
        <w:t>v</w:t>
      </w:r>
      <w:r w:rsidRPr="00113068">
        <w:t>u l’accord visant à prévenir la pêche non réglementée en haute mer dans l</w:t>
      </w:r>
      <w:r w:rsidR="00BB6F56">
        <w:t>’</w:t>
      </w:r>
      <w:r w:rsidRPr="00113068">
        <w:t>océan Arctique central,</w:t>
      </w:r>
    </w:p>
    <w:p w14:paraId="166DE195" w14:textId="77777777" w:rsidR="004A4068" w:rsidRPr="00113068" w:rsidRDefault="004A4068" w:rsidP="008368CB">
      <w:pPr>
        <w:pStyle w:val="NormalHanging12a"/>
      </w:pPr>
      <w:r w:rsidRPr="00113068">
        <w:t>–</w:t>
      </w:r>
      <w:r w:rsidRPr="00113068">
        <w:tab/>
      </w:r>
      <w:r w:rsidR="00A30183" w:rsidRPr="00113068">
        <w:t>v</w:t>
      </w:r>
      <w:r w:rsidRPr="00113068">
        <w:t>u le protocole (</w:t>
      </w:r>
      <w:r w:rsidR="00BB6F56">
        <w:t>n</w:t>
      </w:r>
      <w:r w:rsidRPr="00CC1290">
        <w:rPr>
          <w:vertAlign w:val="superscript"/>
        </w:rPr>
        <w:t>o</w:t>
      </w:r>
      <w:r w:rsidRPr="00113068">
        <w:t xml:space="preserve"> 34) sur le régime particulier applicable au Groenland,</w:t>
      </w:r>
    </w:p>
    <w:p w14:paraId="1073D970" w14:textId="77777777" w:rsidR="004A4068" w:rsidRPr="00113068" w:rsidRDefault="004A4068" w:rsidP="004A4068">
      <w:pPr>
        <w:pStyle w:val="NormalHanging12a"/>
      </w:pPr>
      <w:r w:rsidRPr="00113068">
        <w:t>–</w:t>
      </w:r>
      <w:r w:rsidRPr="00113068">
        <w:tab/>
      </w:r>
      <w:r w:rsidR="00A30183" w:rsidRPr="00113068">
        <w:t>v</w:t>
      </w:r>
      <w:r w:rsidRPr="00113068">
        <w:t>u l</w:t>
      </w:r>
      <w:r w:rsidRPr="00113068">
        <w:rPr>
          <w:color w:val="202122"/>
        </w:rPr>
        <w:t>a déclaration d</w:t>
      </w:r>
      <w:r w:rsidR="00BB6F56">
        <w:rPr>
          <w:color w:val="202122"/>
        </w:rPr>
        <w:t>’</w:t>
      </w:r>
      <w:r w:rsidRPr="00113068">
        <w:rPr>
          <w:color w:val="202122"/>
        </w:rPr>
        <w:t>Ottawa</w:t>
      </w:r>
      <w:r w:rsidR="00BB6F56">
        <w:rPr>
          <w:color w:val="202122"/>
        </w:rPr>
        <w:t xml:space="preserve"> sur la création du</w:t>
      </w:r>
      <w:r w:rsidR="00C25228">
        <w:rPr>
          <w:color w:val="202122"/>
        </w:rPr>
        <w:t xml:space="preserve"> C</w:t>
      </w:r>
      <w:r w:rsidRPr="00113068">
        <w:rPr>
          <w:color w:val="202122"/>
        </w:rPr>
        <w:t>onseil d</w:t>
      </w:r>
      <w:r w:rsidR="00C25228">
        <w:rPr>
          <w:color w:val="202122"/>
        </w:rPr>
        <w:t>e l’A</w:t>
      </w:r>
      <w:r w:rsidRPr="00113068">
        <w:rPr>
          <w:color w:val="202122"/>
        </w:rPr>
        <w:t>rctique,</w:t>
      </w:r>
    </w:p>
    <w:p w14:paraId="47695C07" w14:textId="77777777" w:rsidR="004A4068" w:rsidRPr="00113068" w:rsidRDefault="004A4068" w:rsidP="004A4068">
      <w:pPr>
        <w:pStyle w:val="NormalHanging12a"/>
      </w:pPr>
      <w:r w:rsidRPr="00113068">
        <w:t>–</w:t>
      </w:r>
      <w:r w:rsidRPr="00113068">
        <w:tab/>
      </w:r>
      <w:r w:rsidR="00A30183" w:rsidRPr="00113068">
        <w:rPr>
          <w:color w:val="202122"/>
        </w:rPr>
        <w:t>v</w:t>
      </w:r>
      <w:r w:rsidRPr="00113068">
        <w:rPr>
          <w:color w:val="202122"/>
        </w:rPr>
        <w:t xml:space="preserve">u la résolution législative du Parlement européen du 31 janvier 2019 sur la proposition de décision du Conseil relative à l’association des pays et territoires d’outre-mer à l’Union européenne, y compris les relations entre l’Union européenne, d’une part, et le Groenland et le Royaume de Danemark, d’autre part </w:t>
      </w:r>
      <w:proofErr w:type="gramStart"/>
      <w:r w:rsidRPr="00113068">
        <w:rPr>
          <w:color w:val="202122"/>
        </w:rPr>
        <w:t>(«décision</w:t>
      </w:r>
      <w:proofErr w:type="gramEnd"/>
      <w:r w:rsidRPr="00113068">
        <w:rPr>
          <w:color w:val="202122"/>
        </w:rPr>
        <w:t xml:space="preserve"> d’association outre-</w:t>
      </w:r>
      <w:r w:rsidRPr="00113068">
        <w:rPr>
          <w:color w:val="202122"/>
        </w:rPr>
        <w:lastRenderedPageBreak/>
        <w:t>mer»),</w:t>
      </w:r>
    </w:p>
    <w:p w14:paraId="2FFC572E" w14:textId="77777777" w:rsidR="004A4068" w:rsidRPr="00113068" w:rsidRDefault="004A4068" w:rsidP="004A4068">
      <w:pPr>
        <w:pStyle w:val="NormalHanging12a"/>
      </w:pPr>
      <w:r w:rsidRPr="00113068">
        <w:t>–</w:t>
      </w:r>
      <w:r w:rsidRPr="00113068">
        <w:tab/>
      </w:r>
      <w:r w:rsidR="00A30183" w:rsidRPr="00113068">
        <w:t>v</w:t>
      </w:r>
      <w:r w:rsidRPr="00113068">
        <w:t>u le rapport du 9 ao</w:t>
      </w:r>
      <w:r w:rsidR="004D60BC">
        <w:t>û</w:t>
      </w:r>
      <w:r w:rsidRPr="00113068">
        <w:t>t 2019 intitulé</w:t>
      </w:r>
      <w:proofErr w:type="gramStart"/>
      <w:r w:rsidRPr="00113068">
        <w:t xml:space="preserve"> «Ex</w:t>
      </w:r>
      <w:proofErr w:type="gramEnd"/>
      <w:r w:rsidRPr="00113068">
        <w:t xml:space="preserve"> ante and ex post </w:t>
      </w:r>
      <w:proofErr w:type="spellStart"/>
      <w:r w:rsidRPr="00113068">
        <w:t>evaluation</w:t>
      </w:r>
      <w:proofErr w:type="spellEnd"/>
      <w:r w:rsidRPr="00113068">
        <w:t xml:space="preserve"> </w:t>
      </w:r>
      <w:proofErr w:type="spellStart"/>
      <w:r w:rsidRPr="00113068">
        <w:t>study</w:t>
      </w:r>
      <w:proofErr w:type="spellEnd"/>
      <w:r w:rsidRPr="00113068">
        <w:t xml:space="preserve"> of the </w:t>
      </w:r>
      <w:proofErr w:type="spellStart"/>
      <w:r w:rsidRPr="00113068">
        <w:t>Fisheries</w:t>
      </w:r>
      <w:proofErr w:type="spellEnd"/>
      <w:r w:rsidRPr="00113068">
        <w:t xml:space="preserve"> Partnership Agreement </w:t>
      </w:r>
      <w:proofErr w:type="spellStart"/>
      <w:r w:rsidRPr="00113068">
        <w:t>between</w:t>
      </w:r>
      <w:proofErr w:type="spellEnd"/>
      <w:r w:rsidRPr="00113068">
        <w:t xml:space="preserve"> the </w:t>
      </w:r>
      <w:proofErr w:type="spellStart"/>
      <w:r w:rsidRPr="00113068">
        <w:t>European</w:t>
      </w:r>
      <w:proofErr w:type="spellEnd"/>
      <w:r w:rsidRPr="00113068">
        <w:t xml:space="preserve"> Union and </w:t>
      </w:r>
      <w:proofErr w:type="spellStart"/>
      <w:r w:rsidRPr="00113068">
        <w:t>Greenland</w:t>
      </w:r>
      <w:proofErr w:type="spellEnd"/>
      <w:r w:rsidRPr="00113068">
        <w:t xml:space="preserve">» (étude </w:t>
      </w:r>
      <w:r w:rsidR="00C25228">
        <w:t>d’</w:t>
      </w:r>
      <w:r w:rsidRPr="00113068">
        <w:t>évaluation ex ante</w:t>
      </w:r>
      <w:r w:rsidR="00C25228">
        <w:t xml:space="preserve"> et ex post</w:t>
      </w:r>
      <w:r w:rsidRPr="00113068">
        <w:t xml:space="preserve"> de </w:t>
      </w:r>
      <w:r w:rsidR="00C25228">
        <w:t>l’a</w:t>
      </w:r>
      <w:r w:rsidRPr="00113068">
        <w:t xml:space="preserve">ccord de </w:t>
      </w:r>
      <w:r w:rsidR="00C25228">
        <w:t>p</w:t>
      </w:r>
      <w:r w:rsidRPr="00113068">
        <w:t xml:space="preserve">artenariat dans le domaine de la </w:t>
      </w:r>
      <w:r w:rsidR="00C25228">
        <w:t>p</w:t>
      </w:r>
      <w:r w:rsidRPr="00113068">
        <w:t>êche entre l’Union européenne et le Groenland),</w:t>
      </w:r>
    </w:p>
    <w:p w14:paraId="7EA942FE" w14:textId="77777777" w:rsidR="00363B94" w:rsidRPr="00113068" w:rsidRDefault="00363B94">
      <w:pPr>
        <w:pStyle w:val="NormalHanging12a"/>
      </w:pPr>
      <w:r w:rsidRPr="00113068">
        <w:t>–</w:t>
      </w:r>
      <w:r w:rsidRPr="00113068">
        <w:tab/>
      </w:r>
      <w:r w:rsidR="00FF0339" w:rsidRPr="00113068">
        <w:t>vu l’article 105, paragraphe 2, de son règlement intérieur,</w:t>
      </w:r>
    </w:p>
    <w:p w14:paraId="3E7C0ED2" w14:textId="77777777" w:rsidR="00802F8B" w:rsidRPr="00113068" w:rsidRDefault="00802F8B" w:rsidP="00802F8B">
      <w:pPr>
        <w:pStyle w:val="NormalHanging12a"/>
      </w:pPr>
      <w:r w:rsidRPr="00113068">
        <w:t>–</w:t>
      </w:r>
      <w:r w:rsidRPr="00113068">
        <w:tab/>
      </w:r>
      <w:r w:rsidR="00251907" w:rsidRPr="00113068">
        <w:t>vu l’avis de la commission des budgets,</w:t>
      </w:r>
    </w:p>
    <w:p w14:paraId="38517491" w14:textId="77777777" w:rsidR="00363B94" w:rsidRPr="00113068" w:rsidRDefault="00363B94">
      <w:pPr>
        <w:pStyle w:val="NormalHanging12a"/>
      </w:pPr>
      <w:r w:rsidRPr="00113068">
        <w:t>–</w:t>
      </w:r>
      <w:r w:rsidRPr="00113068">
        <w:tab/>
      </w:r>
      <w:r w:rsidR="00FF0339" w:rsidRPr="00113068">
        <w:t xml:space="preserve">vu le rapport </w:t>
      </w:r>
      <w:r w:rsidR="00251907" w:rsidRPr="00113068">
        <w:t>de la commission de la pêche</w:t>
      </w:r>
      <w:r w:rsidR="00FF0339" w:rsidRPr="00113068">
        <w:t xml:space="preserve"> (</w:t>
      </w:r>
      <w:r w:rsidR="00251907" w:rsidRPr="00113068">
        <w:t>A9</w:t>
      </w:r>
      <w:r w:rsidR="00251907" w:rsidRPr="00113068">
        <w:noBreakHyphen/>
      </w:r>
      <w:r w:rsidR="00FF0339" w:rsidRPr="00113068">
        <w:t>0000/</w:t>
      </w:r>
      <w:r w:rsidR="00251907" w:rsidRPr="00113068">
        <w:t>2021</w:t>
      </w:r>
      <w:r w:rsidR="00FF0339" w:rsidRPr="00113068">
        <w:t>),</w:t>
      </w:r>
    </w:p>
    <w:p w14:paraId="27F1B632" w14:textId="77777777" w:rsidR="00E51B95" w:rsidRPr="00113068" w:rsidRDefault="00864095" w:rsidP="00864095">
      <w:pPr>
        <w:pStyle w:val="NormalHanging12a"/>
        <w:ind w:left="570" w:hanging="570"/>
      </w:pPr>
      <w:r w:rsidRPr="00113068">
        <w:t>A.</w:t>
      </w:r>
      <w:r w:rsidRPr="00113068">
        <w:tab/>
      </w:r>
      <w:r w:rsidR="00A30183" w:rsidRPr="00113068">
        <w:t>c</w:t>
      </w:r>
      <w:r w:rsidR="00E51B95" w:rsidRPr="00113068">
        <w:t xml:space="preserve">onsidérant les objectifs européens de durabilité du </w:t>
      </w:r>
      <w:r w:rsidR="00C25228">
        <w:t>p</w:t>
      </w:r>
      <w:r w:rsidR="00E51B95" w:rsidRPr="00113068">
        <w:t xml:space="preserve">acte vert </w:t>
      </w:r>
      <w:r w:rsidR="000129F5">
        <w:t>pour l’Europe et</w:t>
      </w:r>
      <w:r w:rsidR="00C25228">
        <w:t xml:space="preserve"> </w:t>
      </w:r>
      <w:r w:rsidR="00E51B95" w:rsidRPr="00113068">
        <w:t>des stratégies de l’U</w:t>
      </w:r>
      <w:r w:rsidR="00C25228">
        <w:t>nion</w:t>
      </w:r>
      <w:r w:rsidR="00E51B95" w:rsidRPr="00113068">
        <w:t xml:space="preserve"> en faveur de la biodiversité à l’horizon 2030 et </w:t>
      </w:r>
      <w:r w:rsidR="00C25228">
        <w:t>«</w:t>
      </w:r>
      <w:r w:rsidR="00E51B95" w:rsidRPr="00113068">
        <w:t xml:space="preserve">de la ferme à la </w:t>
      </w:r>
      <w:proofErr w:type="gramStart"/>
      <w:r w:rsidR="00E51B95" w:rsidRPr="00113068">
        <w:t>table</w:t>
      </w:r>
      <w:r w:rsidR="00C25228">
        <w:t>»</w:t>
      </w:r>
      <w:proofErr w:type="gramEnd"/>
      <w:r w:rsidR="00C25228">
        <w:t>,</w:t>
      </w:r>
      <w:r w:rsidR="00E51B95" w:rsidRPr="00113068">
        <w:t xml:space="preserve"> ainsi que les engagements internationaux de l’U</w:t>
      </w:r>
      <w:r w:rsidR="00C25228">
        <w:t>nion,</w:t>
      </w:r>
      <w:r w:rsidR="00E51B95" w:rsidRPr="00113068">
        <w:t xml:space="preserve"> notamment dans la mise en œuvre des objectifs de développement durable (ODD)</w:t>
      </w:r>
      <w:r w:rsidR="00C25228">
        <w:t>,</w:t>
      </w:r>
      <w:r w:rsidR="00E51B95" w:rsidRPr="00113068">
        <w:t xml:space="preserve"> en particulier </w:t>
      </w:r>
      <w:r w:rsidR="00C25228">
        <w:t xml:space="preserve">de </w:t>
      </w:r>
      <w:r w:rsidR="00E51B95" w:rsidRPr="00113068">
        <w:t>l’ODD</w:t>
      </w:r>
      <w:r w:rsidR="00C25228">
        <w:t xml:space="preserve"> </w:t>
      </w:r>
      <w:r w:rsidR="00E51B95" w:rsidRPr="00113068">
        <w:t>14 sur la protection des ressources et du milieu marin;</w:t>
      </w:r>
    </w:p>
    <w:p w14:paraId="7EE755A1" w14:textId="77777777" w:rsidR="00E51B95" w:rsidRPr="00113068" w:rsidRDefault="00864095" w:rsidP="00864095">
      <w:pPr>
        <w:pStyle w:val="NormalHanging12a"/>
        <w:ind w:left="570" w:hanging="570"/>
      </w:pPr>
      <w:r w:rsidRPr="00113068">
        <w:t>B.</w:t>
      </w:r>
      <w:r w:rsidRPr="00113068">
        <w:tab/>
      </w:r>
      <w:r w:rsidR="00A30183" w:rsidRPr="00113068">
        <w:t>c</w:t>
      </w:r>
      <w:r w:rsidR="00E51B95" w:rsidRPr="00113068">
        <w:t xml:space="preserve">onsidérant </w:t>
      </w:r>
      <w:r w:rsidR="00C25228" w:rsidRPr="00113068">
        <w:t>l’</w:t>
      </w:r>
      <w:r w:rsidR="00C25228">
        <w:t>incidence</w:t>
      </w:r>
      <w:r w:rsidR="00C25228" w:rsidRPr="00113068">
        <w:t xml:space="preserve"> </w:t>
      </w:r>
      <w:r w:rsidR="00E51B95" w:rsidRPr="00113068">
        <w:t xml:space="preserve">du changement climatique sur les écosystèmes marins et la </w:t>
      </w:r>
      <w:proofErr w:type="gramStart"/>
      <w:r w:rsidR="00E51B95" w:rsidRPr="00113068">
        <w:t>ressource;</w:t>
      </w:r>
      <w:proofErr w:type="gramEnd"/>
    </w:p>
    <w:p w14:paraId="0BCD0DE8" w14:textId="77777777" w:rsidR="00E51B95" w:rsidRPr="00113068" w:rsidRDefault="00864095" w:rsidP="00864095">
      <w:pPr>
        <w:pStyle w:val="NormalHanging12a"/>
        <w:ind w:left="570" w:hanging="570"/>
      </w:pPr>
      <w:r w:rsidRPr="00113068">
        <w:t>C.</w:t>
      </w:r>
      <w:r w:rsidRPr="00113068">
        <w:tab/>
      </w:r>
      <w:r w:rsidR="00A30183" w:rsidRPr="00113068">
        <w:t>c</w:t>
      </w:r>
      <w:r w:rsidR="006D7C55" w:rsidRPr="00113068">
        <w:t xml:space="preserve">onsidérant </w:t>
      </w:r>
      <w:r w:rsidR="00C25228">
        <w:t xml:space="preserve">que </w:t>
      </w:r>
      <w:r w:rsidR="006D7C55" w:rsidRPr="00113068">
        <w:t>l</w:t>
      </w:r>
      <w:r w:rsidR="00C25228">
        <w:t>’</w:t>
      </w:r>
      <w:r w:rsidR="006D7C55" w:rsidRPr="00113068">
        <w:t>accord visant à prévenir la pêche non réglementée en haute mer dans l</w:t>
      </w:r>
      <w:r w:rsidR="00C25228">
        <w:t>’</w:t>
      </w:r>
      <w:r w:rsidR="006D7C55" w:rsidRPr="00113068">
        <w:t xml:space="preserve">océan Arctique central interdit la pêche commerciale pendant 16 </w:t>
      </w:r>
      <w:proofErr w:type="gramStart"/>
      <w:r w:rsidR="006D7C55" w:rsidRPr="00113068">
        <w:t>ans;</w:t>
      </w:r>
      <w:proofErr w:type="gramEnd"/>
    </w:p>
    <w:p w14:paraId="549B400B" w14:textId="77777777" w:rsidR="006D7C55" w:rsidRPr="00113068" w:rsidRDefault="00864095" w:rsidP="00864095">
      <w:pPr>
        <w:pStyle w:val="NormalHanging12a"/>
        <w:ind w:left="570" w:hanging="570"/>
      </w:pPr>
      <w:r w:rsidRPr="00113068">
        <w:t>D.</w:t>
      </w:r>
      <w:r w:rsidRPr="00113068">
        <w:tab/>
      </w:r>
      <w:r w:rsidR="00A30183" w:rsidRPr="00113068">
        <w:t>c</w:t>
      </w:r>
      <w:r w:rsidR="006D7C55" w:rsidRPr="00113068">
        <w:t>onsidérant que l’U</w:t>
      </w:r>
      <w:r w:rsidR="00C25228">
        <w:t>nion</w:t>
      </w:r>
      <w:r w:rsidR="006D7C55" w:rsidRPr="00113068">
        <w:t xml:space="preserve"> et le Groenland</w:t>
      </w:r>
      <w:r w:rsidR="00C25228">
        <w:t>,</w:t>
      </w:r>
      <w:r w:rsidR="006D7C55" w:rsidRPr="00113068">
        <w:t xml:space="preserve"> via le Danemark</w:t>
      </w:r>
      <w:r w:rsidR="00C25228">
        <w:t>,</w:t>
      </w:r>
      <w:r w:rsidR="006D7C55" w:rsidRPr="00113068">
        <w:t xml:space="preserve"> </w:t>
      </w:r>
      <w:r w:rsidR="00C25228">
        <w:t>font</w:t>
      </w:r>
      <w:r w:rsidR="00C25228" w:rsidRPr="00113068">
        <w:t xml:space="preserve"> </w:t>
      </w:r>
      <w:r w:rsidR="006D7C55" w:rsidRPr="00113068">
        <w:t>partie des organisations régionales de gestion d</w:t>
      </w:r>
      <w:r w:rsidR="000129F5">
        <w:t xml:space="preserve">es pêches (ORGP) CPANE et </w:t>
      </w:r>
      <w:proofErr w:type="gramStart"/>
      <w:r w:rsidR="000129F5">
        <w:t>OPANO</w:t>
      </w:r>
      <w:r w:rsidR="006D7C55" w:rsidRPr="00113068">
        <w:t>;</w:t>
      </w:r>
      <w:proofErr w:type="gramEnd"/>
    </w:p>
    <w:p w14:paraId="62F4B9C4" w14:textId="77777777" w:rsidR="006D7C55" w:rsidRPr="00113068" w:rsidRDefault="00864095" w:rsidP="00864095">
      <w:pPr>
        <w:pStyle w:val="NormalHanging12a"/>
        <w:ind w:left="570" w:hanging="570"/>
      </w:pPr>
      <w:r w:rsidRPr="00113068">
        <w:t>E.</w:t>
      </w:r>
      <w:r w:rsidRPr="00113068">
        <w:tab/>
      </w:r>
      <w:r w:rsidR="00A30183" w:rsidRPr="00113068">
        <w:t>c</w:t>
      </w:r>
      <w:r w:rsidR="006D7C55" w:rsidRPr="00113068">
        <w:t xml:space="preserve">onsidérant </w:t>
      </w:r>
      <w:r w:rsidR="00A0178D">
        <w:t>que</w:t>
      </w:r>
      <w:r w:rsidR="006D7C55" w:rsidRPr="00113068">
        <w:t xml:space="preserve"> l’U</w:t>
      </w:r>
      <w:r w:rsidR="00C25228">
        <w:t>nion</w:t>
      </w:r>
      <w:r w:rsidR="00A0178D">
        <w:t xml:space="preserve"> entretient des relations étroites</w:t>
      </w:r>
      <w:r w:rsidR="006D7C55" w:rsidRPr="00113068">
        <w:t xml:space="preserve"> avec le Groenland, </w:t>
      </w:r>
      <w:r w:rsidR="00A0178D" w:rsidRPr="00113068">
        <w:t>qu</w:t>
      </w:r>
      <w:r w:rsidR="00A0178D">
        <w:t>e celui-ci</w:t>
      </w:r>
      <w:r w:rsidR="00A0178D" w:rsidRPr="00113068">
        <w:t xml:space="preserve"> </w:t>
      </w:r>
      <w:r w:rsidR="006D7C55" w:rsidRPr="00113068">
        <w:t>fait partie des pays et territoire</w:t>
      </w:r>
      <w:r w:rsidR="00A0178D">
        <w:t>s</w:t>
      </w:r>
      <w:r w:rsidR="006D7C55" w:rsidRPr="00113068">
        <w:t xml:space="preserve"> d’outre-mer associés à l’U</w:t>
      </w:r>
      <w:r w:rsidR="00A0178D">
        <w:t>nion</w:t>
      </w:r>
      <w:r w:rsidR="006D7C55" w:rsidRPr="00113068">
        <w:t xml:space="preserve"> et que des partenariats dans le domaine de la pêche entre l’U</w:t>
      </w:r>
      <w:r w:rsidR="00A0178D">
        <w:t>nion</w:t>
      </w:r>
      <w:r w:rsidR="006D7C55" w:rsidRPr="00113068">
        <w:t xml:space="preserve"> et le Groenland existent depuis </w:t>
      </w:r>
      <w:proofErr w:type="gramStart"/>
      <w:r w:rsidR="006D7C55" w:rsidRPr="00113068">
        <w:t>1984;</w:t>
      </w:r>
      <w:proofErr w:type="gramEnd"/>
    </w:p>
    <w:p w14:paraId="618770E3" w14:textId="77777777" w:rsidR="006D7C55" w:rsidRPr="00113068" w:rsidRDefault="00864095" w:rsidP="00864095">
      <w:pPr>
        <w:pStyle w:val="NormalHanging12a"/>
        <w:ind w:left="570" w:hanging="570"/>
      </w:pPr>
      <w:r w:rsidRPr="00113068">
        <w:t>F.</w:t>
      </w:r>
      <w:r w:rsidRPr="00113068">
        <w:tab/>
      </w:r>
      <w:r w:rsidR="00A30183" w:rsidRPr="00113068">
        <w:t>c</w:t>
      </w:r>
      <w:r w:rsidR="006D7C55" w:rsidRPr="00113068">
        <w:t>onsidérant le caractère particulier de l’accord</w:t>
      </w:r>
      <w:r w:rsidR="00A0178D">
        <w:t>,</w:t>
      </w:r>
      <w:r w:rsidR="006D7C55" w:rsidRPr="00113068">
        <w:t xml:space="preserve"> qui est un accord de partenariat dans le domaine de la pêche durable (APPD) dans lequel les possibilités de pêche sont négociées annuellement et qui permet des transferts de</w:t>
      </w:r>
      <w:r w:rsidR="000129F5">
        <w:t xml:space="preserve"> quotas avec la Norvège et les I-Î</w:t>
      </w:r>
      <w:r w:rsidR="006D7C55" w:rsidRPr="00113068">
        <w:t xml:space="preserve">les </w:t>
      </w:r>
      <w:proofErr w:type="gramStart"/>
      <w:r w:rsidR="006D7C55" w:rsidRPr="00113068">
        <w:t>Féroé;</w:t>
      </w:r>
      <w:proofErr w:type="gramEnd"/>
    </w:p>
    <w:p w14:paraId="2402A8C1" w14:textId="77777777" w:rsidR="006D7C55" w:rsidRPr="00113068" w:rsidRDefault="00864095" w:rsidP="00864095">
      <w:pPr>
        <w:pStyle w:val="NormalHanging12a"/>
        <w:ind w:left="570" w:hanging="570"/>
      </w:pPr>
      <w:r w:rsidRPr="00113068">
        <w:t>G.</w:t>
      </w:r>
      <w:r w:rsidRPr="00113068">
        <w:tab/>
      </w:r>
      <w:r w:rsidR="00A30183" w:rsidRPr="00113068">
        <w:t>c</w:t>
      </w:r>
      <w:r w:rsidR="006D7C55" w:rsidRPr="00113068">
        <w:t xml:space="preserve">onsidérant que le nouvel accord et le nouveau protocole permettent l’exploitation par </w:t>
      </w:r>
      <w:r w:rsidR="00A0178D">
        <w:t>douze</w:t>
      </w:r>
      <w:r w:rsidR="006D7C55" w:rsidRPr="00113068">
        <w:t xml:space="preserve"> navires européens de possibilités de pêche dans les eaux groenlandaises pour huit espèces</w:t>
      </w:r>
      <w:r w:rsidR="00A0178D">
        <w:t>, ce</w:t>
      </w:r>
      <w:r w:rsidR="006D7C55" w:rsidRPr="00113068">
        <w:t xml:space="preserve"> pour une durée de 4 ans renouvelable pour 2 ans</w:t>
      </w:r>
      <w:r w:rsidR="00A0178D">
        <w:t>,</w:t>
      </w:r>
      <w:r w:rsidR="006D7C55" w:rsidRPr="00113068">
        <w:t xml:space="preserve"> moyennant une compensation financière annuelle de l’U</w:t>
      </w:r>
      <w:r w:rsidR="00A0178D">
        <w:t>nion</w:t>
      </w:r>
      <w:r w:rsidR="006D7C55" w:rsidRPr="00113068">
        <w:t xml:space="preserve"> de 16</w:t>
      </w:r>
      <w:r w:rsidR="00A0178D">
        <w:t xml:space="preserve"> </w:t>
      </w:r>
      <w:r w:rsidR="006D7C55" w:rsidRPr="00113068">
        <w:t>521</w:t>
      </w:r>
      <w:r w:rsidR="00A0178D">
        <w:t xml:space="preserve"> </w:t>
      </w:r>
      <w:r w:rsidR="006D7C55" w:rsidRPr="00113068">
        <w:t xml:space="preserve">754 </w:t>
      </w:r>
      <w:r w:rsidR="000129F5">
        <w:t>euros</w:t>
      </w:r>
      <w:r w:rsidR="006D7C55" w:rsidRPr="00113068">
        <w:t xml:space="preserve"> dont 2</w:t>
      </w:r>
      <w:r w:rsidR="00A0178D">
        <w:t xml:space="preserve"> </w:t>
      </w:r>
      <w:r w:rsidR="006D7C55" w:rsidRPr="00113068">
        <w:t>931</w:t>
      </w:r>
      <w:r w:rsidR="00A0178D">
        <w:t xml:space="preserve"> </w:t>
      </w:r>
      <w:r w:rsidR="006D7C55" w:rsidRPr="00113068">
        <w:t xml:space="preserve">000 </w:t>
      </w:r>
      <w:r w:rsidR="00A0178D">
        <w:t>euros</w:t>
      </w:r>
      <w:r w:rsidR="00A0178D" w:rsidRPr="00113068">
        <w:t xml:space="preserve"> </w:t>
      </w:r>
      <w:r w:rsidR="006D7C55" w:rsidRPr="00113068">
        <w:t xml:space="preserve">sont </w:t>
      </w:r>
      <w:r w:rsidR="00A0178D">
        <w:t>consacrés</w:t>
      </w:r>
      <w:r w:rsidR="00A0178D" w:rsidRPr="00113068">
        <w:t xml:space="preserve"> </w:t>
      </w:r>
      <w:r w:rsidR="006D7C55" w:rsidRPr="00113068">
        <w:t xml:space="preserve">au soutien et au développement du secteur de la pêche du </w:t>
      </w:r>
      <w:proofErr w:type="gramStart"/>
      <w:r w:rsidR="006D7C55" w:rsidRPr="00113068">
        <w:t>Groenland;</w:t>
      </w:r>
      <w:proofErr w:type="gramEnd"/>
    </w:p>
    <w:p w14:paraId="1510CA5C" w14:textId="77777777" w:rsidR="0020337F" w:rsidRPr="00113068" w:rsidRDefault="0020337F" w:rsidP="0020337F">
      <w:pPr>
        <w:pStyle w:val="NormalHanging12a"/>
        <w:ind w:left="0" w:firstLine="0"/>
      </w:pPr>
      <w:r w:rsidRPr="00113068">
        <w:rPr>
          <w:b/>
          <w:bCs/>
        </w:rPr>
        <w:t>Précédents accord et protocole</w:t>
      </w:r>
    </w:p>
    <w:p w14:paraId="402FE185" w14:textId="77777777" w:rsidR="00363B94" w:rsidRPr="00113068" w:rsidRDefault="00864095" w:rsidP="00864095">
      <w:pPr>
        <w:pStyle w:val="NormalHanging12a"/>
        <w:ind w:left="570" w:hanging="570"/>
      </w:pPr>
      <w:r w:rsidRPr="00113068">
        <w:t>1.</w:t>
      </w:r>
      <w:r w:rsidRPr="00113068">
        <w:tab/>
      </w:r>
      <w:r w:rsidR="00A0178D">
        <w:t>c</w:t>
      </w:r>
      <w:r w:rsidR="00E51B95" w:rsidRPr="00113068">
        <w:t xml:space="preserve">onstate les bénéfices socioéconomiques </w:t>
      </w:r>
      <w:r w:rsidR="00190671">
        <w:t>sur le plan des</w:t>
      </w:r>
      <w:r w:rsidR="00207649">
        <w:t xml:space="preserve"> </w:t>
      </w:r>
      <w:r w:rsidR="00E51B95" w:rsidRPr="00113068">
        <w:t>emplois directs et indirects et</w:t>
      </w:r>
      <w:r w:rsidR="00190671">
        <w:t xml:space="preserve"> de</w:t>
      </w:r>
      <w:r w:rsidR="00E51B95" w:rsidRPr="00113068">
        <w:t xml:space="preserve"> </w:t>
      </w:r>
      <w:r w:rsidR="00A0178D">
        <w:t xml:space="preserve">la </w:t>
      </w:r>
      <w:r w:rsidR="00E51B95" w:rsidRPr="00113068">
        <w:t>valeur</w:t>
      </w:r>
      <w:r w:rsidR="00A0178D">
        <w:t xml:space="preserve"> </w:t>
      </w:r>
      <w:r w:rsidR="00E51B95" w:rsidRPr="00113068">
        <w:t>ajoutée brute générés par les opérations de la flotte européenne dans les eaux groenlandaises</w:t>
      </w:r>
      <w:r w:rsidR="00A0178D">
        <w:t>,</w:t>
      </w:r>
      <w:r w:rsidR="00E51B95" w:rsidRPr="00113068">
        <w:t xml:space="preserve"> tant pour le secteur groenlandais que pour le secteur européen de la </w:t>
      </w:r>
      <w:proofErr w:type="gramStart"/>
      <w:r w:rsidR="00E51B95" w:rsidRPr="00113068">
        <w:t>pêche;</w:t>
      </w:r>
      <w:proofErr w:type="gramEnd"/>
    </w:p>
    <w:p w14:paraId="07EB8AB4" w14:textId="77777777" w:rsidR="00E51B95" w:rsidRPr="00113068" w:rsidRDefault="00864095" w:rsidP="00864095">
      <w:pPr>
        <w:pStyle w:val="NormalHanging12a"/>
        <w:ind w:left="570" w:hanging="570"/>
      </w:pPr>
      <w:r w:rsidRPr="00113068">
        <w:t>2.</w:t>
      </w:r>
      <w:r w:rsidRPr="00113068">
        <w:tab/>
      </w:r>
      <w:r w:rsidR="00A0178D">
        <w:t>s’</w:t>
      </w:r>
      <w:r w:rsidR="00E51B95" w:rsidRPr="00113068">
        <w:t xml:space="preserve">inquiète du fait que les </w:t>
      </w:r>
      <w:r w:rsidR="00A0178D">
        <w:t>totaux admissibles des captures</w:t>
      </w:r>
      <w:r w:rsidR="00E51B95" w:rsidRPr="00113068">
        <w:t xml:space="preserve"> fixés par le Groenland de </w:t>
      </w:r>
      <w:r w:rsidR="00E51B95" w:rsidRPr="00113068">
        <w:lastRenderedPageBreak/>
        <w:t xml:space="preserve">plusieurs stocks </w:t>
      </w:r>
      <w:r w:rsidR="00A0178D">
        <w:t>figurant</w:t>
      </w:r>
      <w:r w:rsidR="00A0178D" w:rsidRPr="00113068">
        <w:t xml:space="preserve"> </w:t>
      </w:r>
      <w:r w:rsidR="00E51B95" w:rsidRPr="00113068">
        <w:t xml:space="preserve">dans le protocole précédent excédaient les avis </w:t>
      </w:r>
      <w:proofErr w:type="gramStart"/>
      <w:r w:rsidR="00E51B95" w:rsidRPr="00113068">
        <w:t>scientifiques;</w:t>
      </w:r>
      <w:proofErr w:type="gramEnd"/>
      <w:r w:rsidR="00E51B95" w:rsidRPr="00113068">
        <w:t xml:space="preserve"> souligne que la part de l’U</w:t>
      </w:r>
      <w:r w:rsidR="00A0178D">
        <w:t>nion</w:t>
      </w:r>
      <w:r w:rsidR="00E51B95" w:rsidRPr="00113068">
        <w:t xml:space="preserve"> </w:t>
      </w:r>
      <w:r w:rsidR="00A0178D">
        <w:t>dans</w:t>
      </w:r>
      <w:r w:rsidR="00A0178D" w:rsidRPr="00113068">
        <w:t xml:space="preserve"> </w:t>
      </w:r>
      <w:r w:rsidR="00E51B95" w:rsidRPr="00113068">
        <w:t>ces possibilités de pêche ne représente qu’une portion relativement faible;</w:t>
      </w:r>
    </w:p>
    <w:p w14:paraId="7234D7A1" w14:textId="77777777" w:rsidR="00E51B95" w:rsidRPr="00113068" w:rsidRDefault="00864095" w:rsidP="00864095">
      <w:pPr>
        <w:pStyle w:val="NormalHanging12a"/>
        <w:ind w:left="570" w:hanging="570"/>
      </w:pPr>
      <w:r w:rsidRPr="00113068">
        <w:t>3.</w:t>
      </w:r>
      <w:r w:rsidRPr="00113068">
        <w:tab/>
      </w:r>
      <w:r w:rsidR="00A0178D">
        <w:t>s</w:t>
      </w:r>
      <w:r w:rsidR="0020337F" w:rsidRPr="00113068">
        <w:t xml:space="preserve">e félicite que la contribution financière sectorielle du Groenland soit utilisée par les autorités groenlandaises que </w:t>
      </w:r>
      <w:r w:rsidR="00190671">
        <w:t>ce</w:t>
      </w:r>
      <w:r w:rsidR="0020337F" w:rsidRPr="00113068">
        <w:t xml:space="preserve"> soit pour l’administration, le contrôle ou la recherche </w:t>
      </w:r>
      <w:proofErr w:type="gramStart"/>
      <w:r w:rsidR="0020337F" w:rsidRPr="00113068">
        <w:t>scientifique;</w:t>
      </w:r>
      <w:proofErr w:type="gramEnd"/>
    </w:p>
    <w:p w14:paraId="70413D30" w14:textId="77777777" w:rsidR="0020337F" w:rsidRPr="00113068" w:rsidRDefault="00864095" w:rsidP="00864095">
      <w:pPr>
        <w:pStyle w:val="NormalHanging12a"/>
        <w:ind w:left="570" w:hanging="570"/>
      </w:pPr>
      <w:r w:rsidRPr="00113068">
        <w:t>4.</w:t>
      </w:r>
      <w:r w:rsidRPr="00113068">
        <w:tab/>
      </w:r>
      <w:r w:rsidR="00A0178D">
        <w:t>s</w:t>
      </w:r>
      <w:r w:rsidR="0020337F" w:rsidRPr="00113068">
        <w:t>’inquiète néanmoins du manque de données scientifiques nécessaires pour estimer correctement l’état de</w:t>
      </w:r>
      <w:r w:rsidR="00A0178D">
        <w:t>s</w:t>
      </w:r>
      <w:r w:rsidR="0020337F" w:rsidRPr="00113068">
        <w:t xml:space="preserve"> </w:t>
      </w:r>
      <w:proofErr w:type="gramStart"/>
      <w:r w:rsidR="0020337F" w:rsidRPr="00113068">
        <w:t>stocks;</w:t>
      </w:r>
      <w:proofErr w:type="gramEnd"/>
    </w:p>
    <w:p w14:paraId="11D54477" w14:textId="77777777" w:rsidR="0020337F" w:rsidRPr="00113068" w:rsidRDefault="0020337F" w:rsidP="0020337F">
      <w:pPr>
        <w:pStyle w:val="NormalHanging12a"/>
        <w:ind w:left="0" w:firstLine="0"/>
      </w:pPr>
      <w:r w:rsidRPr="00113068">
        <w:rPr>
          <w:b/>
          <w:bCs/>
        </w:rPr>
        <w:t xml:space="preserve">Nouvel </w:t>
      </w:r>
      <w:r w:rsidR="00A0178D">
        <w:rPr>
          <w:b/>
          <w:bCs/>
        </w:rPr>
        <w:t>a</w:t>
      </w:r>
      <w:r w:rsidRPr="00113068">
        <w:rPr>
          <w:b/>
          <w:bCs/>
        </w:rPr>
        <w:t>ccord et nouveau protocole</w:t>
      </w:r>
    </w:p>
    <w:p w14:paraId="3DB03D9B" w14:textId="77777777" w:rsidR="0020337F" w:rsidRPr="00113068" w:rsidRDefault="00864095" w:rsidP="00864095">
      <w:pPr>
        <w:pStyle w:val="NormalHanging12a"/>
        <w:ind w:left="570" w:hanging="570"/>
      </w:pPr>
      <w:r w:rsidRPr="00113068">
        <w:t>5.</w:t>
      </w:r>
      <w:r w:rsidRPr="00113068">
        <w:tab/>
      </w:r>
      <w:r w:rsidR="00A0178D">
        <w:t>n</w:t>
      </w:r>
      <w:r w:rsidR="0020337F" w:rsidRPr="00113068">
        <w:t>ote le caractère complexe des négociations et leur contexte</w:t>
      </w:r>
      <w:r w:rsidR="00190671">
        <w:t>,</w:t>
      </w:r>
      <w:r w:rsidR="00F93770">
        <w:t xml:space="preserve"> marqué par</w:t>
      </w:r>
      <w:r w:rsidR="00F93770" w:rsidRPr="00113068">
        <w:t xml:space="preserve"> </w:t>
      </w:r>
      <w:r w:rsidR="0020337F" w:rsidRPr="00113068">
        <w:t xml:space="preserve">la négociation en parallèle de l’accord avec le Royaume-Uni et </w:t>
      </w:r>
      <w:r w:rsidR="00190671">
        <w:t xml:space="preserve">par </w:t>
      </w:r>
      <w:r w:rsidR="0020337F" w:rsidRPr="00113068">
        <w:t xml:space="preserve">l’incertitude qui en découlait </w:t>
      </w:r>
      <w:r w:rsidR="00F93770">
        <w:t>ainsi que par</w:t>
      </w:r>
      <w:r w:rsidR="0020337F" w:rsidRPr="00113068">
        <w:t xml:space="preserve"> </w:t>
      </w:r>
      <w:r w:rsidR="004A5158">
        <w:t>des enjeux de</w:t>
      </w:r>
      <w:r w:rsidR="0020337F" w:rsidRPr="00113068">
        <w:t xml:space="preserve"> politique interne </w:t>
      </w:r>
      <w:proofErr w:type="gramStart"/>
      <w:r w:rsidR="0020337F" w:rsidRPr="00113068">
        <w:t>groenlandaise;</w:t>
      </w:r>
      <w:proofErr w:type="gramEnd"/>
      <w:r w:rsidR="0020337F" w:rsidRPr="00113068">
        <w:t xml:space="preserve"> </w:t>
      </w:r>
      <w:r w:rsidR="00F93770">
        <w:t>r</w:t>
      </w:r>
      <w:r w:rsidR="0020337F" w:rsidRPr="00113068">
        <w:t>appelle que la position de départ du Groenland dans ces négociations était de réduire de 30</w:t>
      </w:r>
      <w:r w:rsidR="00F93770">
        <w:t> </w:t>
      </w:r>
      <w:r w:rsidR="0020337F" w:rsidRPr="00113068">
        <w:t>% les quotas des navires européens;</w:t>
      </w:r>
    </w:p>
    <w:p w14:paraId="2D383BE0" w14:textId="77777777" w:rsidR="0020337F" w:rsidRPr="00113068" w:rsidRDefault="00864095" w:rsidP="00864095">
      <w:pPr>
        <w:pStyle w:val="NormalHanging12a"/>
        <w:ind w:left="570" w:hanging="570"/>
      </w:pPr>
      <w:r w:rsidRPr="00113068">
        <w:t>6.</w:t>
      </w:r>
      <w:r w:rsidRPr="00113068">
        <w:tab/>
      </w:r>
      <w:r w:rsidR="00F93770">
        <w:t>constate</w:t>
      </w:r>
      <w:r w:rsidR="0020337F" w:rsidRPr="00113068">
        <w:t xml:space="preserve"> la réduction moyenne de 5</w:t>
      </w:r>
      <w:r w:rsidR="00F93770">
        <w:t> </w:t>
      </w:r>
      <w:r w:rsidR="0020337F" w:rsidRPr="00113068">
        <w:t xml:space="preserve">% des quotas par rapport au précédent </w:t>
      </w:r>
      <w:proofErr w:type="gramStart"/>
      <w:r w:rsidR="0020337F" w:rsidRPr="00113068">
        <w:t>protocole;</w:t>
      </w:r>
      <w:proofErr w:type="gramEnd"/>
    </w:p>
    <w:p w14:paraId="615DCEAC" w14:textId="77777777" w:rsidR="0020337F" w:rsidRPr="00113068" w:rsidRDefault="00864095" w:rsidP="00864095">
      <w:pPr>
        <w:pStyle w:val="NormalHanging12a"/>
        <w:ind w:left="570" w:hanging="570"/>
      </w:pPr>
      <w:r w:rsidRPr="00113068">
        <w:t>7.</w:t>
      </w:r>
      <w:r w:rsidRPr="00113068">
        <w:tab/>
      </w:r>
      <w:r w:rsidR="004A5158">
        <w:t>r</w:t>
      </w:r>
      <w:r w:rsidR="0020337F" w:rsidRPr="00113068">
        <w:t xml:space="preserve">egrette que les opérateurs européens aient perdu près de </w:t>
      </w:r>
      <w:r w:rsidR="004A5158">
        <w:t>quatre</w:t>
      </w:r>
      <w:r w:rsidR="0020337F" w:rsidRPr="00113068">
        <w:t xml:space="preserve"> mois avant l’application provisoire de l’accord</w:t>
      </w:r>
      <w:r w:rsidR="004A5158">
        <w:t>,</w:t>
      </w:r>
      <w:r w:rsidR="0020337F" w:rsidRPr="00113068">
        <w:t xml:space="preserve"> qui n’a été signé que le 22 avril 2021 en raison des élections au Groenland et de la nécessité de former un </w:t>
      </w:r>
      <w:proofErr w:type="gramStart"/>
      <w:r w:rsidR="0020337F" w:rsidRPr="00113068">
        <w:t>gouvernement;</w:t>
      </w:r>
      <w:proofErr w:type="gramEnd"/>
    </w:p>
    <w:p w14:paraId="66CE9591" w14:textId="77777777" w:rsidR="0020337F" w:rsidRPr="00113068" w:rsidRDefault="00864095" w:rsidP="00864095">
      <w:pPr>
        <w:pStyle w:val="NormalHanging12a"/>
        <w:ind w:left="570" w:hanging="570"/>
      </w:pPr>
      <w:r w:rsidRPr="00113068">
        <w:t>8.</w:t>
      </w:r>
      <w:r w:rsidRPr="00113068">
        <w:tab/>
      </w:r>
      <w:r w:rsidR="004A5158">
        <w:t>n</w:t>
      </w:r>
      <w:r w:rsidR="0020337F" w:rsidRPr="00113068">
        <w:t xml:space="preserve">ote que les possibilités de pêche pour le maquereau commun sont sujettes à la participation du Groenland en tant que signataire à l’accord des </w:t>
      </w:r>
      <w:r w:rsidR="00EA0172">
        <w:t>É</w:t>
      </w:r>
      <w:r w:rsidR="0020337F" w:rsidRPr="00113068">
        <w:t xml:space="preserve">tats côtiers sur la gestion du maquereau </w:t>
      </w:r>
      <w:proofErr w:type="gramStart"/>
      <w:r w:rsidR="0020337F" w:rsidRPr="00113068">
        <w:t>commun;</w:t>
      </w:r>
      <w:proofErr w:type="gramEnd"/>
    </w:p>
    <w:p w14:paraId="1E4CC9E6" w14:textId="77777777" w:rsidR="0020337F" w:rsidRPr="00113068" w:rsidRDefault="00864095" w:rsidP="00864095">
      <w:pPr>
        <w:pStyle w:val="NormalHanging12a"/>
        <w:ind w:left="570" w:hanging="570"/>
      </w:pPr>
      <w:r w:rsidRPr="00113068">
        <w:t>9.</w:t>
      </w:r>
      <w:r w:rsidRPr="00113068">
        <w:tab/>
      </w:r>
      <w:r w:rsidR="004A5158">
        <w:t xml:space="preserve">observe </w:t>
      </w:r>
      <w:r w:rsidR="0020337F" w:rsidRPr="00113068">
        <w:t>que 600 tonnes de prises accessoires sont indiquées dans le protocole</w:t>
      </w:r>
      <w:r w:rsidR="004A5158">
        <w:t>,</w:t>
      </w:r>
      <w:r w:rsidR="0020337F" w:rsidRPr="00113068">
        <w:t xml:space="preserve"> ce qui représente une diminution importante par rapport au protocole </w:t>
      </w:r>
      <w:proofErr w:type="gramStart"/>
      <w:r w:rsidR="0020337F" w:rsidRPr="00113068">
        <w:t>précédent;</w:t>
      </w:r>
      <w:proofErr w:type="gramEnd"/>
    </w:p>
    <w:p w14:paraId="02EA3774" w14:textId="77777777" w:rsidR="0020337F" w:rsidRPr="00113068" w:rsidRDefault="00864095" w:rsidP="00864095">
      <w:pPr>
        <w:pStyle w:val="NormalHanging12a"/>
        <w:ind w:left="570" w:hanging="570"/>
      </w:pPr>
      <w:r w:rsidRPr="00113068">
        <w:t>10.</w:t>
      </w:r>
      <w:r w:rsidRPr="00113068">
        <w:tab/>
      </w:r>
      <w:r w:rsidR="004A5158">
        <w:t>s</w:t>
      </w:r>
      <w:r w:rsidR="0020337F" w:rsidRPr="00113068">
        <w:t xml:space="preserve">alue les objectifs de durabilité de l’accord et la coopération dans la lutte contre la pêche </w:t>
      </w:r>
      <w:r w:rsidR="004A5158" w:rsidRPr="004A5158">
        <w:t xml:space="preserve">illicite, non déclarée et non </w:t>
      </w:r>
      <w:proofErr w:type="gramStart"/>
      <w:r w:rsidR="004A5158" w:rsidRPr="004A5158">
        <w:t>réglementée</w:t>
      </w:r>
      <w:r w:rsidR="0020337F" w:rsidRPr="00113068">
        <w:t>;</w:t>
      </w:r>
      <w:proofErr w:type="gramEnd"/>
    </w:p>
    <w:p w14:paraId="6E5E07C6" w14:textId="77777777" w:rsidR="0020337F" w:rsidRPr="00113068" w:rsidRDefault="00864095" w:rsidP="00864095">
      <w:pPr>
        <w:pStyle w:val="NormalHanging12a"/>
        <w:ind w:left="570" w:hanging="570"/>
      </w:pPr>
      <w:r w:rsidRPr="00113068">
        <w:t>11.</w:t>
      </w:r>
      <w:r w:rsidRPr="00113068">
        <w:tab/>
      </w:r>
      <w:r w:rsidR="004A5158">
        <w:t>s</w:t>
      </w:r>
      <w:r w:rsidR="0020337F" w:rsidRPr="00113068">
        <w:t>’inquiète de la durée de 4+2 ans et de l’incertitude de la reconduction du protocole après les 4 ans</w:t>
      </w:r>
      <w:r w:rsidR="004A5158">
        <w:t>, ce</w:t>
      </w:r>
      <w:r w:rsidR="0020337F" w:rsidRPr="00113068">
        <w:t xml:space="preserve"> qui peut représenter un manque de visibilité pour les navires </w:t>
      </w:r>
      <w:proofErr w:type="gramStart"/>
      <w:r w:rsidR="0020337F" w:rsidRPr="00113068">
        <w:t>européens;</w:t>
      </w:r>
      <w:proofErr w:type="gramEnd"/>
    </w:p>
    <w:p w14:paraId="285D1E56" w14:textId="77777777" w:rsidR="0020337F" w:rsidRPr="00113068" w:rsidRDefault="00864095" w:rsidP="00864095">
      <w:pPr>
        <w:pStyle w:val="NormalHanging12a"/>
        <w:ind w:left="570" w:hanging="570"/>
      </w:pPr>
      <w:r w:rsidRPr="00113068">
        <w:t>12.</w:t>
      </w:r>
      <w:r w:rsidRPr="00113068">
        <w:tab/>
      </w:r>
      <w:r w:rsidR="004A5158">
        <w:t>n</w:t>
      </w:r>
      <w:r w:rsidR="0020337F" w:rsidRPr="00113068">
        <w:t>ote que la compensation financière de l’U</w:t>
      </w:r>
      <w:r w:rsidR="004A5158">
        <w:t>nion</w:t>
      </w:r>
      <w:r w:rsidR="0020337F" w:rsidRPr="00113068">
        <w:t xml:space="preserve"> est plus élevée que dans le protocole précédent, que la part </w:t>
      </w:r>
      <w:r w:rsidR="004A5158">
        <w:t>affectée</w:t>
      </w:r>
      <w:r w:rsidR="004A5158" w:rsidRPr="00113068">
        <w:t xml:space="preserve"> </w:t>
      </w:r>
      <w:r w:rsidR="0020337F" w:rsidRPr="00113068">
        <w:t xml:space="preserve">à l’appui sectoriel reste identique et que les prix de référence pour les autorisations de pêche des armateurs sont plus </w:t>
      </w:r>
      <w:proofErr w:type="gramStart"/>
      <w:r w:rsidR="0020337F" w:rsidRPr="00113068">
        <w:t>élevés;</w:t>
      </w:r>
      <w:proofErr w:type="gramEnd"/>
    </w:p>
    <w:p w14:paraId="176186E9" w14:textId="77777777" w:rsidR="0020337F" w:rsidRPr="00113068" w:rsidRDefault="0020337F" w:rsidP="0020337F">
      <w:pPr>
        <w:pStyle w:val="NormalHanging12a"/>
        <w:ind w:left="0" w:firstLine="0"/>
      </w:pPr>
      <w:r w:rsidRPr="00113068">
        <w:rPr>
          <w:b/>
          <w:bCs/>
        </w:rPr>
        <w:t>Le Groenland comme acteur stratégique dans l’Atlantique Nord et l’Arctique</w:t>
      </w:r>
    </w:p>
    <w:p w14:paraId="13815EEE" w14:textId="77777777" w:rsidR="0020337F" w:rsidRPr="00113068" w:rsidRDefault="00864095" w:rsidP="00864095">
      <w:pPr>
        <w:pStyle w:val="NormalHanging12a"/>
        <w:ind w:left="570" w:hanging="570"/>
      </w:pPr>
      <w:r w:rsidRPr="00113068">
        <w:t>13.</w:t>
      </w:r>
      <w:r w:rsidRPr="00113068">
        <w:tab/>
      </w:r>
      <w:r w:rsidR="004A5158">
        <w:t>c</w:t>
      </w:r>
      <w:r w:rsidR="0020337F" w:rsidRPr="00113068">
        <w:t>onstate que le Brexit a déstabilisé les relations entre les pays d</w:t>
      </w:r>
      <w:r w:rsidR="004A5158">
        <w:t>e l’</w:t>
      </w:r>
      <w:r w:rsidR="0020337F" w:rsidRPr="00113068">
        <w:t xml:space="preserve">Atlantique </w:t>
      </w:r>
      <w:proofErr w:type="gramStart"/>
      <w:r w:rsidR="0020337F" w:rsidRPr="00113068">
        <w:t>Nord;</w:t>
      </w:r>
      <w:proofErr w:type="gramEnd"/>
    </w:p>
    <w:p w14:paraId="65239279" w14:textId="77777777" w:rsidR="0020337F" w:rsidRPr="00113068" w:rsidRDefault="00864095" w:rsidP="00864095">
      <w:pPr>
        <w:pStyle w:val="NormalHanging12a"/>
        <w:ind w:left="570" w:hanging="570"/>
      </w:pPr>
      <w:r w:rsidRPr="00113068">
        <w:t>14.</w:t>
      </w:r>
      <w:r w:rsidRPr="00113068">
        <w:tab/>
      </w:r>
      <w:r w:rsidR="004A5158">
        <w:t>r</w:t>
      </w:r>
      <w:r w:rsidR="0020337F" w:rsidRPr="00113068">
        <w:t xml:space="preserve">appelle la situation géostratégique du Groenland dans la région </w:t>
      </w:r>
      <w:proofErr w:type="gramStart"/>
      <w:r w:rsidR="0020337F" w:rsidRPr="00113068">
        <w:t>arctique;</w:t>
      </w:r>
      <w:proofErr w:type="gramEnd"/>
      <w:r w:rsidR="0020337F" w:rsidRPr="00113068">
        <w:t xml:space="preserve"> insiste sur l’importance des relations avec le Groenland dans le cadre d’une stratégie de l’U</w:t>
      </w:r>
      <w:r w:rsidR="004A5158">
        <w:t>nion</w:t>
      </w:r>
      <w:r w:rsidR="0020337F" w:rsidRPr="00113068">
        <w:t xml:space="preserve"> pour l’Arctique;</w:t>
      </w:r>
    </w:p>
    <w:p w14:paraId="20B706C6" w14:textId="77777777" w:rsidR="0020337F" w:rsidRPr="00113068" w:rsidRDefault="0020337F" w:rsidP="0020337F">
      <w:pPr>
        <w:pStyle w:val="NormalHanging12a"/>
        <w:ind w:left="0" w:firstLine="0"/>
      </w:pPr>
      <w:r w:rsidRPr="00113068">
        <w:rPr>
          <w:b/>
          <w:bCs/>
        </w:rPr>
        <w:lastRenderedPageBreak/>
        <w:t>Recommandations et demandes à la Commission européenne</w:t>
      </w:r>
    </w:p>
    <w:p w14:paraId="288B931A" w14:textId="77777777" w:rsidR="0020337F" w:rsidRPr="00113068" w:rsidRDefault="00864095" w:rsidP="00864095">
      <w:pPr>
        <w:pStyle w:val="NormalHanging12a"/>
        <w:ind w:left="570" w:hanging="570"/>
      </w:pPr>
      <w:r w:rsidRPr="00113068">
        <w:t>15.</w:t>
      </w:r>
      <w:r w:rsidRPr="00113068">
        <w:tab/>
      </w:r>
      <w:r w:rsidR="004A5158">
        <w:t>r</w:t>
      </w:r>
      <w:r w:rsidR="0020337F" w:rsidRPr="00113068">
        <w:t xml:space="preserve">ecommande et demande à la Commission </w:t>
      </w:r>
      <w:proofErr w:type="gramStart"/>
      <w:r w:rsidR="0020337F" w:rsidRPr="00113068">
        <w:t>européenne:</w:t>
      </w:r>
      <w:proofErr w:type="gramEnd"/>
    </w:p>
    <w:p w14:paraId="0D9716A1" w14:textId="77777777" w:rsidR="0020337F" w:rsidRPr="00113068" w:rsidRDefault="00864095" w:rsidP="00864095">
      <w:pPr>
        <w:spacing w:after="160" w:line="256" w:lineRule="auto"/>
        <w:ind w:left="1080" w:hanging="360"/>
        <w:jc w:val="both"/>
      </w:pPr>
      <w:r w:rsidRPr="00113068">
        <w:t>a</w:t>
      </w:r>
      <w:r w:rsidR="004A5158">
        <w:t>)</w:t>
      </w:r>
      <w:r w:rsidRPr="00113068">
        <w:tab/>
      </w:r>
      <w:r w:rsidR="00747F5E">
        <w:t>d</w:t>
      </w:r>
      <w:r w:rsidR="0020337F" w:rsidRPr="00113068">
        <w:t xml:space="preserve">’informer le Parlement européen sur la mise en œuvre de l’accord et du </w:t>
      </w:r>
      <w:proofErr w:type="gramStart"/>
      <w:r w:rsidR="0020337F" w:rsidRPr="00113068">
        <w:t>protocole;</w:t>
      </w:r>
      <w:proofErr w:type="gramEnd"/>
    </w:p>
    <w:p w14:paraId="784BCB38" w14:textId="77777777" w:rsidR="0020337F" w:rsidRPr="00113068" w:rsidRDefault="00864095" w:rsidP="00864095">
      <w:pPr>
        <w:spacing w:after="160" w:line="256" w:lineRule="auto"/>
        <w:ind w:left="1080" w:hanging="360"/>
        <w:jc w:val="both"/>
      </w:pPr>
      <w:r w:rsidRPr="00113068">
        <w:t>b</w:t>
      </w:r>
      <w:r w:rsidR="004A5158">
        <w:t>)</w:t>
      </w:r>
      <w:r w:rsidRPr="00113068">
        <w:tab/>
      </w:r>
      <w:r w:rsidR="00747F5E">
        <w:t>d</w:t>
      </w:r>
      <w:r w:rsidR="0020337F" w:rsidRPr="00113068">
        <w:t>e s’assurer que la mise en œuvre de l</w:t>
      </w:r>
      <w:r w:rsidR="00747F5E">
        <w:t>’</w:t>
      </w:r>
      <w:r w:rsidR="0020337F" w:rsidRPr="00113068">
        <w:t xml:space="preserve">accord et de son protocole contribue à la lutte contre le réchauffement climatique, à la préservation et à la restauration de la biodiversité et aux objectifs de durabilité du </w:t>
      </w:r>
      <w:r w:rsidR="00747F5E">
        <w:t>p</w:t>
      </w:r>
      <w:r w:rsidR="0020337F" w:rsidRPr="00113068">
        <w:t xml:space="preserve">acte </w:t>
      </w:r>
      <w:r w:rsidR="00747F5E">
        <w:t>v</w:t>
      </w:r>
      <w:r w:rsidR="0020337F" w:rsidRPr="00113068">
        <w:t xml:space="preserve">ert, et soit alignée </w:t>
      </w:r>
      <w:r w:rsidR="00105E82">
        <w:t>sur</w:t>
      </w:r>
      <w:r w:rsidR="00747F5E" w:rsidRPr="00113068">
        <w:t xml:space="preserve"> </w:t>
      </w:r>
      <w:r w:rsidR="0020337F" w:rsidRPr="00113068">
        <w:t xml:space="preserve">les objectifs de la </w:t>
      </w:r>
      <w:proofErr w:type="gramStart"/>
      <w:r w:rsidR="0020337F" w:rsidRPr="00113068">
        <w:t>PCP;</w:t>
      </w:r>
      <w:proofErr w:type="gramEnd"/>
    </w:p>
    <w:p w14:paraId="0EC00E0C" w14:textId="77777777" w:rsidR="00963A7F" w:rsidRPr="00113068" w:rsidRDefault="00864095" w:rsidP="00963A7F">
      <w:pPr>
        <w:spacing w:after="160" w:line="256" w:lineRule="auto"/>
        <w:ind w:left="1080" w:hanging="360"/>
        <w:jc w:val="both"/>
      </w:pPr>
      <w:r w:rsidRPr="00113068">
        <w:t>c</w:t>
      </w:r>
      <w:r w:rsidR="004A5158">
        <w:t>)</w:t>
      </w:r>
      <w:r w:rsidRPr="00113068">
        <w:tab/>
      </w:r>
      <w:r w:rsidR="00105E82">
        <w:t>d’</w:t>
      </w:r>
      <w:r w:rsidR="0020337F" w:rsidRPr="00113068">
        <w:t xml:space="preserve">améliorer la collecte et l’analyse des données et la modernisation du contrôle </w:t>
      </w:r>
      <w:r w:rsidR="00963A7F">
        <w:t>à l’aide de</w:t>
      </w:r>
      <w:r w:rsidR="0020337F" w:rsidRPr="00113068">
        <w:t xml:space="preserve"> la contribution financière de l’U</w:t>
      </w:r>
      <w:r w:rsidR="00963A7F">
        <w:t>nion</w:t>
      </w:r>
      <w:r w:rsidR="0020337F" w:rsidRPr="00113068">
        <w:t xml:space="preserve"> </w:t>
      </w:r>
      <w:r w:rsidR="00963A7F">
        <w:t xml:space="preserve">consacrée </w:t>
      </w:r>
      <w:r w:rsidR="0020337F" w:rsidRPr="00113068">
        <w:t>à l’appui sectoriel</w:t>
      </w:r>
      <w:r w:rsidR="00190671">
        <w:t>,</w:t>
      </w:r>
      <w:r w:rsidR="0020337F" w:rsidRPr="00113068">
        <w:t xml:space="preserve"> pour assurer une gestion saine des stocks pêchés par l</w:t>
      </w:r>
      <w:r w:rsidR="00963A7F">
        <w:t>’</w:t>
      </w:r>
      <w:r w:rsidR="0020337F" w:rsidRPr="00113068">
        <w:t>U</w:t>
      </w:r>
      <w:r w:rsidR="00963A7F">
        <w:t>nion</w:t>
      </w:r>
      <w:r w:rsidR="0020337F" w:rsidRPr="00113068">
        <w:t xml:space="preserve"> et garantir que les quotas accordés aux navires européens correspondent aux</w:t>
      </w:r>
      <w:proofErr w:type="gramStart"/>
      <w:r w:rsidR="0020337F" w:rsidRPr="00113068">
        <w:t xml:space="preserve"> </w:t>
      </w:r>
      <w:r w:rsidR="00963A7F">
        <w:t>«</w:t>
      </w:r>
      <w:r w:rsidR="0020337F" w:rsidRPr="00113068">
        <w:t>surplus</w:t>
      </w:r>
      <w:proofErr w:type="gramEnd"/>
      <w:r w:rsidR="00963A7F">
        <w:t>»</w:t>
      </w:r>
      <w:r w:rsidR="0020337F" w:rsidRPr="00113068">
        <w:t>;</w:t>
      </w:r>
      <w:r w:rsidR="00963A7F" w:rsidRPr="00963A7F">
        <w:t xml:space="preserve"> </w:t>
      </w:r>
    </w:p>
    <w:p w14:paraId="78E788A5" w14:textId="77777777" w:rsidR="0020337F" w:rsidRPr="00113068" w:rsidRDefault="00864095" w:rsidP="00864095">
      <w:pPr>
        <w:spacing w:after="160" w:line="256" w:lineRule="auto"/>
        <w:ind w:left="1080" w:hanging="360"/>
        <w:jc w:val="both"/>
      </w:pPr>
      <w:r w:rsidRPr="00113068">
        <w:t>d</w:t>
      </w:r>
      <w:r w:rsidR="004A5158">
        <w:t>)</w:t>
      </w:r>
      <w:r w:rsidRPr="00113068">
        <w:tab/>
      </w:r>
      <w:r w:rsidR="00963A7F">
        <w:t>d</w:t>
      </w:r>
      <w:r w:rsidR="0020337F" w:rsidRPr="00113068">
        <w:t>’assurer</w:t>
      </w:r>
      <w:r w:rsidR="00963A7F">
        <w:t xml:space="preserve"> </w:t>
      </w:r>
      <w:r w:rsidR="00963A7F" w:rsidRPr="00113068">
        <w:t>dans 4 ans</w:t>
      </w:r>
      <w:r w:rsidR="0020337F" w:rsidRPr="00113068">
        <w:t xml:space="preserve"> la reconduction </w:t>
      </w:r>
      <w:r w:rsidR="00963A7F">
        <w:t>pour</w:t>
      </w:r>
      <w:r w:rsidR="00963A7F" w:rsidRPr="00113068">
        <w:t xml:space="preserve"> 2 ans </w:t>
      </w:r>
      <w:r w:rsidR="0020337F" w:rsidRPr="00113068">
        <w:t xml:space="preserve">du protocole et de tout mettre en place pour </w:t>
      </w:r>
      <w:r w:rsidR="00190671">
        <w:t>que les</w:t>
      </w:r>
      <w:r w:rsidR="0020337F" w:rsidRPr="00113068">
        <w:t xml:space="preserve"> navires européens </w:t>
      </w:r>
      <w:r w:rsidR="00190671">
        <w:t>puissent</w:t>
      </w:r>
      <w:r w:rsidR="0020337F" w:rsidRPr="00113068">
        <w:t xml:space="preserve"> continuer leur activité dans les eaux groenlandaises de manière </w:t>
      </w:r>
      <w:proofErr w:type="gramStart"/>
      <w:r w:rsidR="0020337F" w:rsidRPr="00113068">
        <w:t>pérenne;</w:t>
      </w:r>
      <w:proofErr w:type="gramEnd"/>
    </w:p>
    <w:p w14:paraId="65721B2C" w14:textId="77777777" w:rsidR="0020337F" w:rsidRPr="00113068" w:rsidRDefault="00864095" w:rsidP="00864095">
      <w:pPr>
        <w:spacing w:after="160" w:line="256" w:lineRule="auto"/>
        <w:ind w:left="1080" w:hanging="360"/>
        <w:jc w:val="both"/>
      </w:pPr>
      <w:r w:rsidRPr="00113068">
        <w:t>e</w:t>
      </w:r>
      <w:r w:rsidR="004A5158">
        <w:t>)</w:t>
      </w:r>
      <w:r w:rsidRPr="00113068">
        <w:tab/>
      </w:r>
      <w:r w:rsidR="00EA0172">
        <w:t>d</w:t>
      </w:r>
      <w:r w:rsidR="0020337F" w:rsidRPr="00113068">
        <w:t>e tout mettre en œuvre pour que la fixation annuelle des quotas n’entra</w:t>
      </w:r>
      <w:r w:rsidR="00EA0172">
        <w:t>î</w:t>
      </w:r>
      <w:r w:rsidR="0020337F" w:rsidRPr="00113068">
        <w:t>ne pas une réduction des possibilités de pêche indiquées dans le protocole</w:t>
      </w:r>
      <w:r w:rsidR="00EA0172">
        <w:t>,</w:t>
      </w:r>
      <w:r w:rsidR="0020337F" w:rsidRPr="00113068">
        <w:t xml:space="preserve"> sauf si les avis scientifiques démontrent </w:t>
      </w:r>
      <w:r w:rsidR="00EA0172">
        <w:t>la</w:t>
      </w:r>
      <w:r w:rsidR="00EA0172" w:rsidRPr="00113068">
        <w:t xml:space="preserve"> </w:t>
      </w:r>
      <w:r w:rsidR="0020337F" w:rsidRPr="00113068">
        <w:t xml:space="preserve">nécessité impérative de les </w:t>
      </w:r>
      <w:proofErr w:type="gramStart"/>
      <w:r w:rsidR="0020337F" w:rsidRPr="00113068">
        <w:t>réduire;</w:t>
      </w:r>
      <w:proofErr w:type="gramEnd"/>
    </w:p>
    <w:p w14:paraId="6589634A" w14:textId="77777777" w:rsidR="0020337F" w:rsidRPr="00113068" w:rsidRDefault="00864095" w:rsidP="00864095">
      <w:pPr>
        <w:spacing w:after="160" w:line="256" w:lineRule="auto"/>
        <w:ind w:left="1080" w:hanging="360"/>
        <w:jc w:val="both"/>
      </w:pPr>
      <w:r w:rsidRPr="00113068">
        <w:t>f</w:t>
      </w:r>
      <w:r w:rsidR="004A5158">
        <w:t>)</w:t>
      </w:r>
      <w:r w:rsidRPr="00113068">
        <w:tab/>
      </w:r>
      <w:r w:rsidR="00EA0172">
        <w:t>d</w:t>
      </w:r>
      <w:r w:rsidR="0020337F" w:rsidRPr="00113068">
        <w:t xml:space="preserve">e transférer tout ou partie des quotas non utilisés dus au retard de l’application provisoire de l’accord à </w:t>
      </w:r>
      <w:proofErr w:type="gramStart"/>
      <w:r w:rsidR="0020337F" w:rsidRPr="00113068">
        <w:t>2022;</w:t>
      </w:r>
      <w:proofErr w:type="gramEnd"/>
    </w:p>
    <w:p w14:paraId="62B2F4D5" w14:textId="77777777" w:rsidR="0020337F" w:rsidRPr="00113068" w:rsidRDefault="00864095" w:rsidP="00864095">
      <w:pPr>
        <w:spacing w:after="160" w:line="256" w:lineRule="auto"/>
        <w:ind w:left="1080" w:hanging="360"/>
        <w:jc w:val="both"/>
      </w:pPr>
      <w:r w:rsidRPr="00113068">
        <w:t>g</w:t>
      </w:r>
      <w:r w:rsidR="004A5158">
        <w:t>)</w:t>
      </w:r>
      <w:r w:rsidRPr="00113068">
        <w:tab/>
      </w:r>
      <w:r w:rsidR="00EA0172">
        <w:t>d</w:t>
      </w:r>
      <w:r w:rsidR="0020337F" w:rsidRPr="00113068">
        <w:t xml:space="preserve">’encourager le Groenland à signer l’accord des </w:t>
      </w:r>
      <w:r w:rsidR="00EA0172">
        <w:t>É</w:t>
      </w:r>
      <w:r w:rsidR="0020337F" w:rsidRPr="00113068">
        <w:t xml:space="preserve">tats côtiers sur la gestion du maquereau </w:t>
      </w:r>
      <w:proofErr w:type="gramStart"/>
      <w:r w:rsidR="0020337F" w:rsidRPr="00113068">
        <w:t>commun;</w:t>
      </w:r>
      <w:proofErr w:type="gramEnd"/>
    </w:p>
    <w:p w14:paraId="06677F40" w14:textId="77777777" w:rsidR="0020337F" w:rsidRPr="00113068" w:rsidRDefault="00864095" w:rsidP="00864095">
      <w:pPr>
        <w:spacing w:after="160" w:line="256" w:lineRule="auto"/>
        <w:ind w:left="1080" w:hanging="360"/>
        <w:jc w:val="both"/>
        <w:rPr>
          <w:szCs w:val="24"/>
        </w:rPr>
      </w:pPr>
      <w:r w:rsidRPr="00113068">
        <w:rPr>
          <w:szCs w:val="24"/>
        </w:rPr>
        <w:t>h</w:t>
      </w:r>
      <w:r w:rsidR="004A5158">
        <w:rPr>
          <w:szCs w:val="24"/>
        </w:rPr>
        <w:t>)</w:t>
      </w:r>
      <w:r w:rsidRPr="00113068">
        <w:rPr>
          <w:szCs w:val="24"/>
        </w:rPr>
        <w:tab/>
      </w:r>
      <w:r w:rsidR="00EA0172">
        <w:t>q</w:t>
      </w:r>
      <w:r w:rsidR="0020337F" w:rsidRPr="00113068">
        <w:t xml:space="preserve">u’une attention spéciale soit accordée aux filets de pêche perdus, à la collecte des déchets marins, aux écosystèmes marins et </w:t>
      </w:r>
      <w:r w:rsidR="00190671">
        <w:t xml:space="preserve">aux </w:t>
      </w:r>
      <w:r w:rsidR="0020337F" w:rsidRPr="00113068">
        <w:t>espèces vulnérables, au recensement des habitats et aux prises accessoires d’oiseaux</w:t>
      </w:r>
      <w:r w:rsidR="00EA0172">
        <w:t>,</w:t>
      </w:r>
      <w:r w:rsidR="0020337F" w:rsidRPr="00113068">
        <w:t xml:space="preserve"> notamment </w:t>
      </w:r>
      <w:r w:rsidR="00EA0172">
        <w:t>dans le cadre du</w:t>
      </w:r>
      <w:r w:rsidR="0020337F" w:rsidRPr="00113068">
        <w:t xml:space="preserve"> soutien </w:t>
      </w:r>
      <w:proofErr w:type="gramStart"/>
      <w:r w:rsidR="0020337F" w:rsidRPr="00113068">
        <w:t>sectoriel;</w:t>
      </w:r>
      <w:proofErr w:type="gramEnd"/>
    </w:p>
    <w:p w14:paraId="4B8974FE" w14:textId="77777777" w:rsidR="0020337F" w:rsidRPr="00113068" w:rsidRDefault="00864095" w:rsidP="00864095">
      <w:pPr>
        <w:spacing w:after="160" w:line="256" w:lineRule="auto"/>
        <w:ind w:left="1080" w:hanging="360"/>
        <w:jc w:val="both"/>
      </w:pPr>
      <w:r w:rsidRPr="00113068">
        <w:t>i</w:t>
      </w:r>
      <w:r w:rsidR="004A5158">
        <w:t>)</w:t>
      </w:r>
      <w:r w:rsidRPr="00113068">
        <w:tab/>
      </w:r>
      <w:r w:rsidR="00EA0172">
        <w:t>d</w:t>
      </w:r>
      <w:r w:rsidR="0020337F" w:rsidRPr="00113068">
        <w:t xml:space="preserve">’améliorer la connexion entre l’APPD </w:t>
      </w:r>
      <w:r w:rsidR="000129F5">
        <w:t>UE-</w:t>
      </w:r>
      <w:r w:rsidR="0020337F" w:rsidRPr="00113068">
        <w:t>Groenland et la décision d’association outre-</w:t>
      </w:r>
      <w:proofErr w:type="gramStart"/>
      <w:r w:rsidR="0020337F" w:rsidRPr="00113068">
        <w:t>mer;</w:t>
      </w:r>
      <w:proofErr w:type="gramEnd"/>
    </w:p>
    <w:p w14:paraId="735A1DB2" w14:textId="77777777" w:rsidR="0020337F" w:rsidRPr="00113068" w:rsidRDefault="00864095" w:rsidP="00864095">
      <w:pPr>
        <w:spacing w:after="160" w:line="256" w:lineRule="auto"/>
        <w:ind w:left="1080" w:hanging="360"/>
        <w:jc w:val="both"/>
      </w:pPr>
      <w:r w:rsidRPr="00113068">
        <w:t>j</w:t>
      </w:r>
      <w:r w:rsidR="004A5158">
        <w:t>)</w:t>
      </w:r>
      <w:r w:rsidRPr="00113068">
        <w:tab/>
      </w:r>
      <w:r w:rsidR="00EA0172">
        <w:t>d</w:t>
      </w:r>
      <w:r w:rsidR="0020337F" w:rsidRPr="00113068">
        <w:t>’améliorer la visibilité et la transparence entre les différents instruments internationaux de gestion des stocks dans la région</w:t>
      </w:r>
      <w:r w:rsidR="00190671">
        <w:t>,</w:t>
      </w:r>
      <w:r w:rsidR="0020337F" w:rsidRPr="00113068">
        <w:t xml:space="preserve"> comme les ORGP et les accords des </w:t>
      </w:r>
      <w:r w:rsidR="00EA0172">
        <w:t>É</w:t>
      </w:r>
      <w:r w:rsidR="0020337F" w:rsidRPr="00113068">
        <w:t xml:space="preserve">tats côtiers pour la gestion de certains </w:t>
      </w:r>
      <w:proofErr w:type="gramStart"/>
      <w:r w:rsidR="0020337F" w:rsidRPr="00113068">
        <w:t>stocks;</w:t>
      </w:r>
      <w:proofErr w:type="gramEnd"/>
    </w:p>
    <w:p w14:paraId="6332254E" w14:textId="77777777" w:rsidR="0020337F" w:rsidRPr="00113068" w:rsidRDefault="00864095" w:rsidP="00864095">
      <w:pPr>
        <w:spacing w:after="160" w:line="256" w:lineRule="auto"/>
        <w:ind w:left="1080" w:hanging="360"/>
        <w:jc w:val="both"/>
      </w:pPr>
      <w:r w:rsidRPr="00113068">
        <w:t>k</w:t>
      </w:r>
      <w:r w:rsidR="004A5158">
        <w:t>)</w:t>
      </w:r>
      <w:r w:rsidRPr="00113068">
        <w:tab/>
      </w:r>
      <w:r w:rsidR="00EA0172">
        <w:t>d</w:t>
      </w:r>
      <w:r w:rsidR="0020337F" w:rsidRPr="00113068">
        <w:t>e mettre en place une réflexion sur le long terme pour formaliser les relations avec nos partenaires dans la région et pour diminuer l’instabilité créée par le départ du Royaume-Uni de l’U</w:t>
      </w:r>
      <w:r w:rsidR="00EA0172">
        <w:t>nion européenne</w:t>
      </w:r>
      <w:r w:rsidR="0020337F" w:rsidRPr="00113068">
        <w:t xml:space="preserve">, en particulier dans le domaine de la </w:t>
      </w:r>
      <w:proofErr w:type="gramStart"/>
      <w:r w:rsidR="0020337F" w:rsidRPr="00113068">
        <w:t>pêche;</w:t>
      </w:r>
      <w:proofErr w:type="gramEnd"/>
    </w:p>
    <w:p w14:paraId="15CE140E" w14:textId="77777777" w:rsidR="0020337F" w:rsidRPr="00113068" w:rsidRDefault="00864095" w:rsidP="00864095">
      <w:pPr>
        <w:spacing w:after="160" w:line="256" w:lineRule="auto"/>
        <w:ind w:left="1080" w:hanging="360"/>
        <w:jc w:val="both"/>
      </w:pPr>
      <w:r w:rsidRPr="00113068">
        <w:t>l</w:t>
      </w:r>
      <w:r w:rsidR="004A5158">
        <w:t>)</w:t>
      </w:r>
      <w:r w:rsidRPr="00113068">
        <w:tab/>
      </w:r>
      <w:r w:rsidR="00EA0172">
        <w:rPr>
          <w:szCs w:val="24"/>
        </w:rPr>
        <w:t>d</w:t>
      </w:r>
      <w:r w:rsidR="0020337F" w:rsidRPr="00113068">
        <w:rPr>
          <w:szCs w:val="24"/>
        </w:rPr>
        <w:t xml:space="preserve">e prendre pleinement en considération </w:t>
      </w:r>
      <w:r w:rsidR="00EA0172">
        <w:rPr>
          <w:szCs w:val="24"/>
        </w:rPr>
        <w:t>l’APPD</w:t>
      </w:r>
      <w:r w:rsidR="0020337F" w:rsidRPr="00113068">
        <w:rPr>
          <w:szCs w:val="24"/>
        </w:rPr>
        <w:t xml:space="preserve"> dans l’établissement d’une position géostratégique de l’U</w:t>
      </w:r>
      <w:r w:rsidR="00EA0172">
        <w:rPr>
          <w:szCs w:val="24"/>
        </w:rPr>
        <w:t>nion</w:t>
      </w:r>
      <w:r w:rsidR="0020337F" w:rsidRPr="00113068">
        <w:rPr>
          <w:szCs w:val="24"/>
        </w:rPr>
        <w:t xml:space="preserve"> dans l’océan </w:t>
      </w:r>
      <w:proofErr w:type="gramStart"/>
      <w:r w:rsidR="0020337F" w:rsidRPr="00113068">
        <w:rPr>
          <w:szCs w:val="24"/>
        </w:rPr>
        <w:t>Arctique;</w:t>
      </w:r>
      <w:proofErr w:type="gramEnd"/>
    </w:p>
    <w:p w14:paraId="1DE41416" w14:textId="77777777" w:rsidR="0020337F" w:rsidRPr="00113068" w:rsidRDefault="00864095" w:rsidP="00864095">
      <w:pPr>
        <w:pStyle w:val="NormalHanging12a"/>
        <w:ind w:left="210" w:hanging="570"/>
      </w:pPr>
      <w:r w:rsidRPr="00113068">
        <w:t>16.</w:t>
      </w:r>
      <w:r w:rsidRPr="00113068">
        <w:tab/>
      </w:r>
      <w:r w:rsidR="004A5158">
        <w:t>c</w:t>
      </w:r>
      <w:r w:rsidR="0020337F" w:rsidRPr="00113068">
        <w:t xml:space="preserve">harge son Président de transmettre la présente résolution au Conseil et à la Commission, ainsi qu’aux gouvernements et aux parlements des États membres et </w:t>
      </w:r>
      <w:r w:rsidR="004A5158">
        <w:t xml:space="preserve">à ceux </w:t>
      </w:r>
      <w:r w:rsidR="0020337F" w:rsidRPr="00113068">
        <w:t>du Groenland et du Danemark.</w:t>
      </w:r>
    </w:p>
    <w:p w14:paraId="51E34FE8" w14:textId="77777777" w:rsidR="008544DE" w:rsidRPr="00113068" w:rsidRDefault="008544DE" w:rsidP="008544DE"/>
    <w:sectPr w:rsidR="008544DE" w:rsidRPr="00113068" w:rsidSect="00385A0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7DA8" w14:textId="77777777" w:rsidR="00473E90" w:rsidRPr="00113068" w:rsidRDefault="00473E90">
      <w:r w:rsidRPr="00113068">
        <w:separator/>
      </w:r>
    </w:p>
  </w:endnote>
  <w:endnote w:type="continuationSeparator" w:id="0">
    <w:p w14:paraId="098E1340" w14:textId="77777777" w:rsidR="00473E90" w:rsidRPr="00113068" w:rsidRDefault="00473E90">
      <w:r w:rsidRPr="001130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EC9" w14:textId="77777777" w:rsidR="00385A05" w:rsidRPr="00113068" w:rsidRDefault="00385A05" w:rsidP="00385A05">
    <w:pPr>
      <w:pStyle w:val="EPFooter"/>
    </w:pPr>
    <w:r w:rsidRPr="00113068">
      <w:t>PE</w:t>
    </w:r>
    <w:r w:rsidRPr="00113068">
      <w:rPr>
        <w:rStyle w:val="HideTWBExt"/>
        <w:noProof w:val="0"/>
      </w:rPr>
      <w:t>&lt;NoPE&gt;</w:t>
    </w:r>
    <w:r w:rsidRPr="00113068">
      <w:t>692.838</w:t>
    </w:r>
    <w:r w:rsidRPr="00113068">
      <w:rPr>
        <w:rStyle w:val="HideTWBExt"/>
        <w:noProof w:val="0"/>
      </w:rPr>
      <w:t>&lt;/NoPE&gt;&lt;Version&gt;</w:t>
    </w:r>
    <w:r w:rsidRPr="00113068">
      <w:t>v01-00</w:t>
    </w:r>
    <w:r w:rsidRPr="00113068">
      <w:rPr>
        <w:rStyle w:val="HideTWBExt"/>
        <w:noProof w:val="0"/>
      </w:rPr>
      <w:t>&lt;/Version&gt;</w:t>
    </w:r>
    <w:r w:rsidRPr="00113068">
      <w:tab/>
    </w:r>
    <w:r w:rsidRPr="00113068">
      <w:fldChar w:fldCharType="begin"/>
    </w:r>
    <w:r w:rsidRPr="00113068">
      <w:instrText xml:space="preserve"> PAGE  \* MERGEFORMAT </w:instrText>
    </w:r>
    <w:r w:rsidRPr="00113068">
      <w:fldChar w:fldCharType="separate"/>
    </w:r>
    <w:r w:rsidR="005078B8">
      <w:rPr>
        <w:noProof/>
      </w:rPr>
      <w:t>2</w:t>
    </w:r>
    <w:r w:rsidRPr="00113068">
      <w:fldChar w:fldCharType="end"/>
    </w:r>
    <w:r w:rsidRPr="00113068">
      <w:t>/</w:t>
    </w:r>
    <w:r w:rsidR="00473E90">
      <w:fldChar w:fldCharType="begin"/>
    </w:r>
    <w:r w:rsidR="00473E90">
      <w:instrText xml:space="preserve"> NUMPAGES  \* MERGEFORMAT </w:instrText>
    </w:r>
    <w:r w:rsidR="00473E90">
      <w:fldChar w:fldCharType="separate"/>
    </w:r>
    <w:r w:rsidR="005078B8">
      <w:rPr>
        <w:noProof/>
      </w:rPr>
      <w:t>7</w:t>
    </w:r>
    <w:r w:rsidR="00473E90">
      <w:rPr>
        <w:noProof/>
      </w:rPr>
      <w:fldChar w:fldCharType="end"/>
    </w:r>
    <w:r w:rsidRPr="00113068">
      <w:tab/>
    </w:r>
    <w:r w:rsidRPr="00113068">
      <w:rPr>
        <w:rStyle w:val="HideTWBExt"/>
        <w:noProof w:val="0"/>
      </w:rPr>
      <w:t>&lt;PathFdR&gt;</w:t>
    </w:r>
    <w:r w:rsidR="00113068" w:rsidRPr="00113068">
      <w:t>PR\1231621FR.docx</w:t>
    </w:r>
    <w:r w:rsidRPr="00113068">
      <w:rPr>
        <w:rStyle w:val="HideTWBExt"/>
        <w:noProof w:val="0"/>
      </w:rPr>
      <w:t>&lt;/PathFdR&gt;</w:t>
    </w:r>
  </w:p>
  <w:p w14:paraId="24AE35D4" w14:textId="77777777" w:rsidR="0085501C" w:rsidRPr="00113068" w:rsidRDefault="00385A05" w:rsidP="00385A05">
    <w:pPr>
      <w:pStyle w:val="EPFooter2"/>
    </w:pPr>
    <w:r w:rsidRPr="00113068">
      <w:t>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3B71" w14:textId="77777777" w:rsidR="00385A05" w:rsidRPr="00113068" w:rsidRDefault="00385A05" w:rsidP="00385A05">
    <w:pPr>
      <w:pStyle w:val="EPFooter"/>
    </w:pPr>
    <w:r w:rsidRPr="00113068">
      <w:rPr>
        <w:rStyle w:val="HideTWBExt"/>
        <w:noProof w:val="0"/>
      </w:rPr>
      <w:t>&lt;PathFdR&gt;</w:t>
    </w:r>
    <w:r w:rsidR="00113068" w:rsidRPr="00113068">
      <w:t>PR\1231621FR.docx</w:t>
    </w:r>
    <w:r w:rsidRPr="00113068">
      <w:rPr>
        <w:rStyle w:val="HideTWBExt"/>
        <w:noProof w:val="0"/>
      </w:rPr>
      <w:t>&lt;/PathFdR&gt;</w:t>
    </w:r>
    <w:r w:rsidRPr="00113068">
      <w:tab/>
    </w:r>
    <w:r w:rsidRPr="00113068">
      <w:fldChar w:fldCharType="begin"/>
    </w:r>
    <w:r w:rsidRPr="00113068">
      <w:instrText xml:space="preserve"> PAGE  \* MERGEFORMAT </w:instrText>
    </w:r>
    <w:r w:rsidRPr="00113068">
      <w:fldChar w:fldCharType="separate"/>
    </w:r>
    <w:r w:rsidR="005078B8">
      <w:rPr>
        <w:noProof/>
      </w:rPr>
      <w:t>3</w:t>
    </w:r>
    <w:r w:rsidRPr="00113068">
      <w:fldChar w:fldCharType="end"/>
    </w:r>
    <w:r w:rsidRPr="00113068">
      <w:t>/</w:t>
    </w:r>
    <w:r w:rsidR="00473E90">
      <w:fldChar w:fldCharType="begin"/>
    </w:r>
    <w:r w:rsidR="00473E90">
      <w:instrText xml:space="preserve"> NUMPAGES  \* MERGEFORMAT </w:instrText>
    </w:r>
    <w:r w:rsidR="00473E90">
      <w:fldChar w:fldCharType="separate"/>
    </w:r>
    <w:r w:rsidR="005078B8">
      <w:rPr>
        <w:noProof/>
      </w:rPr>
      <w:t>7</w:t>
    </w:r>
    <w:r w:rsidR="00473E90">
      <w:rPr>
        <w:noProof/>
      </w:rPr>
      <w:fldChar w:fldCharType="end"/>
    </w:r>
    <w:r w:rsidRPr="00113068">
      <w:tab/>
      <w:t>PE</w:t>
    </w:r>
    <w:r w:rsidRPr="00113068">
      <w:rPr>
        <w:rStyle w:val="HideTWBExt"/>
        <w:noProof w:val="0"/>
      </w:rPr>
      <w:t>&lt;NoPE&gt;</w:t>
    </w:r>
    <w:r w:rsidRPr="00113068">
      <w:t>692.838</w:t>
    </w:r>
    <w:r w:rsidRPr="00113068">
      <w:rPr>
        <w:rStyle w:val="HideTWBExt"/>
        <w:noProof w:val="0"/>
      </w:rPr>
      <w:t>&lt;/NoPE&gt;&lt;Version&gt;</w:t>
    </w:r>
    <w:r w:rsidRPr="00113068">
      <w:t>v01-00</w:t>
    </w:r>
    <w:r w:rsidRPr="00113068">
      <w:rPr>
        <w:rStyle w:val="HideTWBExt"/>
        <w:noProof w:val="0"/>
      </w:rPr>
      <w:t>&lt;/Version&gt;</w:t>
    </w:r>
  </w:p>
  <w:p w14:paraId="443D28C1" w14:textId="77777777" w:rsidR="0085501C" w:rsidRPr="00113068" w:rsidRDefault="00385A05" w:rsidP="00385A05">
    <w:pPr>
      <w:pStyle w:val="EPFooter2"/>
    </w:pPr>
    <w:r w:rsidRPr="00113068">
      <w:tab/>
    </w:r>
    <w:r w:rsidRPr="00113068">
      <w:tab/>
      <w:t>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9B2D" w14:textId="77777777" w:rsidR="00385A05" w:rsidRPr="00113068" w:rsidRDefault="00385A05" w:rsidP="00385A05">
    <w:pPr>
      <w:pStyle w:val="EPFooter"/>
    </w:pPr>
    <w:r w:rsidRPr="00113068">
      <w:rPr>
        <w:rStyle w:val="HideTWBExt"/>
        <w:noProof w:val="0"/>
      </w:rPr>
      <w:t>&lt;PathFdR&gt;</w:t>
    </w:r>
    <w:r w:rsidR="00113068" w:rsidRPr="00113068">
      <w:t>PR\1231621FR.docx</w:t>
    </w:r>
    <w:r w:rsidRPr="00113068">
      <w:rPr>
        <w:rStyle w:val="HideTWBExt"/>
        <w:noProof w:val="0"/>
      </w:rPr>
      <w:t>&lt;/PathFdR&gt;</w:t>
    </w:r>
    <w:r w:rsidRPr="00113068">
      <w:tab/>
    </w:r>
    <w:r w:rsidRPr="00113068">
      <w:tab/>
      <w:t>PE</w:t>
    </w:r>
    <w:r w:rsidRPr="00113068">
      <w:rPr>
        <w:rStyle w:val="HideTWBExt"/>
        <w:noProof w:val="0"/>
      </w:rPr>
      <w:t>&lt;NoPE&gt;</w:t>
    </w:r>
    <w:r w:rsidRPr="00113068">
      <w:t>692.838</w:t>
    </w:r>
    <w:r w:rsidRPr="00113068">
      <w:rPr>
        <w:rStyle w:val="HideTWBExt"/>
        <w:noProof w:val="0"/>
      </w:rPr>
      <w:t>&lt;/NoPE&gt;&lt;Version&gt;</w:t>
    </w:r>
    <w:r w:rsidRPr="00113068">
      <w:t>v01-00</w:t>
    </w:r>
    <w:r w:rsidRPr="00113068">
      <w:rPr>
        <w:rStyle w:val="HideTWBExt"/>
        <w:noProof w:val="0"/>
      </w:rPr>
      <w:t>&lt;/Version&gt;</w:t>
    </w:r>
  </w:p>
  <w:p w14:paraId="2DA1C1E0" w14:textId="77777777" w:rsidR="0085501C" w:rsidRPr="00113068" w:rsidRDefault="00385A05" w:rsidP="00385A05">
    <w:pPr>
      <w:pStyle w:val="EPFooter2"/>
    </w:pPr>
    <w:r w:rsidRPr="00113068">
      <w:t>FR</w:t>
    </w:r>
    <w:r w:rsidRPr="00113068">
      <w:tab/>
    </w:r>
    <w:r w:rsidRPr="00113068">
      <w:rPr>
        <w:b w:val="0"/>
        <w:i/>
        <w:color w:val="C0C0C0"/>
        <w:sz w:val="22"/>
      </w:rPr>
      <w:t>Unie dans la diversité</w:t>
    </w:r>
    <w:r w:rsidRPr="00113068">
      <w:tab/>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6FBB0" w14:textId="77777777" w:rsidR="00473E90" w:rsidRPr="00113068" w:rsidRDefault="00473E90">
      <w:r w:rsidRPr="00113068">
        <w:separator/>
      </w:r>
    </w:p>
  </w:footnote>
  <w:footnote w:type="continuationSeparator" w:id="0">
    <w:p w14:paraId="09C9DF1C" w14:textId="77777777" w:rsidR="00473E90" w:rsidRPr="00113068" w:rsidRDefault="00473E90">
      <w:r w:rsidRPr="00113068">
        <w:continuationSeparator/>
      </w:r>
    </w:p>
  </w:footnote>
  <w:footnote w:id="1">
    <w:p w14:paraId="19103A90" w14:textId="77777777" w:rsidR="00251907" w:rsidRPr="00113068" w:rsidRDefault="00251907">
      <w:pPr>
        <w:pStyle w:val="Textpoznpodarou"/>
      </w:pPr>
      <w:r w:rsidRPr="00113068">
        <w:rPr>
          <w:rStyle w:val="Znakapoznpodarou"/>
        </w:rPr>
        <w:footnoteRef/>
      </w:r>
      <w:r w:rsidRPr="00113068">
        <w:t xml:space="preserve"> Textes adoptés de cette date, P9</w:t>
      </w:r>
      <w:r w:rsidR="004D60BC">
        <w:rPr>
          <w:b/>
          <w:bCs/>
        </w:rPr>
        <w:t>_</w:t>
      </w:r>
      <w:r w:rsidRPr="00113068">
        <w:t>TA(0000)0000.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365C" w14:textId="77777777" w:rsidR="0091769A" w:rsidRDefault="009176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DDAB" w14:textId="77777777" w:rsidR="0091769A" w:rsidRDefault="0091769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34FA" w14:textId="77777777" w:rsidR="0091769A" w:rsidRDefault="009176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BB4951"/>
    <w:multiLevelType w:val="hybridMultilevel"/>
    <w:tmpl w:val="6E449510"/>
    <w:lvl w:ilvl="0" w:tplc="08090015">
      <w:start w:val="1"/>
      <w:numFmt w:val="upperLetter"/>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EE112F"/>
    <w:multiLevelType w:val="hybridMultilevel"/>
    <w:tmpl w:val="FFFFFFFF"/>
    <w:lvl w:ilvl="0" w:tplc="E1D8C7FC">
      <w:start w:val="1"/>
      <w:numFmt w:val="decimal"/>
      <w:lvlText w:val="%1."/>
      <w:lvlJc w:val="left"/>
      <w:pPr>
        <w:ind w:left="720" w:hanging="360"/>
      </w:pPr>
    </w:lvl>
    <w:lvl w:ilvl="1" w:tplc="828A52C0">
      <w:start w:val="1"/>
      <w:numFmt w:val="lowerLetter"/>
      <w:lvlText w:val="%2."/>
      <w:lvlJc w:val="left"/>
      <w:pPr>
        <w:ind w:left="1440" w:hanging="360"/>
      </w:pPr>
    </w:lvl>
    <w:lvl w:ilvl="2" w:tplc="F39C560E">
      <w:start w:val="1"/>
      <w:numFmt w:val="lowerRoman"/>
      <w:lvlText w:val="%3."/>
      <w:lvlJc w:val="right"/>
      <w:pPr>
        <w:ind w:left="2160" w:hanging="180"/>
      </w:pPr>
    </w:lvl>
    <w:lvl w:ilvl="3" w:tplc="DA161A70">
      <w:start w:val="1"/>
      <w:numFmt w:val="decimal"/>
      <w:lvlText w:val="%4."/>
      <w:lvlJc w:val="left"/>
      <w:pPr>
        <w:ind w:left="2880" w:hanging="360"/>
      </w:pPr>
    </w:lvl>
    <w:lvl w:ilvl="4" w:tplc="8AC40CE0">
      <w:start w:val="1"/>
      <w:numFmt w:val="lowerLetter"/>
      <w:lvlText w:val="%5."/>
      <w:lvlJc w:val="left"/>
      <w:pPr>
        <w:ind w:left="3600" w:hanging="360"/>
      </w:pPr>
    </w:lvl>
    <w:lvl w:ilvl="5" w:tplc="36EC562C">
      <w:start w:val="1"/>
      <w:numFmt w:val="lowerRoman"/>
      <w:lvlText w:val="%6."/>
      <w:lvlJc w:val="right"/>
      <w:pPr>
        <w:ind w:left="4320" w:hanging="180"/>
      </w:pPr>
    </w:lvl>
    <w:lvl w:ilvl="6" w:tplc="5C1ADAAC">
      <w:start w:val="1"/>
      <w:numFmt w:val="decimal"/>
      <w:lvlText w:val="%7."/>
      <w:lvlJc w:val="left"/>
      <w:pPr>
        <w:ind w:left="5040" w:hanging="360"/>
      </w:pPr>
    </w:lvl>
    <w:lvl w:ilvl="7" w:tplc="82E287D8">
      <w:start w:val="1"/>
      <w:numFmt w:val="lowerLetter"/>
      <w:lvlText w:val="%8."/>
      <w:lvlJc w:val="left"/>
      <w:pPr>
        <w:ind w:left="5760" w:hanging="360"/>
      </w:pPr>
    </w:lvl>
    <w:lvl w:ilvl="8" w:tplc="CBD42B2E">
      <w:start w:val="1"/>
      <w:numFmt w:val="lowerRoman"/>
      <w:lvlText w:val="%9."/>
      <w:lvlJc w:val="right"/>
      <w:pPr>
        <w:ind w:left="6480" w:hanging="180"/>
      </w:pPr>
    </w:lvl>
  </w:abstractNum>
  <w:abstractNum w:abstractNumId="12" w15:restartNumberingAfterBreak="0">
    <w:nsid w:val="7E87484E"/>
    <w:multiLevelType w:val="hybridMultilevel"/>
    <w:tmpl w:val="4300A7DA"/>
    <w:lvl w:ilvl="0" w:tplc="0809000F">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ORMFMNU" w:val=" 1"/>
    <w:docVar w:name="CODEMNU" w:val=" 3"/>
    <w:docVar w:name="COMKEY" w:val="PECH"/>
    <w:docVar w:name="LastEditedSection" w:val=" 1"/>
    <w:docVar w:name="strDocTypeID" w:val="PR_Consent_Motion"/>
    <w:docVar w:name="strSubDir" w:val="1231"/>
    <w:docVar w:name="TITLENLE2MNU" w:val=" 2"/>
    <w:docVar w:name="TXTAUTHOR" w:val="Pierre Karleskind"/>
    <w:docVar w:name="TXTLANGUE" w:val="FR"/>
    <w:docVar w:name="TXTLANGUEMIN" w:val="fr"/>
    <w:docVar w:name="TXTNRC" w:val="0154/2021"/>
    <w:docVar w:name="TXTNRCOUNC" w:val="06566/2021"/>
    <w:docVar w:name="TXTNRPE" w:val="692.838"/>
    <w:docVar w:name="TXTNRPROC" w:val="2021/0037"/>
    <w:docVar w:name="TXTPEorAP" w:val="PE"/>
    <w:docVar w:name="TXTROUTE" w:val="PR\1231621FR.docx"/>
    <w:docVar w:name="TXTTITLE" w:val="relative à la conclusion, au nom de l'Union, de l'accord de partenariat dans le domaine de la pêche durable entre l'Union européenne, d'une part, et le gouvernement du Groenland et le gouvernement du Danemark, d'autre part, ainsi que de son protocole de mise en œuvre"/>
    <w:docVar w:name="TXTVERSION" w:val="01-00"/>
  </w:docVars>
  <w:rsids>
    <w:rsidRoot w:val="00FF0339"/>
    <w:rsid w:val="0000361A"/>
    <w:rsid w:val="0000443F"/>
    <w:rsid w:val="000128A4"/>
    <w:rsid w:val="000129F5"/>
    <w:rsid w:val="00044034"/>
    <w:rsid w:val="00057695"/>
    <w:rsid w:val="00061759"/>
    <w:rsid w:val="0006484E"/>
    <w:rsid w:val="000C123D"/>
    <w:rsid w:val="000C5849"/>
    <w:rsid w:val="00105E82"/>
    <w:rsid w:val="00113068"/>
    <w:rsid w:val="00146B4A"/>
    <w:rsid w:val="00172C59"/>
    <w:rsid w:val="00180664"/>
    <w:rsid w:val="0018125A"/>
    <w:rsid w:val="00190671"/>
    <w:rsid w:val="0019436E"/>
    <w:rsid w:val="00197326"/>
    <w:rsid w:val="001B1C23"/>
    <w:rsid w:val="001C5935"/>
    <w:rsid w:val="001D02E3"/>
    <w:rsid w:val="001E1AE2"/>
    <w:rsid w:val="0020337F"/>
    <w:rsid w:val="00207649"/>
    <w:rsid w:val="00251907"/>
    <w:rsid w:val="002E2E20"/>
    <w:rsid w:val="002E4BCF"/>
    <w:rsid w:val="003072BE"/>
    <w:rsid w:val="00310CF7"/>
    <w:rsid w:val="0033134C"/>
    <w:rsid w:val="003346B5"/>
    <w:rsid w:val="00345230"/>
    <w:rsid w:val="00363B94"/>
    <w:rsid w:val="003765E5"/>
    <w:rsid w:val="0038004C"/>
    <w:rsid w:val="00384848"/>
    <w:rsid w:val="00385A05"/>
    <w:rsid w:val="003D540D"/>
    <w:rsid w:val="003F750F"/>
    <w:rsid w:val="004174FC"/>
    <w:rsid w:val="00460749"/>
    <w:rsid w:val="00460BD6"/>
    <w:rsid w:val="00473E90"/>
    <w:rsid w:val="004859B3"/>
    <w:rsid w:val="004974AF"/>
    <w:rsid w:val="004A4068"/>
    <w:rsid w:val="004A5158"/>
    <w:rsid w:val="004D60BC"/>
    <w:rsid w:val="004E1650"/>
    <w:rsid w:val="004F29E7"/>
    <w:rsid w:val="005078B8"/>
    <w:rsid w:val="005621D6"/>
    <w:rsid w:val="00592084"/>
    <w:rsid w:val="005D0B97"/>
    <w:rsid w:val="005D50F9"/>
    <w:rsid w:val="005F5D6C"/>
    <w:rsid w:val="006132CE"/>
    <w:rsid w:val="0063027E"/>
    <w:rsid w:val="00645684"/>
    <w:rsid w:val="00666488"/>
    <w:rsid w:val="006775BC"/>
    <w:rsid w:val="00694C12"/>
    <w:rsid w:val="006A2CF5"/>
    <w:rsid w:val="006D1130"/>
    <w:rsid w:val="006D3839"/>
    <w:rsid w:val="006D4DF4"/>
    <w:rsid w:val="006D7C55"/>
    <w:rsid w:val="00715DF3"/>
    <w:rsid w:val="007370DF"/>
    <w:rsid w:val="00747F5E"/>
    <w:rsid w:val="0075702D"/>
    <w:rsid w:val="00791FE8"/>
    <w:rsid w:val="007A4ACB"/>
    <w:rsid w:val="007F1E7D"/>
    <w:rsid w:val="0080122F"/>
    <w:rsid w:val="00802F8B"/>
    <w:rsid w:val="00825D07"/>
    <w:rsid w:val="008368CB"/>
    <w:rsid w:val="008544DE"/>
    <w:rsid w:val="0085501C"/>
    <w:rsid w:val="00864095"/>
    <w:rsid w:val="00864B9E"/>
    <w:rsid w:val="00871A15"/>
    <w:rsid w:val="008865DD"/>
    <w:rsid w:val="00892627"/>
    <w:rsid w:val="008947E9"/>
    <w:rsid w:val="008A4452"/>
    <w:rsid w:val="008C2BFA"/>
    <w:rsid w:val="008C39BE"/>
    <w:rsid w:val="008D3030"/>
    <w:rsid w:val="008E5314"/>
    <w:rsid w:val="008E596D"/>
    <w:rsid w:val="009040B7"/>
    <w:rsid w:val="009121CF"/>
    <w:rsid w:val="0091769A"/>
    <w:rsid w:val="00924EE0"/>
    <w:rsid w:val="00925477"/>
    <w:rsid w:val="00937BA9"/>
    <w:rsid w:val="009612AA"/>
    <w:rsid w:val="00963A7F"/>
    <w:rsid w:val="00973BE2"/>
    <w:rsid w:val="009B3B05"/>
    <w:rsid w:val="009B6F40"/>
    <w:rsid w:val="009C29BD"/>
    <w:rsid w:val="00A0178D"/>
    <w:rsid w:val="00A02D8B"/>
    <w:rsid w:val="00A07A05"/>
    <w:rsid w:val="00A26973"/>
    <w:rsid w:val="00A26BC7"/>
    <w:rsid w:val="00A30183"/>
    <w:rsid w:val="00A916D9"/>
    <w:rsid w:val="00AB39B7"/>
    <w:rsid w:val="00AC41F1"/>
    <w:rsid w:val="00B31D18"/>
    <w:rsid w:val="00B37BF5"/>
    <w:rsid w:val="00B42885"/>
    <w:rsid w:val="00B50C20"/>
    <w:rsid w:val="00B80794"/>
    <w:rsid w:val="00B978B4"/>
    <w:rsid w:val="00BB41C8"/>
    <w:rsid w:val="00BB6F56"/>
    <w:rsid w:val="00BE5E72"/>
    <w:rsid w:val="00BF0A0F"/>
    <w:rsid w:val="00BF2E15"/>
    <w:rsid w:val="00BF7F55"/>
    <w:rsid w:val="00C15447"/>
    <w:rsid w:val="00C25228"/>
    <w:rsid w:val="00C3453F"/>
    <w:rsid w:val="00C4269E"/>
    <w:rsid w:val="00C96AB7"/>
    <w:rsid w:val="00CC1290"/>
    <w:rsid w:val="00CF44DF"/>
    <w:rsid w:val="00D04E0B"/>
    <w:rsid w:val="00D62DA0"/>
    <w:rsid w:val="00DC3166"/>
    <w:rsid w:val="00DC7E76"/>
    <w:rsid w:val="00E15DB5"/>
    <w:rsid w:val="00E20F34"/>
    <w:rsid w:val="00E51B95"/>
    <w:rsid w:val="00E71368"/>
    <w:rsid w:val="00E9187B"/>
    <w:rsid w:val="00E93816"/>
    <w:rsid w:val="00EA0172"/>
    <w:rsid w:val="00EA57BF"/>
    <w:rsid w:val="00EF48F2"/>
    <w:rsid w:val="00F11292"/>
    <w:rsid w:val="00F70409"/>
    <w:rsid w:val="00F731BD"/>
    <w:rsid w:val="00F90C4A"/>
    <w:rsid w:val="00F93770"/>
    <w:rsid w:val="00FE385D"/>
    <w:rsid w:val="00FF033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BCF04"/>
  <w15:chartTrackingRefBased/>
  <w15:docId w15:val="{469914DF-B6FC-42DA-8621-BD6B334F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6484E"/>
    <w:pPr>
      <w:widowControl w:val="0"/>
    </w:pPr>
    <w:rPr>
      <w:sz w:val="24"/>
      <w:lang w:val="fr-FR"/>
    </w:rPr>
  </w:style>
  <w:style w:type="paragraph" w:styleId="Nadpis1">
    <w:name w:val="heading 1"/>
    <w:basedOn w:val="Normln"/>
    <w:next w:val="Normln"/>
    <w:semiHidden/>
    <w:qFormat/>
    <w:pPr>
      <w:keepNext/>
      <w:spacing w:before="240" w:after="60"/>
      <w:outlineLvl w:val="0"/>
    </w:pPr>
    <w:rPr>
      <w:rFonts w:ascii="Arial" w:hAnsi="Arial"/>
      <w:b/>
      <w:kern w:val="28"/>
      <w:sz w:val="28"/>
    </w:rPr>
  </w:style>
  <w:style w:type="paragraph" w:styleId="Nadpis2">
    <w:name w:val="heading 2"/>
    <w:basedOn w:val="Normln"/>
    <w:next w:val="Normln"/>
    <w:semiHidden/>
    <w:qFormat/>
    <w:pPr>
      <w:keepNext/>
      <w:spacing w:before="240" w:after="60"/>
      <w:outlineLvl w:val="1"/>
    </w:pPr>
    <w:rPr>
      <w:rFonts w:ascii="Arial" w:hAnsi="Arial"/>
      <w:b/>
      <w:i/>
    </w:rPr>
  </w:style>
  <w:style w:type="paragraph" w:styleId="Nadpis3">
    <w:name w:val="heading 3"/>
    <w:basedOn w:val="Normln"/>
    <w:next w:val="Normln"/>
    <w:semiHidden/>
    <w:qFormat/>
    <w:pPr>
      <w:keepNext/>
      <w:spacing w:before="240" w:after="60"/>
      <w:outlineLvl w:val="2"/>
    </w:pPr>
    <w:rPr>
      <w:rFonts w:ascii="Arial" w:hAnsi="Arial"/>
    </w:rPr>
  </w:style>
  <w:style w:type="paragraph" w:styleId="Nadpis4">
    <w:name w:val="heading 4"/>
    <w:basedOn w:val="Normln"/>
    <w:next w:val="Normln"/>
    <w:semiHidden/>
    <w:qFormat/>
    <w:pPr>
      <w:keepNext/>
      <w:spacing w:before="240" w:after="60"/>
      <w:outlineLvl w:val="3"/>
    </w:pPr>
    <w:rPr>
      <w:rFonts w:ascii="Arial" w:hAnsi="Arial"/>
      <w:b/>
    </w:rPr>
  </w:style>
  <w:style w:type="paragraph" w:styleId="Nadpis5">
    <w:name w:val="heading 5"/>
    <w:basedOn w:val="Normln"/>
    <w:next w:val="Normln"/>
    <w:semiHidden/>
    <w:qFormat/>
    <w:pPr>
      <w:spacing w:before="240" w:after="60"/>
      <w:outlineLvl w:val="4"/>
    </w:pPr>
    <w:rPr>
      <w:sz w:val="22"/>
    </w:rPr>
  </w:style>
  <w:style w:type="paragraph" w:styleId="Nadpis6">
    <w:name w:val="heading 6"/>
    <w:basedOn w:val="Normln"/>
    <w:next w:val="Normln"/>
    <w:semiHidden/>
    <w:qFormat/>
    <w:pPr>
      <w:spacing w:before="240" w:after="60"/>
      <w:outlineLvl w:val="5"/>
    </w:pPr>
    <w:rPr>
      <w:i/>
      <w:sz w:val="22"/>
    </w:rPr>
  </w:style>
  <w:style w:type="paragraph" w:styleId="Nadpis7">
    <w:name w:val="heading 7"/>
    <w:basedOn w:val="Normln"/>
    <w:next w:val="Normln"/>
    <w:semiHidden/>
    <w:qFormat/>
    <w:pPr>
      <w:spacing w:before="240" w:after="60"/>
      <w:outlineLvl w:val="6"/>
    </w:pPr>
    <w:rPr>
      <w:rFonts w:ascii="Arial" w:hAnsi="Arial"/>
    </w:rPr>
  </w:style>
  <w:style w:type="paragraph" w:styleId="Nadpis8">
    <w:name w:val="heading 8"/>
    <w:basedOn w:val="Normln"/>
    <w:next w:val="Normln"/>
    <w:semiHidden/>
    <w:qFormat/>
    <w:pPr>
      <w:spacing w:before="240" w:after="60"/>
      <w:outlineLvl w:val="7"/>
    </w:pPr>
    <w:rPr>
      <w:rFonts w:ascii="Arial" w:hAnsi="Arial"/>
      <w:i/>
    </w:rPr>
  </w:style>
  <w:style w:type="paragraph" w:styleId="Nadpis9">
    <w:name w:val="heading 9"/>
    <w:basedOn w:val="Normln"/>
    <w:next w:val="Normln"/>
    <w:semiHidden/>
    <w:qFormat/>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ideTWBExt">
    <w:name w:val="HideTWBExt"/>
    <w:basedOn w:val="Standardnpsmoodstavce"/>
    <w:rPr>
      <w:rFonts w:ascii="Arial" w:hAnsi="Arial" w:cs="Arial"/>
      <w:b w:val="0"/>
      <w:i w:val="0"/>
      <w:strike w:val="0"/>
      <w:noProof/>
      <w:vanish/>
      <w:color w:val="000080"/>
      <w:sz w:val="20"/>
    </w:rPr>
  </w:style>
  <w:style w:type="paragraph" w:customStyle="1" w:styleId="EPFooter2">
    <w:name w:val="EPFooter2"/>
    <w:basedOn w:val="Normln"/>
    <w:next w:val="Normln"/>
    <w:pPr>
      <w:widowControl/>
      <w:tabs>
        <w:tab w:val="center" w:pos="4535"/>
        <w:tab w:val="right" w:pos="9921"/>
      </w:tabs>
      <w:ind w:left="-850" w:right="-850"/>
    </w:pPr>
    <w:rPr>
      <w:rFonts w:ascii="Arial" w:hAnsi="Arial" w:cs="Arial"/>
      <w:b/>
      <w:sz w:val="48"/>
    </w:rPr>
  </w:style>
  <w:style w:type="paragraph" w:customStyle="1" w:styleId="EPComma">
    <w:name w:val="EPComma"/>
    <w:basedOn w:val="Normln"/>
    <w:rsid w:val="00A07A05"/>
    <w:pPr>
      <w:spacing w:before="480" w:after="240"/>
    </w:pPr>
  </w:style>
  <w:style w:type="paragraph" w:styleId="Obsah1">
    <w:name w:val="toc 1"/>
    <w:basedOn w:val="Normln"/>
    <w:next w:val="Normln"/>
    <w:autoRedefine/>
    <w:uiPriority w:val="39"/>
    <w:rsid w:val="009B6F40"/>
    <w:pPr>
      <w:spacing w:after="240"/>
    </w:pPr>
  </w:style>
  <w:style w:type="paragraph" w:styleId="Nadpisobsahu">
    <w:name w:val="TOC Heading"/>
    <w:basedOn w:val="Normln"/>
    <w:next w:val="TOCPage"/>
    <w:pPr>
      <w:keepNext/>
      <w:spacing w:before="240" w:after="240"/>
      <w:jc w:val="center"/>
    </w:pPr>
    <w:rPr>
      <w:rFonts w:ascii="Arial" w:hAnsi="Arial"/>
      <w:b/>
    </w:rPr>
  </w:style>
  <w:style w:type="paragraph" w:customStyle="1" w:styleId="TOCPage">
    <w:name w:val="TOC Page"/>
    <w:basedOn w:val="Normln"/>
    <w:next w:val="Obsah1"/>
    <w:rsid w:val="008C39BE"/>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ln"/>
    <w:pPr>
      <w:keepNext/>
      <w:spacing w:after="480"/>
      <w:jc w:val="center"/>
    </w:pPr>
    <w:rPr>
      <w:rFonts w:ascii="Arial" w:hAnsi="Arial" w:cs="Arial"/>
      <w:b/>
    </w:rPr>
  </w:style>
  <w:style w:type="paragraph" w:customStyle="1" w:styleId="NormalBold">
    <w:name w:val="NormalBold"/>
    <w:basedOn w:val="Normln"/>
    <w:rPr>
      <w:b/>
    </w:rPr>
  </w:style>
  <w:style w:type="paragraph" w:customStyle="1" w:styleId="NormalHanging12a">
    <w:name w:val="NormalHanging12a"/>
    <w:basedOn w:val="Normln"/>
    <w:pPr>
      <w:spacing w:after="240"/>
      <w:ind w:left="567" w:hanging="567"/>
    </w:pPr>
  </w:style>
  <w:style w:type="paragraph" w:customStyle="1" w:styleId="EPName">
    <w:name w:val="EPName"/>
    <w:basedOn w:val="Normln"/>
    <w:rsid w:val="00925477"/>
    <w:pPr>
      <w:spacing w:before="80" w:after="80"/>
    </w:pPr>
    <w:rPr>
      <w:rFonts w:ascii="Arial Narrow" w:hAnsi="Arial Narrow" w:cs="Arial"/>
      <w:b/>
      <w:sz w:val="32"/>
      <w:szCs w:val="22"/>
    </w:rPr>
  </w:style>
  <w:style w:type="paragraph" w:customStyle="1" w:styleId="CoverNormal24a">
    <w:name w:val="CoverNormal24a"/>
    <w:basedOn w:val="Normln"/>
    <w:rsid w:val="00A916D9"/>
    <w:pPr>
      <w:spacing w:after="480"/>
      <w:ind w:left="1417"/>
    </w:pPr>
  </w:style>
  <w:style w:type="paragraph" w:customStyle="1" w:styleId="CoverNormal">
    <w:name w:val="CoverNormal"/>
    <w:basedOn w:val="Normln"/>
    <w:pPr>
      <w:ind w:left="1418"/>
    </w:pPr>
  </w:style>
  <w:style w:type="paragraph" w:customStyle="1" w:styleId="CoverReference">
    <w:name w:val="CoverReference"/>
    <w:basedOn w:val="Normln"/>
    <w:rsid w:val="00044034"/>
    <w:pPr>
      <w:spacing w:before="1080"/>
      <w:jc w:val="right"/>
    </w:pPr>
    <w:rPr>
      <w:rFonts w:ascii="Arial" w:hAnsi="Arial" w:cs="Arial"/>
      <w:b/>
    </w:rPr>
  </w:style>
  <w:style w:type="paragraph" w:customStyle="1" w:styleId="CoverDocType24a">
    <w:name w:val="CoverDocType24a"/>
    <w:basedOn w:val="Normln"/>
    <w:rsid w:val="00A916D9"/>
    <w:pPr>
      <w:spacing w:after="480"/>
      <w:ind w:left="1418"/>
    </w:pPr>
    <w:rPr>
      <w:rFonts w:ascii="Arial" w:hAnsi="Arial"/>
      <w:b/>
      <w:sz w:val="48"/>
    </w:rPr>
  </w:style>
  <w:style w:type="paragraph" w:customStyle="1" w:styleId="CoverDate">
    <w:name w:val="CoverDate"/>
    <w:basedOn w:val="Normln"/>
    <w:pPr>
      <w:spacing w:before="240" w:after="1200"/>
    </w:pPr>
  </w:style>
  <w:style w:type="paragraph" w:styleId="Zhlav">
    <w:name w:val="header"/>
    <w:basedOn w:val="Normln"/>
    <w:link w:val="ZhlavChar"/>
    <w:semiHidden/>
    <w:rsid w:val="0063027E"/>
    <w:pPr>
      <w:tabs>
        <w:tab w:val="center" w:pos="4513"/>
        <w:tab w:val="right" w:pos="9026"/>
      </w:tabs>
    </w:pPr>
  </w:style>
  <w:style w:type="table" w:styleId="Mkatabulky">
    <w:name w:val="Table Grid"/>
    <w:basedOn w:val="Normlntabulka"/>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ln"/>
    <w:rsid w:val="009612AA"/>
    <w:pPr>
      <w:jc w:val="center"/>
    </w:pPr>
    <w:rPr>
      <w:rFonts w:ascii="Arial" w:hAnsi="Arial" w:cs="Arial"/>
      <w:i/>
      <w:sz w:val="22"/>
      <w:szCs w:val="22"/>
    </w:rPr>
  </w:style>
  <w:style w:type="paragraph" w:customStyle="1" w:styleId="LineTop">
    <w:name w:val="LineTop"/>
    <w:basedOn w:val="Normln"/>
    <w:next w:val="Normln"/>
    <w:rsid w:val="009612AA"/>
    <w:pPr>
      <w:pBdr>
        <w:top w:val="single" w:sz="4" w:space="1" w:color="auto"/>
      </w:pBdr>
      <w:jc w:val="center"/>
    </w:pPr>
    <w:rPr>
      <w:rFonts w:ascii="Arial" w:hAnsi="Arial" w:cs="Arial"/>
      <w:sz w:val="16"/>
      <w:szCs w:val="16"/>
    </w:rPr>
  </w:style>
  <w:style w:type="paragraph" w:customStyle="1" w:styleId="LineBottom">
    <w:name w:val="LineBottom"/>
    <w:basedOn w:val="Normln"/>
    <w:next w:val="Normln"/>
    <w:rsid w:val="009612AA"/>
    <w:pPr>
      <w:pBdr>
        <w:bottom w:val="single" w:sz="4" w:space="1" w:color="auto"/>
      </w:pBdr>
      <w:spacing w:after="240"/>
      <w:jc w:val="center"/>
    </w:pPr>
    <w:rPr>
      <w:rFonts w:ascii="Arial" w:hAnsi="Arial" w:cs="Arial"/>
      <w:sz w:val="16"/>
      <w:szCs w:val="16"/>
    </w:rPr>
  </w:style>
  <w:style w:type="paragraph" w:customStyle="1" w:styleId="EPTerm">
    <w:name w:val="EPTerm"/>
    <w:basedOn w:val="Normln"/>
    <w:next w:val="Normln"/>
    <w:rsid w:val="00925477"/>
    <w:pPr>
      <w:spacing w:after="80"/>
    </w:pPr>
    <w:rPr>
      <w:rFonts w:ascii="Arial" w:hAnsi="Arial" w:cs="Arial"/>
      <w:sz w:val="20"/>
      <w:szCs w:val="22"/>
    </w:rPr>
  </w:style>
  <w:style w:type="paragraph" w:customStyle="1" w:styleId="EPLogo">
    <w:name w:val="EPLogo"/>
    <w:basedOn w:val="Normln"/>
    <w:qFormat/>
    <w:rsid w:val="00925477"/>
    <w:pPr>
      <w:jc w:val="right"/>
    </w:pPr>
  </w:style>
  <w:style w:type="paragraph" w:customStyle="1" w:styleId="EPFooter">
    <w:name w:val="EPFooter"/>
    <w:basedOn w:val="Normln"/>
    <w:rsid w:val="00A916D9"/>
    <w:pPr>
      <w:tabs>
        <w:tab w:val="center" w:pos="4535"/>
        <w:tab w:val="right" w:pos="9071"/>
      </w:tabs>
      <w:spacing w:before="240" w:after="240"/>
    </w:pPr>
    <w:rPr>
      <w:color w:val="010000"/>
      <w:sz w:val="22"/>
    </w:rPr>
  </w:style>
  <w:style w:type="character" w:styleId="slostrnky">
    <w:name w:val="page number"/>
    <w:basedOn w:val="Standardnpsmoodstavce"/>
    <w:semiHidden/>
    <w:rsid w:val="00892627"/>
  </w:style>
  <w:style w:type="character" w:customStyle="1" w:styleId="ZhlavChar">
    <w:name w:val="Záhlaví Char"/>
    <w:basedOn w:val="Standardnpsmoodstavce"/>
    <w:link w:val="Zhlav"/>
    <w:semiHidden/>
    <w:rsid w:val="0063027E"/>
    <w:rPr>
      <w:sz w:val="24"/>
    </w:rPr>
  </w:style>
  <w:style w:type="paragraph" w:styleId="Textpoznpodarou">
    <w:name w:val="footnote text"/>
    <w:basedOn w:val="Normln"/>
    <w:link w:val="TextpoznpodarouChar"/>
    <w:rsid w:val="00251907"/>
    <w:rPr>
      <w:sz w:val="20"/>
    </w:rPr>
  </w:style>
  <w:style w:type="character" w:customStyle="1" w:styleId="TextpoznpodarouChar">
    <w:name w:val="Text pozn. pod čarou Char"/>
    <w:basedOn w:val="Standardnpsmoodstavce"/>
    <w:link w:val="Textpoznpodarou"/>
    <w:rsid w:val="00251907"/>
    <w:rPr>
      <w:lang w:val="fr-FR"/>
    </w:rPr>
  </w:style>
  <w:style w:type="character" w:styleId="Znakapoznpodarou">
    <w:name w:val="footnote reference"/>
    <w:basedOn w:val="Standardnpsmoodstavce"/>
    <w:rsid w:val="00251907"/>
    <w:rPr>
      <w:vertAlign w:val="superscript"/>
    </w:rPr>
  </w:style>
  <w:style w:type="paragraph" w:styleId="Odstavecseseznamem">
    <w:name w:val="List Paragraph"/>
    <w:basedOn w:val="Normln"/>
    <w:uiPriority w:val="34"/>
    <w:qFormat/>
    <w:rsid w:val="0020337F"/>
    <w:pPr>
      <w:ind w:left="720"/>
      <w:contextualSpacing/>
    </w:pPr>
  </w:style>
  <w:style w:type="paragraph" w:styleId="Zpat">
    <w:name w:val="footer"/>
    <w:basedOn w:val="Normln"/>
    <w:link w:val="ZpatChar"/>
    <w:semiHidden/>
    <w:rsid w:val="00864095"/>
    <w:pPr>
      <w:tabs>
        <w:tab w:val="center" w:pos="4513"/>
        <w:tab w:val="right" w:pos="9026"/>
      </w:tabs>
    </w:pPr>
  </w:style>
  <w:style w:type="character" w:customStyle="1" w:styleId="ZpatChar">
    <w:name w:val="Zápatí Char"/>
    <w:basedOn w:val="Standardnpsmoodstavce"/>
    <w:link w:val="Zpat"/>
    <w:semiHidden/>
    <w:rsid w:val="00864095"/>
    <w:rPr>
      <w:sz w:val="24"/>
      <w:lang w:val="fr-FR"/>
    </w:rPr>
  </w:style>
  <w:style w:type="paragraph" w:styleId="Textbubliny">
    <w:name w:val="Balloon Text"/>
    <w:basedOn w:val="Normln"/>
    <w:link w:val="TextbublinyChar"/>
    <w:semiHidden/>
    <w:unhideWhenUsed/>
    <w:rsid w:val="00BB6F56"/>
    <w:rPr>
      <w:rFonts w:ascii="Segoe UI" w:hAnsi="Segoe UI" w:cs="Segoe UI"/>
      <w:sz w:val="18"/>
      <w:szCs w:val="18"/>
    </w:rPr>
  </w:style>
  <w:style w:type="character" w:customStyle="1" w:styleId="TextbublinyChar">
    <w:name w:val="Text bubliny Char"/>
    <w:basedOn w:val="Standardnpsmoodstavce"/>
    <w:link w:val="Textbubliny"/>
    <w:semiHidden/>
    <w:rsid w:val="00BB6F56"/>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46905">
      <w:bodyDiv w:val="1"/>
      <w:marLeft w:val="0"/>
      <w:marRight w:val="0"/>
      <w:marTop w:val="0"/>
      <w:marBottom w:val="0"/>
      <w:divBdr>
        <w:top w:val="none" w:sz="0" w:space="0" w:color="auto"/>
        <w:left w:val="none" w:sz="0" w:space="0" w:color="auto"/>
        <w:bottom w:val="none" w:sz="0" w:space="0" w:color="auto"/>
        <w:right w:val="none" w:sz="0" w:space="0" w:color="auto"/>
      </w:divBdr>
    </w:div>
    <w:div w:id="1193226892">
      <w:bodyDiv w:val="1"/>
      <w:marLeft w:val="0"/>
      <w:marRight w:val="0"/>
      <w:marTop w:val="0"/>
      <w:marBottom w:val="0"/>
      <w:divBdr>
        <w:top w:val="none" w:sz="0" w:space="0" w:color="auto"/>
        <w:left w:val="none" w:sz="0" w:space="0" w:color="auto"/>
        <w:bottom w:val="none" w:sz="0" w:space="0" w:color="auto"/>
        <w:right w:val="none" w:sz="0" w:space="0" w:color="auto"/>
      </w:divBdr>
    </w:div>
    <w:div w:id="1304847732">
      <w:bodyDiv w:val="1"/>
      <w:marLeft w:val="0"/>
      <w:marRight w:val="0"/>
      <w:marTop w:val="0"/>
      <w:marBottom w:val="0"/>
      <w:divBdr>
        <w:top w:val="none" w:sz="0" w:space="0" w:color="auto"/>
        <w:left w:val="none" w:sz="0" w:space="0" w:color="auto"/>
        <w:bottom w:val="none" w:sz="0" w:space="0" w:color="auto"/>
        <w:right w:val="none" w:sz="0" w:space="0" w:color="auto"/>
      </w:divBdr>
    </w:div>
    <w:div w:id="159031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D14B-F208-4CF0-B0FA-CF9D12B9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1566</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PR_Consent_Motion</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PR_Consent_Motion</dc:title>
  <dc:subject/>
  <dc:creator>MARKY Katalin</dc:creator>
  <cp:keywords/>
  <cp:lastModifiedBy>Jan</cp:lastModifiedBy>
  <cp:revision>2</cp:revision>
  <cp:lastPrinted>2002-12-11T09:25:00Z</cp:lastPrinted>
  <dcterms:created xsi:type="dcterms:W3CDTF">2021-05-26T14:36:00Z</dcterms:created>
  <dcterms:modified xsi:type="dcterms:W3CDTF">2021-05-26T14:36:00Z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1231621</vt:lpwstr>
  </property>
  <property fmtid="{D5CDD505-2E9C-101B-9397-08002B2CF9AE}" pid="6" name="&lt;Type&gt;">
    <vt:lpwstr>PR</vt:lpwstr>
  </property>
  <property fmtid="{D5CDD505-2E9C-101B-9397-08002B2CF9AE}" pid="7" name="&lt;ModelCod&gt;">
    <vt:lpwstr>\\eiciBRUpr1\pdocep$\DocEP\DOCS\General\PR\PR_NonLeg\Other\PR_Consent_Motion.dotx(17/04/2020 19:28:11)</vt:lpwstr>
  </property>
  <property fmtid="{D5CDD505-2E9C-101B-9397-08002B2CF9AE}" pid="8" name="&lt;ModelTra&gt;">
    <vt:lpwstr>\\eiciBRUpr1\pdocep$\DocEP\TRANSFIL\FR\PR_Consent_Motion.FR(15/10/2020 23:33:10)</vt:lpwstr>
  </property>
  <property fmtid="{D5CDD505-2E9C-101B-9397-08002B2CF9AE}" pid="9" name="&lt;Model&gt;">
    <vt:lpwstr>PR_Consent_Motion</vt:lpwstr>
  </property>
  <property fmtid="{D5CDD505-2E9C-101B-9397-08002B2CF9AE}" pid="10" name="FooterPath">
    <vt:lpwstr>PR\1231621FR.docx</vt:lpwstr>
  </property>
  <property fmtid="{D5CDD505-2E9C-101B-9397-08002B2CF9AE}" pid="11" name="PE number">
    <vt:lpwstr>692.838</vt:lpwstr>
  </property>
  <property fmtid="{D5CDD505-2E9C-101B-9397-08002B2CF9AE}" pid="12" name="SendToEpades">
    <vt:lpwstr>OK - 2021/05/24 22:11</vt:lpwstr>
  </property>
  <property fmtid="{D5CDD505-2E9C-101B-9397-08002B2CF9AE}" pid="13" name="Bookout">
    <vt:lpwstr>OK - 2021/05/26 14:00</vt:lpwstr>
  </property>
</Properties>
</file>