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5E" w:rsidRDefault="00E471BA" w:rsidP="001B6129">
      <w:pPr>
        <w:pStyle w:val="Nadpis1"/>
        <w:spacing w:line="480" w:lineRule="auto"/>
      </w:pPr>
      <w:proofErr w:type="spellStart"/>
      <w:r>
        <w:t>Checklist</w:t>
      </w:r>
      <w:proofErr w:type="spellEnd"/>
      <w:r>
        <w:t xml:space="preserve"> – účast na </w:t>
      </w:r>
      <w:r w:rsidR="00FC3473">
        <w:t>mezinárodní</w:t>
      </w:r>
      <w:r>
        <w:t xml:space="preserve"> konferenci z organizačního hlediska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992"/>
        <w:gridCol w:w="5875"/>
      </w:tblGrid>
      <w:tr w:rsidR="002C57F2" w:rsidRPr="00C46322" w:rsidTr="00E31766">
        <w:trPr>
          <w:cantSplit/>
        </w:trPr>
        <w:tc>
          <w:tcPr>
            <w:tcW w:w="1101" w:type="dxa"/>
            <w:vAlign w:val="center"/>
          </w:tcPr>
          <w:p w:rsidR="002C57F2" w:rsidRPr="008637B2" w:rsidRDefault="008637B2" w:rsidP="00E31766">
            <w:pPr>
              <w:jc w:val="center"/>
              <w:rPr>
                <w:b/>
              </w:rPr>
            </w:pPr>
            <w:r w:rsidRPr="008637B2">
              <w:rPr>
                <w:b/>
              </w:rPr>
              <w:t>Hotovo?</w:t>
            </w:r>
          </w:p>
        </w:tc>
        <w:tc>
          <w:tcPr>
            <w:tcW w:w="1417" w:type="dxa"/>
            <w:vAlign w:val="center"/>
          </w:tcPr>
          <w:p w:rsidR="002C57F2" w:rsidRPr="00C46322" w:rsidRDefault="002C57F2" w:rsidP="00E31766">
            <w:pPr>
              <w:spacing w:line="276" w:lineRule="auto"/>
              <w:contextualSpacing/>
              <w:jc w:val="center"/>
              <w:rPr>
                <w:b/>
              </w:rPr>
            </w:pPr>
            <w:r w:rsidRPr="00C46322">
              <w:rPr>
                <w:b/>
              </w:rPr>
              <w:t>Orientační termín ke konferenci</w:t>
            </w:r>
          </w:p>
        </w:tc>
        <w:tc>
          <w:tcPr>
            <w:tcW w:w="1276" w:type="dxa"/>
            <w:vAlign w:val="center"/>
          </w:tcPr>
          <w:p w:rsidR="002C57F2" w:rsidRPr="00C46322" w:rsidRDefault="002C57F2" w:rsidP="00E317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Vlastní termín (skutečný)</w:t>
            </w:r>
          </w:p>
        </w:tc>
        <w:tc>
          <w:tcPr>
            <w:tcW w:w="992" w:type="dxa"/>
            <w:vAlign w:val="center"/>
          </w:tcPr>
          <w:p w:rsidR="002C57F2" w:rsidRDefault="002C57F2" w:rsidP="00E317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Aktivní/</w:t>
            </w:r>
          </w:p>
          <w:p w:rsidR="002C57F2" w:rsidRPr="00C46322" w:rsidRDefault="002C57F2" w:rsidP="00E317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pasivní účast</w:t>
            </w:r>
          </w:p>
        </w:tc>
        <w:tc>
          <w:tcPr>
            <w:tcW w:w="5875" w:type="dxa"/>
            <w:vAlign w:val="center"/>
          </w:tcPr>
          <w:p w:rsidR="002C57F2" w:rsidRPr="00C46322" w:rsidRDefault="002C57F2" w:rsidP="00E31766">
            <w:pPr>
              <w:spacing w:line="276" w:lineRule="auto"/>
              <w:contextualSpacing/>
              <w:jc w:val="center"/>
              <w:rPr>
                <w:b/>
              </w:rPr>
            </w:pPr>
            <w:r w:rsidRPr="00C46322">
              <w:rPr>
                <w:b/>
              </w:rPr>
              <w:t>Aktivita</w:t>
            </w:r>
          </w:p>
        </w:tc>
      </w:tr>
      <w:tr w:rsidR="002C57F2" w:rsidTr="00E31766">
        <w:trPr>
          <w:cantSplit/>
        </w:trPr>
        <w:sdt>
          <w:sdtPr>
            <w:rPr>
              <w:rFonts w:ascii="MS Gothic" w:eastAsia="MS Gothic" w:hAnsi="MS Gothic"/>
            </w:rPr>
            <w:id w:val="33759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2C57F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2C57F2" w:rsidRDefault="002C57F2" w:rsidP="00E31766">
            <w:pPr>
              <w:spacing w:line="276" w:lineRule="auto"/>
              <w:contextualSpacing/>
            </w:pPr>
            <w:r>
              <w:t xml:space="preserve">10-12 měsíců před </w:t>
            </w:r>
          </w:p>
        </w:tc>
        <w:tc>
          <w:tcPr>
            <w:tcW w:w="1276" w:type="dxa"/>
          </w:tcPr>
          <w:p w:rsidR="002C57F2" w:rsidRDefault="002C57F2" w:rsidP="00C46322">
            <w:pPr>
              <w:contextualSpacing/>
            </w:pPr>
          </w:p>
        </w:tc>
        <w:tc>
          <w:tcPr>
            <w:tcW w:w="992" w:type="dxa"/>
            <w:vAlign w:val="center"/>
          </w:tcPr>
          <w:p w:rsidR="002C57F2" w:rsidRDefault="002C57F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2C57F2" w:rsidRDefault="002C57F2" w:rsidP="00C46322">
            <w:pPr>
              <w:spacing w:line="276" w:lineRule="auto"/>
              <w:contextualSpacing/>
            </w:pPr>
            <w:r>
              <w:t>Výběr konference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-138748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 xml:space="preserve">9-10 měsíců před 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Odevzdán abstrakt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-33044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6-7 měsíců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Zveřejněny organizační informace (registrační poplatky, ubytování, doprava…)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2059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6-7 měsíců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</w:t>
            </w:r>
          </w:p>
        </w:tc>
        <w:tc>
          <w:tcPr>
            <w:tcW w:w="5875" w:type="dxa"/>
          </w:tcPr>
          <w:p w:rsidR="008637B2" w:rsidRDefault="008637B2" w:rsidP="00E31766">
            <w:pPr>
              <w:spacing w:line="276" w:lineRule="auto"/>
              <w:contextualSpacing/>
            </w:pPr>
            <w:r>
              <w:t>Přijetí abstraktu, příp. se změnou typu příspěvku a úprav</w:t>
            </w:r>
            <w:r w:rsidR="00E31766">
              <w:t>y</w:t>
            </w:r>
            <w:r>
              <w:t xml:space="preserve"> dle recenze (termín pro opravu cca 1-2 týdny), informace o formě zveřejnění abstraktu (web + sborník abstraktů)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-113864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6 měsíců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Termín pro opravu abstraktů po recenzích, nutnost zohlednit recenze a formální zadání (rozsah, formátování)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183025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5-6 měsíců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Oznámení termínu pro abstrakty po korekturách (na jejich zpracování cca týden) s vymezením formy (rozsah, formátování, barvy, styl citací…)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-167062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contextualSpacing/>
            </w:pPr>
            <w:r>
              <w:t>4-5 měsíců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</w:t>
            </w:r>
          </w:p>
        </w:tc>
        <w:tc>
          <w:tcPr>
            <w:tcW w:w="5875" w:type="dxa"/>
          </w:tcPr>
          <w:p w:rsidR="008637B2" w:rsidRDefault="008637B2" w:rsidP="008637B2">
            <w:pPr>
              <w:contextualSpacing/>
            </w:pPr>
            <w:r>
              <w:t>Oznámení termínu pro odevzdání plných textů (na zpracování cca měsíc)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24083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4-5 měsíců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Přehled přijatých příspěvků a sociální program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24053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4 měsíce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Zajištění cestovního spojení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-86090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contextualSpacing/>
            </w:pPr>
            <w:r>
              <w:t>4 měsíce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8637B2" w:rsidRDefault="008637B2" w:rsidP="008637B2">
            <w:pPr>
              <w:contextualSpacing/>
            </w:pPr>
            <w:r>
              <w:t>Registrace na konferenci (i autorů)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70475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4 měsíce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8637B2" w:rsidRDefault="008637B2" w:rsidP="00E31766">
            <w:pPr>
              <w:spacing w:line="276" w:lineRule="auto"/>
              <w:contextualSpacing/>
            </w:pPr>
            <w:r>
              <w:t>Zaplacen</w:t>
            </w:r>
            <w:r w:rsidR="00E31766">
              <w:t>í</w:t>
            </w:r>
            <w:r>
              <w:t xml:space="preserve"> konferenční</w:t>
            </w:r>
            <w:r w:rsidR="00E31766">
              <w:t>ho</w:t>
            </w:r>
            <w:r>
              <w:t xml:space="preserve"> poplatk</w:t>
            </w:r>
            <w:r w:rsidR="00E31766">
              <w:t>u</w:t>
            </w:r>
            <w:r>
              <w:t>, řešena forma potvrzení, možné přidat poplatek za společenský program (později možné dokoupit jen někdy, částka cca 50 euro)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45707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contextualSpacing/>
            </w:pPr>
            <w:r>
              <w:t>4 měsíce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</w:t>
            </w:r>
          </w:p>
        </w:tc>
        <w:tc>
          <w:tcPr>
            <w:tcW w:w="5875" w:type="dxa"/>
          </w:tcPr>
          <w:p w:rsidR="008637B2" w:rsidRDefault="008637B2" w:rsidP="008637B2">
            <w:pPr>
              <w:contextualSpacing/>
            </w:pPr>
            <w:r>
              <w:t>Termín pro odevzdání plných textů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-200010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3-4 měsíce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Pokyny k formátu posterů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158997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3 měsíce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Potvrzení zaplacení konferenčního příspěvku (částka cca 350 euro), pozor na to, kde banka strhne za provedení platby (musí platit plně návštěvník konference)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-28142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3 měsíce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Zakoupení letenek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-166808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3 měsíce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Zajištění ubytování (rezervace a platba)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144565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2 měsíce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Informace o akceptování plného textu příspěvku s recenzemi a termínem pro opravu (na zpracování cca 2 týdny)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70792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1-2 měsíce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Finální program konference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175577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1-2 měsíce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 xml:space="preserve">Vyplnění a zaslání „copyright </w:t>
            </w:r>
            <w:proofErr w:type="spellStart"/>
            <w:r>
              <w:t>form</w:t>
            </w:r>
            <w:proofErr w:type="spellEnd"/>
            <w:r>
              <w:t>“ pro sborník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-114065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1-2 měsíce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Termín pro finální verze plného textu před publikováním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-161897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1 měsíc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Výzva pro opravy plných textů po korekturách do sborníku (termín cca za 1-2 týdny)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-111081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1 měsíc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Přihlašování na workshopy</w:t>
            </w:r>
          </w:p>
          <w:p w:rsidR="00E31766" w:rsidRDefault="00E31766" w:rsidP="008637B2">
            <w:pPr>
              <w:spacing w:line="276" w:lineRule="auto"/>
              <w:contextualSpacing/>
            </w:pP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42261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1 měsíc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Odeslání prezentace organizátorům pro uložení, jména přednášejících na jmenovky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71840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3 týdny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 xml:space="preserve"> od organizátorů (informace o místních taxislužbách, měna…)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83156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1-2 týdny před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Pozvánka na doprovodný program (ne plně spojený s konferencí, např. setkání s editory knihy na téma spojené s konferencí)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17700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AD6F6A" w:rsidP="00E31766">
            <w:pPr>
              <w:spacing w:line="276" w:lineRule="auto"/>
              <w:contextualSpacing/>
            </w:pPr>
            <w:r>
              <w:t>0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PRŮBĚH KONFERENCE – prezentace, síťování</w:t>
            </w:r>
          </w:p>
          <w:p w:rsidR="00E31766" w:rsidRDefault="00E31766" w:rsidP="008637B2">
            <w:pPr>
              <w:spacing w:line="276" w:lineRule="auto"/>
              <w:contextualSpacing/>
            </w:pP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83927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contextualSpacing/>
            </w:pPr>
            <w:r>
              <w:t>3-7 dní po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8637B2" w:rsidRDefault="008637B2" w:rsidP="008637B2">
            <w:pPr>
              <w:contextualSpacing/>
            </w:pPr>
            <w:r>
              <w:t>Vyplnění cestovního příkazu (zpráva po cestě + doklady zaplacení všeho)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2314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1 týden po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Požadavek na kontrolu plných textů před odesláním do tisku (na provedení cca 3 dny)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136462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contextualSpacing/>
            </w:pPr>
            <w:r>
              <w:t>1-2 týdny po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8637B2" w:rsidRDefault="008637B2" w:rsidP="008637B2">
            <w:pPr>
              <w:contextualSpacing/>
            </w:pPr>
            <w:r>
              <w:t>Informace o konferenci pro KISK a odbornou veřejnost (</w:t>
            </w:r>
            <w:proofErr w:type="spellStart"/>
            <w:r>
              <w:t>Inflow</w:t>
            </w:r>
            <w:proofErr w:type="spellEnd"/>
            <w:r>
              <w:t xml:space="preserve">, </w:t>
            </w:r>
            <w:proofErr w:type="spellStart"/>
            <w:r>
              <w:t>Ikars</w:t>
            </w:r>
            <w:proofErr w:type="spellEnd"/>
            <w:r>
              <w:t xml:space="preserve">) - shrnutí průběhu, výstupy (prezentace a </w:t>
            </w:r>
            <w:proofErr w:type="spellStart"/>
            <w:r>
              <w:t>fullpapery</w:t>
            </w:r>
            <w:proofErr w:type="spellEnd"/>
            <w:r>
              <w:t>), kontakty ze síťování, odkaz na sborník a příspěvky ostatních</w:t>
            </w:r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-85503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3-4 týdny po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Žádost o zveřejnění prezentace</w:t>
            </w:r>
          </w:p>
          <w:p w:rsidR="00E31766" w:rsidRDefault="00E31766" w:rsidP="008637B2">
            <w:pPr>
              <w:spacing w:line="276" w:lineRule="auto"/>
              <w:contextualSpacing/>
            </w:pPr>
            <w:bookmarkStart w:id="0" w:name="_GoBack"/>
            <w:bookmarkEnd w:id="0"/>
          </w:p>
        </w:tc>
      </w:tr>
      <w:tr w:rsidR="008637B2" w:rsidTr="00E31766">
        <w:trPr>
          <w:cantSplit/>
        </w:trPr>
        <w:sdt>
          <w:sdtPr>
            <w:rPr>
              <w:rFonts w:ascii="MS Gothic" w:eastAsia="MS Gothic" w:hAnsi="MS Gothic"/>
            </w:rPr>
            <w:id w:val="38769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:rsidR="008637B2" w:rsidRDefault="008637B2" w:rsidP="008637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:rsidR="008637B2" w:rsidRDefault="008637B2" w:rsidP="00E31766">
            <w:pPr>
              <w:spacing w:line="276" w:lineRule="auto"/>
              <w:contextualSpacing/>
            </w:pPr>
            <w:r>
              <w:t>2 měsíce po</w:t>
            </w:r>
          </w:p>
        </w:tc>
        <w:tc>
          <w:tcPr>
            <w:tcW w:w="1276" w:type="dxa"/>
          </w:tcPr>
          <w:p w:rsidR="008637B2" w:rsidRDefault="008637B2" w:rsidP="008637B2">
            <w:pPr>
              <w:contextualSpacing/>
            </w:pPr>
          </w:p>
        </w:tc>
        <w:tc>
          <w:tcPr>
            <w:tcW w:w="992" w:type="dxa"/>
            <w:vAlign w:val="center"/>
          </w:tcPr>
          <w:p w:rsidR="008637B2" w:rsidRDefault="008637B2" w:rsidP="008637B2">
            <w:pPr>
              <w:contextualSpacing/>
              <w:jc w:val="center"/>
            </w:pPr>
            <w:r>
              <w:t>A/P</w:t>
            </w:r>
          </w:p>
        </w:tc>
        <w:tc>
          <w:tcPr>
            <w:tcW w:w="5875" w:type="dxa"/>
          </w:tcPr>
          <w:p w:rsidR="008637B2" w:rsidRDefault="008637B2" w:rsidP="008637B2">
            <w:pPr>
              <w:spacing w:line="276" w:lineRule="auto"/>
              <w:contextualSpacing/>
            </w:pPr>
            <w:r>
              <w:t>Pozvání na další ročník konference – zaslání abstraktů příspěvků je cca 4 měsíce po konání předchozího ročníku</w:t>
            </w:r>
          </w:p>
        </w:tc>
      </w:tr>
    </w:tbl>
    <w:p w:rsidR="002F6541" w:rsidRDefault="002F6541" w:rsidP="00C46322"/>
    <w:p w:rsidR="00FC3473" w:rsidRDefault="00FC3473" w:rsidP="00FC3473">
      <w:pPr>
        <w:pStyle w:val="Nadpis2"/>
      </w:pPr>
      <w:r>
        <w:t>Rozdíly u jiných typů akcí</w:t>
      </w:r>
    </w:p>
    <w:p w:rsidR="00FC3473" w:rsidRDefault="00FC3473" w:rsidP="00C46322">
      <w:r>
        <w:t>V případě lokální konference jsou obvykle všechny lhůty kratší – o kolik, to závisí na velikosti konference, někdy (ale spíše výjimečně) lze např. příspěvek přihlásit i cca 1-2 týdny před konáním, obvykle ale u lokálních konferencí jsou období cca poloviční proti výše uvedenému.</w:t>
      </w:r>
    </w:p>
    <w:p w:rsidR="00FC3473" w:rsidRPr="0067190E" w:rsidRDefault="00FC3473" w:rsidP="00C46322">
      <w:r>
        <w:t>V případě odborného semináře většinou není možné sám přihlásit vlastní odborný příspěvek, přednášející jsou cíleně osloveni organizátory. Setkat se můžete i s výjimkami. Semináře také často mají kratší období proti konferencím, množství příspěvků je omezené, ale jsou delší a věnují se problematice více do hloubky.</w:t>
      </w:r>
    </w:p>
    <w:sectPr w:rsidR="00FC3473" w:rsidRPr="0067190E" w:rsidSect="00CF2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32D"/>
    <w:multiLevelType w:val="hybridMultilevel"/>
    <w:tmpl w:val="A8184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5D37"/>
    <w:multiLevelType w:val="hybridMultilevel"/>
    <w:tmpl w:val="8076CFBA"/>
    <w:lvl w:ilvl="0" w:tplc="D76CE7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570FF"/>
    <w:multiLevelType w:val="hybridMultilevel"/>
    <w:tmpl w:val="014ABE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ED427FE">
      <w:numFmt w:val="bullet"/>
      <w:lvlText w:val="•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2952B67"/>
    <w:multiLevelType w:val="hybridMultilevel"/>
    <w:tmpl w:val="7B780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11BB6"/>
    <w:multiLevelType w:val="hybridMultilevel"/>
    <w:tmpl w:val="B3BCD5FE"/>
    <w:lvl w:ilvl="0" w:tplc="D76CE7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62"/>
    <w:rsid w:val="00017A68"/>
    <w:rsid w:val="001B6129"/>
    <w:rsid w:val="00243535"/>
    <w:rsid w:val="002A1035"/>
    <w:rsid w:val="002C57F2"/>
    <w:rsid w:val="002F6541"/>
    <w:rsid w:val="002F6F69"/>
    <w:rsid w:val="004B499E"/>
    <w:rsid w:val="00564C34"/>
    <w:rsid w:val="005F70EC"/>
    <w:rsid w:val="008317E5"/>
    <w:rsid w:val="008637B2"/>
    <w:rsid w:val="009950E7"/>
    <w:rsid w:val="00A93919"/>
    <w:rsid w:val="00AD6F6A"/>
    <w:rsid w:val="00C46322"/>
    <w:rsid w:val="00CF2D5E"/>
    <w:rsid w:val="00E31766"/>
    <w:rsid w:val="00E471BA"/>
    <w:rsid w:val="00EA4132"/>
    <w:rsid w:val="00FB6E62"/>
    <w:rsid w:val="00FC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EED0B-947E-48D5-89BA-BFF076BA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2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6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2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F2D5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F2D5E"/>
    <w:rPr>
      <w:b/>
      <w:bCs/>
    </w:rPr>
  </w:style>
  <w:style w:type="character" w:customStyle="1" w:styleId="apple-converted-space">
    <w:name w:val="apple-converted-space"/>
    <w:basedOn w:val="Standardnpsmoodstavce"/>
    <w:rsid w:val="00CF2D5E"/>
  </w:style>
  <w:style w:type="character" w:styleId="Zdraznn">
    <w:name w:val="Emphasis"/>
    <w:basedOn w:val="Standardnpsmoodstavce"/>
    <w:uiPriority w:val="20"/>
    <w:qFormat/>
    <w:rsid w:val="00CF2D5E"/>
    <w:rPr>
      <w:i/>
      <w:iCs/>
    </w:rPr>
  </w:style>
  <w:style w:type="table" w:styleId="Mkatabulky">
    <w:name w:val="Table Grid"/>
    <w:basedOn w:val="Normlntabulka"/>
    <w:uiPriority w:val="59"/>
    <w:rsid w:val="00E4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1B6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Kovářová</dc:creator>
  <cp:lastModifiedBy>Pavla Kovářová</cp:lastModifiedBy>
  <cp:revision>9</cp:revision>
  <dcterms:created xsi:type="dcterms:W3CDTF">2014-11-03T18:39:00Z</dcterms:created>
  <dcterms:modified xsi:type="dcterms:W3CDTF">2017-01-02T12:48:00Z</dcterms:modified>
</cp:coreProperties>
</file>