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857250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Ústav germanistiky,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nordistiky a nederlandistiky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NJII_252A Metody a přístupy moderní literární vědy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Mgr. Jan Budňák, Ph.D., PhDr. Zdeněk Mareček, Ph.D.,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Mgr. Martina Trombiková, Ph.D., doc. Mgr. Aleš Urválek, Ph.D.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color w:val="0a0a0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color w:val="0a0a0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a0a0a"/>
          <w:sz w:val="32"/>
          <w:szCs w:val="32"/>
        </w:rPr>
      </w:pPr>
      <w:r w:rsidDel="00000000" w:rsidR="00000000" w:rsidRPr="00000000">
        <w:rPr>
          <w:b w:val="1"/>
          <w:color w:val="0a0a0a"/>
          <w:sz w:val="28"/>
          <w:szCs w:val="28"/>
          <w:rtl w:val="0"/>
        </w:rPr>
        <w:t xml:space="preserve">NJII_252A Metody a přístupy moderní literární vědy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a0a0a"/>
          <w:sz w:val="32"/>
          <w:szCs w:val="32"/>
          <w:rtl w:val="0"/>
        </w:rPr>
        <w:t xml:space="preserve">jaro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a0a0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A MÍSTO KONÁNÍ PŘEDMĚTU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čtvrtek 18:00-19:30, </w:t>
      </w:r>
      <w:r w:rsidDel="00000000" w:rsidR="00000000" w:rsidRPr="00000000">
        <w:rPr>
          <w:rFonts w:ascii="Open Sans" w:cs="Open Sans" w:eastAsia="Open Sans" w:hAnsi="Open Sans"/>
          <w:color w:val="0a0a0a"/>
          <w:sz w:val="19"/>
          <w:szCs w:val="19"/>
          <w:rtl w:val="0"/>
        </w:rPr>
        <w:t xml:space="preserve">J31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VYUČUJÍCÍ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Mgr. Jan Budňák, Ph.D.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PhDr. Zdeněk Mareček, Ph.D.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Dr. Renate Riedner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doc. Mgr. Aleš Urválek, Ph.D. 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Mgr. Martina Trombiková, Ph.D.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+ hosté: Erkan Osmanović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PLÁN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22.2.24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Interkulturalität und die böhmischen Länder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 Budňák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29.2.24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Narratologie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Zdeněk Mareček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7.3.24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Literatur und Wissen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Aleš Urválek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14.3.24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Mit Bourdieu analysieren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Erkan Osmanović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21.3.24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Intertextualität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Renate Riedner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28.3.24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Ines Koeltzsch: Geteilte Kulturen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Zdeněk Mareček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4.4.24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XY: Postmigrantische Literatur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Renate Riedner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11.4.24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Moritz Csáky: Das Gedächtnis Zentraleuropas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Jan Budňák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25.4.24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Aleida Assmann: Geschichtsvergessenheit – Geschichtsversessenheit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Aleš Urválek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Katharina Wessely: Theater der Identität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Martina Trombiková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9.5.24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prezentace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59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16.5.24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prezentace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ZAKONČENÍ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účast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protokoly z metodologické části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prezentace k jedné knize probírané v semináři (Koeltzsch, XY, Csáky, Assmann, Wessely) ve dvojicích, jako nácvik na SZZK (filologie, učitelství). Prezentace bude společným dílem obou prezentujících.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Prezentace bude trvat max. 10 minut.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Prezentace se soustředí hlavně na to, aby vystihla, vysvětlila a na několika příkladech z knihy ilustrovala specifický přístup dané knihy k tématu, které zpracovává. Nejde o plošné pokrytí knihy nebo tématu, ale o pokus pojmenovat podstatu jejího chápání daného jevu. (Např.: otázky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způsobu kolektivního vzpomínání Němců na druhou světovou válku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knize H. Welzera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Opa war kein Nazi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DEADLINE pro odevzdání protokolů: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fac47"/>
          <w:sz w:val="21"/>
          <w:szCs w:val="21"/>
          <w:u w:val="none"/>
          <w:shd w:fill="auto" w:val="clear"/>
          <w:vertAlign w:val="baseline"/>
          <w:rtl w:val="0"/>
        </w:rPr>
        <w:t xml:space="preserve">26.5.2024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(Odevzdávat lze však již v průběhu semestru.)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Prosíme o zaslání e-mailu o vložení protokolu do Odevzdávárny předmětu.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