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463C" w14:textId="77777777" w:rsidR="00075978" w:rsidRDefault="00AC58CD">
      <w:pPr>
        <w:spacing w:line="360" w:lineRule="auto"/>
        <w:jc w:val="right"/>
      </w:pPr>
      <w:r>
        <w:rPr>
          <w:noProof/>
        </w:rPr>
        <w:drawing>
          <wp:inline distT="0" distB="0" distL="0" distR="0" wp14:anchorId="46829D3F" wp14:editId="1BD75D18">
            <wp:extent cx="857250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t xml:space="preserve">Ústav germanistiky, </w:t>
      </w:r>
      <w:r>
        <w:br/>
      </w:r>
      <w:r>
        <w:t xml:space="preserve">nordistiky a </w:t>
      </w:r>
      <w:proofErr w:type="spellStart"/>
      <w:r>
        <w:t>nederlandistiky</w:t>
      </w:r>
      <w:proofErr w:type="spellEnd"/>
    </w:p>
    <w:p w14:paraId="11715513" w14:textId="77777777" w:rsidR="00075978" w:rsidRDefault="00AC58CD">
      <w:pPr>
        <w:spacing w:line="360" w:lineRule="auto"/>
        <w:jc w:val="right"/>
      </w:pPr>
      <w:r>
        <w:rPr>
          <w:b/>
        </w:rPr>
        <w:t>NJI_</w:t>
      </w:r>
      <w:proofErr w:type="gramStart"/>
      <w:r>
        <w:rPr>
          <w:b/>
        </w:rPr>
        <w:t>14A</w:t>
      </w:r>
      <w:proofErr w:type="gramEnd"/>
      <w:r>
        <w:rPr>
          <w:b/>
        </w:rPr>
        <w:t xml:space="preserve"> Kapitoly z dějin německé literatury II</w:t>
      </w:r>
      <w:r>
        <w:br/>
      </w:r>
      <w:r>
        <w:t xml:space="preserve">Mgr. Jan Budňák, Ph.D., PhDr. Zdeněk Mareček, Ph.D., </w:t>
      </w:r>
      <w:r>
        <w:br/>
      </w:r>
      <w:r>
        <w:t xml:space="preserve">Mgr. Martina </w:t>
      </w:r>
      <w:proofErr w:type="spellStart"/>
      <w:r>
        <w:t>Trombiková</w:t>
      </w:r>
      <w:proofErr w:type="spellEnd"/>
      <w:r>
        <w:t xml:space="preserve">, Ph.D., doc. Mgr. Aleš </w:t>
      </w:r>
      <w:proofErr w:type="spellStart"/>
      <w:r>
        <w:t>Urválek</w:t>
      </w:r>
      <w:proofErr w:type="spellEnd"/>
      <w:r>
        <w:t>, Ph.D.</w:t>
      </w:r>
    </w:p>
    <w:p w14:paraId="43D9753F" w14:textId="77777777" w:rsidR="00075978" w:rsidRDefault="00075978">
      <w:pPr>
        <w:rPr>
          <w:sz w:val="32"/>
          <w:szCs w:val="32"/>
        </w:rPr>
      </w:pPr>
    </w:p>
    <w:p w14:paraId="0873C656" w14:textId="77777777" w:rsidR="00075978" w:rsidRDefault="00AC58CD">
      <w:r>
        <w:rPr>
          <w:b/>
          <w:sz w:val="32"/>
          <w:szCs w:val="32"/>
        </w:rPr>
        <w:t>NJI_</w:t>
      </w:r>
      <w:proofErr w:type="gramStart"/>
      <w:r>
        <w:rPr>
          <w:b/>
          <w:sz w:val="32"/>
          <w:szCs w:val="32"/>
        </w:rPr>
        <w:t>14A</w:t>
      </w:r>
      <w:proofErr w:type="gramEnd"/>
      <w:r>
        <w:rPr>
          <w:b/>
          <w:sz w:val="32"/>
          <w:szCs w:val="32"/>
        </w:rPr>
        <w:t xml:space="preserve"> Kapitoly z dějin německé literatury II</w:t>
      </w:r>
      <w:r>
        <w:br/>
      </w:r>
      <w:r>
        <w:rPr>
          <w:b/>
          <w:sz w:val="32"/>
          <w:szCs w:val="32"/>
        </w:rPr>
        <w:t>jaro 2024</w:t>
      </w:r>
    </w:p>
    <w:p w14:paraId="5C8C798D" w14:textId="77777777" w:rsidR="00075978" w:rsidRDefault="00075978"/>
    <w:p w14:paraId="14200BCA" w14:textId="77777777" w:rsidR="00075978" w:rsidRDefault="00AC58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TERMÍN A MÍSTO KONÁNÍ PŘEDMĚTU</w:t>
      </w:r>
    </w:p>
    <w:p w14:paraId="2C70F7A3" w14:textId="77777777" w:rsidR="00075978" w:rsidRDefault="00AC58CD">
      <w:r>
        <w:t xml:space="preserve">pondělí </w:t>
      </w:r>
      <w:r>
        <w:rPr>
          <w:u w:val="single"/>
        </w:rPr>
        <w:t>12:00 – 13:30</w:t>
      </w:r>
      <w:r>
        <w:t>, L21</w:t>
      </w:r>
    </w:p>
    <w:p w14:paraId="04D8E4FC" w14:textId="77777777" w:rsidR="00075978" w:rsidRDefault="00AC58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VYUČUJÍCÍ</w:t>
      </w:r>
    </w:p>
    <w:p w14:paraId="0FD556F1" w14:textId="77777777" w:rsidR="00075978" w:rsidRDefault="00AC58CD">
      <w:pPr>
        <w:spacing w:after="0"/>
        <w:rPr>
          <w:sz w:val="21"/>
          <w:szCs w:val="21"/>
        </w:rPr>
      </w:pPr>
      <w:r>
        <w:t>Mgr. Jan Budňák, Ph.D.</w:t>
      </w:r>
      <w:r>
        <w:br/>
      </w:r>
      <w:r>
        <w:t>PhDr. Zdeněk Mareček, Ph.D. </w:t>
      </w:r>
    </w:p>
    <w:p w14:paraId="0675024B" w14:textId="281711E5" w:rsidR="00075978" w:rsidRDefault="00AC58CD">
      <w:pPr>
        <w:spacing w:after="0"/>
        <w:rPr>
          <w:sz w:val="21"/>
          <w:szCs w:val="21"/>
        </w:rPr>
      </w:pPr>
      <w:r>
        <w:t xml:space="preserve">Doc. Mgr. Sylvie </w:t>
      </w:r>
      <w:proofErr w:type="spellStart"/>
      <w:r>
        <w:t>Stanovská</w:t>
      </w:r>
      <w:proofErr w:type="spellEnd"/>
      <w:r>
        <w:t>, Dr.</w:t>
      </w:r>
      <w:r>
        <w:br/>
        <w:t xml:space="preserve">doc. Mgr. Aleš </w:t>
      </w:r>
      <w:proofErr w:type="spellStart"/>
      <w:r>
        <w:t>Urválek</w:t>
      </w:r>
      <w:proofErr w:type="spellEnd"/>
      <w:r>
        <w:t>, Ph.D. </w:t>
      </w:r>
      <w:r>
        <w:br/>
        <w:t>+ hosté: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Prof.</w:t>
      </w:r>
      <w:proofErr w:type="gramEnd"/>
      <w:r>
        <w:rPr>
          <w:sz w:val="21"/>
          <w:szCs w:val="21"/>
        </w:rPr>
        <w:t xml:space="preserve"> Dr. Rolf </w:t>
      </w:r>
      <w:proofErr w:type="spellStart"/>
      <w:r>
        <w:rPr>
          <w:sz w:val="21"/>
          <w:szCs w:val="21"/>
        </w:rPr>
        <w:t>Parr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Erkan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Osmanović</w:t>
      </w:r>
      <w:proofErr w:type="spellEnd"/>
      <w:r>
        <w:rPr>
          <w:sz w:val="21"/>
          <w:szCs w:val="21"/>
        </w:rPr>
        <w:t>, MA</w:t>
      </w:r>
    </w:p>
    <w:p w14:paraId="51E5A733" w14:textId="77777777" w:rsidR="00075978" w:rsidRDefault="00075978">
      <w:pPr>
        <w:rPr>
          <w:sz w:val="21"/>
          <w:szCs w:val="21"/>
        </w:rPr>
      </w:pPr>
    </w:p>
    <w:p w14:paraId="724C32F4" w14:textId="77777777" w:rsidR="00075978" w:rsidRDefault="00AC58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PLÁN</w:t>
      </w:r>
    </w:p>
    <w:tbl>
      <w:tblPr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20"/>
        <w:gridCol w:w="3180"/>
        <w:gridCol w:w="3195"/>
        <w:gridCol w:w="990"/>
      </w:tblGrid>
      <w:tr w:rsidR="00075978" w14:paraId="37A38536" w14:textId="77777777">
        <w:tc>
          <w:tcPr>
            <w:tcW w:w="585" w:type="dxa"/>
            <w:vAlign w:val="center"/>
          </w:tcPr>
          <w:p w14:paraId="704BBC44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020" w:type="dxa"/>
            <w:vAlign w:val="center"/>
          </w:tcPr>
          <w:p w14:paraId="24825FD6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19.2.24</w:t>
            </w:r>
          </w:p>
        </w:tc>
        <w:tc>
          <w:tcPr>
            <w:tcW w:w="3180" w:type="dxa"/>
            <w:vAlign w:val="center"/>
          </w:tcPr>
          <w:p w14:paraId="38A35435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Heinrich </w:t>
            </w:r>
            <w:proofErr w:type="spellStart"/>
            <w:r>
              <w:rPr>
                <w:sz w:val="24"/>
                <w:szCs w:val="24"/>
              </w:rPr>
              <w:t>Heine</w:t>
            </w:r>
            <w:proofErr w:type="spellEnd"/>
          </w:p>
        </w:tc>
        <w:tc>
          <w:tcPr>
            <w:tcW w:w="3195" w:type="dxa"/>
            <w:vAlign w:val="center"/>
          </w:tcPr>
          <w:p w14:paraId="6CE24952" w14:textId="77777777" w:rsidR="00075978" w:rsidRDefault="00AC58CD">
            <w:pPr>
              <w:rPr>
                <w:sz w:val="21"/>
                <w:szCs w:val="21"/>
              </w:rPr>
            </w:pPr>
            <w:r>
              <w:t>Jan Budňák</w:t>
            </w:r>
          </w:p>
        </w:tc>
        <w:tc>
          <w:tcPr>
            <w:tcW w:w="990" w:type="dxa"/>
            <w:vAlign w:val="center"/>
          </w:tcPr>
          <w:p w14:paraId="4023C759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6999441C" w14:textId="77777777">
        <w:tc>
          <w:tcPr>
            <w:tcW w:w="585" w:type="dxa"/>
            <w:vAlign w:val="center"/>
          </w:tcPr>
          <w:p w14:paraId="173A4754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020" w:type="dxa"/>
            <w:vAlign w:val="center"/>
          </w:tcPr>
          <w:p w14:paraId="31CF2BC5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26.2.24</w:t>
            </w:r>
          </w:p>
        </w:tc>
        <w:tc>
          <w:tcPr>
            <w:tcW w:w="3180" w:type="dxa"/>
            <w:vAlign w:val="center"/>
          </w:tcPr>
          <w:p w14:paraId="73CEFEA1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 </w:t>
            </w:r>
            <w:proofErr w:type="spellStart"/>
            <w:r>
              <w:rPr>
                <w:sz w:val="24"/>
                <w:szCs w:val="24"/>
              </w:rPr>
              <w:t>Büchner</w:t>
            </w:r>
            <w:proofErr w:type="spellEnd"/>
          </w:p>
        </w:tc>
        <w:tc>
          <w:tcPr>
            <w:tcW w:w="3195" w:type="dxa"/>
            <w:vAlign w:val="center"/>
          </w:tcPr>
          <w:p w14:paraId="670B4D10" w14:textId="77777777" w:rsidR="00075978" w:rsidRDefault="00AC58CD">
            <w:r>
              <w:t>Jan Budňák</w:t>
            </w:r>
          </w:p>
        </w:tc>
        <w:tc>
          <w:tcPr>
            <w:tcW w:w="990" w:type="dxa"/>
            <w:vAlign w:val="center"/>
          </w:tcPr>
          <w:p w14:paraId="37985247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3C595FCF" w14:textId="77777777">
        <w:tc>
          <w:tcPr>
            <w:tcW w:w="585" w:type="dxa"/>
            <w:vAlign w:val="center"/>
          </w:tcPr>
          <w:p w14:paraId="37D6C99A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020" w:type="dxa"/>
            <w:vAlign w:val="center"/>
          </w:tcPr>
          <w:p w14:paraId="4600F435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4.3.24</w:t>
            </w:r>
          </w:p>
        </w:tc>
        <w:tc>
          <w:tcPr>
            <w:tcW w:w="3180" w:type="dxa"/>
            <w:vAlign w:val="center"/>
          </w:tcPr>
          <w:p w14:paraId="2DA5783C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Franz </w:t>
            </w:r>
            <w:proofErr w:type="spellStart"/>
            <w:r>
              <w:rPr>
                <w:sz w:val="24"/>
                <w:szCs w:val="24"/>
              </w:rPr>
              <w:t>Grillparzer</w:t>
            </w:r>
            <w:proofErr w:type="spellEnd"/>
          </w:p>
        </w:tc>
        <w:tc>
          <w:tcPr>
            <w:tcW w:w="3195" w:type="dxa"/>
            <w:vAlign w:val="center"/>
          </w:tcPr>
          <w:p w14:paraId="40026D9D" w14:textId="77777777" w:rsidR="00075978" w:rsidRDefault="00AC58CD">
            <w:r>
              <w:t>Zdeněk Mareček</w:t>
            </w:r>
          </w:p>
        </w:tc>
        <w:tc>
          <w:tcPr>
            <w:tcW w:w="990" w:type="dxa"/>
            <w:vAlign w:val="center"/>
          </w:tcPr>
          <w:p w14:paraId="3833F561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6AAA0E6D" w14:textId="77777777">
        <w:trPr>
          <w:trHeight w:val="585"/>
        </w:trPr>
        <w:tc>
          <w:tcPr>
            <w:tcW w:w="585" w:type="dxa"/>
            <w:vAlign w:val="center"/>
          </w:tcPr>
          <w:p w14:paraId="4BBD4C4F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1020" w:type="dxa"/>
            <w:vAlign w:val="center"/>
          </w:tcPr>
          <w:p w14:paraId="382550CF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11.3.24</w:t>
            </w:r>
          </w:p>
        </w:tc>
        <w:tc>
          <w:tcPr>
            <w:tcW w:w="3180" w:type="dxa"/>
            <w:vAlign w:val="center"/>
          </w:tcPr>
          <w:p w14:paraId="0A99F470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Johann Nepomuk </w:t>
            </w:r>
            <w:proofErr w:type="spellStart"/>
            <w:r>
              <w:rPr>
                <w:sz w:val="24"/>
                <w:szCs w:val="24"/>
              </w:rPr>
              <w:t>Nestroy</w:t>
            </w:r>
            <w:proofErr w:type="spellEnd"/>
            <w:r>
              <w:rPr>
                <w:sz w:val="24"/>
                <w:szCs w:val="24"/>
              </w:rPr>
              <w:t xml:space="preserve"> + divadelní Vídeň</w:t>
            </w:r>
          </w:p>
        </w:tc>
        <w:tc>
          <w:tcPr>
            <w:tcW w:w="3195" w:type="dxa"/>
            <w:vAlign w:val="center"/>
          </w:tcPr>
          <w:p w14:paraId="4F431AFE" w14:textId="77777777" w:rsidR="00075978" w:rsidRDefault="00AC58CD">
            <w:pPr>
              <w:rPr>
                <w:sz w:val="21"/>
                <w:szCs w:val="21"/>
              </w:rPr>
            </w:pPr>
            <w:r>
              <w:t>Zdeněk Mareček</w:t>
            </w:r>
          </w:p>
          <w:p w14:paraId="5C6F65DA" w14:textId="77777777" w:rsidR="00075978" w:rsidRDefault="00075978"/>
        </w:tc>
        <w:tc>
          <w:tcPr>
            <w:tcW w:w="990" w:type="dxa"/>
            <w:vAlign w:val="center"/>
          </w:tcPr>
          <w:p w14:paraId="38A34565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6E10BC40" w14:textId="77777777">
        <w:tc>
          <w:tcPr>
            <w:tcW w:w="585" w:type="dxa"/>
            <w:vAlign w:val="center"/>
          </w:tcPr>
          <w:p w14:paraId="18F86A87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020" w:type="dxa"/>
            <w:vAlign w:val="center"/>
          </w:tcPr>
          <w:p w14:paraId="0D1B8B59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18.3.24</w:t>
            </w:r>
          </w:p>
        </w:tc>
        <w:tc>
          <w:tcPr>
            <w:tcW w:w="3180" w:type="dxa"/>
            <w:vAlign w:val="center"/>
          </w:tcPr>
          <w:p w14:paraId="74BD81B0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Adalbert </w:t>
            </w:r>
            <w:proofErr w:type="spellStart"/>
            <w:r>
              <w:rPr>
                <w:sz w:val="24"/>
                <w:szCs w:val="24"/>
              </w:rPr>
              <w:t>Stifter</w:t>
            </w:r>
            <w:proofErr w:type="spellEnd"/>
          </w:p>
        </w:tc>
        <w:tc>
          <w:tcPr>
            <w:tcW w:w="3195" w:type="dxa"/>
            <w:vAlign w:val="center"/>
          </w:tcPr>
          <w:p w14:paraId="25252B29" w14:textId="77777777" w:rsidR="00075978" w:rsidRDefault="00AC58CD">
            <w:pPr>
              <w:rPr>
                <w:sz w:val="21"/>
                <w:szCs w:val="21"/>
              </w:rPr>
            </w:pPr>
            <w:r>
              <w:t>Zdeněk Mareček</w:t>
            </w:r>
          </w:p>
        </w:tc>
        <w:tc>
          <w:tcPr>
            <w:tcW w:w="990" w:type="dxa"/>
            <w:vAlign w:val="center"/>
          </w:tcPr>
          <w:p w14:paraId="1DF57EDE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11C7B6B6" w14:textId="77777777">
        <w:tc>
          <w:tcPr>
            <w:tcW w:w="585" w:type="dxa"/>
            <w:vAlign w:val="center"/>
          </w:tcPr>
          <w:p w14:paraId="1312C688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1020" w:type="dxa"/>
            <w:vAlign w:val="center"/>
          </w:tcPr>
          <w:p w14:paraId="52571CCE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25.3.24</w:t>
            </w:r>
          </w:p>
        </w:tc>
        <w:tc>
          <w:tcPr>
            <w:tcW w:w="3180" w:type="dxa"/>
            <w:vAlign w:val="center"/>
          </w:tcPr>
          <w:p w14:paraId="72F8FD06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50FC87D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Theodor </w:t>
            </w:r>
            <w:proofErr w:type="spellStart"/>
            <w:r>
              <w:rPr>
                <w:sz w:val="24"/>
                <w:szCs w:val="24"/>
              </w:rPr>
              <w:t>Fontane</w:t>
            </w:r>
            <w:proofErr w:type="spellEnd"/>
          </w:p>
          <w:p w14:paraId="598B403F" w14:textId="77777777" w:rsidR="00075978" w:rsidRDefault="00075978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 w14:paraId="4E2C8CC0" w14:textId="77777777" w:rsidR="00075978" w:rsidRDefault="00AC58CD">
            <w:r>
              <w:rPr>
                <w:sz w:val="21"/>
                <w:szCs w:val="21"/>
              </w:rPr>
              <w:t xml:space="preserve">Rolf </w:t>
            </w:r>
            <w:proofErr w:type="spellStart"/>
            <w:r>
              <w:rPr>
                <w:sz w:val="21"/>
                <w:szCs w:val="21"/>
              </w:rPr>
              <w:t>Parr</w:t>
            </w:r>
            <w:proofErr w:type="spellEnd"/>
            <w:r>
              <w:rPr>
                <w:sz w:val="21"/>
                <w:szCs w:val="21"/>
              </w:rPr>
              <w:t xml:space="preserve"> (ze záznamu)</w:t>
            </w:r>
          </w:p>
          <w:p w14:paraId="1E206FC1" w14:textId="77777777" w:rsidR="00075978" w:rsidRDefault="00075978"/>
        </w:tc>
        <w:tc>
          <w:tcPr>
            <w:tcW w:w="990" w:type="dxa"/>
            <w:vAlign w:val="center"/>
          </w:tcPr>
          <w:p w14:paraId="5D6BF5F6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2B71225E" w14:textId="77777777">
        <w:tc>
          <w:tcPr>
            <w:tcW w:w="585" w:type="dxa"/>
            <w:vAlign w:val="center"/>
          </w:tcPr>
          <w:p w14:paraId="35B91D83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1020" w:type="dxa"/>
            <w:vAlign w:val="center"/>
          </w:tcPr>
          <w:p w14:paraId="19AE09AD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8.4.24</w:t>
            </w:r>
          </w:p>
        </w:tc>
        <w:tc>
          <w:tcPr>
            <w:tcW w:w="3180" w:type="dxa"/>
            <w:vAlign w:val="center"/>
          </w:tcPr>
          <w:p w14:paraId="44B5F894" w14:textId="77777777" w:rsidR="00075978" w:rsidRDefault="00AC58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Mährische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Realisten</w:t>
            </w:r>
            <w:proofErr w:type="spellEnd"/>
            <w:r>
              <w:rPr>
                <w:sz w:val="24"/>
                <w:szCs w:val="24"/>
              </w:rPr>
              <w:t xml:space="preserve"> Marie von </w:t>
            </w:r>
            <w:proofErr w:type="spellStart"/>
            <w:r>
              <w:rPr>
                <w:sz w:val="24"/>
                <w:szCs w:val="24"/>
              </w:rPr>
              <w:t>Ebner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Eschenbach</w:t>
            </w:r>
            <w:proofErr w:type="spellEnd"/>
            <w:r>
              <w:rPr>
                <w:sz w:val="24"/>
                <w:szCs w:val="24"/>
              </w:rPr>
              <w:t xml:space="preserve"> + Jakob Julius David + Ferdinand von </w:t>
            </w:r>
            <w:proofErr w:type="spellStart"/>
            <w:r>
              <w:rPr>
                <w:sz w:val="24"/>
                <w:szCs w:val="24"/>
              </w:rPr>
              <w:t>Saar</w:t>
            </w:r>
            <w:proofErr w:type="spellEnd"/>
          </w:p>
        </w:tc>
        <w:tc>
          <w:tcPr>
            <w:tcW w:w="3195" w:type="dxa"/>
            <w:vAlign w:val="center"/>
          </w:tcPr>
          <w:p w14:paraId="140E3197" w14:textId="77777777" w:rsidR="00075978" w:rsidRDefault="00AC58C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Erkan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Osmanović</w:t>
            </w:r>
            <w:proofErr w:type="spellEnd"/>
          </w:p>
          <w:p w14:paraId="7F912FF0" w14:textId="77777777" w:rsidR="00075978" w:rsidRDefault="00AC58CD">
            <w:pPr>
              <w:rPr>
                <w:sz w:val="21"/>
                <w:szCs w:val="21"/>
              </w:rPr>
            </w:pPr>
            <w:r>
              <w:t>Jan Budňák</w:t>
            </w:r>
          </w:p>
        </w:tc>
        <w:tc>
          <w:tcPr>
            <w:tcW w:w="990" w:type="dxa"/>
            <w:vAlign w:val="center"/>
          </w:tcPr>
          <w:p w14:paraId="7FE91254" w14:textId="18163724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3E81EA69" w14:textId="77777777">
        <w:tc>
          <w:tcPr>
            <w:tcW w:w="585" w:type="dxa"/>
            <w:vAlign w:val="center"/>
          </w:tcPr>
          <w:p w14:paraId="2E4041BF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1020" w:type="dxa"/>
            <w:vAlign w:val="center"/>
          </w:tcPr>
          <w:p w14:paraId="72270ECE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22.4.24</w:t>
            </w:r>
          </w:p>
        </w:tc>
        <w:tc>
          <w:tcPr>
            <w:tcW w:w="3180" w:type="dxa"/>
            <w:vAlign w:val="center"/>
          </w:tcPr>
          <w:p w14:paraId="5F6FED8B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Gerhard </w:t>
            </w:r>
            <w:proofErr w:type="spellStart"/>
            <w:r>
              <w:rPr>
                <w:sz w:val="24"/>
                <w:szCs w:val="24"/>
              </w:rPr>
              <w:t>Hauptmann</w:t>
            </w:r>
            <w:proofErr w:type="spellEnd"/>
            <w:r>
              <w:rPr>
                <w:sz w:val="24"/>
                <w:szCs w:val="24"/>
              </w:rPr>
              <w:t xml:space="preserve"> a naturalistické drama</w:t>
            </w:r>
          </w:p>
        </w:tc>
        <w:tc>
          <w:tcPr>
            <w:tcW w:w="3195" w:type="dxa"/>
            <w:vAlign w:val="center"/>
          </w:tcPr>
          <w:p w14:paraId="63F8DF4F" w14:textId="77777777" w:rsidR="00075978" w:rsidRDefault="00AC58CD">
            <w:r>
              <w:t xml:space="preserve">Aleš </w:t>
            </w:r>
            <w:proofErr w:type="spellStart"/>
            <w:r>
              <w:t>Urválek</w:t>
            </w:r>
            <w:proofErr w:type="spellEnd"/>
          </w:p>
        </w:tc>
        <w:tc>
          <w:tcPr>
            <w:tcW w:w="990" w:type="dxa"/>
            <w:vAlign w:val="center"/>
          </w:tcPr>
          <w:p w14:paraId="5D9BD687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60B8D0B0" w14:textId="77777777">
        <w:tc>
          <w:tcPr>
            <w:tcW w:w="585" w:type="dxa"/>
            <w:vAlign w:val="center"/>
          </w:tcPr>
          <w:p w14:paraId="190A912B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1020" w:type="dxa"/>
            <w:vAlign w:val="center"/>
          </w:tcPr>
          <w:p w14:paraId="456FDBFD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29.4.24</w:t>
            </w:r>
          </w:p>
        </w:tc>
        <w:tc>
          <w:tcPr>
            <w:tcW w:w="3180" w:type="dxa"/>
            <w:vAlign w:val="center"/>
          </w:tcPr>
          <w:p w14:paraId="6F5749AE" w14:textId="454EFDC9" w:rsidR="00075978" w:rsidRDefault="00734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Frank </w:t>
            </w:r>
            <w:proofErr w:type="spellStart"/>
            <w:r>
              <w:rPr>
                <w:sz w:val="24"/>
                <w:szCs w:val="24"/>
              </w:rPr>
              <w:t>Wedekind</w:t>
            </w:r>
            <w:proofErr w:type="spellEnd"/>
            <w:r>
              <w:rPr>
                <w:sz w:val="24"/>
                <w:szCs w:val="24"/>
              </w:rPr>
              <w:t xml:space="preserve">, Stefan George, Hugo von </w:t>
            </w:r>
            <w:proofErr w:type="spellStart"/>
            <w:r>
              <w:rPr>
                <w:sz w:val="24"/>
                <w:szCs w:val="24"/>
              </w:rPr>
              <w:t>Hoffmansthal</w:t>
            </w:r>
            <w:proofErr w:type="spellEnd"/>
          </w:p>
        </w:tc>
        <w:tc>
          <w:tcPr>
            <w:tcW w:w="3195" w:type="dxa"/>
            <w:vAlign w:val="center"/>
          </w:tcPr>
          <w:p w14:paraId="02B29113" w14:textId="7C3445B1" w:rsidR="00075978" w:rsidRDefault="00734DE5">
            <w:r>
              <w:t xml:space="preserve">Aleš </w:t>
            </w:r>
            <w:proofErr w:type="spellStart"/>
            <w:r>
              <w:t>Urválek</w:t>
            </w:r>
            <w:proofErr w:type="spellEnd"/>
          </w:p>
        </w:tc>
        <w:tc>
          <w:tcPr>
            <w:tcW w:w="990" w:type="dxa"/>
            <w:vAlign w:val="center"/>
          </w:tcPr>
          <w:p w14:paraId="177438EE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6DF20019" w14:textId="77777777">
        <w:tc>
          <w:tcPr>
            <w:tcW w:w="585" w:type="dxa"/>
            <w:vAlign w:val="center"/>
          </w:tcPr>
          <w:p w14:paraId="2D2AD2B2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1020" w:type="dxa"/>
            <w:vAlign w:val="center"/>
          </w:tcPr>
          <w:p w14:paraId="5EE1B993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6.5.24</w:t>
            </w:r>
          </w:p>
        </w:tc>
        <w:tc>
          <w:tcPr>
            <w:tcW w:w="3180" w:type="dxa"/>
            <w:vAlign w:val="center"/>
          </w:tcPr>
          <w:p w14:paraId="14991E1D" w14:textId="77777777" w:rsidR="00075978" w:rsidRDefault="00AC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Kraus + Jung-</w:t>
            </w:r>
            <w:proofErr w:type="spellStart"/>
            <w:r>
              <w:rPr>
                <w:sz w:val="24"/>
                <w:szCs w:val="24"/>
              </w:rPr>
              <w:t>Wien</w:t>
            </w:r>
            <w:proofErr w:type="spellEnd"/>
          </w:p>
        </w:tc>
        <w:tc>
          <w:tcPr>
            <w:tcW w:w="3195" w:type="dxa"/>
            <w:vAlign w:val="center"/>
          </w:tcPr>
          <w:p w14:paraId="5124EC9E" w14:textId="77777777" w:rsidR="00075978" w:rsidRDefault="00AC58CD">
            <w:r>
              <w:t xml:space="preserve">Zdeněk Mareček </w:t>
            </w:r>
          </w:p>
        </w:tc>
        <w:tc>
          <w:tcPr>
            <w:tcW w:w="990" w:type="dxa"/>
            <w:vAlign w:val="center"/>
          </w:tcPr>
          <w:p w14:paraId="10963814" w14:textId="77777777" w:rsidR="00075978" w:rsidRDefault="00075978">
            <w:pPr>
              <w:rPr>
                <w:sz w:val="21"/>
                <w:szCs w:val="21"/>
              </w:rPr>
            </w:pPr>
          </w:p>
        </w:tc>
      </w:tr>
      <w:tr w:rsidR="00075978" w14:paraId="4BB04613" w14:textId="77777777">
        <w:tc>
          <w:tcPr>
            <w:tcW w:w="585" w:type="dxa"/>
            <w:vAlign w:val="center"/>
          </w:tcPr>
          <w:p w14:paraId="77FABF0E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1020" w:type="dxa"/>
            <w:vAlign w:val="center"/>
          </w:tcPr>
          <w:p w14:paraId="69808594" w14:textId="77777777" w:rsidR="00075978" w:rsidRDefault="00AC5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13.5.24</w:t>
            </w:r>
          </w:p>
        </w:tc>
        <w:tc>
          <w:tcPr>
            <w:tcW w:w="3180" w:type="dxa"/>
            <w:vAlign w:val="center"/>
          </w:tcPr>
          <w:p w14:paraId="02916499" w14:textId="67EE8AC8" w:rsidR="00075978" w:rsidRDefault="00734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Rainer Maria Rilke</w:t>
            </w:r>
          </w:p>
        </w:tc>
        <w:tc>
          <w:tcPr>
            <w:tcW w:w="3195" w:type="dxa"/>
            <w:vAlign w:val="center"/>
          </w:tcPr>
          <w:p w14:paraId="1ECCEF4A" w14:textId="20ABDC6F" w:rsidR="00075978" w:rsidRDefault="00734DE5">
            <w:r>
              <w:rPr>
                <w:sz w:val="21"/>
                <w:szCs w:val="21"/>
              </w:rPr>
              <w:t xml:space="preserve">Sylvie </w:t>
            </w:r>
            <w:proofErr w:type="spellStart"/>
            <w:r>
              <w:rPr>
                <w:sz w:val="21"/>
                <w:szCs w:val="21"/>
              </w:rPr>
              <w:t>Stanovská</w:t>
            </w:r>
            <w:proofErr w:type="spellEnd"/>
          </w:p>
        </w:tc>
        <w:tc>
          <w:tcPr>
            <w:tcW w:w="990" w:type="dxa"/>
            <w:vAlign w:val="center"/>
          </w:tcPr>
          <w:p w14:paraId="3704BC15" w14:textId="77777777" w:rsidR="00075978" w:rsidRDefault="00075978">
            <w:pPr>
              <w:rPr>
                <w:sz w:val="21"/>
                <w:szCs w:val="21"/>
              </w:rPr>
            </w:pPr>
          </w:p>
        </w:tc>
      </w:tr>
    </w:tbl>
    <w:p w14:paraId="447D1594" w14:textId="77777777" w:rsidR="00075978" w:rsidRDefault="00075978"/>
    <w:p w14:paraId="0DB19DF8" w14:textId="77777777" w:rsidR="00075978" w:rsidRDefault="00AC58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ZAKONČENÍ PŘEDMĚTU</w:t>
      </w:r>
    </w:p>
    <w:p w14:paraId="7205E658" w14:textId="77777777" w:rsidR="00075978" w:rsidRDefault="00AC58CD">
      <w:r>
        <w:t>3 kredity, zápočet</w:t>
      </w:r>
    </w:p>
    <w:p w14:paraId="6762A119" w14:textId="77777777" w:rsidR="00075978" w:rsidRDefault="00AC58CD">
      <w:r>
        <w:t>Zakončení předmětu NJI_</w:t>
      </w:r>
      <w:proofErr w:type="gramStart"/>
      <w:r>
        <w:t>14A</w:t>
      </w:r>
      <w:proofErr w:type="gramEnd"/>
      <w:r>
        <w:t xml:space="preserve"> bude mít celkem 2 části:</w:t>
      </w:r>
    </w:p>
    <w:p w14:paraId="4DCB21E9" w14:textId="77777777" w:rsidR="00075978" w:rsidRDefault="00AC5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Ústní kolokvium (v malých skupinách).</w:t>
      </w:r>
    </w:p>
    <w:p w14:paraId="04E0BBB8" w14:textId="77777777" w:rsidR="00075978" w:rsidRDefault="00AC5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B050"/>
          <w:u w:val="single"/>
        </w:rPr>
      </w:pPr>
      <w:r>
        <w:rPr>
          <w:color w:val="000000"/>
        </w:rPr>
        <w:t xml:space="preserve">Písemná práce, </w:t>
      </w:r>
      <w:proofErr w:type="spellStart"/>
      <w:r>
        <w:rPr>
          <w:color w:val="000000"/>
        </w:rPr>
        <w:t>deadline</w:t>
      </w:r>
      <w:proofErr w:type="spellEnd"/>
      <w:r>
        <w:rPr>
          <w:color w:val="000000"/>
        </w:rPr>
        <w:t xml:space="preserve">: </w:t>
      </w:r>
      <w:r>
        <w:rPr>
          <w:color w:val="70AD47"/>
        </w:rPr>
        <w:t>9.6.2024</w:t>
      </w:r>
      <w:r>
        <w:rPr>
          <w:color w:val="000000"/>
        </w:rPr>
        <w:br/>
      </w:r>
      <w:r>
        <w:rPr>
          <w:color w:val="000000"/>
          <w:sz w:val="21"/>
          <w:szCs w:val="21"/>
          <w:u w:val="single"/>
        </w:rPr>
        <w:t>Prosíme o zaslání e-mailu o vložení seminární práce do Odevzdávárny předmětu, nebo o zaslání textu přímo na mail.</w:t>
      </w:r>
    </w:p>
    <w:p w14:paraId="3C8E2DAD" w14:textId="77777777" w:rsidR="00075978" w:rsidRDefault="00075978"/>
    <w:p w14:paraId="357B29A7" w14:textId="77777777" w:rsidR="00075978" w:rsidRDefault="00AC58CD">
      <w:r>
        <w:t>+ Co přesně budou jednotlivé části obnášet?</w:t>
      </w:r>
    </w:p>
    <w:p w14:paraId="50F9C369" w14:textId="77777777" w:rsidR="00075978" w:rsidRDefault="00075978"/>
    <w:p w14:paraId="18CA6186" w14:textId="77777777" w:rsidR="00075978" w:rsidRDefault="00AC5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ÚSTNÍ KOLOKVIUM</w:t>
      </w:r>
    </w:p>
    <w:p w14:paraId="270C0502" w14:textId="77777777" w:rsidR="00075978" w:rsidRDefault="00AC58CD">
      <w:r>
        <w:t xml:space="preserve">Cílem ústního kolokvia je prověření Vašich nově získaných znalostí o německé literatuře 19. a začínajícího 20. století (od doby předbřeznové přes realismus, naturalismus až po reakce na naturalismus). Je to i taková předpříprava pro ústní státní zkoušku, při níž se s takovýmto typem otázek můžete setkat. </w:t>
      </w:r>
    </w:p>
    <w:p w14:paraId="1328E177" w14:textId="77777777" w:rsidR="00075978" w:rsidRDefault="00AC58CD">
      <w:r>
        <w:t>Kolokvium bude shrnovat znalosti faktů a souvislostí principiálně ze tří zdrojů:</w:t>
      </w:r>
    </w:p>
    <w:p w14:paraId="225E4D80" w14:textId="77777777" w:rsidR="00075978" w:rsidRDefault="00AC58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Přednášky vyučujících proslovené během semestru,</w:t>
      </w:r>
    </w:p>
    <w:p w14:paraId="16CFF4FB" w14:textId="77777777" w:rsidR="00075978" w:rsidRDefault="00AC58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Četba primárních (literárních) textů zadaná na přednášky,</w:t>
      </w:r>
    </w:p>
    <w:p w14:paraId="42F5ED9E" w14:textId="77777777" w:rsidR="00075978" w:rsidRDefault="00AC58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Jeden literárněhistorický text ke každému autorovi v rozsahu do 20 stran, který </w:t>
      </w:r>
      <w:proofErr w:type="gramStart"/>
      <w:r>
        <w:rPr>
          <w:color w:val="000000"/>
        </w:rPr>
        <w:t>určí</w:t>
      </w:r>
      <w:proofErr w:type="gramEnd"/>
      <w:r>
        <w:rPr>
          <w:color w:val="000000"/>
        </w:rPr>
        <w:t xml:space="preserve"> přednášející a dá ho studentům k dispozici (v </w:t>
      </w:r>
      <w:proofErr w:type="spellStart"/>
      <w:r>
        <w:rPr>
          <w:color w:val="000000"/>
        </w:rPr>
        <w:t>ISu</w:t>
      </w:r>
      <w:proofErr w:type="spellEnd"/>
      <w:r>
        <w:rPr>
          <w:color w:val="000000"/>
        </w:rPr>
        <w:t xml:space="preserve">). </w:t>
      </w:r>
    </w:p>
    <w:p w14:paraId="6FA99538" w14:textId="77777777" w:rsidR="00075978" w:rsidRDefault="00AC58CD">
      <w:r>
        <w:t>“</w:t>
      </w:r>
      <w:proofErr w:type="spellStart"/>
      <w:r>
        <w:t>Prüfungsrelevant</w:t>
      </w:r>
      <w:proofErr w:type="spellEnd"/>
      <w:r>
        <w:t xml:space="preserve">” jsou tedy ke každé přednášce tři zdroje, typicky prezentace (ppt), primární text a literárněhistorický text.  </w:t>
      </w:r>
    </w:p>
    <w:p w14:paraId="57CE88D7" w14:textId="77777777" w:rsidR="00075978" w:rsidRDefault="00075978"/>
    <w:p w14:paraId="296497EB" w14:textId="77777777" w:rsidR="00075978" w:rsidRDefault="00AC5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PÍSEMNÁ PRÁCE</w:t>
      </w:r>
    </w:p>
    <w:p w14:paraId="1324D6DC" w14:textId="77777777" w:rsidR="00075978" w:rsidRDefault="00AC58CD">
      <w:r>
        <w:lastRenderedPageBreak/>
        <w:t xml:space="preserve">Cílem písemné práce je rozvoj vlastního přemýšlení v oblasti literárních dějin na podněty z přednášek a sekundární literatury. Nejedná se zde o literárněhistorický přehled jako v případě kolokvia, nýbrž spíše o detailnější analýzu vybraného tématu a jeho podoby v literárních textech, které </w:t>
      </w:r>
      <w:proofErr w:type="gramStart"/>
      <w:r>
        <w:t>určí</w:t>
      </w:r>
      <w:proofErr w:type="gramEnd"/>
      <w:r>
        <w:t xml:space="preserve"> vyučující předmětu. </w:t>
      </w:r>
    </w:p>
    <w:p w14:paraId="07536A27" w14:textId="77777777" w:rsidR="00075978" w:rsidRDefault="00AC58CD">
      <w:r>
        <w:t xml:space="preserve">Témata, ke kterým je třeba se přihlásit v </w:t>
      </w:r>
      <w:proofErr w:type="spellStart"/>
      <w:r>
        <w:t>ISu</w:t>
      </w:r>
      <w:proofErr w:type="spellEnd"/>
      <w:r>
        <w:t xml:space="preserve">, se budou týkat probírané látky, tedy německé literatury od doby předbřeznové po reakce na naturalismus, a budou zveřejněna v </w:t>
      </w:r>
      <w:proofErr w:type="spellStart"/>
      <w:r>
        <w:t>ISu</w:t>
      </w:r>
      <w:proofErr w:type="spellEnd"/>
      <w:r>
        <w:t xml:space="preserve">. Do seznamu širších okruhů se lze přihlásit obratem, </w:t>
      </w:r>
      <w:r>
        <w:rPr>
          <w:u w:val="single"/>
        </w:rPr>
        <w:t>konkretizace jednotlivých témat proběhne vždy po termínu dané přednášky</w:t>
      </w:r>
      <w:r>
        <w:t>. Budete si moci zvolit jedno z 8 témat. U každého tématu bude omezená kapacita přihlašujících se: cca. 2 studující/téma.</w:t>
      </w:r>
    </w:p>
    <w:p w14:paraId="261BFE6F" w14:textId="77777777" w:rsidR="00075978" w:rsidRDefault="00AC58CD">
      <w:r>
        <w:t xml:space="preserve">Písemná práce má argumentativní stavbu, formuluje tedy zřetelně rozpoznatelnou tezi ke svému tématu a následně tuto tezi na textu samotném dokládá. Teze by měla vyplývat z impulzů z </w:t>
      </w:r>
      <w:proofErr w:type="gramStart"/>
      <w:r>
        <w:t>přednášek</w:t>
      </w:r>
      <w:proofErr w:type="gramEnd"/>
      <w:r>
        <w:t xml:space="preserve"> a především ze sekundární literatury. Práce se sekundární literaturou je pro tuto písemnou práci nezbytná a řídí se i formálně zásadami akademického psaní (včetně standardní citační normy jako je třeba tato: </w:t>
      </w:r>
      <w:hyperlink r:id="rId9">
        <w:r>
          <w:rPr>
            <w:color w:val="0563C1"/>
            <w:u w:val="single"/>
          </w:rPr>
          <w:t>https://bruecken.ff.cuni.cz/wp-content/uploads/sites/56/2020/11/Stylesheet-Brucken-2020-2.pdf</w:t>
        </w:r>
      </w:hyperlink>
      <w:r>
        <w:t xml:space="preserve">) </w:t>
      </w:r>
    </w:p>
    <w:p w14:paraId="1AFCBEDE" w14:textId="77777777" w:rsidR="00075978" w:rsidRDefault="00AC58CD">
      <w:r>
        <w:t>Jedná se o následující okruhy (totožné s vybranými tituly přednášek):</w:t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395"/>
      </w:tblGrid>
      <w:tr w:rsidR="00075978" w14:paraId="016B94A0" w14:textId="77777777">
        <w:tc>
          <w:tcPr>
            <w:tcW w:w="4620" w:type="dxa"/>
            <w:vAlign w:val="center"/>
          </w:tcPr>
          <w:p w14:paraId="6D331C9E" w14:textId="77777777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4"/>
                <w:szCs w:val="24"/>
              </w:rPr>
            </w:pPr>
            <w:proofErr w:type="spellStart"/>
            <w:r>
              <w:rPr>
                <w:color w:val="ED7D31"/>
                <w:sz w:val="24"/>
                <w:szCs w:val="24"/>
              </w:rPr>
              <w:t>Politisches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Schreiben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im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Vormärz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ED7D31"/>
                <w:sz w:val="24"/>
                <w:szCs w:val="24"/>
              </w:rPr>
              <w:t>Heine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und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die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Autoren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des </w:t>
            </w:r>
            <w:proofErr w:type="spellStart"/>
            <w:r>
              <w:rPr>
                <w:color w:val="ED7D31"/>
                <w:sz w:val="24"/>
                <w:szCs w:val="24"/>
              </w:rPr>
              <w:t>Jungen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Deutschlands</w:t>
            </w:r>
            <w:proofErr w:type="spellEnd"/>
          </w:p>
        </w:tc>
        <w:tc>
          <w:tcPr>
            <w:tcW w:w="4395" w:type="dxa"/>
            <w:vAlign w:val="center"/>
          </w:tcPr>
          <w:p w14:paraId="5CDDCEA9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Vede:</w:t>
            </w: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Mgr. Jan Budňák, Ph.D.</w:t>
            </w:r>
          </w:p>
          <w:p w14:paraId="444E0D93" w14:textId="0409AAB8" w:rsidR="00075978" w:rsidRDefault="00AC58CD">
            <w:pP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Ziel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Essays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ist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die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Eigenart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von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Heines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politischem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Schreiben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durch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eine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vergleichende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Analyse</w:t>
            </w:r>
            <w:proofErr w:type="gram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mit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einem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ausgewählten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Text des “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Jungen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Deutschlands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”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charakterisieren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Von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Heine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kommen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Frage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Atta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Troll,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Deutschland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Ein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Wintermärchen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Ludwig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Börne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Eine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Denkschrift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ausgewählte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Gedichte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Sekundärliteratur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Gerhard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Höhn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Heine-Handbuch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Peter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Sprengel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Geschichte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der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deutschen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Literatur 1830-1870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usf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.</w:t>
            </w:r>
          </w:p>
        </w:tc>
      </w:tr>
      <w:tr w:rsidR="00075978" w14:paraId="30A79C93" w14:textId="77777777">
        <w:tc>
          <w:tcPr>
            <w:tcW w:w="4620" w:type="dxa"/>
            <w:vAlign w:val="center"/>
          </w:tcPr>
          <w:p w14:paraId="173177E6" w14:textId="77777777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4"/>
                <w:szCs w:val="24"/>
              </w:rPr>
            </w:pPr>
            <w:proofErr w:type="gramStart"/>
            <w:r>
              <w:rPr>
                <w:color w:val="ED7D31"/>
                <w:sz w:val="24"/>
                <w:szCs w:val="24"/>
              </w:rPr>
              <w:t>Analyse</w:t>
            </w:r>
            <w:proofErr w:type="gramEnd"/>
            <w:r>
              <w:rPr>
                <w:color w:val="ED7D31"/>
                <w:sz w:val="24"/>
                <w:szCs w:val="24"/>
              </w:rPr>
              <w:t xml:space="preserve"> von </w:t>
            </w:r>
            <w:proofErr w:type="spellStart"/>
            <w:r>
              <w:rPr>
                <w:color w:val="ED7D31"/>
                <w:sz w:val="24"/>
                <w:szCs w:val="24"/>
              </w:rPr>
              <w:t>Figuren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und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Revolutionskonzepten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ED7D31"/>
                <w:sz w:val="24"/>
                <w:szCs w:val="24"/>
              </w:rPr>
              <w:t>Dantons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Tod</w:t>
            </w:r>
            <w:proofErr w:type="spellEnd"/>
          </w:p>
        </w:tc>
        <w:tc>
          <w:tcPr>
            <w:tcW w:w="4395" w:type="dxa"/>
            <w:vAlign w:val="center"/>
          </w:tcPr>
          <w:p w14:paraId="5FD167C1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Vede:</w:t>
            </w: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Mgr. Jan Budňák, Ph.D.</w:t>
            </w:r>
          </w:p>
          <w:p w14:paraId="7F863B1A" w14:textId="77777777" w:rsidR="00075978" w:rsidRDefault="00AC58CD">
            <w:pP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Danton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Robespierre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sind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zwei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zentrale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Antagonisten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Dramas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aber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wie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genau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ist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es um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ihre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Vorstellung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von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Revolution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Gewalt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ihrer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Berechtigung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des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Menschen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generell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beschaffen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?</w:t>
            </w:r>
          </w:p>
          <w:p w14:paraId="5B9650D3" w14:textId="4BEAE35C" w:rsidR="00075978" w:rsidRDefault="00AC58CD">
            <w:pPr>
              <w:rPr>
                <w:rFonts w:ascii="Open Sans" w:eastAsia="Open Sans" w:hAnsi="Open Sans" w:cs="Open Sans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Quellen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sind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zunächst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in Studijní materiály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finden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bitte</w:t>
            </w:r>
            <w:proofErr w:type="spellEnd"/>
            <w:proofErr w:type="gram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Argumentation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Quellen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zunächst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mit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mir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besprechen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d.h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bevor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Sie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schreiben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beginnen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).</w:t>
            </w:r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Generell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Borgards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/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Neumeyer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Büchner-Handbuch</w:t>
            </w:r>
            <w:proofErr w:type="spellEnd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.</w:t>
            </w:r>
          </w:p>
        </w:tc>
      </w:tr>
      <w:tr w:rsidR="00075978" w14:paraId="1F6314AB" w14:textId="77777777">
        <w:tc>
          <w:tcPr>
            <w:tcW w:w="4620" w:type="dxa"/>
            <w:vAlign w:val="center"/>
          </w:tcPr>
          <w:p w14:paraId="292E78CA" w14:textId="77777777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4"/>
                <w:szCs w:val="24"/>
              </w:rPr>
            </w:pPr>
            <w:r>
              <w:rPr>
                <w:color w:val="ED7D31"/>
                <w:sz w:val="24"/>
                <w:szCs w:val="24"/>
              </w:rPr>
              <w:t xml:space="preserve">Franz </w:t>
            </w:r>
            <w:proofErr w:type="spellStart"/>
            <w:r>
              <w:rPr>
                <w:color w:val="ED7D31"/>
                <w:sz w:val="24"/>
                <w:szCs w:val="24"/>
              </w:rPr>
              <w:t>Grillparzers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Stück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r>
              <w:rPr>
                <w:i/>
                <w:color w:val="ED7D31"/>
                <w:sz w:val="24"/>
                <w:szCs w:val="24"/>
              </w:rPr>
              <w:t xml:space="preserve">König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Ottokars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Glück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und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Ende </w:t>
            </w:r>
            <w:proofErr w:type="spellStart"/>
            <w:r>
              <w:rPr>
                <w:color w:val="ED7D31"/>
                <w:sz w:val="24"/>
                <w:szCs w:val="24"/>
              </w:rPr>
              <w:t>als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lastRenderedPageBreak/>
              <w:t>Projektionsfläche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für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politische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Lesarten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des </w:t>
            </w:r>
            <w:proofErr w:type="spellStart"/>
            <w:r>
              <w:rPr>
                <w:color w:val="ED7D31"/>
                <w:sz w:val="24"/>
                <w:szCs w:val="24"/>
              </w:rPr>
              <w:t>Stückes</w:t>
            </w:r>
            <w:proofErr w:type="spellEnd"/>
          </w:p>
        </w:tc>
        <w:tc>
          <w:tcPr>
            <w:tcW w:w="4395" w:type="dxa"/>
            <w:vAlign w:val="center"/>
          </w:tcPr>
          <w:p w14:paraId="76DC9880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lastRenderedPageBreak/>
              <w:t>Vede:</w:t>
            </w: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PhDr. Zdeněk Mareček, Ph.D.</w:t>
            </w:r>
          </w:p>
          <w:p w14:paraId="07D34C68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1. Daniela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Strigl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die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Größe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ist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gefährlich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...</w:t>
            </w:r>
          </w:p>
          <w:p w14:paraId="5026E675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lastRenderedPageBreak/>
              <w:t xml:space="preserve">2. Hans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Höller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: “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Diesen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liebe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schon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ernstlich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.”...</w:t>
            </w:r>
          </w:p>
          <w:p w14:paraId="7F63E493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Beides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in FRANZ GRILLPARZER.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Ein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Klassiker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für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die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Gegenwart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Hg.von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Bernhard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Fetz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, Michael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Hansel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Hannes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Schweiger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... 2016</w:t>
            </w:r>
          </w:p>
          <w:p w14:paraId="3644E5F2" w14:textId="77777777" w:rsidR="00075978" w:rsidRDefault="00075978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</w:p>
          <w:p w14:paraId="0C364936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3. Norbert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Bachleitner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: Die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Theaterzensur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in der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Habsburgermonarchie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im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19.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Jahrhundert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.</w:t>
            </w:r>
          </w:p>
          <w:p w14:paraId="19A35D5C" w14:textId="77777777" w:rsidR="00075978" w:rsidRDefault="00075978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</w:p>
          <w:p w14:paraId="2B414380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4. Vlasta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Reitererová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in: </w:t>
            </w: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Sláva a pád krále Otakara. </w:t>
            </w: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Přeložil Radek </w:t>
            </w:r>
            <w:proofErr w:type="gram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Malý ;</w:t>
            </w:r>
            <w:proofErr w:type="gram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poznámkami, vysvětlivkami a doprovodnými studiemi opatřily Václava Kofránková a Vlasta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Reittererová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Pha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: Městská divadla pražská, 2019.</w:t>
            </w:r>
          </w:p>
          <w:p w14:paraId="01C75E5E" w14:textId="77777777" w:rsidR="00075978" w:rsidRDefault="00075978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</w:p>
          <w:p w14:paraId="587BFFF5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bin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bereit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individuell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die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jeweiligen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Konzepte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besprechen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.</w:t>
            </w:r>
          </w:p>
          <w:p w14:paraId="2817429C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</w:p>
        </w:tc>
      </w:tr>
      <w:tr w:rsidR="00075978" w14:paraId="2FB74A98" w14:textId="77777777">
        <w:tc>
          <w:tcPr>
            <w:tcW w:w="4620" w:type="dxa"/>
            <w:vAlign w:val="center"/>
          </w:tcPr>
          <w:p w14:paraId="371CAE3A" w14:textId="77777777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4"/>
                <w:szCs w:val="24"/>
              </w:rPr>
            </w:pPr>
            <w:r>
              <w:rPr>
                <w:color w:val="ED7D31"/>
                <w:sz w:val="24"/>
                <w:szCs w:val="24"/>
              </w:rPr>
              <w:lastRenderedPageBreak/>
              <w:t xml:space="preserve">Johann Nepomuk </w:t>
            </w:r>
            <w:proofErr w:type="spellStart"/>
            <w:r>
              <w:rPr>
                <w:color w:val="ED7D31"/>
                <w:sz w:val="24"/>
                <w:szCs w:val="24"/>
              </w:rPr>
              <w:t>Nestroys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Figur des </w:t>
            </w:r>
            <w:proofErr w:type="spellStart"/>
            <w:proofErr w:type="gramStart"/>
            <w:r>
              <w:rPr>
                <w:color w:val="ED7D31"/>
                <w:sz w:val="24"/>
                <w:szCs w:val="24"/>
              </w:rPr>
              <w:t>Zwirn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ED7D31"/>
                <w:sz w:val="24"/>
                <w:szCs w:val="24"/>
              </w:rPr>
              <w:t>und</w:t>
            </w:r>
            <w:proofErr w:type="spellEnd"/>
            <w:proofErr w:type="gramEnd"/>
            <w:r>
              <w:rPr>
                <w:color w:val="ED7D31"/>
                <w:sz w:val="24"/>
                <w:szCs w:val="24"/>
              </w:rPr>
              <w:t xml:space="preserve"> der </w:t>
            </w:r>
            <w:proofErr w:type="spellStart"/>
            <w:r>
              <w:rPr>
                <w:color w:val="ED7D31"/>
                <w:sz w:val="24"/>
                <w:szCs w:val="24"/>
              </w:rPr>
              <w:t>komödiantische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ED7D31"/>
                <w:sz w:val="24"/>
                <w:szCs w:val="24"/>
              </w:rPr>
              <w:t>Effekt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des </w:t>
            </w:r>
            <w:proofErr w:type="spellStart"/>
            <w:r>
              <w:rPr>
                <w:color w:val="ED7D31"/>
                <w:sz w:val="24"/>
                <w:szCs w:val="24"/>
              </w:rPr>
              <w:t>code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switching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zwischen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Hochdeutsch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, Dialekt </w:t>
            </w:r>
            <w:proofErr w:type="spellStart"/>
            <w:r>
              <w:rPr>
                <w:color w:val="ED7D31"/>
                <w:sz w:val="24"/>
                <w:szCs w:val="24"/>
              </w:rPr>
              <w:t>und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Nachahmung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des </w:t>
            </w:r>
            <w:proofErr w:type="spellStart"/>
            <w:r>
              <w:rPr>
                <w:color w:val="ED7D31"/>
                <w:sz w:val="24"/>
                <w:szCs w:val="24"/>
              </w:rPr>
              <w:t>Italienischen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ED7D31"/>
                <w:sz w:val="24"/>
                <w:szCs w:val="24"/>
              </w:rPr>
              <w:t>einer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Szene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der </w:t>
            </w:r>
            <w:proofErr w:type="spellStart"/>
            <w:r>
              <w:rPr>
                <w:color w:val="ED7D31"/>
                <w:sz w:val="24"/>
                <w:szCs w:val="24"/>
              </w:rPr>
              <w:t>Zauberposse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r>
              <w:rPr>
                <w:i/>
                <w:color w:val="ED7D31"/>
                <w:sz w:val="24"/>
                <w:szCs w:val="24"/>
              </w:rPr>
              <w:t xml:space="preserve">Der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böse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Geist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Lumpacivagabundus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oder: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Das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liederliche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Kleeblatt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>.</w:t>
            </w:r>
            <w:r>
              <w:rPr>
                <w:color w:val="ED7D31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6254B332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Vede:</w:t>
            </w: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PhDr. Zdeněk Mareček, Ph.D.</w:t>
            </w:r>
          </w:p>
          <w:p w14:paraId="666B73FB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Walter </w:t>
            </w:r>
            <w:proofErr w:type="spellStart"/>
            <w:proofErr w:type="gram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Schübler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: 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Nestroy</w:t>
            </w:r>
            <w:proofErr w:type="spellEnd"/>
            <w:proofErr w:type="gram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Eine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Biographie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 in 30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Szenen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. 2001 </w:t>
            </w:r>
          </w:p>
          <w:p w14:paraId="434D56D3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Wendelin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 Schmidt-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Dengler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: </w:t>
            </w:r>
            <w:proofErr w:type="spellStart"/>
            <w:proofErr w:type="gram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Nestroy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die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Launen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Glückes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. 2001</w:t>
            </w:r>
          </w:p>
          <w:p w14:paraId="0908B30C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Jürgen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Hein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: Johann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Nestroy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 xml:space="preserve">. J.B. </w:t>
            </w:r>
            <w:proofErr w:type="spellStart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Metzler</w:t>
            </w:r>
            <w:proofErr w:type="spellEnd"/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, 1990</w:t>
            </w:r>
          </w:p>
          <w:p w14:paraId="2DC99765" w14:textId="77777777" w:rsidR="00075978" w:rsidRDefault="00075978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</w:p>
          <w:p w14:paraId="29C1D4D6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bin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bereit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inviduell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die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jeweiligen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Konzepte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besprechen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.</w:t>
            </w:r>
          </w:p>
          <w:p w14:paraId="0C0ED2BD" w14:textId="77777777" w:rsidR="00075978" w:rsidRDefault="00075978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</w:p>
        </w:tc>
      </w:tr>
      <w:tr w:rsidR="00075978" w14:paraId="5D33CFEE" w14:textId="77777777">
        <w:tc>
          <w:tcPr>
            <w:tcW w:w="4620" w:type="dxa"/>
            <w:vAlign w:val="center"/>
          </w:tcPr>
          <w:p w14:paraId="2A424566" w14:textId="010B6A72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</w:rPr>
            </w:pPr>
            <w:r>
              <w:rPr>
                <w:color w:val="ED7D31"/>
                <w:sz w:val="24"/>
                <w:szCs w:val="24"/>
              </w:rPr>
              <w:t xml:space="preserve">Milieu </w:t>
            </w:r>
            <w:proofErr w:type="spellStart"/>
            <w:r>
              <w:rPr>
                <w:color w:val="ED7D31"/>
                <w:sz w:val="24"/>
                <w:szCs w:val="24"/>
              </w:rPr>
              <w:t>und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 w:rsidR="007E01FF">
              <w:rPr>
                <w:color w:val="ED7D31"/>
                <w:sz w:val="24"/>
                <w:szCs w:val="24"/>
              </w:rPr>
              <w:t>Determinierung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bei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Marie von </w:t>
            </w:r>
            <w:proofErr w:type="spellStart"/>
            <w:r>
              <w:rPr>
                <w:color w:val="ED7D31"/>
                <w:sz w:val="24"/>
                <w:szCs w:val="24"/>
              </w:rPr>
              <w:t>Ebner-Eschenbach</w:t>
            </w:r>
            <w:proofErr w:type="spellEnd"/>
            <w:r w:rsidR="004E2F92"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 w:rsidR="004E2F92">
              <w:rPr>
                <w:color w:val="ED7D31"/>
                <w:sz w:val="24"/>
                <w:szCs w:val="24"/>
              </w:rPr>
              <w:t>bzw</w:t>
            </w:r>
            <w:proofErr w:type="spellEnd"/>
            <w:r w:rsidR="004E2F92">
              <w:rPr>
                <w:color w:val="ED7D31"/>
                <w:sz w:val="24"/>
                <w:szCs w:val="24"/>
              </w:rPr>
              <w:t>. J. J. David</w:t>
            </w:r>
          </w:p>
        </w:tc>
        <w:tc>
          <w:tcPr>
            <w:tcW w:w="4395" w:type="dxa"/>
            <w:vAlign w:val="center"/>
          </w:tcPr>
          <w:p w14:paraId="4B6D2296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Vede:</w:t>
            </w: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Mgr. Jan Budňák, Ph.D.</w:t>
            </w:r>
          </w:p>
          <w:p w14:paraId="34D4A7BD" w14:textId="2279DB51" w:rsidR="00075978" w:rsidRDefault="00AC58CD">
            <w:pPr>
              <w:rPr>
                <w:rFonts w:ascii="Open Sans" w:eastAsia="Open Sans" w:hAnsi="Open Sans" w:cs="Open Sans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Von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Ebner-Eschenbach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ihren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Texten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wird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immer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wieder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behauptet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sie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bieten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ein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Gegenprogramm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der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spätrealistischen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naturalistischen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Vorstellung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von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Milieudeterminierung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Die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Aufgabe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Essays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wäre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diese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Hypothese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überprüfen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. (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anhand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von: </w:t>
            </w:r>
            <w:proofErr w:type="spellStart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Lotti</w:t>
            </w:r>
            <w:proofErr w:type="spellEnd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die</w:t>
            </w:r>
            <w:proofErr w:type="spellEnd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Uhrmacherin</w:t>
            </w:r>
            <w:proofErr w:type="spellEnd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Das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Gemeindekind</w:t>
            </w:r>
            <w:proofErr w:type="spellEnd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, </w:t>
            </w:r>
            <w:proofErr w:type="spellStart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Das</w:t>
            </w:r>
            <w:proofErr w:type="spellEnd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="007E01FF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Schädliche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u.a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.)</w:t>
            </w:r>
            <w:r w:rsidR="004E2F92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</w:t>
            </w:r>
            <w:proofErr w:type="spellStart"/>
            <w:r w:rsidR="004E2F92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Dieselbe</w:t>
            </w:r>
            <w:proofErr w:type="spellEnd"/>
            <w:r w:rsidR="004E2F92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="004E2F92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Hypothese</w:t>
            </w:r>
            <w:proofErr w:type="spellEnd"/>
            <w:r w:rsidR="004E2F92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r w:rsidR="004E2F92">
              <w:rPr>
                <w:rFonts w:ascii="Open Sans" w:eastAsia="Open Sans" w:hAnsi="Open Sans" w:cs="Open Sans"/>
                <w:color w:val="0A0A0A"/>
                <w:sz w:val="19"/>
                <w:szCs w:val="19"/>
                <w:lang w:val="de-DE"/>
              </w:rPr>
              <w:t xml:space="preserve">könnte für die Romane von J. J. David überprüft werden (Das Blut, Der </w:t>
            </w:r>
            <w:r w:rsidR="004E2F92">
              <w:rPr>
                <w:rFonts w:ascii="Open Sans" w:eastAsia="Open Sans" w:hAnsi="Open Sans" w:cs="Open Sans"/>
                <w:color w:val="0A0A0A"/>
                <w:sz w:val="19"/>
                <w:szCs w:val="19"/>
                <w:lang w:val="de-DE"/>
              </w:rPr>
              <w:lastRenderedPageBreak/>
              <w:t>Übergang, Am Wege sterben, alle im Volltext online).</w:t>
            </w:r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Hugo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Aust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Realismus.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Lehrbuch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Germanistik. D.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Strigl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Berühmtsein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ist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nichts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Biographie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von M. von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Ebner-Eschenbach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. W.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Fähnders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Avantgarde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Moderne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Abschnitt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Naturalismus) P.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Strelka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Des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Mitleids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tiefe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Liebesfähigkeit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M. von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Ebner-Eschenbach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Das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Gemeindekind</w:t>
            </w:r>
            <w:proofErr w:type="spellEnd"/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.</w:t>
            </w:r>
          </w:p>
        </w:tc>
      </w:tr>
      <w:tr w:rsidR="00075978" w14:paraId="25E6C5EE" w14:textId="77777777">
        <w:tc>
          <w:tcPr>
            <w:tcW w:w="4620" w:type="dxa"/>
            <w:vAlign w:val="center"/>
          </w:tcPr>
          <w:p w14:paraId="27BCC83C" w14:textId="77777777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4"/>
                <w:szCs w:val="24"/>
              </w:rPr>
            </w:pPr>
            <w:proofErr w:type="spellStart"/>
            <w:r>
              <w:rPr>
                <w:color w:val="ED7D31"/>
                <w:sz w:val="24"/>
                <w:szCs w:val="24"/>
              </w:rPr>
              <w:lastRenderedPageBreak/>
              <w:t>Deutscher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Naturalismus </w:t>
            </w:r>
            <w:proofErr w:type="spellStart"/>
            <w:r>
              <w:rPr>
                <w:color w:val="ED7D31"/>
                <w:sz w:val="24"/>
                <w:szCs w:val="24"/>
              </w:rPr>
              <w:t>als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europäisches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Ereignis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(Drama)</w:t>
            </w:r>
          </w:p>
        </w:tc>
        <w:tc>
          <w:tcPr>
            <w:tcW w:w="4395" w:type="dxa"/>
            <w:vAlign w:val="center"/>
          </w:tcPr>
          <w:p w14:paraId="105A796C" w14:textId="77777777" w:rsidR="00075978" w:rsidRDefault="00AC58CD">
            <w:pP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</w:pPr>
            <w:r>
              <w:rPr>
                <w:color w:val="ED7D31"/>
              </w:rPr>
              <w:t xml:space="preserve">doc. Mgr. Aleš </w:t>
            </w:r>
            <w:proofErr w:type="spellStart"/>
            <w:r>
              <w:rPr>
                <w:color w:val="ED7D31"/>
              </w:rPr>
              <w:t>Urválek</w:t>
            </w:r>
            <w:proofErr w:type="spellEnd"/>
            <w:r>
              <w:rPr>
                <w:color w:val="ED7D31"/>
              </w:rPr>
              <w:t>, Ph.D.</w:t>
            </w:r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Spurensuche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zwischen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Strindberg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, Ibsen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und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Hauptmann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ggf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Familie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Selicke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Schlaf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Holz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).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Primäre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Texte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sind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Strindberg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,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Ibsen..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) online,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sekundäre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: I.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Stoeckmann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: Naturalismus. (in der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>Bibliothek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7"/>
                <w:szCs w:val="17"/>
              </w:rPr>
              <w:t xml:space="preserve"> FF). </w:t>
            </w:r>
          </w:p>
          <w:p w14:paraId="79F0CC9E" w14:textId="77777777" w:rsidR="00075978" w:rsidRDefault="00075978">
            <w:pPr>
              <w:rPr>
                <w:color w:val="ED7D31"/>
              </w:rPr>
            </w:pPr>
          </w:p>
        </w:tc>
      </w:tr>
      <w:tr w:rsidR="00075978" w14:paraId="272ADC08" w14:textId="77777777">
        <w:tc>
          <w:tcPr>
            <w:tcW w:w="4620" w:type="dxa"/>
            <w:vAlign w:val="center"/>
          </w:tcPr>
          <w:p w14:paraId="2144111B" w14:textId="77777777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4"/>
                <w:szCs w:val="24"/>
              </w:rPr>
            </w:pPr>
            <w:r>
              <w:rPr>
                <w:color w:val="ED7D31"/>
                <w:sz w:val="24"/>
                <w:szCs w:val="24"/>
              </w:rPr>
              <w:t xml:space="preserve">Die </w:t>
            </w:r>
            <w:proofErr w:type="spellStart"/>
            <w:r>
              <w:rPr>
                <w:color w:val="ED7D31"/>
                <w:sz w:val="24"/>
                <w:szCs w:val="24"/>
              </w:rPr>
              <w:t>Angst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vor der </w:t>
            </w:r>
            <w:proofErr w:type="spellStart"/>
            <w:r>
              <w:rPr>
                <w:color w:val="ED7D31"/>
                <w:sz w:val="24"/>
                <w:szCs w:val="24"/>
              </w:rPr>
              <w:t>Unentrinnbarkeit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des </w:t>
            </w:r>
            <w:proofErr w:type="spellStart"/>
            <w:r>
              <w:rPr>
                <w:color w:val="ED7D31"/>
                <w:sz w:val="24"/>
                <w:szCs w:val="24"/>
              </w:rPr>
              <w:t>Lebens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ED7D31"/>
                <w:sz w:val="24"/>
                <w:szCs w:val="24"/>
              </w:rPr>
              <w:t>Zu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Hugo von </w:t>
            </w:r>
            <w:proofErr w:type="spellStart"/>
            <w:r>
              <w:rPr>
                <w:color w:val="ED7D31"/>
                <w:sz w:val="24"/>
                <w:szCs w:val="24"/>
              </w:rPr>
              <w:t>Hofmmansthals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Erzählung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Das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Märchen</w:t>
            </w:r>
            <w:proofErr w:type="spellEnd"/>
            <w:r>
              <w:rPr>
                <w:i/>
                <w:color w:val="ED7D31"/>
                <w:sz w:val="24"/>
                <w:szCs w:val="24"/>
              </w:rPr>
              <w:t xml:space="preserve"> der 672. </w:t>
            </w:r>
            <w:proofErr w:type="spellStart"/>
            <w:r>
              <w:rPr>
                <w:i/>
                <w:color w:val="ED7D31"/>
                <w:sz w:val="24"/>
                <w:szCs w:val="24"/>
              </w:rPr>
              <w:t>Nacht</w:t>
            </w:r>
            <w:proofErr w:type="spellEnd"/>
          </w:p>
        </w:tc>
        <w:tc>
          <w:tcPr>
            <w:tcW w:w="4395" w:type="dxa"/>
            <w:vAlign w:val="center"/>
          </w:tcPr>
          <w:p w14:paraId="4B5103E3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  <w:t>Vede:</w:t>
            </w: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PhDr. Zdeněk Mareček, Ph.D.</w:t>
            </w:r>
          </w:p>
          <w:p w14:paraId="7E0EF573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AJOURI, Philipp: Literatur um 1900. Literatur um 1900. Naturalismus – Fin de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Siècle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Expressionismus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. Akademie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Verlag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Berlin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2009.</w:t>
            </w:r>
          </w:p>
          <w:p w14:paraId="1EEB42C0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Mathias Mayer / Julian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Werlitz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Hg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.):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Hofmannsthal-Handbuch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Leben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Werk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Wirkung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.  (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hier</w:t>
            </w:r>
            <w:proofErr w:type="spellEnd"/>
          </w:p>
          <w:p w14:paraId="426C90E6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Roland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Innerhofer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: »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Das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Märchen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der 672.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Nacht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« (1895), S. 276-278</w:t>
            </w:r>
          </w:p>
          <w:p w14:paraId="59FF9687" w14:textId="77777777" w:rsidR="00075978" w:rsidRDefault="00075978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</w:p>
          <w:p w14:paraId="3D3EA41E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bin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bereit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inviduell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die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jeweiligen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Konzepte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zu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besprechen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.</w:t>
            </w:r>
          </w:p>
        </w:tc>
      </w:tr>
      <w:tr w:rsidR="00075978" w14:paraId="427B5442" w14:textId="77777777">
        <w:trPr>
          <w:trHeight w:val="300"/>
        </w:trPr>
        <w:tc>
          <w:tcPr>
            <w:tcW w:w="4620" w:type="dxa"/>
            <w:vAlign w:val="center"/>
          </w:tcPr>
          <w:p w14:paraId="3247DD2C" w14:textId="38B96F04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Rilke</w:t>
            </w:r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-</w:t>
            </w:r>
            <w:proofErr w:type="spellStart"/>
            <w:r w:rsidR="00A71558">
              <w:rPr>
                <w:rFonts w:ascii="Open Sans" w:eastAsia="Open Sans" w:hAnsi="Open Sans" w:cs="Open Sans"/>
                <w:color w:val="0A0A0A"/>
                <w:sz w:val="19"/>
                <w:szCs w:val="19"/>
              </w:rPr>
              <w:t>Analysen</w:t>
            </w:r>
            <w:proofErr w:type="spellEnd"/>
          </w:p>
        </w:tc>
        <w:tc>
          <w:tcPr>
            <w:tcW w:w="4395" w:type="dxa"/>
            <w:vAlign w:val="center"/>
          </w:tcPr>
          <w:p w14:paraId="09FCB8A7" w14:textId="77777777" w:rsidR="00075978" w:rsidRDefault="00AC58CD">
            <w:pP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Doc. Mgr. Sylvie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Stanovská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, Dr. </w:t>
            </w:r>
          </w:p>
          <w:p w14:paraId="3F44A613" w14:textId="77777777" w:rsidR="00075978" w:rsidRDefault="00AC58CD">
            <w:pP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Primäre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 Texte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sind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 online: </w:t>
            </w:r>
            <w:hyperlink r:id="rId10">
              <w:r>
                <w:rPr>
                  <w:rFonts w:ascii="Open Sans" w:eastAsia="Open Sans" w:hAnsi="Open Sans" w:cs="Open Sans"/>
                  <w:i/>
                  <w:color w:val="0563C1"/>
                  <w:sz w:val="19"/>
                  <w:szCs w:val="19"/>
                  <w:u w:val="single"/>
                </w:rPr>
                <w:t>www.rilke.de/</w:t>
              </w:r>
            </w:hyperlink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Gedichte</w:t>
            </w:r>
            <w:proofErr w:type="spellEnd"/>
          </w:p>
          <w:p w14:paraId="47A404B6" w14:textId="77777777" w:rsidR="00075978" w:rsidRDefault="00AC58CD">
            <w:pP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Primär-wie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Sekundärliteratur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: Rainer Maria </w:t>
            </w:r>
            <w:proofErr w:type="gram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Rilke:...</w:t>
            </w:r>
            <w:proofErr w:type="gram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a na ochozech smrt jsi viděl stát. Výběr, doslov a komentáře: Hanuš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Karlach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, překlady Pavel Eisner, Ladislav Fikar, Jindřich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Flusser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, Jiří Gruša, Vladimír Holan, Hanuš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Karlach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 xml:space="preserve">, Jan </w:t>
            </w:r>
            <w:proofErr w:type="spellStart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Löwenbach</w:t>
            </w:r>
            <w:proofErr w:type="spellEnd"/>
            <w:r>
              <w:rPr>
                <w:rFonts w:ascii="Open Sans" w:eastAsia="Open Sans" w:hAnsi="Open Sans" w:cs="Open Sans"/>
                <w:i/>
                <w:color w:val="ED7C31"/>
                <w:sz w:val="19"/>
                <w:szCs w:val="19"/>
              </w:rPr>
              <w:t>, Jindřich Pokorný, Václav Renč.. Praha 1990.</w:t>
            </w:r>
          </w:p>
          <w:p w14:paraId="7A55A3D6" w14:textId="77777777" w:rsidR="00075978" w:rsidRDefault="00075978">
            <w:pPr>
              <w:rPr>
                <w:rFonts w:ascii="Open Sans" w:eastAsia="Open Sans" w:hAnsi="Open Sans" w:cs="Open Sans"/>
                <w:i/>
                <w:color w:val="ED7D31"/>
                <w:sz w:val="19"/>
                <w:szCs w:val="19"/>
              </w:rPr>
            </w:pPr>
          </w:p>
        </w:tc>
      </w:tr>
      <w:tr w:rsidR="00075978" w14:paraId="380BE365" w14:textId="77777777">
        <w:tc>
          <w:tcPr>
            <w:tcW w:w="4620" w:type="dxa"/>
            <w:vAlign w:val="center"/>
          </w:tcPr>
          <w:p w14:paraId="105C4A36" w14:textId="77777777" w:rsidR="00075978" w:rsidRDefault="00AC58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D7D31"/>
                <w:sz w:val="24"/>
                <w:szCs w:val="24"/>
              </w:rPr>
            </w:pPr>
            <w:proofErr w:type="spellStart"/>
            <w:r>
              <w:rPr>
                <w:color w:val="ED7D31"/>
                <w:sz w:val="24"/>
                <w:szCs w:val="24"/>
              </w:rPr>
              <w:t>Naturalistische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Dramen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als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D7D31"/>
                <w:sz w:val="24"/>
                <w:szCs w:val="24"/>
              </w:rPr>
              <w:t>Vorläufer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des </w:t>
            </w:r>
            <w:proofErr w:type="spellStart"/>
            <w:r>
              <w:rPr>
                <w:color w:val="ED7D31"/>
                <w:sz w:val="24"/>
                <w:szCs w:val="24"/>
              </w:rPr>
              <w:t>Volksstücks</w:t>
            </w:r>
            <w:proofErr w:type="spellEnd"/>
            <w:r>
              <w:rPr>
                <w:color w:val="ED7D31"/>
                <w:sz w:val="24"/>
                <w:szCs w:val="24"/>
              </w:rPr>
              <w:t xml:space="preserve"> der 1970er </w:t>
            </w:r>
            <w:proofErr w:type="spellStart"/>
            <w:r>
              <w:rPr>
                <w:color w:val="ED7D31"/>
                <w:sz w:val="24"/>
                <w:szCs w:val="24"/>
              </w:rPr>
              <w:t>Jahre</w:t>
            </w:r>
            <w:proofErr w:type="spellEnd"/>
            <w:r>
              <w:rPr>
                <w:color w:val="ED7D31"/>
                <w:sz w:val="24"/>
                <w:szCs w:val="24"/>
              </w:rPr>
              <w:t>?</w:t>
            </w:r>
          </w:p>
        </w:tc>
        <w:tc>
          <w:tcPr>
            <w:tcW w:w="4395" w:type="dxa"/>
            <w:vAlign w:val="center"/>
          </w:tcPr>
          <w:p w14:paraId="3F97B21D" w14:textId="77777777" w:rsidR="00075978" w:rsidRDefault="00AC58CD">
            <w:pPr>
              <w:rPr>
                <w:color w:val="ED7D31"/>
              </w:rPr>
            </w:pPr>
            <w:r>
              <w:rPr>
                <w:color w:val="ED7D31"/>
              </w:rPr>
              <w:t xml:space="preserve">doc. Aleš </w:t>
            </w:r>
            <w:proofErr w:type="spellStart"/>
            <w:r>
              <w:rPr>
                <w:color w:val="ED7D31"/>
              </w:rPr>
              <w:t>Urválek</w:t>
            </w:r>
            <w:proofErr w:type="spellEnd"/>
          </w:p>
          <w:p w14:paraId="3998DABA" w14:textId="77777777" w:rsidR="00075978" w:rsidRDefault="00AC58CD">
            <w:pP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Vergleich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ausgewählter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natur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Dramen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mit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Texten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modernen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west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)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deutschen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lastRenderedPageBreak/>
              <w:t>Volksstücks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(M.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Sperr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, F. X.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Kroetz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). Texte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stelle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ich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nach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Absprache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zur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>Verfügung</w:t>
            </w:r>
            <w:proofErr w:type="spellEnd"/>
            <w:r>
              <w:rPr>
                <w:rFonts w:ascii="Open Sans" w:eastAsia="Open Sans" w:hAnsi="Open Sans" w:cs="Open Sans"/>
                <w:color w:val="ED7D31"/>
                <w:sz w:val="19"/>
                <w:szCs w:val="19"/>
              </w:rPr>
              <w:t xml:space="preserve"> </w:t>
            </w:r>
          </w:p>
        </w:tc>
      </w:tr>
    </w:tbl>
    <w:p w14:paraId="3B1F5AA8" w14:textId="77777777" w:rsidR="00075978" w:rsidRDefault="00075978"/>
    <w:p w14:paraId="3CE5A504" w14:textId="77777777" w:rsidR="00075978" w:rsidRDefault="00075978"/>
    <w:p w14:paraId="50F856F4" w14:textId="77777777" w:rsidR="00075978" w:rsidRDefault="00AC58CD">
      <w:r>
        <w:t xml:space="preserve">Rozsah písemné práce činí </w:t>
      </w:r>
      <w:proofErr w:type="gramStart"/>
      <w:r>
        <w:t>8 – 10</w:t>
      </w:r>
      <w:proofErr w:type="gramEnd"/>
      <w:r>
        <w:t xml:space="preserve"> tisíc znaků, z čehož max. 1/3 textu může být citovaná. Nezbytnou součástí práce bude i práce se sekundární literaturou, návrhy na vhodné zdroje budou k dispozici u každého jednotlivého tématu buď ve formě odkazu nebo naskenované literatury.</w:t>
      </w:r>
    </w:p>
    <w:p w14:paraId="622CB9F0" w14:textId="77777777" w:rsidR="00075978" w:rsidRDefault="00AC58CD">
      <w:proofErr w:type="spellStart"/>
      <w:r>
        <w:t>Deadline</w:t>
      </w:r>
      <w:proofErr w:type="spellEnd"/>
      <w:r>
        <w:t xml:space="preserve"> pro odevzdání práce je</w:t>
      </w:r>
      <w:r>
        <w:rPr>
          <w:color w:val="70AD47"/>
        </w:rPr>
        <w:t xml:space="preserve"> 9.6.2024</w:t>
      </w:r>
      <w:r>
        <w:t xml:space="preserve">. Do konce zkouškového období, tedy do </w:t>
      </w:r>
      <w:r>
        <w:rPr>
          <w:color w:val="70AD47"/>
        </w:rPr>
        <w:t>1.7.2024</w:t>
      </w:r>
      <w:r>
        <w:t xml:space="preserve"> bude následovat zpětná vazba od vyučujících předmětu (případně výzva k přepracování textu). </w:t>
      </w:r>
    </w:p>
    <w:p w14:paraId="68E60A38" w14:textId="77777777" w:rsidR="00075978" w:rsidRDefault="00AC58CD">
      <w:r>
        <w:t>Při udělování zápočtu budeme hledět jak na výsledek ústního kolokvia (pozitivní/negativní), tak i písemné práce (pozitivní/negativní). Pro získání zápočtu bude potřeba získat 2x pozitivní výsledek. V hraničních případech zohledníme i Vaši aktivitu ve výuce.</w:t>
      </w:r>
    </w:p>
    <w:p w14:paraId="5C2304F9" w14:textId="77777777" w:rsidR="00075978" w:rsidRDefault="00075978"/>
    <w:sectPr w:rsidR="00075978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6A2"/>
    <w:multiLevelType w:val="multilevel"/>
    <w:tmpl w:val="F11A2AA0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9E6BC3"/>
    <w:multiLevelType w:val="multilevel"/>
    <w:tmpl w:val="BD980206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F54CFE"/>
    <w:multiLevelType w:val="multilevel"/>
    <w:tmpl w:val="E51CF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7EC"/>
    <w:multiLevelType w:val="multilevel"/>
    <w:tmpl w:val="FDB24FFA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A569CB"/>
    <w:multiLevelType w:val="multilevel"/>
    <w:tmpl w:val="B08C5BE2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811FF9"/>
    <w:multiLevelType w:val="multilevel"/>
    <w:tmpl w:val="7EBEC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E39EE"/>
    <w:multiLevelType w:val="multilevel"/>
    <w:tmpl w:val="63A40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E1E"/>
    <w:multiLevelType w:val="multilevel"/>
    <w:tmpl w:val="37367C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1500707">
    <w:abstractNumId w:val="2"/>
  </w:num>
  <w:num w:numId="2" w16cid:durableId="1596085397">
    <w:abstractNumId w:val="6"/>
  </w:num>
  <w:num w:numId="3" w16cid:durableId="2132553935">
    <w:abstractNumId w:val="1"/>
  </w:num>
  <w:num w:numId="4" w16cid:durableId="176114745">
    <w:abstractNumId w:val="0"/>
  </w:num>
  <w:num w:numId="5" w16cid:durableId="228007576">
    <w:abstractNumId w:val="4"/>
  </w:num>
  <w:num w:numId="6" w16cid:durableId="2057775729">
    <w:abstractNumId w:val="3"/>
  </w:num>
  <w:num w:numId="7" w16cid:durableId="1094933607">
    <w:abstractNumId w:val="7"/>
  </w:num>
  <w:num w:numId="8" w16cid:durableId="1448430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78"/>
    <w:rsid w:val="00075978"/>
    <w:rsid w:val="003768E3"/>
    <w:rsid w:val="004E2F92"/>
    <w:rsid w:val="00734DE5"/>
    <w:rsid w:val="00790336"/>
    <w:rsid w:val="007E01FF"/>
    <w:rsid w:val="0094352A"/>
    <w:rsid w:val="00A71558"/>
    <w:rsid w:val="00AC58CD"/>
    <w:rsid w:val="00D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5793"/>
  <w15:docId w15:val="{467DF70B-9225-4DEA-A1F2-B9B21B2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Normlntabulka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DC3F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ilke.d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ruecken.ff.cuni.cz/wp-content/uploads/sites/56/2020/11/Stylesheet-Brucken-2020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7" ma:contentTypeDescription="Vytvoří nový dokument" ma:contentTypeScope="" ma:versionID="cd5c1ea73eb8549a725081a20d00b3ab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1cb068b0bc163c55a7ec24aa3ea62777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b5fb5-c9db-4617-9a62-64f49fae5538" xsi:nil="true"/>
  </documentManagement>
</p:properties>
</file>

<file path=customXml/itemProps1.xml><?xml version="1.0" encoding="utf-8"?>
<ds:datastoreItem xmlns:ds="http://schemas.openxmlformats.org/officeDocument/2006/customXml" ds:itemID="{18B5084F-5DDF-4362-8CF9-3550A2E2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C265A-93A8-43AB-BE1A-14B610686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67CC3-B722-43D1-8CBA-4302228DA04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d64b5fb5-c9db-4617-9a62-64f49fae5538"/>
    <ds:schemaRef ds:uri="0a4d777f-aadb-4192-819a-6dd8ba01e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Budňák</dc:creator>
  <cp:lastModifiedBy>Jan Budňák</cp:lastModifiedBy>
  <cp:revision>2</cp:revision>
  <dcterms:created xsi:type="dcterms:W3CDTF">2024-03-19T10:49:00Z</dcterms:created>
  <dcterms:modified xsi:type="dcterms:W3CDTF">2024-03-19T10:49:00Z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